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2CAE" w:rsidRDefault="009D2CAE">
      <w:pPr>
        <w:pStyle w:val="Nzev"/>
      </w:pPr>
    </w:p>
    <w:p w:rsidR="009D2CAE" w:rsidRDefault="009D2CAE" w:rsidP="00DF6E0B">
      <w:pPr>
        <w:jc w:val="center"/>
        <w:rPr>
          <w:rFonts w:cs="Calibri"/>
          <w:b/>
          <w:color w:val="4F81BD"/>
          <w:spacing w:val="5"/>
          <w:kern w:val="28"/>
          <w:sz w:val="52"/>
          <w:szCs w:val="52"/>
        </w:rPr>
      </w:pPr>
    </w:p>
    <w:p w:rsidR="009D2CAE" w:rsidRDefault="009D2CAE" w:rsidP="00DF6E0B">
      <w:pPr>
        <w:spacing w:after="120"/>
        <w:jc w:val="center"/>
        <w:rPr>
          <w:rFonts w:cs="Calibri"/>
          <w:b/>
          <w:color w:val="4F81BD"/>
          <w:spacing w:val="5"/>
          <w:kern w:val="28"/>
          <w:sz w:val="48"/>
          <w:szCs w:val="48"/>
        </w:rPr>
      </w:pPr>
    </w:p>
    <w:p w:rsidR="009D2CAE" w:rsidRDefault="009D2CAE" w:rsidP="00DF6E0B">
      <w:pPr>
        <w:spacing w:after="120"/>
        <w:jc w:val="center"/>
        <w:rPr>
          <w:rFonts w:cs="Calibri"/>
          <w:b/>
          <w:color w:val="4F81BD"/>
          <w:spacing w:val="5"/>
          <w:kern w:val="28"/>
          <w:sz w:val="48"/>
          <w:szCs w:val="48"/>
        </w:rPr>
      </w:pPr>
    </w:p>
    <w:p w:rsidR="009D2CAE" w:rsidRPr="007C0CDA" w:rsidRDefault="009D2CAE" w:rsidP="00DF6E0B">
      <w:pPr>
        <w:spacing w:after="120"/>
        <w:jc w:val="center"/>
        <w:rPr>
          <w:rFonts w:cs="Calibri"/>
          <w:b/>
          <w:color w:val="4F81BD"/>
          <w:spacing w:val="5"/>
          <w:kern w:val="28"/>
          <w:sz w:val="48"/>
          <w:szCs w:val="48"/>
        </w:rPr>
      </w:pPr>
      <w:r w:rsidRPr="007C0CDA">
        <w:rPr>
          <w:rFonts w:cs="Calibri"/>
          <w:b/>
          <w:color w:val="4F81BD"/>
          <w:spacing w:val="5"/>
          <w:kern w:val="28"/>
          <w:sz w:val="48"/>
          <w:szCs w:val="48"/>
        </w:rPr>
        <w:t>Předběžné posouzení finančních nástrojů</w:t>
      </w:r>
    </w:p>
    <w:p w:rsidR="009D2CAE" w:rsidRPr="007C0CDA" w:rsidRDefault="009D2CAE" w:rsidP="00DF6E0B">
      <w:pPr>
        <w:spacing w:after="120"/>
        <w:jc w:val="center"/>
        <w:rPr>
          <w:color w:val="4F81BD"/>
          <w:sz w:val="48"/>
          <w:szCs w:val="48"/>
        </w:rPr>
      </w:pPr>
      <w:r w:rsidRPr="007C0CDA">
        <w:rPr>
          <w:rFonts w:cs="Calibri"/>
          <w:b/>
          <w:color w:val="4F81BD"/>
          <w:spacing w:val="5"/>
          <w:kern w:val="28"/>
          <w:sz w:val="48"/>
          <w:szCs w:val="48"/>
        </w:rPr>
        <w:t>Operačního programu Podnikání a inovace pro konkurenceschopnost 2014-2020</w:t>
      </w:r>
    </w:p>
    <w:p w:rsidR="009D2CAE" w:rsidRPr="007C0CDA" w:rsidRDefault="009D2CAE" w:rsidP="00EB7775"/>
    <w:p w:rsidR="009D2CAE" w:rsidRPr="007C0CDA" w:rsidRDefault="009D2CAE" w:rsidP="000C1B4F"/>
    <w:p w:rsidR="009D2CAE" w:rsidRPr="007C0CDA" w:rsidRDefault="009D2CAE" w:rsidP="00DF6E0B">
      <w:pPr>
        <w:jc w:val="center"/>
        <w:rPr>
          <w:b/>
          <w:sz w:val="40"/>
          <w:szCs w:val="40"/>
        </w:rPr>
      </w:pPr>
      <w:r w:rsidRPr="007C0CDA">
        <w:rPr>
          <w:b/>
          <w:sz w:val="40"/>
          <w:szCs w:val="40"/>
        </w:rPr>
        <w:t>Třetí průběžná zpráva</w:t>
      </w:r>
    </w:p>
    <w:p w:rsidR="009D2CAE" w:rsidRPr="007C0CDA" w:rsidRDefault="009D2CAE" w:rsidP="000C1B4F">
      <w:pPr>
        <w:rPr>
          <w:b/>
        </w:rPr>
      </w:pPr>
    </w:p>
    <w:p w:rsidR="009D2CAE" w:rsidRPr="007C0CDA" w:rsidRDefault="009D2CAE" w:rsidP="000C1B4F">
      <w:pPr>
        <w:rPr>
          <w:b/>
        </w:rPr>
      </w:pPr>
    </w:p>
    <w:p w:rsidR="009D2CAE" w:rsidRPr="007C0CDA" w:rsidRDefault="009D2CAE" w:rsidP="000C1B4F">
      <w:pPr>
        <w:rPr>
          <w:b/>
        </w:rPr>
      </w:pPr>
    </w:p>
    <w:p w:rsidR="009D2CAE" w:rsidRPr="007C0CDA" w:rsidRDefault="009D2CAE" w:rsidP="000C1B4F">
      <w:pPr>
        <w:rPr>
          <w:b/>
        </w:rPr>
      </w:pPr>
    </w:p>
    <w:p w:rsidR="009D2CAE" w:rsidRPr="007C0CDA" w:rsidRDefault="009D2CAE" w:rsidP="000C1B4F">
      <w:pPr>
        <w:rPr>
          <w:b/>
        </w:rPr>
      </w:pPr>
    </w:p>
    <w:p w:rsidR="009D2CAE" w:rsidRPr="007C0CDA" w:rsidRDefault="009D2CAE" w:rsidP="000C1B4F">
      <w:pPr>
        <w:rPr>
          <w:b/>
        </w:rPr>
      </w:pPr>
    </w:p>
    <w:p w:rsidR="009D2CAE" w:rsidRPr="007C0CDA" w:rsidRDefault="009D2CAE">
      <w:pPr>
        <w:overflowPunct/>
        <w:autoSpaceDE/>
        <w:autoSpaceDN/>
        <w:adjustRightInd/>
        <w:jc w:val="left"/>
        <w:textAlignment w:val="auto"/>
        <w:rPr>
          <w:rFonts w:cs="Calibri"/>
          <w:b/>
          <w:sz w:val="32"/>
          <w:szCs w:val="32"/>
        </w:rPr>
      </w:pPr>
    </w:p>
    <w:p w:rsidR="009D2CAE" w:rsidRPr="007C0CDA" w:rsidRDefault="009D2CAE">
      <w:pPr>
        <w:overflowPunct/>
        <w:autoSpaceDE/>
        <w:autoSpaceDN/>
        <w:adjustRightInd/>
        <w:jc w:val="left"/>
        <w:textAlignment w:val="auto"/>
        <w:rPr>
          <w:rFonts w:cs="Calibri"/>
          <w:b/>
          <w:sz w:val="32"/>
          <w:szCs w:val="32"/>
        </w:rPr>
      </w:pPr>
    </w:p>
    <w:p w:rsidR="009D2CAE" w:rsidRPr="007C0CDA" w:rsidRDefault="009D2CAE">
      <w:pPr>
        <w:overflowPunct/>
        <w:autoSpaceDE/>
        <w:autoSpaceDN/>
        <w:adjustRightInd/>
        <w:jc w:val="left"/>
        <w:textAlignment w:val="auto"/>
        <w:rPr>
          <w:rFonts w:cs="Calibri"/>
          <w:b/>
          <w:sz w:val="32"/>
          <w:szCs w:val="32"/>
        </w:rPr>
      </w:pPr>
    </w:p>
    <w:p w:rsidR="009D2CAE" w:rsidRPr="007C0CDA" w:rsidRDefault="009D2CAE">
      <w:pPr>
        <w:overflowPunct/>
        <w:autoSpaceDE/>
        <w:autoSpaceDN/>
        <w:adjustRightInd/>
        <w:jc w:val="left"/>
        <w:textAlignment w:val="auto"/>
        <w:rPr>
          <w:rFonts w:cs="Calibri"/>
          <w:b/>
          <w:sz w:val="32"/>
          <w:szCs w:val="32"/>
        </w:rPr>
      </w:pPr>
    </w:p>
    <w:p w:rsidR="009D2CAE" w:rsidRPr="007C0CDA" w:rsidRDefault="009D2CAE">
      <w:pPr>
        <w:overflowPunct/>
        <w:autoSpaceDE/>
        <w:autoSpaceDN/>
        <w:adjustRightInd/>
        <w:jc w:val="left"/>
        <w:textAlignment w:val="auto"/>
        <w:rPr>
          <w:rFonts w:cs="Calibri"/>
          <w:b/>
          <w:sz w:val="32"/>
          <w:szCs w:val="32"/>
        </w:rPr>
      </w:pPr>
    </w:p>
    <w:p w:rsidR="009D2CAE" w:rsidRPr="007C0CDA" w:rsidRDefault="009D2CAE">
      <w:pPr>
        <w:overflowPunct/>
        <w:autoSpaceDE/>
        <w:autoSpaceDN/>
        <w:adjustRightInd/>
        <w:jc w:val="left"/>
        <w:textAlignment w:val="auto"/>
        <w:rPr>
          <w:rFonts w:cs="Calibri"/>
          <w:b/>
          <w:sz w:val="32"/>
          <w:szCs w:val="32"/>
        </w:rPr>
      </w:pPr>
    </w:p>
    <w:p w:rsidR="009D2CAE" w:rsidRPr="007C0CDA" w:rsidRDefault="009D2CAE">
      <w:pPr>
        <w:overflowPunct/>
        <w:autoSpaceDE/>
        <w:autoSpaceDN/>
        <w:adjustRightInd/>
        <w:jc w:val="left"/>
        <w:textAlignment w:val="auto"/>
        <w:rPr>
          <w:rFonts w:cs="Calibri"/>
          <w:b/>
          <w:sz w:val="32"/>
          <w:szCs w:val="32"/>
        </w:rPr>
      </w:pPr>
    </w:p>
    <w:p w:rsidR="009D2CAE" w:rsidRPr="007C0CDA" w:rsidRDefault="009D2CAE">
      <w:pPr>
        <w:overflowPunct/>
        <w:autoSpaceDE/>
        <w:autoSpaceDN/>
        <w:adjustRightInd/>
        <w:jc w:val="left"/>
        <w:textAlignment w:val="auto"/>
        <w:rPr>
          <w:rFonts w:cs="Calibri"/>
          <w:b/>
          <w:sz w:val="32"/>
          <w:szCs w:val="32"/>
        </w:rPr>
      </w:pPr>
    </w:p>
    <w:p w:rsidR="009D2CAE" w:rsidRPr="007C0CDA" w:rsidRDefault="009D2CAE">
      <w:pPr>
        <w:overflowPunct/>
        <w:autoSpaceDE/>
        <w:autoSpaceDN/>
        <w:adjustRightInd/>
        <w:jc w:val="left"/>
        <w:textAlignment w:val="auto"/>
        <w:rPr>
          <w:rFonts w:cs="Calibri"/>
          <w:b/>
          <w:sz w:val="32"/>
          <w:szCs w:val="32"/>
        </w:rPr>
      </w:pPr>
    </w:p>
    <w:p w:rsidR="009D2CAE" w:rsidRPr="007C0CDA" w:rsidRDefault="009D2CAE">
      <w:pPr>
        <w:overflowPunct/>
        <w:autoSpaceDE/>
        <w:autoSpaceDN/>
        <w:adjustRightInd/>
        <w:jc w:val="left"/>
        <w:textAlignment w:val="auto"/>
        <w:rPr>
          <w:rFonts w:cs="Calibri"/>
          <w:b/>
          <w:sz w:val="32"/>
          <w:szCs w:val="32"/>
        </w:rPr>
      </w:pPr>
    </w:p>
    <w:p w:rsidR="009D2CAE" w:rsidRPr="007C0CDA" w:rsidRDefault="009D2CAE">
      <w:pPr>
        <w:overflowPunct/>
        <w:autoSpaceDE/>
        <w:autoSpaceDN/>
        <w:adjustRightInd/>
        <w:jc w:val="left"/>
        <w:textAlignment w:val="auto"/>
        <w:rPr>
          <w:rFonts w:cs="Calibri"/>
          <w:b/>
          <w:sz w:val="32"/>
          <w:szCs w:val="32"/>
        </w:rPr>
      </w:pPr>
      <w:r w:rsidRPr="007C0CDA">
        <w:rPr>
          <w:rFonts w:cs="Calibri"/>
          <w:b/>
          <w:sz w:val="32"/>
          <w:szCs w:val="32"/>
        </w:rPr>
        <w:t>Duben 2015</w:t>
      </w:r>
    </w:p>
    <w:p w:rsidR="009D2CAE" w:rsidRPr="007C0CDA" w:rsidRDefault="009D2CAE">
      <w:pPr>
        <w:overflowPunct/>
        <w:autoSpaceDE/>
        <w:autoSpaceDN/>
        <w:adjustRightInd/>
        <w:jc w:val="left"/>
        <w:textAlignment w:val="auto"/>
        <w:rPr>
          <w:rFonts w:cs="Calibri"/>
          <w:b/>
          <w:sz w:val="32"/>
          <w:szCs w:val="32"/>
        </w:rPr>
      </w:pPr>
    </w:p>
    <w:p w:rsidR="009D2CAE" w:rsidRPr="007C0CDA" w:rsidRDefault="009D2CAE">
      <w:pPr>
        <w:overflowPunct/>
        <w:autoSpaceDE/>
        <w:autoSpaceDN/>
        <w:adjustRightInd/>
        <w:jc w:val="left"/>
        <w:textAlignment w:val="auto"/>
        <w:rPr>
          <w:rFonts w:cs="Calibri"/>
          <w:b/>
          <w:sz w:val="32"/>
          <w:szCs w:val="32"/>
        </w:rPr>
      </w:pPr>
    </w:p>
    <w:p w:rsidR="009D2CAE" w:rsidRPr="007C0CDA" w:rsidRDefault="009D2CAE">
      <w:pPr>
        <w:overflowPunct/>
        <w:autoSpaceDE/>
        <w:autoSpaceDN/>
        <w:adjustRightInd/>
        <w:jc w:val="left"/>
        <w:textAlignment w:val="auto"/>
        <w:rPr>
          <w:rFonts w:cs="Calibri"/>
          <w:b/>
          <w:sz w:val="32"/>
          <w:szCs w:val="32"/>
        </w:rPr>
      </w:pPr>
    </w:p>
    <w:p w:rsidR="009D2CAE" w:rsidRPr="007C0CDA" w:rsidRDefault="009D2CAE">
      <w:pPr>
        <w:overflowPunct/>
        <w:autoSpaceDE/>
        <w:autoSpaceDN/>
        <w:adjustRightInd/>
        <w:jc w:val="left"/>
        <w:textAlignment w:val="auto"/>
        <w:rPr>
          <w:rFonts w:cs="Calibri"/>
          <w:b/>
          <w:sz w:val="32"/>
          <w:szCs w:val="32"/>
        </w:rPr>
      </w:pPr>
    </w:p>
    <w:p w:rsidR="009D2CAE" w:rsidRPr="007C0CDA" w:rsidRDefault="009D2CAE" w:rsidP="00012C12">
      <w:pPr>
        <w:pStyle w:val="Nadpis1"/>
        <w:numPr>
          <w:ilvl w:val="0"/>
          <w:numId w:val="0"/>
        </w:numPr>
        <w:ind w:left="432" w:hanging="432"/>
      </w:pPr>
      <w:bookmarkStart w:id="0" w:name="_Toc413854323"/>
      <w:bookmarkStart w:id="1" w:name="_Toc416447533"/>
      <w:r w:rsidRPr="007C0CDA">
        <w:lastRenderedPageBreak/>
        <w:t>Obsah</w:t>
      </w:r>
      <w:bookmarkEnd w:id="0"/>
      <w:bookmarkEnd w:id="1"/>
    </w:p>
    <w:p w:rsidR="009D2CAE" w:rsidRPr="007C0CDA" w:rsidRDefault="009D2CAE">
      <w:pPr>
        <w:overflowPunct/>
        <w:autoSpaceDE/>
        <w:autoSpaceDN/>
        <w:adjustRightInd/>
        <w:jc w:val="left"/>
        <w:textAlignment w:val="auto"/>
        <w:rPr>
          <w:rFonts w:ascii="Cambria" w:hAnsi="Cambria" w:cs="Calibri"/>
          <w:b/>
          <w:color w:val="4F81BD"/>
          <w:sz w:val="32"/>
          <w:szCs w:val="32"/>
        </w:rPr>
      </w:pPr>
    </w:p>
    <w:p w:rsidR="00F50BC7" w:rsidRDefault="009D2CAE">
      <w:pPr>
        <w:pStyle w:val="Obsah1"/>
        <w:rPr>
          <w:rFonts w:asciiTheme="minorHAnsi" w:eastAsiaTheme="minorEastAsia" w:hAnsiTheme="minorHAnsi" w:cstheme="minorBidi"/>
          <w:noProof/>
          <w:szCs w:val="22"/>
        </w:rPr>
      </w:pPr>
      <w:r w:rsidRPr="00B675D6">
        <w:rPr>
          <w:rFonts w:cs="Calibri"/>
          <w:szCs w:val="24"/>
        </w:rPr>
        <w:fldChar w:fldCharType="begin"/>
      </w:r>
      <w:r w:rsidRPr="007C0CDA">
        <w:rPr>
          <w:rFonts w:cs="Calibri"/>
          <w:szCs w:val="24"/>
        </w:rPr>
        <w:instrText xml:space="preserve"> TOC \o "1-3" \h \z \u </w:instrText>
      </w:r>
      <w:r w:rsidRPr="002433DA">
        <w:rPr>
          <w:rFonts w:cs="Calibri"/>
          <w:szCs w:val="24"/>
        </w:rPr>
        <w:fldChar w:fldCharType="separate"/>
      </w:r>
      <w:hyperlink w:anchor="_Toc416447533" w:history="1">
        <w:r w:rsidR="00F50BC7" w:rsidRPr="00C95951">
          <w:rPr>
            <w:rStyle w:val="Hypertextovodkaz"/>
            <w:noProof/>
          </w:rPr>
          <w:t>Obsah</w:t>
        </w:r>
        <w:r w:rsidR="00F50BC7">
          <w:rPr>
            <w:noProof/>
            <w:webHidden/>
          </w:rPr>
          <w:tab/>
        </w:r>
        <w:r w:rsidR="00F50BC7">
          <w:rPr>
            <w:noProof/>
            <w:webHidden/>
          </w:rPr>
          <w:fldChar w:fldCharType="begin"/>
        </w:r>
        <w:r w:rsidR="00F50BC7">
          <w:rPr>
            <w:noProof/>
            <w:webHidden/>
          </w:rPr>
          <w:instrText xml:space="preserve"> PAGEREF _Toc416447533 \h </w:instrText>
        </w:r>
        <w:r w:rsidR="00F50BC7">
          <w:rPr>
            <w:noProof/>
            <w:webHidden/>
          </w:rPr>
        </w:r>
        <w:r w:rsidR="00F50BC7">
          <w:rPr>
            <w:noProof/>
            <w:webHidden/>
          </w:rPr>
          <w:fldChar w:fldCharType="separate"/>
        </w:r>
        <w:r w:rsidR="00F50BC7">
          <w:rPr>
            <w:noProof/>
            <w:webHidden/>
          </w:rPr>
          <w:t>1</w:t>
        </w:r>
        <w:r w:rsidR="00F50BC7">
          <w:rPr>
            <w:noProof/>
            <w:webHidden/>
          </w:rPr>
          <w:fldChar w:fldCharType="end"/>
        </w:r>
      </w:hyperlink>
    </w:p>
    <w:p w:rsidR="00F50BC7" w:rsidRDefault="00F50BC7">
      <w:pPr>
        <w:pStyle w:val="Obsah1"/>
        <w:rPr>
          <w:rFonts w:asciiTheme="minorHAnsi" w:eastAsiaTheme="minorEastAsia" w:hAnsiTheme="minorHAnsi" w:cstheme="minorBidi"/>
          <w:noProof/>
          <w:szCs w:val="22"/>
        </w:rPr>
      </w:pPr>
      <w:hyperlink w:anchor="_Toc416447534" w:history="1">
        <w:r w:rsidRPr="00C95951">
          <w:rPr>
            <w:rStyle w:val="Hypertextovodkaz"/>
            <w:noProof/>
          </w:rPr>
          <w:t>1</w:t>
        </w:r>
        <w:r>
          <w:rPr>
            <w:rFonts w:asciiTheme="minorHAnsi" w:eastAsiaTheme="minorEastAsia" w:hAnsiTheme="minorHAnsi" w:cstheme="minorBidi"/>
            <w:noProof/>
            <w:szCs w:val="22"/>
          </w:rPr>
          <w:tab/>
        </w:r>
        <w:r w:rsidRPr="00C95951">
          <w:rPr>
            <w:rStyle w:val="Hypertextovodkaz"/>
            <w:noProof/>
          </w:rPr>
          <w:t>Definice základních pojmů</w:t>
        </w:r>
        <w:r>
          <w:rPr>
            <w:noProof/>
            <w:webHidden/>
          </w:rPr>
          <w:tab/>
        </w:r>
        <w:r>
          <w:rPr>
            <w:noProof/>
            <w:webHidden/>
          </w:rPr>
          <w:fldChar w:fldCharType="begin"/>
        </w:r>
        <w:r>
          <w:rPr>
            <w:noProof/>
            <w:webHidden/>
          </w:rPr>
          <w:instrText xml:space="preserve"> PAGEREF _Toc416447534 \h </w:instrText>
        </w:r>
        <w:r>
          <w:rPr>
            <w:noProof/>
            <w:webHidden/>
          </w:rPr>
        </w:r>
        <w:r>
          <w:rPr>
            <w:noProof/>
            <w:webHidden/>
          </w:rPr>
          <w:fldChar w:fldCharType="separate"/>
        </w:r>
        <w:r>
          <w:rPr>
            <w:noProof/>
            <w:webHidden/>
          </w:rPr>
          <w:t>4</w:t>
        </w:r>
        <w:r>
          <w:rPr>
            <w:noProof/>
            <w:webHidden/>
          </w:rPr>
          <w:fldChar w:fldCharType="end"/>
        </w:r>
      </w:hyperlink>
    </w:p>
    <w:p w:rsidR="00F50BC7" w:rsidRDefault="00F50BC7">
      <w:pPr>
        <w:pStyle w:val="Obsah1"/>
        <w:rPr>
          <w:rFonts w:asciiTheme="minorHAnsi" w:eastAsiaTheme="minorEastAsia" w:hAnsiTheme="minorHAnsi" w:cstheme="minorBidi"/>
          <w:noProof/>
          <w:szCs w:val="22"/>
        </w:rPr>
      </w:pPr>
      <w:hyperlink w:anchor="_Toc416447535" w:history="1">
        <w:r w:rsidRPr="00C95951">
          <w:rPr>
            <w:rStyle w:val="Hypertextovodkaz"/>
            <w:noProof/>
          </w:rPr>
          <w:t>2</w:t>
        </w:r>
        <w:r>
          <w:rPr>
            <w:rFonts w:asciiTheme="minorHAnsi" w:eastAsiaTheme="minorEastAsia" w:hAnsiTheme="minorHAnsi" w:cstheme="minorBidi"/>
            <w:noProof/>
            <w:szCs w:val="22"/>
          </w:rPr>
          <w:tab/>
        </w:r>
        <w:r w:rsidRPr="00C95951">
          <w:rPr>
            <w:rStyle w:val="Hypertextovodkaz"/>
            <w:noProof/>
          </w:rPr>
          <w:t>Úvod</w:t>
        </w:r>
        <w:r>
          <w:rPr>
            <w:noProof/>
            <w:webHidden/>
          </w:rPr>
          <w:tab/>
        </w:r>
        <w:r>
          <w:rPr>
            <w:noProof/>
            <w:webHidden/>
          </w:rPr>
          <w:fldChar w:fldCharType="begin"/>
        </w:r>
        <w:r>
          <w:rPr>
            <w:noProof/>
            <w:webHidden/>
          </w:rPr>
          <w:instrText xml:space="preserve"> PAGEREF _Toc416447535 \h </w:instrText>
        </w:r>
        <w:r>
          <w:rPr>
            <w:noProof/>
            <w:webHidden/>
          </w:rPr>
        </w:r>
        <w:r>
          <w:rPr>
            <w:noProof/>
            <w:webHidden/>
          </w:rPr>
          <w:fldChar w:fldCharType="separate"/>
        </w:r>
        <w:r>
          <w:rPr>
            <w:noProof/>
            <w:webHidden/>
          </w:rPr>
          <w:t>6</w:t>
        </w:r>
        <w:r>
          <w:rPr>
            <w:noProof/>
            <w:webHidden/>
          </w:rPr>
          <w:fldChar w:fldCharType="end"/>
        </w:r>
      </w:hyperlink>
    </w:p>
    <w:p w:rsidR="00F50BC7" w:rsidRDefault="00F50BC7">
      <w:pPr>
        <w:pStyle w:val="Obsah1"/>
        <w:rPr>
          <w:rFonts w:asciiTheme="minorHAnsi" w:eastAsiaTheme="minorEastAsia" w:hAnsiTheme="minorHAnsi" w:cstheme="minorBidi"/>
          <w:noProof/>
          <w:szCs w:val="22"/>
        </w:rPr>
      </w:pPr>
      <w:hyperlink w:anchor="_Toc416447536" w:history="1">
        <w:r w:rsidRPr="00C95951">
          <w:rPr>
            <w:rStyle w:val="Hypertextovodkaz"/>
            <w:noProof/>
          </w:rPr>
          <w:t>3</w:t>
        </w:r>
        <w:r>
          <w:rPr>
            <w:rFonts w:asciiTheme="minorHAnsi" w:eastAsiaTheme="minorEastAsia" w:hAnsiTheme="minorHAnsi" w:cstheme="minorBidi"/>
            <w:noProof/>
            <w:szCs w:val="22"/>
          </w:rPr>
          <w:tab/>
        </w:r>
        <w:r w:rsidRPr="00C95951">
          <w:rPr>
            <w:rStyle w:val="Hypertextovodkaz"/>
            <w:noProof/>
          </w:rPr>
          <w:t>Výchozí podmínky analýzy</w:t>
        </w:r>
        <w:r>
          <w:rPr>
            <w:noProof/>
            <w:webHidden/>
          </w:rPr>
          <w:tab/>
        </w:r>
        <w:r>
          <w:rPr>
            <w:noProof/>
            <w:webHidden/>
          </w:rPr>
          <w:fldChar w:fldCharType="begin"/>
        </w:r>
        <w:r>
          <w:rPr>
            <w:noProof/>
            <w:webHidden/>
          </w:rPr>
          <w:instrText xml:space="preserve"> PAGEREF _Toc416447536 \h </w:instrText>
        </w:r>
        <w:r>
          <w:rPr>
            <w:noProof/>
            <w:webHidden/>
          </w:rPr>
        </w:r>
        <w:r>
          <w:rPr>
            <w:noProof/>
            <w:webHidden/>
          </w:rPr>
          <w:fldChar w:fldCharType="separate"/>
        </w:r>
        <w:r>
          <w:rPr>
            <w:noProof/>
            <w:webHidden/>
          </w:rPr>
          <w:t>6</w:t>
        </w:r>
        <w:r>
          <w:rPr>
            <w:noProof/>
            <w:webHidden/>
          </w:rPr>
          <w:fldChar w:fldCharType="end"/>
        </w:r>
      </w:hyperlink>
    </w:p>
    <w:p w:rsidR="00F50BC7" w:rsidRDefault="00F50BC7">
      <w:pPr>
        <w:pStyle w:val="Obsah2"/>
        <w:tabs>
          <w:tab w:val="left" w:pos="720"/>
          <w:tab w:val="right" w:leader="dot" w:pos="9060"/>
        </w:tabs>
        <w:rPr>
          <w:rFonts w:asciiTheme="minorHAnsi" w:eastAsiaTheme="minorEastAsia" w:hAnsiTheme="minorHAnsi" w:cstheme="minorBidi"/>
          <w:noProof/>
          <w:szCs w:val="22"/>
        </w:rPr>
      </w:pPr>
      <w:hyperlink w:anchor="_Toc416447537" w:history="1">
        <w:r w:rsidRPr="00C95951">
          <w:rPr>
            <w:rStyle w:val="Hypertextovodkaz"/>
            <w:noProof/>
          </w:rPr>
          <w:t>3.1</w:t>
        </w:r>
        <w:r>
          <w:rPr>
            <w:rFonts w:asciiTheme="minorHAnsi" w:eastAsiaTheme="minorEastAsia" w:hAnsiTheme="minorHAnsi" w:cstheme="minorBidi"/>
            <w:noProof/>
            <w:szCs w:val="22"/>
          </w:rPr>
          <w:tab/>
        </w:r>
        <w:r w:rsidRPr="00C95951">
          <w:rPr>
            <w:rStyle w:val="Hypertextovodkaz"/>
            <w:noProof/>
          </w:rPr>
          <w:t>Základní principy fungování finančních nástrojů</w:t>
        </w:r>
        <w:r>
          <w:rPr>
            <w:noProof/>
            <w:webHidden/>
          </w:rPr>
          <w:tab/>
        </w:r>
        <w:r>
          <w:rPr>
            <w:noProof/>
            <w:webHidden/>
          </w:rPr>
          <w:fldChar w:fldCharType="begin"/>
        </w:r>
        <w:r>
          <w:rPr>
            <w:noProof/>
            <w:webHidden/>
          </w:rPr>
          <w:instrText xml:space="preserve"> PAGEREF _Toc416447537 \h </w:instrText>
        </w:r>
        <w:r>
          <w:rPr>
            <w:noProof/>
            <w:webHidden/>
          </w:rPr>
        </w:r>
        <w:r>
          <w:rPr>
            <w:noProof/>
            <w:webHidden/>
          </w:rPr>
          <w:fldChar w:fldCharType="separate"/>
        </w:r>
        <w:r>
          <w:rPr>
            <w:noProof/>
            <w:webHidden/>
          </w:rPr>
          <w:t>7</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538" w:history="1">
        <w:r w:rsidRPr="00C95951">
          <w:rPr>
            <w:rStyle w:val="Hypertextovodkaz"/>
            <w:noProof/>
          </w:rPr>
          <w:t>3.1.1</w:t>
        </w:r>
        <w:r>
          <w:rPr>
            <w:rFonts w:asciiTheme="minorHAnsi" w:eastAsiaTheme="minorEastAsia" w:hAnsiTheme="minorHAnsi" w:cstheme="minorBidi"/>
            <w:noProof/>
            <w:szCs w:val="22"/>
          </w:rPr>
          <w:tab/>
        </w:r>
        <w:r w:rsidRPr="00C95951">
          <w:rPr>
            <w:rStyle w:val="Hypertextovodkaz"/>
            <w:noProof/>
          </w:rPr>
          <w:t>Využitelnost finančních nástrojů</w:t>
        </w:r>
        <w:r>
          <w:rPr>
            <w:noProof/>
            <w:webHidden/>
          </w:rPr>
          <w:tab/>
        </w:r>
        <w:r>
          <w:rPr>
            <w:noProof/>
            <w:webHidden/>
          </w:rPr>
          <w:fldChar w:fldCharType="begin"/>
        </w:r>
        <w:r>
          <w:rPr>
            <w:noProof/>
            <w:webHidden/>
          </w:rPr>
          <w:instrText xml:space="preserve"> PAGEREF _Toc416447538 \h </w:instrText>
        </w:r>
        <w:r>
          <w:rPr>
            <w:noProof/>
            <w:webHidden/>
          </w:rPr>
        </w:r>
        <w:r>
          <w:rPr>
            <w:noProof/>
            <w:webHidden/>
          </w:rPr>
          <w:fldChar w:fldCharType="separate"/>
        </w:r>
        <w:r>
          <w:rPr>
            <w:noProof/>
            <w:webHidden/>
          </w:rPr>
          <w:t>8</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539" w:history="1">
        <w:r w:rsidRPr="00C95951">
          <w:rPr>
            <w:rStyle w:val="Hypertextovodkaz"/>
            <w:noProof/>
          </w:rPr>
          <w:t>3.1.2</w:t>
        </w:r>
        <w:r>
          <w:rPr>
            <w:rFonts w:asciiTheme="minorHAnsi" w:eastAsiaTheme="minorEastAsia" w:hAnsiTheme="minorHAnsi" w:cstheme="minorBidi"/>
            <w:noProof/>
            <w:szCs w:val="22"/>
          </w:rPr>
          <w:tab/>
        </w:r>
        <w:r w:rsidRPr="00C95951">
          <w:rPr>
            <w:rStyle w:val="Hypertextovodkaz"/>
            <w:noProof/>
          </w:rPr>
          <w:t>Přínos pro využití veřejných prostředků</w:t>
        </w:r>
        <w:r>
          <w:rPr>
            <w:noProof/>
            <w:webHidden/>
          </w:rPr>
          <w:tab/>
        </w:r>
        <w:r>
          <w:rPr>
            <w:noProof/>
            <w:webHidden/>
          </w:rPr>
          <w:fldChar w:fldCharType="begin"/>
        </w:r>
        <w:r>
          <w:rPr>
            <w:noProof/>
            <w:webHidden/>
          </w:rPr>
          <w:instrText xml:space="preserve"> PAGEREF _Toc416447539 \h </w:instrText>
        </w:r>
        <w:r>
          <w:rPr>
            <w:noProof/>
            <w:webHidden/>
          </w:rPr>
        </w:r>
        <w:r>
          <w:rPr>
            <w:noProof/>
            <w:webHidden/>
          </w:rPr>
          <w:fldChar w:fldCharType="separate"/>
        </w:r>
        <w:r>
          <w:rPr>
            <w:noProof/>
            <w:webHidden/>
          </w:rPr>
          <w:t>8</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540" w:history="1">
        <w:r w:rsidRPr="00C95951">
          <w:rPr>
            <w:rStyle w:val="Hypertextovodkaz"/>
            <w:noProof/>
          </w:rPr>
          <w:t>3.1.3</w:t>
        </w:r>
        <w:r>
          <w:rPr>
            <w:rFonts w:asciiTheme="minorHAnsi" w:eastAsiaTheme="minorEastAsia" w:hAnsiTheme="minorHAnsi" w:cstheme="minorBidi"/>
            <w:noProof/>
            <w:szCs w:val="22"/>
          </w:rPr>
          <w:tab/>
        </w:r>
        <w:r w:rsidRPr="00C95951">
          <w:rPr>
            <w:rStyle w:val="Hypertextovodkaz"/>
            <w:noProof/>
          </w:rPr>
          <w:t>Přidaná hodnota a rizika finančních nástrojů</w:t>
        </w:r>
        <w:r>
          <w:rPr>
            <w:noProof/>
            <w:webHidden/>
          </w:rPr>
          <w:tab/>
        </w:r>
        <w:r>
          <w:rPr>
            <w:noProof/>
            <w:webHidden/>
          </w:rPr>
          <w:fldChar w:fldCharType="begin"/>
        </w:r>
        <w:r>
          <w:rPr>
            <w:noProof/>
            <w:webHidden/>
          </w:rPr>
          <w:instrText xml:space="preserve"> PAGEREF _Toc416447540 \h </w:instrText>
        </w:r>
        <w:r>
          <w:rPr>
            <w:noProof/>
            <w:webHidden/>
          </w:rPr>
        </w:r>
        <w:r>
          <w:rPr>
            <w:noProof/>
            <w:webHidden/>
          </w:rPr>
          <w:fldChar w:fldCharType="separate"/>
        </w:r>
        <w:r>
          <w:rPr>
            <w:noProof/>
            <w:webHidden/>
          </w:rPr>
          <w:t>8</w:t>
        </w:r>
        <w:r>
          <w:rPr>
            <w:noProof/>
            <w:webHidden/>
          </w:rPr>
          <w:fldChar w:fldCharType="end"/>
        </w:r>
      </w:hyperlink>
    </w:p>
    <w:p w:rsidR="00F50BC7" w:rsidRDefault="00F50BC7">
      <w:pPr>
        <w:pStyle w:val="Obsah2"/>
        <w:tabs>
          <w:tab w:val="left" w:pos="720"/>
          <w:tab w:val="right" w:leader="dot" w:pos="9060"/>
        </w:tabs>
        <w:rPr>
          <w:rFonts w:asciiTheme="minorHAnsi" w:eastAsiaTheme="minorEastAsia" w:hAnsiTheme="minorHAnsi" w:cstheme="minorBidi"/>
          <w:noProof/>
          <w:szCs w:val="22"/>
        </w:rPr>
      </w:pPr>
      <w:hyperlink w:anchor="_Toc416447541" w:history="1">
        <w:r w:rsidRPr="00C95951">
          <w:rPr>
            <w:rStyle w:val="Hypertextovodkaz"/>
            <w:noProof/>
          </w:rPr>
          <w:t>3.2</w:t>
        </w:r>
        <w:r>
          <w:rPr>
            <w:rFonts w:asciiTheme="minorHAnsi" w:eastAsiaTheme="minorEastAsia" w:hAnsiTheme="minorHAnsi" w:cstheme="minorBidi"/>
            <w:noProof/>
            <w:szCs w:val="22"/>
          </w:rPr>
          <w:tab/>
        </w:r>
        <w:r w:rsidRPr="00C95951">
          <w:rPr>
            <w:rStyle w:val="Hypertextovodkaz"/>
            <w:noProof/>
          </w:rPr>
          <w:t>Screening specifických cílů OP PIK z hlediska aplikovatelnosti finančních nástrojů</w:t>
        </w:r>
        <w:r>
          <w:rPr>
            <w:noProof/>
            <w:webHidden/>
          </w:rPr>
          <w:tab/>
        </w:r>
        <w:r>
          <w:rPr>
            <w:noProof/>
            <w:webHidden/>
          </w:rPr>
          <w:fldChar w:fldCharType="begin"/>
        </w:r>
        <w:r>
          <w:rPr>
            <w:noProof/>
            <w:webHidden/>
          </w:rPr>
          <w:instrText xml:space="preserve"> PAGEREF _Toc416447541 \h </w:instrText>
        </w:r>
        <w:r>
          <w:rPr>
            <w:noProof/>
            <w:webHidden/>
          </w:rPr>
        </w:r>
        <w:r>
          <w:rPr>
            <w:noProof/>
            <w:webHidden/>
          </w:rPr>
          <w:fldChar w:fldCharType="separate"/>
        </w:r>
        <w:r>
          <w:rPr>
            <w:noProof/>
            <w:webHidden/>
          </w:rPr>
          <w:t>9</w:t>
        </w:r>
        <w:r>
          <w:rPr>
            <w:noProof/>
            <w:webHidden/>
          </w:rPr>
          <w:fldChar w:fldCharType="end"/>
        </w:r>
      </w:hyperlink>
    </w:p>
    <w:p w:rsidR="00F50BC7" w:rsidRDefault="00F50BC7">
      <w:pPr>
        <w:pStyle w:val="Obsah2"/>
        <w:tabs>
          <w:tab w:val="left" w:pos="720"/>
          <w:tab w:val="right" w:leader="dot" w:pos="9060"/>
        </w:tabs>
        <w:rPr>
          <w:rFonts w:asciiTheme="minorHAnsi" w:eastAsiaTheme="minorEastAsia" w:hAnsiTheme="minorHAnsi" w:cstheme="minorBidi"/>
          <w:noProof/>
          <w:szCs w:val="22"/>
        </w:rPr>
      </w:pPr>
      <w:hyperlink w:anchor="_Toc416447610" w:history="1">
        <w:r w:rsidRPr="00C95951">
          <w:rPr>
            <w:rStyle w:val="Hypertextovodkaz"/>
            <w:noProof/>
          </w:rPr>
          <w:t>3.3</w:t>
        </w:r>
        <w:r>
          <w:rPr>
            <w:rFonts w:asciiTheme="minorHAnsi" w:eastAsiaTheme="minorEastAsia" w:hAnsiTheme="minorHAnsi" w:cstheme="minorBidi"/>
            <w:noProof/>
            <w:szCs w:val="22"/>
          </w:rPr>
          <w:tab/>
        </w:r>
        <w:r w:rsidRPr="00C95951">
          <w:rPr>
            <w:rStyle w:val="Hypertextovodkaz"/>
            <w:noProof/>
          </w:rPr>
          <w:t>Metodický přístup ke zpracování předběžného posouzení finančních nástrojů</w:t>
        </w:r>
        <w:r>
          <w:rPr>
            <w:noProof/>
            <w:webHidden/>
          </w:rPr>
          <w:tab/>
        </w:r>
        <w:r>
          <w:rPr>
            <w:noProof/>
            <w:webHidden/>
          </w:rPr>
          <w:fldChar w:fldCharType="begin"/>
        </w:r>
        <w:r>
          <w:rPr>
            <w:noProof/>
            <w:webHidden/>
          </w:rPr>
          <w:instrText xml:space="preserve"> PAGEREF _Toc416447610 \h </w:instrText>
        </w:r>
        <w:r>
          <w:rPr>
            <w:noProof/>
            <w:webHidden/>
          </w:rPr>
        </w:r>
        <w:r>
          <w:rPr>
            <w:noProof/>
            <w:webHidden/>
          </w:rPr>
          <w:fldChar w:fldCharType="separate"/>
        </w:r>
        <w:r>
          <w:rPr>
            <w:noProof/>
            <w:webHidden/>
          </w:rPr>
          <w:t>15</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611" w:history="1">
        <w:r w:rsidRPr="00C95951">
          <w:rPr>
            <w:rStyle w:val="Hypertextovodkaz"/>
            <w:noProof/>
          </w:rPr>
          <w:t>3.3.1</w:t>
        </w:r>
        <w:r>
          <w:rPr>
            <w:rFonts w:asciiTheme="minorHAnsi" w:eastAsiaTheme="minorEastAsia" w:hAnsiTheme="minorHAnsi" w:cstheme="minorBidi"/>
            <w:noProof/>
            <w:szCs w:val="22"/>
          </w:rPr>
          <w:tab/>
        </w:r>
        <w:r w:rsidRPr="00C95951">
          <w:rPr>
            <w:rStyle w:val="Hypertextovodkaz"/>
            <w:noProof/>
          </w:rPr>
          <w:t>Analýza tržní situace</w:t>
        </w:r>
        <w:r>
          <w:rPr>
            <w:noProof/>
            <w:webHidden/>
          </w:rPr>
          <w:tab/>
        </w:r>
        <w:r>
          <w:rPr>
            <w:noProof/>
            <w:webHidden/>
          </w:rPr>
          <w:fldChar w:fldCharType="begin"/>
        </w:r>
        <w:r>
          <w:rPr>
            <w:noProof/>
            <w:webHidden/>
          </w:rPr>
          <w:instrText xml:space="preserve"> PAGEREF _Toc416447611 \h </w:instrText>
        </w:r>
        <w:r>
          <w:rPr>
            <w:noProof/>
            <w:webHidden/>
          </w:rPr>
        </w:r>
        <w:r>
          <w:rPr>
            <w:noProof/>
            <w:webHidden/>
          </w:rPr>
          <w:fldChar w:fldCharType="separate"/>
        </w:r>
        <w:r>
          <w:rPr>
            <w:noProof/>
            <w:webHidden/>
          </w:rPr>
          <w:t>17</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612" w:history="1">
        <w:r w:rsidRPr="00C95951">
          <w:rPr>
            <w:rStyle w:val="Hypertextovodkaz"/>
            <w:noProof/>
          </w:rPr>
          <w:t>3.3.2</w:t>
        </w:r>
        <w:r>
          <w:rPr>
            <w:rFonts w:asciiTheme="minorHAnsi" w:eastAsiaTheme="minorEastAsia" w:hAnsiTheme="minorHAnsi" w:cstheme="minorBidi"/>
            <w:noProof/>
            <w:szCs w:val="22"/>
          </w:rPr>
          <w:tab/>
        </w:r>
        <w:r w:rsidRPr="00C95951">
          <w:rPr>
            <w:rStyle w:val="Hypertextovodkaz"/>
            <w:noProof/>
          </w:rPr>
          <w:t>Návrh vhodné strategie</w:t>
        </w:r>
        <w:r>
          <w:rPr>
            <w:noProof/>
            <w:webHidden/>
          </w:rPr>
          <w:tab/>
        </w:r>
        <w:r>
          <w:rPr>
            <w:noProof/>
            <w:webHidden/>
          </w:rPr>
          <w:fldChar w:fldCharType="begin"/>
        </w:r>
        <w:r>
          <w:rPr>
            <w:noProof/>
            <w:webHidden/>
          </w:rPr>
          <w:instrText xml:space="preserve"> PAGEREF _Toc416447612 \h </w:instrText>
        </w:r>
        <w:r>
          <w:rPr>
            <w:noProof/>
            <w:webHidden/>
          </w:rPr>
        </w:r>
        <w:r>
          <w:rPr>
            <w:noProof/>
            <w:webHidden/>
          </w:rPr>
          <w:fldChar w:fldCharType="separate"/>
        </w:r>
        <w:r>
          <w:rPr>
            <w:noProof/>
            <w:webHidden/>
          </w:rPr>
          <w:t>18</w:t>
        </w:r>
        <w:r>
          <w:rPr>
            <w:noProof/>
            <w:webHidden/>
          </w:rPr>
          <w:fldChar w:fldCharType="end"/>
        </w:r>
      </w:hyperlink>
    </w:p>
    <w:p w:rsidR="00F50BC7" w:rsidRDefault="00F50BC7">
      <w:pPr>
        <w:pStyle w:val="Obsah1"/>
        <w:rPr>
          <w:rFonts w:asciiTheme="minorHAnsi" w:eastAsiaTheme="minorEastAsia" w:hAnsiTheme="minorHAnsi" w:cstheme="minorBidi"/>
          <w:noProof/>
          <w:szCs w:val="22"/>
        </w:rPr>
      </w:pPr>
      <w:hyperlink w:anchor="_Toc416447630" w:history="1">
        <w:r w:rsidRPr="00C95951">
          <w:rPr>
            <w:rStyle w:val="Hypertextovodkaz"/>
            <w:noProof/>
          </w:rPr>
          <w:t>4</w:t>
        </w:r>
        <w:r>
          <w:rPr>
            <w:rFonts w:asciiTheme="minorHAnsi" w:eastAsiaTheme="minorEastAsia" w:hAnsiTheme="minorHAnsi" w:cstheme="minorBidi"/>
            <w:noProof/>
            <w:szCs w:val="22"/>
          </w:rPr>
          <w:tab/>
        </w:r>
        <w:r w:rsidRPr="00C95951">
          <w:rPr>
            <w:rStyle w:val="Hypertextovodkaz"/>
            <w:noProof/>
          </w:rPr>
          <w:t>Blok I.: Analýza tržní situace</w:t>
        </w:r>
        <w:r>
          <w:rPr>
            <w:noProof/>
            <w:webHidden/>
          </w:rPr>
          <w:tab/>
        </w:r>
        <w:r>
          <w:rPr>
            <w:noProof/>
            <w:webHidden/>
          </w:rPr>
          <w:fldChar w:fldCharType="begin"/>
        </w:r>
        <w:r>
          <w:rPr>
            <w:noProof/>
            <w:webHidden/>
          </w:rPr>
          <w:instrText xml:space="preserve"> PAGEREF _Toc416447630 \h </w:instrText>
        </w:r>
        <w:r>
          <w:rPr>
            <w:noProof/>
            <w:webHidden/>
          </w:rPr>
        </w:r>
        <w:r>
          <w:rPr>
            <w:noProof/>
            <w:webHidden/>
          </w:rPr>
          <w:fldChar w:fldCharType="separate"/>
        </w:r>
        <w:r>
          <w:rPr>
            <w:noProof/>
            <w:webHidden/>
          </w:rPr>
          <w:t>19</w:t>
        </w:r>
        <w:r>
          <w:rPr>
            <w:noProof/>
            <w:webHidden/>
          </w:rPr>
          <w:fldChar w:fldCharType="end"/>
        </w:r>
      </w:hyperlink>
    </w:p>
    <w:p w:rsidR="00F50BC7" w:rsidRDefault="00F50BC7">
      <w:pPr>
        <w:pStyle w:val="Obsah2"/>
        <w:tabs>
          <w:tab w:val="left" w:pos="720"/>
          <w:tab w:val="right" w:leader="dot" w:pos="9060"/>
        </w:tabs>
        <w:rPr>
          <w:rFonts w:asciiTheme="minorHAnsi" w:eastAsiaTheme="minorEastAsia" w:hAnsiTheme="minorHAnsi" w:cstheme="minorBidi"/>
          <w:noProof/>
          <w:szCs w:val="22"/>
        </w:rPr>
      </w:pPr>
      <w:hyperlink w:anchor="_Toc416447664" w:history="1">
        <w:r w:rsidRPr="00C95951">
          <w:rPr>
            <w:rStyle w:val="Hypertextovodkaz"/>
            <w:noProof/>
          </w:rPr>
          <w:t>4.1</w:t>
        </w:r>
        <w:r>
          <w:rPr>
            <w:rFonts w:asciiTheme="minorHAnsi" w:eastAsiaTheme="minorEastAsia" w:hAnsiTheme="minorHAnsi" w:cstheme="minorBidi"/>
            <w:noProof/>
            <w:szCs w:val="22"/>
          </w:rPr>
          <w:tab/>
        </w:r>
        <w:r w:rsidRPr="00C95951">
          <w:rPr>
            <w:rStyle w:val="Hypertextovodkaz"/>
            <w:noProof/>
          </w:rPr>
          <w:t>Specifický cíl 1.1 – Zvýšení inovační výkonnosti podniků</w:t>
        </w:r>
        <w:r>
          <w:rPr>
            <w:noProof/>
            <w:webHidden/>
          </w:rPr>
          <w:tab/>
        </w:r>
        <w:r>
          <w:rPr>
            <w:noProof/>
            <w:webHidden/>
          </w:rPr>
          <w:fldChar w:fldCharType="begin"/>
        </w:r>
        <w:r>
          <w:rPr>
            <w:noProof/>
            <w:webHidden/>
          </w:rPr>
          <w:instrText xml:space="preserve"> PAGEREF _Toc416447664 \h </w:instrText>
        </w:r>
        <w:r>
          <w:rPr>
            <w:noProof/>
            <w:webHidden/>
          </w:rPr>
        </w:r>
        <w:r>
          <w:rPr>
            <w:noProof/>
            <w:webHidden/>
          </w:rPr>
          <w:fldChar w:fldCharType="separate"/>
        </w:r>
        <w:r>
          <w:rPr>
            <w:noProof/>
            <w:webHidden/>
          </w:rPr>
          <w:t>19</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665" w:history="1">
        <w:r w:rsidRPr="00C95951">
          <w:rPr>
            <w:rStyle w:val="Hypertextovodkaz"/>
            <w:noProof/>
          </w:rPr>
          <w:t>4.1.1</w:t>
        </w:r>
        <w:r>
          <w:rPr>
            <w:rFonts w:asciiTheme="minorHAnsi" w:eastAsiaTheme="minorEastAsia" w:hAnsiTheme="minorHAnsi" w:cstheme="minorBidi"/>
            <w:noProof/>
            <w:szCs w:val="22"/>
          </w:rPr>
          <w:tab/>
        </w:r>
        <w:r w:rsidRPr="00C95951">
          <w:rPr>
            <w:rStyle w:val="Hypertextovodkaz"/>
            <w:noProof/>
          </w:rPr>
          <w:t>Zaměření specifického cíle</w:t>
        </w:r>
        <w:r>
          <w:rPr>
            <w:noProof/>
            <w:webHidden/>
          </w:rPr>
          <w:tab/>
        </w:r>
        <w:r>
          <w:rPr>
            <w:noProof/>
            <w:webHidden/>
          </w:rPr>
          <w:fldChar w:fldCharType="begin"/>
        </w:r>
        <w:r>
          <w:rPr>
            <w:noProof/>
            <w:webHidden/>
          </w:rPr>
          <w:instrText xml:space="preserve"> PAGEREF _Toc416447665 \h </w:instrText>
        </w:r>
        <w:r>
          <w:rPr>
            <w:noProof/>
            <w:webHidden/>
          </w:rPr>
        </w:r>
        <w:r>
          <w:rPr>
            <w:noProof/>
            <w:webHidden/>
          </w:rPr>
          <w:fldChar w:fldCharType="separate"/>
        </w:r>
        <w:r>
          <w:rPr>
            <w:noProof/>
            <w:webHidden/>
          </w:rPr>
          <w:t>19</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666" w:history="1">
        <w:r w:rsidRPr="00C95951">
          <w:rPr>
            <w:rStyle w:val="Hypertextovodkaz"/>
            <w:noProof/>
          </w:rPr>
          <w:t>4.1.2</w:t>
        </w:r>
        <w:r>
          <w:rPr>
            <w:rFonts w:asciiTheme="minorHAnsi" w:eastAsiaTheme="minorEastAsia" w:hAnsiTheme="minorHAnsi" w:cstheme="minorBidi"/>
            <w:noProof/>
            <w:szCs w:val="22"/>
          </w:rPr>
          <w:tab/>
        </w:r>
        <w:r w:rsidRPr="00C95951">
          <w:rPr>
            <w:rStyle w:val="Hypertextovodkaz"/>
            <w:noProof/>
          </w:rPr>
          <w:t>Tržní analýza</w:t>
        </w:r>
        <w:r>
          <w:rPr>
            <w:noProof/>
            <w:webHidden/>
          </w:rPr>
          <w:tab/>
        </w:r>
        <w:r>
          <w:rPr>
            <w:noProof/>
            <w:webHidden/>
          </w:rPr>
          <w:fldChar w:fldCharType="begin"/>
        </w:r>
        <w:r>
          <w:rPr>
            <w:noProof/>
            <w:webHidden/>
          </w:rPr>
          <w:instrText xml:space="preserve"> PAGEREF _Toc416447666 \h </w:instrText>
        </w:r>
        <w:r>
          <w:rPr>
            <w:noProof/>
            <w:webHidden/>
          </w:rPr>
        </w:r>
        <w:r>
          <w:rPr>
            <w:noProof/>
            <w:webHidden/>
          </w:rPr>
          <w:fldChar w:fldCharType="separate"/>
        </w:r>
        <w:r>
          <w:rPr>
            <w:noProof/>
            <w:webHidden/>
          </w:rPr>
          <w:t>20</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667" w:history="1">
        <w:r w:rsidRPr="00C95951">
          <w:rPr>
            <w:rStyle w:val="Hypertextovodkaz"/>
            <w:noProof/>
          </w:rPr>
          <w:t>4.1.3</w:t>
        </w:r>
        <w:r>
          <w:rPr>
            <w:rFonts w:asciiTheme="minorHAnsi" w:eastAsiaTheme="minorEastAsia" w:hAnsiTheme="minorHAnsi" w:cstheme="minorBidi"/>
            <w:noProof/>
            <w:szCs w:val="22"/>
          </w:rPr>
          <w:tab/>
        </w:r>
        <w:r w:rsidRPr="00C95951">
          <w:rPr>
            <w:rStyle w:val="Hypertextovodkaz"/>
            <w:noProof/>
          </w:rPr>
          <w:t>Vyčíslení potenciální absorpční kapacity</w:t>
        </w:r>
        <w:r>
          <w:rPr>
            <w:noProof/>
            <w:webHidden/>
          </w:rPr>
          <w:tab/>
        </w:r>
        <w:r>
          <w:rPr>
            <w:noProof/>
            <w:webHidden/>
          </w:rPr>
          <w:fldChar w:fldCharType="begin"/>
        </w:r>
        <w:r>
          <w:rPr>
            <w:noProof/>
            <w:webHidden/>
          </w:rPr>
          <w:instrText xml:space="preserve"> PAGEREF _Toc416447667 \h </w:instrText>
        </w:r>
        <w:r>
          <w:rPr>
            <w:noProof/>
            <w:webHidden/>
          </w:rPr>
        </w:r>
        <w:r>
          <w:rPr>
            <w:noProof/>
            <w:webHidden/>
          </w:rPr>
          <w:fldChar w:fldCharType="separate"/>
        </w:r>
        <w:r>
          <w:rPr>
            <w:noProof/>
            <w:webHidden/>
          </w:rPr>
          <w:t>24</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668" w:history="1">
        <w:r w:rsidRPr="00C95951">
          <w:rPr>
            <w:rStyle w:val="Hypertextovodkaz"/>
            <w:noProof/>
          </w:rPr>
          <w:t>4.1.4</w:t>
        </w:r>
        <w:r>
          <w:rPr>
            <w:rFonts w:asciiTheme="minorHAnsi" w:eastAsiaTheme="minorEastAsia" w:hAnsiTheme="minorHAnsi" w:cstheme="minorBidi"/>
            <w:noProof/>
            <w:szCs w:val="22"/>
          </w:rPr>
          <w:tab/>
        </w:r>
        <w:r w:rsidRPr="00C95951">
          <w:rPr>
            <w:rStyle w:val="Hypertextovodkaz"/>
            <w:noProof/>
          </w:rPr>
          <w:t>Analýza tržních selhání a suboptimální investiční situace</w:t>
        </w:r>
        <w:r>
          <w:rPr>
            <w:noProof/>
            <w:webHidden/>
          </w:rPr>
          <w:tab/>
        </w:r>
        <w:r>
          <w:rPr>
            <w:noProof/>
            <w:webHidden/>
          </w:rPr>
          <w:fldChar w:fldCharType="begin"/>
        </w:r>
        <w:r>
          <w:rPr>
            <w:noProof/>
            <w:webHidden/>
          </w:rPr>
          <w:instrText xml:space="preserve"> PAGEREF _Toc416447668 \h </w:instrText>
        </w:r>
        <w:r>
          <w:rPr>
            <w:noProof/>
            <w:webHidden/>
          </w:rPr>
        </w:r>
        <w:r>
          <w:rPr>
            <w:noProof/>
            <w:webHidden/>
          </w:rPr>
          <w:fldChar w:fldCharType="separate"/>
        </w:r>
        <w:r>
          <w:rPr>
            <w:noProof/>
            <w:webHidden/>
          </w:rPr>
          <w:t>25</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675" w:history="1">
        <w:r w:rsidRPr="00C95951">
          <w:rPr>
            <w:rStyle w:val="Hypertextovodkaz"/>
            <w:noProof/>
          </w:rPr>
          <w:t>4.1.5</w:t>
        </w:r>
        <w:r>
          <w:rPr>
            <w:rFonts w:asciiTheme="minorHAnsi" w:eastAsiaTheme="minorEastAsia" w:hAnsiTheme="minorHAnsi" w:cstheme="minorBidi"/>
            <w:noProof/>
            <w:szCs w:val="22"/>
          </w:rPr>
          <w:tab/>
        </w:r>
        <w:r w:rsidRPr="00C95951">
          <w:rPr>
            <w:rStyle w:val="Hypertextovodkaz"/>
            <w:noProof/>
          </w:rPr>
          <w:t>Návrh opatření</w:t>
        </w:r>
        <w:r>
          <w:rPr>
            <w:noProof/>
            <w:webHidden/>
          </w:rPr>
          <w:tab/>
        </w:r>
        <w:r>
          <w:rPr>
            <w:noProof/>
            <w:webHidden/>
          </w:rPr>
          <w:fldChar w:fldCharType="begin"/>
        </w:r>
        <w:r>
          <w:rPr>
            <w:noProof/>
            <w:webHidden/>
          </w:rPr>
          <w:instrText xml:space="preserve"> PAGEREF _Toc416447675 \h </w:instrText>
        </w:r>
        <w:r>
          <w:rPr>
            <w:noProof/>
            <w:webHidden/>
          </w:rPr>
        </w:r>
        <w:r>
          <w:rPr>
            <w:noProof/>
            <w:webHidden/>
          </w:rPr>
          <w:fldChar w:fldCharType="separate"/>
        </w:r>
        <w:r>
          <w:rPr>
            <w:noProof/>
            <w:webHidden/>
          </w:rPr>
          <w:t>26</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676" w:history="1">
        <w:r w:rsidRPr="00C95951">
          <w:rPr>
            <w:rStyle w:val="Hypertextovodkaz"/>
            <w:noProof/>
          </w:rPr>
          <w:t>4.1.6</w:t>
        </w:r>
        <w:r>
          <w:rPr>
            <w:rFonts w:asciiTheme="minorHAnsi" w:eastAsiaTheme="minorEastAsia" w:hAnsiTheme="minorHAnsi" w:cstheme="minorBidi"/>
            <w:noProof/>
            <w:szCs w:val="22"/>
          </w:rPr>
          <w:tab/>
        </w:r>
        <w:r w:rsidRPr="00C95951">
          <w:rPr>
            <w:rStyle w:val="Hypertextovodkaz"/>
            <w:noProof/>
          </w:rPr>
          <w:t>Posouzení přidané hodnoty finančních nástrojů</w:t>
        </w:r>
        <w:r>
          <w:rPr>
            <w:noProof/>
            <w:webHidden/>
          </w:rPr>
          <w:tab/>
        </w:r>
        <w:r>
          <w:rPr>
            <w:noProof/>
            <w:webHidden/>
          </w:rPr>
          <w:fldChar w:fldCharType="begin"/>
        </w:r>
        <w:r>
          <w:rPr>
            <w:noProof/>
            <w:webHidden/>
          </w:rPr>
          <w:instrText xml:space="preserve"> PAGEREF _Toc416447676 \h </w:instrText>
        </w:r>
        <w:r>
          <w:rPr>
            <w:noProof/>
            <w:webHidden/>
          </w:rPr>
        </w:r>
        <w:r>
          <w:rPr>
            <w:noProof/>
            <w:webHidden/>
          </w:rPr>
          <w:fldChar w:fldCharType="separate"/>
        </w:r>
        <w:r>
          <w:rPr>
            <w:noProof/>
            <w:webHidden/>
          </w:rPr>
          <w:t>27</w:t>
        </w:r>
        <w:r>
          <w:rPr>
            <w:noProof/>
            <w:webHidden/>
          </w:rPr>
          <w:fldChar w:fldCharType="end"/>
        </w:r>
      </w:hyperlink>
    </w:p>
    <w:p w:rsidR="00F50BC7" w:rsidRDefault="00F50BC7">
      <w:pPr>
        <w:pStyle w:val="Obsah2"/>
        <w:tabs>
          <w:tab w:val="left" w:pos="720"/>
          <w:tab w:val="right" w:leader="dot" w:pos="9060"/>
        </w:tabs>
        <w:rPr>
          <w:rFonts w:asciiTheme="minorHAnsi" w:eastAsiaTheme="minorEastAsia" w:hAnsiTheme="minorHAnsi" w:cstheme="minorBidi"/>
          <w:noProof/>
          <w:szCs w:val="22"/>
        </w:rPr>
      </w:pPr>
      <w:hyperlink w:anchor="_Toc416447677" w:history="1">
        <w:r w:rsidRPr="00C95951">
          <w:rPr>
            <w:rStyle w:val="Hypertextovodkaz"/>
            <w:noProof/>
          </w:rPr>
          <w:t>4.2</w:t>
        </w:r>
        <w:r>
          <w:rPr>
            <w:rFonts w:asciiTheme="minorHAnsi" w:eastAsiaTheme="minorEastAsia" w:hAnsiTheme="minorHAnsi" w:cstheme="minorBidi"/>
            <w:noProof/>
            <w:szCs w:val="22"/>
          </w:rPr>
          <w:tab/>
        </w:r>
        <w:r w:rsidRPr="00C95951">
          <w:rPr>
            <w:rStyle w:val="Hypertextovodkaz"/>
            <w:noProof/>
          </w:rPr>
          <w:t>Specifický cíl 1.2 – Zvýšit intenzitu a účinnost spolupráce ve výzkumu, vývoji a inovacích</w:t>
        </w:r>
        <w:r>
          <w:rPr>
            <w:noProof/>
            <w:webHidden/>
          </w:rPr>
          <w:tab/>
        </w:r>
        <w:r>
          <w:rPr>
            <w:noProof/>
            <w:webHidden/>
          </w:rPr>
          <w:fldChar w:fldCharType="begin"/>
        </w:r>
        <w:r>
          <w:rPr>
            <w:noProof/>
            <w:webHidden/>
          </w:rPr>
          <w:instrText xml:space="preserve"> PAGEREF _Toc416447677 \h </w:instrText>
        </w:r>
        <w:r>
          <w:rPr>
            <w:noProof/>
            <w:webHidden/>
          </w:rPr>
        </w:r>
        <w:r>
          <w:rPr>
            <w:noProof/>
            <w:webHidden/>
          </w:rPr>
          <w:fldChar w:fldCharType="separate"/>
        </w:r>
        <w:r>
          <w:rPr>
            <w:noProof/>
            <w:webHidden/>
          </w:rPr>
          <w:t>32</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678" w:history="1">
        <w:r w:rsidRPr="00C95951">
          <w:rPr>
            <w:rStyle w:val="Hypertextovodkaz"/>
            <w:noProof/>
          </w:rPr>
          <w:t>4.2.1</w:t>
        </w:r>
        <w:r>
          <w:rPr>
            <w:rFonts w:asciiTheme="minorHAnsi" w:eastAsiaTheme="minorEastAsia" w:hAnsiTheme="minorHAnsi" w:cstheme="minorBidi"/>
            <w:noProof/>
            <w:szCs w:val="22"/>
          </w:rPr>
          <w:tab/>
        </w:r>
        <w:r w:rsidRPr="00C95951">
          <w:rPr>
            <w:rStyle w:val="Hypertextovodkaz"/>
            <w:noProof/>
          </w:rPr>
          <w:t>Zaměření specifického cíle</w:t>
        </w:r>
        <w:r>
          <w:rPr>
            <w:noProof/>
            <w:webHidden/>
          </w:rPr>
          <w:tab/>
        </w:r>
        <w:r>
          <w:rPr>
            <w:noProof/>
            <w:webHidden/>
          </w:rPr>
          <w:fldChar w:fldCharType="begin"/>
        </w:r>
        <w:r>
          <w:rPr>
            <w:noProof/>
            <w:webHidden/>
          </w:rPr>
          <w:instrText xml:space="preserve"> PAGEREF _Toc416447678 \h </w:instrText>
        </w:r>
        <w:r>
          <w:rPr>
            <w:noProof/>
            <w:webHidden/>
          </w:rPr>
        </w:r>
        <w:r>
          <w:rPr>
            <w:noProof/>
            <w:webHidden/>
          </w:rPr>
          <w:fldChar w:fldCharType="separate"/>
        </w:r>
        <w:r>
          <w:rPr>
            <w:noProof/>
            <w:webHidden/>
          </w:rPr>
          <w:t>32</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680" w:history="1">
        <w:r w:rsidRPr="00C95951">
          <w:rPr>
            <w:rStyle w:val="Hypertextovodkaz"/>
            <w:noProof/>
          </w:rPr>
          <w:t>4.2.2</w:t>
        </w:r>
        <w:r>
          <w:rPr>
            <w:rFonts w:asciiTheme="minorHAnsi" w:eastAsiaTheme="minorEastAsia" w:hAnsiTheme="minorHAnsi" w:cstheme="minorBidi"/>
            <w:noProof/>
            <w:szCs w:val="22"/>
          </w:rPr>
          <w:tab/>
        </w:r>
        <w:r w:rsidRPr="00C95951">
          <w:rPr>
            <w:rStyle w:val="Hypertextovodkaz"/>
            <w:noProof/>
          </w:rPr>
          <w:t>Tržní analýza</w:t>
        </w:r>
        <w:r>
          <w:rPr>
            <w:noProof/>
            <w:webHidden/>
          </w:rPr>
          <w:tab/>
        </w:r>
        <w:r>
          <w:rPr>
            <w:noProof/>
            <w:webHidden/>
          </w:rPr>
          <w:fldChar w:fldCharType="begin"/>
        </w:r>
        <w:r>
          <w:rPr>
            <w:noProof/>
            <w:webHidden/>
          </w:rPr>
          <w:instrText xml:space="preserve"> PAGEREF _Toc416447680 \h </w:instrText>
        </w:r>
        <w:r>
          <w:rPr>
            <w:noProof/>
            <w:webHidden/>
          </w:rPr>
        </w:r>
        <w:r>
          <w:rPr>
            <w:noProof/>
            <w:webHidden/>
          </w:rPr>
          <w:fldChar w:fldCharType="separate"/>
        </w:r>
        <w:r>
          <w:rPr>
            <w:noProof/>
            <w:webHidden/>
          </w:rPr>
          <w:t>32</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690" w:history="1">
        <w:r w:rsidRPr="00C95951">
          <w:rPr>
            <w:rStyle w:val="Hypertextovodkaz"/>
            <w:noProof/>
          </w:rPr>
          <w:t>4.2.3</w:t>
        </w:r>
        <w:r>
          <w:rPr>
            <w:rFonts w:asciiTheme="minorHAnsi" w:eastAsiaTheme="minorEastAsia" w:hAnsiTheme="minorHAnsi" w:cstheme="minorBidi"/>
            <w:noProof/>
            <w:szCs w:val="22"/>
          </w:rPr>
          <w:tab/>
        </w:r>
        <w:r w:rsidRPr="00C95951">
          <w:rPr>
            <w:rStyle w:val="Hypertextovodkaz"/>
            <w:noProof/>
          </w:rPr>
          <w:t>Analýza tržních selhání a suboptimální investiční situace</w:t>
        </w:r>
        <w:r>
          <w:rPr>
            <w:noProof/>
            <w:webHidden/>
          </w:rPr>
          <w:tab/>
        </w:r>
        <w:r>
          <w:rPr>
            <w:noProof/>
            <w:webHidden/>
          </w:rPr>
          <w:fldChar w:fldCharType="begin"/>
        </w:r>
        <w:r>
          <w:rPr>
            <w:noProof/>
            <w:webHidden/>
          </w:rPr>
          <w:instrText xml:space="preserve"> PAGEREF _Toc416447690 \h </w:instrText>
        </w:r>
        <w:r>
          <w:rPr>
            <w:noProof/>
            <w:webHidden/>
          </w:rPr>
        </w:r>
        <w:r>
          <w:rPr>
            <w:noProof/>
            <w:webHidden/>
          </w:rPr>
          <w:fldChar w:fldCharType="separate"/>
        </w:r>
        <w:r>
          <w:rPr>
            <w:noProof/>
            <w:webHidden/>
          </w:rPr>
          <w:t>35</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708" w:history="1">
        <w:r w:rsidRPr="00C95951">
          <w:rPr>
            <w:rStyle w:val="Hypertextovodkaz"/>
            <w:noProof/>
          </w:rPr>
          <w:t>4.2.4</w:t>
        </w:r>
        <w:r>
          <w:rPr>
            <w:rFonts w:asciiTheme="minorHAnsi" w:eastAsiaTheme="minorEastAsia" w:hAnsiTheme="minorHAnsi" w:cstheme="minorBidi"/>
            <w:noProof/>
            <w:szCs w:val="22"/>
          </w:rPr>
          <w:tab/>
        </w:r>
        <w:r w:rsidRPr="00C95951">
          <w:rPr>
            <w:rStyle w:val="Hypertextovodkaz"/>
            <w:noProof/>
          </w:rPr>
          <w:t>Návrh opatření</w:t>
        </w:r>
        <w:r>
          <w:rPr>
            <w:noProof/>
            <w:webHidden/>
          </w:rPr>
          <w:tab/>
        </w:r>
        <w:r>
          <w:rPr>
            <w:noProof/>
            <w:webHidden/>
          </w:rPr>
          <w:fldChar w:fldCharType="begin"/>
        </w:r>
        <w:r>
          <w:rPr>
            <w:noProof/>
            <w:webHidden/>
          </w:rPr>
          <w:instrText xml:space="preserve"> PAGEREF _Toc416447708 \h </w:instrText>
        </w:r>
        <w:r>
          <w:rPr>
            <w:noProof/>
            <w:webHidden/>
          </w:rPr>
        </w:r>
        <w:r>
          <w:rPr>
            <w:noProof/>
            <w:webHidden/>
          </w:rPr>
          <w:fldChar w:fldCharType="separate"/>
        </w:r>
        <w:r>
          <w:rPr>
            <w:noProof/>
            <w:webHidden/>
          </w:rPr>
          <w:t>36</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709" w:history="1">
        <w:r w:rsidRPr="00C95951">
          <w:rPr>
            <w:rStyle w:val="Hypertextovodkaz"/>
            <w:noProof/>
          </w:rPr>
          <w:t>4.2.5</w:t>
        </w:r>
        <w:r>
          <w:rPr>
            <w:rFonts w:asciiTheme="minorHAnsi" w:eastAsiaTheme="minorEastAsia" w:hAnsiTheme="minorHAnsi" w:cstheme="minorBidi"/>
            <w:noProof/>
            <w:szCs w:val="22"/>
          </w:rPr>
          <w:tab/>
        </w:r>
        <w:r w:rsidRPr="00C95951">
          <w:rPr>
            <w:rStyle w:val="Hypertextovodkaz"/>
            <w:noProof/>
          </w:rPr>
          <w:t>Posouzení přidané hodnoty finančních nástrojů</w:t>
        </w:r>
        <w:r>
          <w:rPr>
            <w:noProof/>
            <w:webHidden/>
          </w:rPr>
          <w:tab/>
        </w:r>
        <w:r>
          <w:rPr>
            <w:noProof/>
            <w:webHidden/>
          </w:rPr>
          <w:fldChar w:fldCharType="begin"/>
        </w:r>
        <w:r>
          <w:rPr>
            <w:noProof/>
            <w:webHidden/>
          </w:rPr>
          <w:instrText xml:space="preserve"> PAGEREF _Toc416447709 \h </w:instrText>
        </w:r>
        <w:r>
          <w:rPr>
            <w:noProof/>
            <w:webHidden/>
          </w:rPr>
        </w:r>
        <w:r>
          <w:rPr>
            <w:noProof/>
            <w:webHidden/>
          </w:rPr>
          <w:fldChar w:fldCharType="separate"/>
        </w:r>
        <w:r>
          <w:rPr>
            <w:noProof/>
            <w:webHidden/>
          </w:rPr>
          <w:t>37</w:t>
        </w:r>
        <w:r>
          <w:rPr>
            <w:noProof/>
            <w:webHidden/>
          </w:rPr>
          <w:fldChar w:fldCharType="end"/>
        </w:r>
      </w:hyperlink>
    </w:p>
    <w:p w:rsidR="00F50BC7" w:rsidRDefault="00F50BC7">
      <w:pPr>
        <w:pStyle w:val="Obsah2"/>
        <w:tabs>
          <w:tab w:val="left" w:pos="720"/>
          <w:tab w:val="right" w:leader="dot" w:pos="9060"/>
        </w:tabs>
        <w:rPr>
          <w:rFonts w:asciiTheme="minorHAnsi" w:eastAsiaTheme="minorEastAsia" w:hAnsiTheme="minorHAnsi" w:cstheme="minorBidi"/>
          <w:noProof/>
          <w:szCs w:val="22"/>
        </w:rPr>
      </w:pPr>
      <w:hyperlink w:anchor="_Toc416447715" w:history="1">
        <w:r w:rsidRPr="00C95951">
          <w:rPr>
            <w:rStyle w:val="Hypertextovodkaz"/>
            <w:noProof/>
          </w:rPr>
          <w:t>4.3</w:t>
        </w:r>
        <w:r>
          <w:rPr>
            <w:rFonts w:asciiTheme="minorHAnsi" w:eastAsiaTheme="minorEastAsia" w:hAnsiTheme="minorHAnsi" w:cstheme="minorBidi"/>
            <w:noProof/>
            <w:szCs w:val="22"/>
          </w:rPr>
          <w:tab/>
        </w:r>
        <w:r w:rsidRPr="00C95951">
          <w:rPr>
            <w:rStyle w:val="Hypertextovodkaz"/>
            <w:noProof/>
          </w:rPr>
          <w:t>Specifický cíl 2.1 – Zvýšit konkurenceschopnost začínajících a rozvojových MSP</w:t>
        </w:r>
        <w:r>
          <w:rPr>
            <w:noProof/>
            <w:webHidden/>
          </w:rPr>
          <w:tab/>
        </w:r>
        <w:r>
          <w:rPr>
            <w:noProof/>
            <w:webHidden/>
          </w:rPr>
          <w:fldChar w:fldCharType="begin"/>
        </w:r>
        <w:r>
          <w:rPr>
            <w:noProof/>
            <w:webHidden/>
          </w:rPr>
          <w:instrText xml:space="preserve"> PAGEREF _Toc416447715 \h </w:instrText>
        </w:r>
        <w:r>
          <w:rPr>
            <w:noProof/>
            <w:webHidden/>
          </w:rPr>
        </w:r>
        <w:r>
          <w:rPr>
            <w:noProof/>
            <w:webHidden/>
          </w:rPr>
          <w:fldChar w:fldCharType="separate"/>
        </w:r>
        <w:r>
          <w:rPr>
            <w:noProof/>
            <w:webHidden/>
          </w:rPr>
          <w:t>39</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716" w:history="1">
        <w:r w:rsidRPr="00C95951">
          <w:rPr>
            <w:rStyle w:val="Hypertextovodkaz"/>
            <w:noProof/>
          </w:rPr>
          <w:t>4.3.1</w:t>
        </w:r>
        <w:r>
          <w:rPr>
            <w:rFonts w:asciiTheme="minorHAnsi" w:eastAsiaTheme="minorEastAsia" w:hAnsiTheme="minorHAnsi" w:cstheme="minorBidi"/>
            <w:noProof/>
            <w:szCs w:val="22"/>
          </w:rPr>
          <w:tab/>
        </w:r>
        <w:r w:rsidRPr="00C95951">
          <w:rPr>
            <w:rStyle w:val="Hypertextovodkaz"/>
            <w:noProof/>
          </w:rPr>
          <w:t>Zaměření specifického cíle</w:t>
        </w:r>
        <w:r>
          <w:rPr>
            <w:noProof/>
            <w:webHidden/>
          </w:rPr>
          <w:tab/>
        </w:r>
        <w:r>
          <w:rPr>
            <w:noProof/>
            <w:webHidden/>
          </w:rPr>
          <w:fldChar w:fldCharType="begin"/>
        </w:r>
        <w:r>
          <w:rPr>
            <w:noProof/>
            <w:webHidden/>
          </w:rPr>
          <w:instrText xml:space="preserve"> PAGEREF _Toc416447716 \h </w:instrText>
        </w:r>
        <w:r>
          <w:rPr>
            <w:noProof/>
            <w:webHidden/>
          </w:rPr>
        </w:r>
        <w:r>
          <w:rPr>
            <w:noProof/>
            <w:webHidden/>
          </w:rPr>
          <w:fldChar w:fldCharType="separate"/>
        </w:r>
        <w:r>
          <w:rPr>
            <w:noProof/>
            <w:webHidden/>
          </w:rPr>
          <w:t>39</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717" w:history="1">
        <w:r w:rsidRPr="00C95951">
          <w:rPr>
            <w:rStyle w:val="Hypertextovodkaz"/>
            <w:noProof/>
          </w:rPr>
          <w:t>4.3.2</w:t>
        </w:r>
        <w:r>
          <w:rPr>
            <w:rFonts w:asciiTheme="minorHAnsi" w:eastAsiaTheme="minorEastAsia" w:hAnsiTheme="minorHAnsi" w:cstheme="minorBidi"/>
            <w:noProof/>
            <w:szCs w:val="22"/>
          </w:rPr>
          <w:tab/>
        </w:r>
        <w:r w:rsidRPr="00C95951">
          <w:rPr>
            <w:rStyle w:val="Hypertextovodkaz"/>
            <w:noProof/>
          </w:rPr>
          <w:t>Tržní analýza –rozvojové MSP a úvěrové financování</w:t>
        </w:r>
        <w:r>
          <w:rPr>
            <w:noProof/>
            <w:webHidden/>
          </w:rPr>
          <w:tab/>
        </w:r>
        <w:r>
          <w:rPr>
            <w:noProof/>
            <w:webHidden/>
          </w:rPr>
          <w:fldChar w:fldCharType="begin"/>
        </w:r>
        <w:r>
          <w:rPr>
            <w:noProof/>
            <w:webHidden/>
          </w:rPr>
          <w:instrText xml:space="preserve"> PAGEREF _Toc416447717 \h </w:instrText>
        </w:r>
        <w:r>
          <w:rPr>
            <w:noProof/>
            <w:webHidden/>
          </w:rPr>
        </w:r>
        <w:r>
          <w:rPr>
            <w:noProof/>
            <w:webHidden/>
          </w:rPr>
          <w:fldChar w:fldCharType="separate"/>
        </w:r>
        <w:r>
          <w:rPr>
            <w:noProof/>
            <w:webHidden/>
          </w:rPr>
          <w:t>40</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719" w:history="1">
        <w:r w:rsidRPr="00C95951">
          <w:rPr>
            <w:rStyle w:val="Hypertextovodkaz"/>
            <w:noProof/>
          </w:rPr>
          <w:t>4.3.3</w:t>
        </w:r>
        <w:r>
          <w:rPr>
            <w:rFonts w:asciiTheme="minorHAnsi" w:eastAsiaTheme="minorEastAsia" w:hAnsiTheme="minorHAnsi" w:cstheme="minorBidi"/>
            <w:noProof/>
            <w:szCs w:val="22"/>
          </w:rPr>
          <w:tab/>
        </w:r>
        <w:r w:rsidRPr="00C95951">
          <w:rPr>
            <w:rStyle w:val="Hypertextovodkaz"/>
            <w:noProof/>
          </w:rPr>
          <w:t>Tržní analýza - financování začínajících podniků – rizikový kapitál</w:t>
        </w:r>
        <w:r>
          <w:rPr>
            <w:noProof/>
            <w:webHidden/>
          </w:rPr>
          <w:tab/>
        </w:r>
        <w:r>
          <w:rPr>
            <w:noProof/>
            <w:webHidden/>
          </w:rPr>
          <w:fldChar w:fldCharType="begin"/>
        </w:r>
        <w:r>
          <w:rPr>
            <w:noProof/>
            <w:webHidden/>
          </w:rPr>
          <w:instrText xml:space="preserve"> PAGEREF _Toc416447719 \h </w:instrText>
        </w:r>
        <w:r>
          <w:rPr>
            <w:noProof/>
            <w:webHidden/>
          </w:rPr>
        </w:r>
        <w:r>
          <w:rPr>
            <w:noProof/>
            <w:webHidden/>
          </w:rPr>
          <w:fldChar w:fldCharType="separate"/>
        </w:r>
        <w:r>
          <w:rPr>
            <w:noProof/>
            <w:webHidden/>
          </w:rPr>
          <w:t>41</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802" w:history="1">
        <w:r w:rsidRPr="00C95951">
          <w:rPr>
            <w:rStyle w:val="Hypertextovodkaz"/>
            <w:noProof/>
          </w:rPr>
          <w:t>4.3.4</w:t>
        </w:r>
        <w:r>
          <w:rPr>
            <w:rFonts w:asciiTheme="minorHAnsi" w:eastAsiaTheme="minorEastAsia" w:hAnsiTheme="minorHAnsi" w:cstheme="minorBidi"/>
            <w:noProof/>
            <w:szCs w:val="22"/>
          </w:rPr>
          <w:tab/>
        </w:r>
        <w:r w:rsidRPr="00C95951">
          <w:rPr>
            <w:rStyle w:val="Hypertextovodkaz"/>
            <w:noProof/>
          </w:rPr>
          <w:t>Vyčíslení potenciální absorpční kapacity</w:t>
        </w:r>
        <w:r>
          <w:rPr>
            <w:noProof/>
            <w:webHidden/>
          </w:rPr>
          <w:tab/>
        </w:r>
        <w:r>
          <w:rPr>
            <w:noProof/>
            <w:webHidden/>
          </w:rPr>
          <w:fldChar w:fldCharType="begin"/>
        </w:r>
        <w:r>
          <w:rPr>
            <w:noProof/>
            <w:webHidden/>
          </w:rPr>
          <w:instrText xml:space="preserve"> PAGEREF _Toc416447802 \h </w:instrText>
        </w:r>
        <w:r>
          <w:rPr>
            <w:noProof/>
            <w:webHidden/>
          </w:rPr>
        </w:r>
        <w:r>
          <w:rPr>
            <w:noProof/>
            <w:webHidden/>
          </w:rPr>
          <w:fldChar w:fldCharType="separate"/>
        </w:r>
        <w:r>
          <w:rPr>
            <w:noProof/>
            <w:webHidden/>
          </w:rPr>
          <w:t>44</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803" w:history="1">
        <w:r w:rsidRPr="00C95951">
          <w:rPr>
            <w:rStyle w:val="Hypertextovodkaz"/>
            <w:noProof/>
          </w:rPr>
          <w:t>4.3.5</w:t>
        </w:r>
        <w:r>
          <w:rPr>
            <w:rFonts w:asciiTheme="minorHAnsi" w:eastAsiaTheme="minorEastAsia" w:hAnsiTheme="minorHAnsi" w:cstheme="minorBidi"/>
            <w:noProof/>
            <w:szCs w:val="22"/>
          </w:rPr>
          <w:tab/>
        </w:r>
        <w:r w:rsidRPr="00C95951">
          <w:rPr>
            <w:rStyle w:val="Hypertextovodkaz"/>
            <w:noProof/>
          </w:rPr>
          <w:t>Analýza tržních selhání a suboptimální investiční situace</w:t>
        </w:r>
        <w:r>
          <w:rPr>
            <w:noProof/>
            <w:webHidden/>
          </w:rPr>
          <w:tab/>
        </w:r>
        <w:r>
          <w:rPr>
            <w:noProof/>
            <w:webHidden/>
          </w:rPr>
          <w:fldChar w:fldCharType="begin"/>
        </w:r>
        <w:r>
          <w:rPr>
            <w:noProof/>
            <w:webHidden/>
          </w:rPr>
          <w:instrText xml:space="preserve"> PAGEREF _Toc416447803 \h </w:instrText>
        </w:r>
        <w:r>
          <w:rPr>
            <w:noProof/>
            <w:webHidden/>
          </w:rPr>
        </w:r>
        <w:r>
          <w:rPr>
            <w:noProof/>
            <w:webHidden/>
          </w:rPr>
          <w:fldChar w:fldCharType="separate"/>
        </w:r>
        <w:r>
          <w:rPr>
            <w:noProof/>
            <w:webHidden/>
          </w:rPr>
          <w:t>47</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804" w:history="1">
        <w:r w:rsidRPr="00C95951">
          <w:rPr>
            <w:rStyle w:val="Hypertextovodkaz"/>
            <w:noProof/>
          </w:rPr>
          <w:t>4.3.6</w:t>
        </w:r>
        <w:r>
          <w:rPr>
            <w:rFonts w:asciiTheme="minorHAnsi" w:eastAsiaTheme="minorEastAsia" w:hAnsiTheme="minorHAnsi" w:cstheme="minorBidi"/>
            <w:noProof/>
            <w:szCs w:val="22"/>
          </w:rPr>
          <w:tab/>
        </w:r>
        <w:r w:rsidRPr="00C95951">
          <w:rPr>
            <w:rStyle w:val="Hypertextovodkaz"/>
            <w:noProof/>
          </w:rPr>
          <w:t>Návrh opatření</w:t>
        </w:r>
        <w:r>
          <w:rPr>
            <w:noProof/>
            <w:webHidden/>
          </w:rPr>
          <w:tab/>
        </w:r>
        <w:r>
          <w:rPr>
            <w:noProof/>
            <w:webHidden/>
          </w:rPr>
          <w:fldChar w:fldCharType="begin"/>
        </w:r>
        <w:r>
          <w:rPr>
            <w:noProof/>
            <w:webHidden/>
          </w:rPr>
          <w:instrText xml:space="preserve"> PAGEREF _Toc416447804 \h </w:instrText>
        </w:r>
        <w:r>
          <w:rPr>
            <w:noProof/>
            <w:webHidden/>
          </w:rPr>
        </w:r>
        <w:r>
          <w:rPr>
            <w:noProof/>
            <w:webHidden/>
          </w:rPr>
          <w:fldChar w:fldCharType="separate"/>
        </w:r>
        <w:r>
          <w:rPr>
            <w:noProof/>
            <w:webHidden/>
          </w:rPr>
          <w:t>49</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814" w:history="1">
        <w:r w:rsidRPr="00C95951">
          <w:rPr>
            <w:rStyle w:val="Hypertextovodkaz"/>
            <w:noProof/>
          </w:rPr>
          <w:t>4.3.7</w:t>
        </w:r>
        <w:r>
          <w:rPr>
            <w:rFonts w:asciiTheme="minorHAnsi" w:eastAsiaTheme="minorEastAsia" w:hAnsiTheme="minorHAnsi" w:cstheme="minorBidi"/>
            <w:noProof/>
            <w:szCs w:val="22"/>
          </w:rPr>
          <w:tab/>
        </w:r>
        <w:r w:rsidRPr="00C95951">
          <w:rPr>
            <w:rStyle w:val="Hypertextovodkaz"/>
            <w:noProof/>
          </w:rPr>
          <w:t>Posouzení přidané hodnoty finančních nástrojů</w:t>
        </w:r>
        <w:r>
          <w:rPr>
            <w:noProof/>
            <w:webHidden/>
          </w:rPr>
          <w:tab/>
        </w:r>
        <w:r>
          <w:rPr>
            <w:noProof/>
            <w:webHidden/>
          </w:rPr>
          <w:fldChar w:fldCharType="begin"/>
        </w:r>
        <w:r>
          <w:rPr>
            <w:noProof/>
            <w:webHidden/>
          </w:rPr>
          <w:instrText xml:space="preserve"> PAGEREF _Toc416447814 \h </w:instrText>
        </w:r>
        <w:r>
          <w:rPr>
            <w:noProof/>
            <w:webHidden/>
          </w:rPr>
        </w:r>
        <w:r>
          <w:rPr>
            <w:noProof/>
            <w:webHidden/>
          </w:rPr>
          <w:fldChar w:fldCharType="separate"/>
        </w:r>
        <w:r>
          <w:rPr>
            <w:noProof/>
            <w:webHidden/>
          </w:rPr>
          <w:t>50</w:t>
        </w:r>
        <w:r>
          <w:rPr>
            <w:noProof/>
            <w:webHidden/>
          </w:rPr>
          <w:fldChar w:fldCharType="end"/>
        </w:r>
      </w:hyperlink>
    </w:p>
    <w:p w:rsidR="00F50BC7" w:rsidRDefault="00F50BC7">
      <w:pPr>
        <w:pStyle w:val="Obsah2"/>
        <w:tabs>
          <w:tab w:val="left" w:pos="720"/>
          <w:tab w:val="right" w:leader="dot" w:pos="9060"/>
        </w:tabs>
        <w:rPr>
          <w:rFonts w:asciiTheme="minorHAnsi" w:eastAsiaTheme="minorEastAsia" w:hAnsiTheme="minorHAnsi" w:cstheme="minorBidi"/>
          <w:noProof/>
          <w:szCs w:val="22"/>
        </w:rPr>
      </w:pPr>
      <w:hyperlink w:anchor="_Toc416447815" w:history="1">
        <w:r w:rsidRPr="00C95951">
          <w:rPr>
            <w:rStyle w:val="Hypertextovodkaz"/>
            <w:noProof/>
            <w:lang w:eastAsia="en-US"/>
          </w:rPr>
          <w:t>4.4</w:t>
        </w:r>
        <w:r>
          <w:rPr>
            <w:rFonts w:asciiTheme="minorHAnsi" w:eastAsiaTheme="minorEastAsia" w:hAnsiTheme="minorHAnsi" w:cstheme="minorBidi"/>
            <w:noProof/>
            <w:szCs w:val="22"/>
          </w:rPr>
          <w:tab/>
        </w:r>
        <w:r w:rsidRPr="00C95951">
          <w:rPr>
            <w:rStyle w:val="Hypertextovodkaz"/>
            <w:noProof/>
            <w:lang w:eastAsia="en-US"/>
          </w:rPr>
          <w:t>Specifický cíl 2.3 - Zvýšit využitelnost infrastruktury pro podnikání</w:t>
        </w:r>
        <w:r>
          <w:rPr>
            <w:noProof/>
            <w:webHidden/>
          </w:rPr>
          <w:tab/>
        </w:r>
        <w:r>
          <w:rPr>
            <w:noProof/>
            <w:webHidden/>
          </w:rPr>
          <w:fldChar w:fldCharType="begin"/>
        </w:r>
        <w:r>
          <w:rPr>
            <w:noProof/>
            <w:webHidden/>
          </w:rPr>
          <w:instrText xml:space="preserve"> PAGEREF _Toc416447815 \h </w:instrText>
        </w:r>
        <w:r>
          <w:rPr>
            <w:noProof/>
            <w:webHidden/>
          </w:rPr>
        </w:r>
        <w:r>
          <w:rPr>
            <w:noProof/>
            <w:webHidden/>
          </w:rPr>
          <w:fldChar w:fldCharType="separate"/>
        </w:r>
        <w:r>
          <w:rPr>
            <w:noProof/>
            <w:webHidden/>
          </w:rPr>
          <w:t>55</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816" w:history="1">
        <w:r w:rsidRPr="00C95951">
          <w:rPr>
            <w:rStyle w:val="Hypertextovodkaz"/>
            <w:noProof/>
            <w:lang w:eastAsia="en-US"/>
          </w:rPr>
          <w:t>4.4.1</w:t>
        </w:r>
        <w:r>
          <w:rPr>
            <w:rFonts w:asciiTheme="minorHAnsi" w:eastAsiaTheme="minorEastAsia" w:hAnsiTheme="minorHAnsi" w:cstheme="minorBidi"/>
            <w:noProof/>
            <w:szCs w:val="22"/>
          </w:rPr>
          <w:tab/>
        </w:r>
        <w:r w:rsidRPr="00C95951">
          <w:rPr>
            <w:rStyle w:val="Hypertextovodkaz"/>
            <w:noProof/>
            <w:lang w:eastAsia="en-US"/>
          </w:rPr>
          <w:t>Tržní analýza</w:t>
        </w:r>
        <w:r>
          <w:rPr>
            <w:noProof/>
            <w:webHidden/>
          </w:rPr>
          <w:tab/>
        </w:r>
        <w:r>
          <w:rPr>
            <w:noProof/>
            <w:webHidden/>
          </w:rPr>
          <w:fldChar w:fldCharType="begin"/>
        </w:r>
        <w:r>
          <w:rPr>
            <w:noProof/>
            <w:webHidden/>
          </w:rPr>
          <w:instrText xml:space="preserve"> PAGEREF _Toc416447816 \h </w:instrText>
        </w:r>
        <w:r>
          <w:rPr>
            <w:noProof/>
            <w:webHidden/>
          </w:rPr>
        </w:r>
        <w:r>
          <w:rPr>
            <w:noProof/>
            <w:webHidden/>
          </w:rPr>
          <w:fldChar w:fldCharType="separate"/>
        </w:r>
        <w:r>
          <w:rPr>
            <w:noProof/>
            <w:webHidden/>
          </w:rPr>
          <w:t>56</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817" w:history="1">
        <w:r w:rsidRPr="00C95951">
          <w:rPr>
            <w:rStyle w:val="Hypertextovodkaz"/>
            <w:noProof/>
          </w:rPr>
          <w:t>4.4.2</w:t>
        </w:r>
        <w:r>
          <w:rPr>
            <w:rFonts w:asciiTheme="minorHAnsi" w:eastAsiaTheme="minorEastAsia" w:hAnsiTheme="minorHAnsi" w:cstheme="minorBidi"/>
            <w:noProof/>
            <w:szCs w:val="22"/>
          </w:rPr>
          <w:tab/>
        </w:r>
        <w:r w:rsidRPr="00C95951">
          <w:rPr>
            <w:rStyle w:val="Hypertextovodkaz"/>
            <w:noProof/>
          </w:rPr>
          <w:t>Zaměření specifického cíle</w:t>
        </w:r>
        <w:r>
          <w:rPr>
            <w:noProof/>
            <w:webHidden/>
          </w:rPr>
          <w:tab/>
        </w:r>
        <w:r>
          <w:rPr>
            <w:noProof/>
            <w:webHidden/>
          </w:rPr>
          <w:fldChar w:fldCharType="begin"/>
        </w:r>
        <w:r>
          <w:rPr>
            <w:noProof/>
            <w:webHidden/>
          </w:rPr>
          <w:instrText xml:space="preserve"> PAGEREF _Toc416447817 \h </w:instrText>
        </w:r>
        <w:r>
          <w:rPr>
            <w:noProof/>
            <w:webHidden/>
          </w:rPr>
        </w:r>
        <w:r>
          <w:rPr>
            <w:noProof/>
            <w:webHidden/>
          </w:rPr>
          <w:fldChar w:fldCharType="separate"/>
        </w:r>
        <w:r>
          <w:rPr>
            <w:noProof/>
            <w:webHidden/>
          </w:rPr>
          <w:t>56</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818" w:history="1">
        <w:r w:rsidRPr="00C95951">
          <w:rPr>
            <w:rStyle w:val="Hypertextovodkaz"/>
            <w:noProof/>
            <w:lang w:eastAsia="en-US"/>
          </w:rPr>
          <w:t>4.4.3</w:t>
        </w:r>
        <w:r>
          <w:rPr>
            <w:rFonts w:asciiTheme="minorHAnsi" w:eastAsiaTheme="minorEastAsia" w:hAnsiTheme="minorHAnsi" w:cstheme="minorBidi"/>
            <w:noProof/>
            <w:szCs w:val="22"/>
          </w:rPr>
          <w:tab/>
        </w:r>
        <w:r w:rsidRPr="00C95951">
          <w:rPr>
            <w:rStyle w:val="Hypertextovodkaz"/>
            <w:noProof/>
            <w:lang w:eastAsia="en-US"/>
          </w:rPr>
          <w:t>Vyčíslení potenciální absorpční kapacity</w:t>
        </w:r>
        <w:r>
          <w:rPr>
            <w:noProof/>
            <w:webHidden/>
          </w:rPr>
          <w:tab/>
        </w:r>
        <w:r>
          <w:rPr>
            <w:noProof/>
            <w:webHidden/>
          </w:rPr>
          <w:fldChar w:fldCharType="begin"/>
        </w:r>
        <w:r>
          <w:rPr>
            <w:noProof/>
            <w:webHidden/>
          </w:rPr>
          <w:instrText xml:space="preserve"> PAGEREF _Toc416447818 \h </w:instrText>
        </w:r>
        <w:r>
          <w:rPr>
            <w:noProof/>
            <w:webHidden/>
          </w:rPr>
        </w:r>
        <w:r>
          <w:rPr>
            <w:noProof/>
            <w:webHidden/>
          </w:rPr>
          <w:fldChar w:fldCharType="separate"/>
        </w:r>
        <w:r>
          <w:rPr>
            <w:noProof/>
            <w:webHidden/>
          </w:rPr>
          <w:t>59</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820" w:history="1">
        <w:r w:rsidRPr="00C95951">
          <w:rPr>
            <w:rStyle w:val="Hypertextovodkaz"/>
            <w:noProof/>
            <w:lang w:eastAsia="en-US"/>
          </w:rPr>
          <w:t>4.4.4</w:t>
        </w:r>
        <w:r>
          <w:rPr>
            <w:rFonts w:asciiTheme="minorHAnsi" w:eastAsiaTheme="minorEastAsia" w:hAnsiTheme="minorHAnsi" w:cstheme="minorBidi"/>
            <w:noProof/>
            <w:szCs w:val="22"/>
          </w:rPr>
          <w:tab/>
        </w:r>
        <w:r w:rsidRPr="00C95951">
          <w:rPr>
            <w:rStyle w:val="Hypertextovodkaz"/>
            <w:noProof/>
            <w:lang w:eastAsia="en-US"/>
          </w:rPr>
          <w:t>Analýza tržních selhání a suboptimální investiční situace</w:t>
        </w:r>
        <w:r>
          <w:rPr>
            <w:noProof/>
            <w:webHidden/>
          </w:rPr>
          <w:tab/>
        </w:r>
        <w:r>
          <w:rPr>
            <w:noProof/>
            <w:webHidden/>
          </w:rPr>
          <w:fldChar w:fldCharType="begin"/>
        </w:r>
        <w:r>
          <w:rPr>
            <w:noProof/>
            <w:webHidden/>
          </w:rPr>
          <w:instrText xml:space="preserve"> PAGEREF _Toc416447820 \h </w:instrText>
        </w:r>
        <w:r>
          <w:rPr>
            <w:noProof/>
            <w:webHidden/>
          </w:rPr>
        </w:r>
        <w:r>
          <w:rPr>
            <w:noProof/>
            <w:webHidden/>
          </w:rPr>
          <w:fldChar w:fldCharType="separate"/>
        </w:r>
        <w:r>
          <w:rPr>
            <w:noProof/>
            <w:webHidden/>
          </w:rPr>
          <w:t>61</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831" w:history="1">
        <w:r w:rsidRPr="00C95951">
          <w:rPr>
            <w:rStyle w:val="Hypertextovodkaz"/>
            <w:noProof/>
            <w:lang w:eastAsia="en-US"/>
          </w:rPr>
          <w:t>4.4.5</w:t>
        </w:r>
        <w:r>
          <w:rPr>
            <w:rFonts w:asciiTheme="minorHAnsi" w:eastAsiaTheme="minorEastAsia" w:hAnsiTheme="minorHAnsi" w:cstheme="minorBidi"/>
            <w:noProof/>
            <w:szCs w:val="22"/>
          </w:rPr>
          <w:tab/>
        </w:r>
        <w:r w:rsidRPr="00C95951">
          <w:rPr>
            <w:rStyle w:val="Hypertextovodkaz"/>
            <w:noProof/>
            <w:lang w:eastAsia="en-US"/>
          </w:rPr>
          <w:t>Návrh opatření</w:t>
        </w:r>
        <w:r>
          <w:rPr>
            <w:noProof/>
            <w:webHidden/>
          </w:rPr>
          <w:tab/>
        </w:r>
        <w:r>
          <w:rPr>
            <w:noProof/>
            <w:webHidden/>
          </w:rPr>
          <w:fldChar w:fldCharType="begin"/>
        </w:r>
        <w:r>
          <w:rPr>
            <w:noProof/>
            <w:webHidden/>
          </w:rPr>
          <w:instrText xml:space="preserve"> PAGEREF _Toc416447831 \h </w:instrText>
        </w:r>
        <w:r>
          <w:rPr>
            <w:noProof/>
            <w:webHidden/>
          </w:rPr>
        </w:r>
        <w:r>
          <w:rPr>
            <w:noProof/>
            <w:webHidden/>
          </w:rPr>
          <w:fldChar w:fldCharType="separate"/>
        </w:r>
        <w:r>
          <w:rPr>
            <w:noProof/>
            <w:webHidden/>
          </w:rPr>
          <w:t>62</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832" w:history="1">
        <w:r w:rsidRPr="00C95951">
          <w:rPr>
            <w:rStyle w:val="Hypertextovodkaz"/>
            <w:noProof/>
            <w:lang w:eastAsia="en-US"/>
          </w:rPr>
          <w:t>4.4.6</w:t>
        </w:r>
        <w:r>
          <w:rPr>
            <w:rFonts w:asciiTheme="minorHAnsi" w:eastAsiaTheme="minorEastAsia" w:hAnsiTheme="minorHAnsi" w:cstheme="minorBidi"/>
            <w:noProof/>
            <w:szCs w:val="22"/>
          </w:rPr>
          <w:tab/>
        </w:r>
        <w:r w:rsidRPr="00C95951">
          <w:rPr>
            <w:rStyle w:val="Hypertextovodkaz"/>
            <w:noProof/>
            <w:lang w:eastAsia="en-US"/>
          </w:rPr>
          <w:t>Posouzení přidané hodnoty finančních nástrojů</w:t>
        </w:r>
        <w:r>
          <w:rPr>
            <w:noProof/>
            <w:webHidden/>
          </w:rPr>
          <w:tab/>
        </w:r>
        <w:r>
          <w:rPr>
            <w:noProof/>
            <w:webHidden/>
          </w:rPr>
          <w:fldChar w:fldCharType="begin"/>
        </w:r>
        <w:r>
          <w:rPr>
            <w:noProof/>
            <w:webHidden/>
          </w:rPr>
          <w:instrText xml:space="preserve"> PAGEREF _Toc416447832 \h </w:instrText>
        </w:r>
        <w:r>
          <w:rPr>
            <w:noProof/>
            <w:webHidden/>
          </w:rPr>
        </w:r>
        <w:r>
          <w:rPr>
            <w:noProof/>
            <w:webHidden/>
          </w:rPr>
          <w:fldChar w:fldCharType="separate"/>
        </w:r>
        <w:r>
          <w:rPr>
            <w:noProof/>
            <w:webHidden/>
          </w:rPr>
          <w:t>62</w:t>
        </w:r>
        <w:r>
          <w:rPr>
            <w:noProof/>
            <w:webHidden/>
          </w:rPr>
          <w:fldChar w:fldCharType="end"/>
        </w:r>
      </w:hyperlink>
    </w:p>
    <w:p w:rsidR="00F50BC7" w:rsidRDefault="00F50BC7">
      <w:pPr>
        <w:pStyle w:val="Obsah2"/>
        <w:tabs>
          <w:tab w:val="left" w:pos="720"/>
          <w:tab w:val="right" w:leader="dot" w:pos="9060"/>
        </w:tabs>
        <w:rPr>
          <w:rFonts w:asciiTheme="minorHAnsi" w:eastAsiaTheme="minorEastAsia" w:hAnsiTheme="minorHAnsi" w:cstheme="minorBidi"/>
          <w:noProof/>
          <w:szCs w:val="22"/>
        </w:rPr>
      </w:pPr>
      <w:hyperlink w:anchor="_Toc416447835" w:history="1">
        <w:r w:rsidRPr="00C95951">
          <w:rPr>
            <w:rStyle w:val="Hypertextovodkaz"/>
            <w:noProof/>
            <w:lang w:eastAsia="en-US"/>
          </w:rPr>
          <w:t>4.5</w:t>
        </w:r>
        <w:r>
          <w:rPr>
            <w:rFonts w:asciiTheme="minorHAnsi" w:eastAsiaTheme="minorEastAsia" w:hAnsiTheme="minorHAnsi" w:cstheme="minorBidi"/>
            <w:noProof/>
            <w:szCs w:val="22"/>
          </w:rPr>
          <w:tab/>
        </w:r>
        <w:r w:rsidRPr="00C95951">
          <w:rPr>
            <w:rStyle w:val="Hypertextovodkaz"/>
            <w:noProof/>
            <w:lang w:eastAsia="en-US"/>
          </w:rPr>
          <w:t xml:space="preserve">Specifický cíl 3.1- </w:t>
        </w:r>
        <w:r w:rsidRPr="00C95951">
          <w:rPr>
            <w:rStyle w:val="Hypertextovodkaz"/>
            <w:noProof/>
          </w:rPr>
          <w:t>Zvýšit podíl výroby energie z obnovitelných zdrojů na hrubé konečné spotřebě ČR</w:t>
        </w:r>
        <w:r>
          <w:rPr>
            <w:noProof/>
            <w:webHidden/>
          </w:rPr>
          <w:tab/>
        </w:r>
        <w:r>
          <w:rPr>
            <w:noProof/>
            <w:webHidden/>
          </w:rPr>
          <w:fldChar w:fldCharType="begin"/>
        </w:r>
        <w:r>
          <w:rPr>
            <w:noProof/>
            <w:webHidden/>
          </w:rPr>
          <w:instrText xml:space="preserve"> PAGEREF _Toc416447835 \h </w:instrText>
        </w:r>
        <w:r>
          <w:rPr>
            <w:noProof/>
            <w:webHidden/>
          </w:rPr>
        </w:r>
        <w:r>
          <w:rPr>
            <w:noProof/>
            <w:webHidden/>
          </w:rPr>
          <w:fldChar w:fldCharType="separate"/>
        </w:r>
        <w:r>
          <w:rPr>
            <w:noProof/>
            <w:webHidden/>
          </w:rPr>
          <w:t>65</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836" w:history="1">
        <w:r w:rsidRPr="00C95951">
          <w:rPr>
            <w:rStyle w:val="Hypertextovodkaz"/>
            <w:noProof/>
          </w:rPr>
          <w:t>4.5.1</w:t>
        </w:r>
        <w:r>
          <w:rPr>
            <w:rFonts w:asciiTheme="minorHAnsi" w:eastAsiaTheme="minorEastAsia" w:hAnsiTheme="minorHAnsi" w:cstheme="minorBidi"/>
            <w:noProof/>
            <w:szCs w:val="22"/>
          </w:rPr>
          <w:tab/>
        </w:r>
        <w:r w:rsidRPr="00C95951">
          <w:rPr>
            <w:rStyle w:val="Hypertextovodkaz"/>
            <w:noProof/>
          </w:rPr>
          <w:t>Zaměření cíle</w:t>
        </w:r>
        <w:r>
          <w:rPr>
            <w:noProof/>
            <w:webHidden/>
          </w:rPr>
          <w:tab/>
        </w:r>
        <w:r>
          <w:rPr>
            <w:noProof/>
            <w:webHidden/>
          </w:rPr>
          <w:fldChar w:fldCharType="begin"/>
        </w:r>
        <w:r>
          <w:rPr>
            <w:noProof/>
            <w:webHidden/>
          </w:rPr>
          <w:instrText xml:space="preserve"> PAGEREF _Toc416447836 \h </w:instrText>
        </w:r>
        <w:r>
          <w:rPr>
            <w:noProof/>
            <w:webHidden/>
          </w:rPr>
        </w:r>
        <w:r>
          <w:rPr>
            <w:noProof/>
            <w:webHidden/>
          </w:rPr>
          <w:fldChar w:fldCharType="separate"/>
        </w:r>
        <w:r>
          <w:rPr>
            <w:noProof/>
            <w:webHidden/>
          </w:rPr>
          <w:t>65</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837" w:history="1">
        <w:r w:rsidRPr="00C95951">
          <w:rPr>
            <w:rStyle w:val="Hypertextovodkaz"/>
            <w:noProof/>
          </w:rPr>
          <w:t>4.5.2</w:t>
        </w:r>
        <w:r>
          <w:rPr>
            <w:rFonts w:asciiTheme="minorHAnsi" w:eastAsiaTheme="minorEastAsia" w:hAnsiTheme="minorHAnsi" w:cstheme="minorBidi"/>
            <w:noProof/>
            <w:szCs w:val="22"/>
          </w:rPr>
          <w:tab/>
        </w:r>
        <w:r w:rsidRPr="00C95951">
          <w:rPr>
            <w:rStyle w:val="Hypertextovodkaz"/>
            <w:noProof/>
          </w:rPr>
          <w:t>Tržní analýza</w:t>
        </w:r>
        <w:r>
          <w:rPr>
            <w:noProof/>
            <w:webHidden/>
          </w:rPr>
          <w:tab/>
        </w:r>
        <w:r>
          <w:rPr>
            <w:noProof/>
            <w:webHidden/>
          </w:rPr>
          <w:fldChar w:fldCharType="begin"/>
        </w:r>
        <w:r>
          <w:rPr>
            <w:noProof/>
            <w:webHidden/>
          </w:rPr>
          <w:instrText xml:space="preserve"> PAGEREF _Toc416447837 \h </w:instrText>
        </w:r>
        <w:r>
          <w:rPr>
            <w:noProof/>
            <w:webHidden/>
          </w:rPr>
        </w:r>
        <w:r>
          <w:rPr>
            <w:noProof/>
            <w:webHidden/>
          </w:rPr>
          <w:fldChar w:fldCharType="separate"/>
        </w:r>
        <w:r>
          <w:rPr>
            <w:noProof/>
            <w:webHidden/>
          </w:rPr>
          <w:t>66</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838" w:history="1">
        <w:r w:rsidRPr="00C95951">
          <w:rPr>
            <w:rStyle w:val="Hypertextovodkaz"/>
            <w:noProof/>
          </w:rPr>
          <w:t>4.5.3</w:t>
        </w:r>
        <w:r>
          <w:rPr>
            <w:rFonts w:asciiTheme="minorHAnsi" w:eastAsiaTheme="minorEastAsia" w:hAnsiTheme="minorHAnsi" w:cstheme="minorBidi"/>
            <w:noProof/>
            <w:szCs w:val="22"/>
          </w:rPr>
          <w:tab/>
        </w:r>
        <w:r w:rsidRPr="00C95951">
          <w:rPr>
            <w:rStyle w:val="Hypertextovodkaz"/>
            <w:noProof/>
          </w:rPr>
          <w:t>Vyčíslení potenciální absorpční kapacity</w:t>
        </w:r>
        <w:r>
          <w:rPr>
            <w:noProof/>
            <w:webHidden/>
          </w:rPr>
          <w:tab/>
        </w:r>
        <w:r>
          <w:rPr>
            <w:noProof/>
            <w:webHidden/>
          </w:rPr>
          <w:fldChar w:fldCharType="begin"/>
        </w:r>
        <w:r>
          <w:rPr>
            <w:noProof/>
            <w:webHidden/>
          </w:rPr>
          <w:instrText xml:space="preserve"> PAGEREF _Toc416447838 \h </w:instrText>
        </w:r>
        <w:r>
          <w:rPr>
            <w:noProof/>
            <w:webHidden/>
          </w:rPr>
        </w:r>
        <w:r>
          <w:rPr>
            <w:noProof/>
            <w:webHidden/>
          </w:rPr>
          <w:fldChar w:fldCharType="separate"/>
        </w:r>
        <w:r>
          <w:rPr>
            <w:noProof/>
            <w:webHidden/>
          </w:rPr>
          <w:t>68</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839" w:history="1">
        <w:r w:rsidRPr="00C95951">
          <w:rPr>
            <w:rStyle w:val="Hypertextovodkaz"/>
            <w:noProof/>
          </w:rPr>
          <w:t>4.5.4</w:t>
        </w:r>
        <w:r>
          <w:rPr>
            <w:rFonts w:asciiTheme="minorHAnsi" w:eastAsiaTheme="minorEastAsia" w:hAnsiTheme="minorHAnsi" w:cstheme="minorBidi"/>
            <w:noProof/>
            <w:szCs w:val="22"/>
          </w:rPr>
          <w:tab/>
        </w:r>
        <w:r w:rsidRPr="00C95951">
          <w:rPr>
            <w:rStyle w:val="Hypertextovodkaz"/>
            <w:noProof/>
          </w:rPr>
          <w:t>Analýza tržních selhání a suboptimálních investičních situací</w:t>
        </w:r>
        <w:r>
          <w:rPr>
            <w:noProof/>
            <w:webHidden/>
          </w:rPr>
          <w:tab/>
        </w:r>
        <w:r>
          <w:rPr>
            <w:noProof/>
            <w:webHidden/>
          </w:rPr>
          <w:fldChar w:fldCharType="begin"/>
        </w:r>
        <w:r>
          <w:rPr>
            <w:noProof/>
            <w:webHidden/>
          </w:rPr>
          <w:instrText xml:space="preserve"> PAGEREF _Toc416447839 \h </w:instrText>
        </w:r>
        <w:r>
          <w:rPr>
            <w:noProof/>
            <w:webHidden/>
          </w:rPr>
        </w:r>
        <w:r>
          <w:rPr>
            <w:noProof/>
            <w:webHidden/>
          </w:rPr>
          <w:fldChar w:fldCharType="separate"/>
        </w:r>
        <w:r>
          <w:rPr>
            <w:noProof/>
            <w:webHidden/>
          </w:rPr>
          <w:t>69</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842" w:history="1">
        <w:r w:rsidRPr="00C95951">
          <w:rPr>
            <w:rStyle w:val="Hypertextovodkaz"/>
            <w:noProof/>
          </w:rPr>
          <w:t>4.5.5</w:t>
        </w:r>
        <w:r>
          <w:rPr>
            <w:rFonts w:asciiTheme="minorHAnsi" w:eastAsiaTheme="minorEastAsia" w:hAnsiTheme="minorHAnsi" w:cstheme="minorBidi"/>
            <w:noProof/>
            <w:szCs w:val="22"/>
          </w:rPr>
          <w:tab/>
        </w:r>
        <w:r w:rsidRPr="00C95951">
          <w:rPr>
            <w:rStyle w:val="Hypertextovodkaz"/>
            <w:noProof/>
          </w:rPr>
          <w:t>Návrh opatření</w:t>
        </w:r>
        <w:r>
          <w:rPr>
            <w:noProof/>
            <w:webHidden/>
          </w:rPr>
          <w:tab/>
        </w:r>
        <w:r>
          <w:rPr>
            <w:noProof/>
            <w:webHidden/>
          </w:rPr>
          <w:fldChar w:fldCharType="begin"/>
        </w:r>
        <w:r>
          <w:rPr>
            <w:noProof/>
            <w:webHidden/>
          </w:rPr>
          <w:instrText xml:space="preserve"> PAGEREF _Toc416447842 \h </w:instrText>
        </w:r>
        <w:r>
          <w:rPr>
            <w:noProof/>
            <w:webHidden/>
          </w:rPr>
        </w:r>
        <w:r>
          <w:rPr>
            <w:noProof/>
            <w:webHidden/>
          </w:rPr>
          <w:fldChar w:fldCharType="separate"/>
        </w:r>
        <w:r>
          <w:rPr>
            <w:noProof/>
            <w:webHidden/>
          </w:rPr>
          <w:t>69</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854" w:history="1">
        <w:r w:rsidRPr="00C95951">
          <w:rPr>
            <w:rStyle w:val="Hypertextovodkaz"/>
            <w:noProof/>
            <w:lang w:eastAsia="en-US"/>
          </w:rPr>
          <w:t>4.5.6</w:t>
        </w:r>
        <w:r>
          <w:rPr>
            <w:rFonts w:asciiTheme="minorHAnsi" w:eastAsiaTheme="minorEastAsia" w:hAnsiTheme="minorHAnsi" w:cstheme="minorBidi"/>
            <w:noProof/>
            <w:szCs w:val="22"/>
          </w:rPr>
          <w:tab/>
        </w:r>
        <w:r w:rsidRPr="00C95951">
          <w:rPr>
            <w:rStyle w:val="Hypertextovodkaz"/>
            <w:noProof/>
            <w:lang w:eastAsia="en-US"/>
          </w:rPr>
          <w:t>Posouzení přidané hodnoty finančních nástrojů</w:t>
        </w:r>
        <w:r>
          <w:rPr>
            <w:noProof/>
            <w:webHidden/>
          </w:rPr>
          <w:tab/>
        </w:r>
        <w:r>
          <w:rPr>
            <w:noProof/>
            <w:webHidden/>
          </w:rPr>
          <w:fldChar w:fldCharType="begin"/>
        </w:r>
        <w:r>
          <w:rPr>
            <w:noProof/>
            <w:webHidden/>
          </w:rPr>
          <w:instrText xml:space="preserve"> PAGEREF _Toc416447854 \h </w:instrText>
        </w:r>
        <w:r>
          <w:rPr>
            <w:noProof/>
            <w:webHidden/>
          </w:rPr>
        </w:r>
        <w:r>
          <w:rPr>
            <w:noProof/>
            <w:webHidden/>
          </w:rPr>
          <w:fldChar w:fldCharType="separate"/>
        </w:r>
        <w:r>
          <w:rPr>
            <w:noProof/>
            <w:webHidden/>
          </w:rPr>
          <w:t>70</w:t>
        </w:r>
        <w:r>
          <w:rPr>
            <w:noProof/>
            <w:webHidden/>
          </w:rPr>
          <w:fldChar w:fldCharType="end"/>
        </w:r>
      </w:hyperlink>
    </w:p>
    <w:p w:rsidR="00F50BC7" w:rsidRDefault="00F50BC7">
      <w:pPr>
        <w:pStyle w:val="Obsah2"/>
        <w:tabs>
          <w:tab w:val="left" w:pos="720"/>
          <w:tab w:val="right" w:leader="dot" w:pos="9060"/>
        </w:tabs>
        <w:rPr>
          <w:rFonts w:asciiTheme="minorHAnsi" w:eastAsiaTheme="minorEastAsia" w:hAnsiTheme="minorHAnsi" w:cstheme="minorBidi"/>
          <w:noProof/>
          <w:szCs w:val="22"/>
        </w:rPr>
      </w:pPr>
      <w:hyperlink w:anchor="_Toc416447855" w:history="1">
        <w:r w:rsidRPr="00C95951">
          <w:rPr>
            <w:rStyle w:val="Hypertextovodkaz"/>
            <w:noProof/>
            <w:lang w:eastAsia="en-US"/>
          </w:rPr>
          <w:t>4.6</w:t>
        </w:r>
        <w:r>
          <w:rPr>
            <w:rFonts w:asciiTheme="minorHAnsi" w:eastAsiaTheme="minorEastAsia" w:hAnsiTheme="minorHAnsi" w:cstheme="minorBidi"/>
            <w:noProof/>
            <w:szCs w:val="22"/>
          </w:rPr>
          <w:tab/>
        </w:r>
        <w:r w:rsidRPr="00C95951">
          <w:rPr>
            <w:rStyle w:val="Hypertextovodkaz"/>
            <w:noProof/>
            <w:lang w:eastAsia="en-US"/>
          </w:rPr>
          <w:t>Specifický cíl 3.2- Snižování energetické náročnosti podnikatelského sektoru a rozvíjení energetických služeb</w:t>
        </w:r>
        <w:r>
          <w:rPr>
            <w:noProof/>
            <w:webHidden/>
          </w:rPr>
          <w:tab/>
        </w:r>
        <w:r>
          <w:rPr>
            <w:noProof/>
            <w:webHidden/>
          </w:rPr>
          <w:fldChar w:fldCharType="begin"/>
        </w:r>
        <w:r>
          <w:rPr>
            <w:noProof/>
            <w:webHidden/>
          </w:rPr>
          <w:instrText xml:space="preserve"> PAGEREF _Toc416447855 \h </w:instrText>
        </w:r>
        <w:r>
          <w:rPr>
            <w:noProof/>
            <w:webHidden/>
          </w:rPr>
        </w:r>
        <w:r>
          <w:rPr>
            <w:noProof/>
            <w:webHidden/>
          </w:rPr>
          <w:fldChar w:fldCharType="separate"/>
        </w:r>
        <w:r>
          <w:rPr>
            <w:noProof/>
            <w:webHidden/>
          </w:rPr>
          <w:t>72</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856" w:history="1">
        <w:r w:rsidRPr="00C95951">
          <w:rPr>
            <w:rStyle w:val="Hypertextovodkaz"/>
            <w:noProof/>
          </w:rPr>
          <w:t>4.6.1</w:t>
        </w:r>
        <w:r>
          <w:rPr>
            <w:rFonts w:asciiTheme="minorHAnsi" w:eastAsiaTheme="minorEastAsia" w:hAnsiTheme="minorHAnsi" w:cstheme="minorBidi"/>
            <w:noProof/>
            <w:szCs w:val="22"/>
          </w:rPr>
          <w:tab/>
        </w:r>
        <w:r w:rsidRPr="00C95951">
          <w:rPr>
            <w:rStyle w:val="Hypertextovodkaz"/>
            <w:noProof/>
          </w:rPr>
          <w:t>Zaměření cíle</w:t>
        </w:r>
        <w:r>
          <w:rPr>
            <w:noProof/>
            <w:webHidden/>
          </w:rPr>
          <w:tab/>
        </w:r>
        <w:r>
          <w:rPr>
            <w:noProof/>
            <w:webHidden/>
          </w:rPr>
          <w:fldChar w:fldCharType="begin"/>
        </w:r>
        <w:r>
          <w:rPr>
            <w:noProof/>
            <w:webHidden/>
          </w:rPr>
          <w:instrText xml:space="preserve"> PAGEREF _Toc416447856 \h </w:instrText>
        </w:r>
        <w:r>
          <w:rPr>
            <w:noProof/>
            <w:webHidden/>
          </w:rPr>
        </w:r>
        <w:r>
          <w:rPr>
            <w:noProof/>
            <w:webHidden/>
          </w:rPr>
          <w:fldChar w:fldCharType="separate"/>
        </w:r>
        <w:r>
          <w:rPr>
            <w:noProof/>
            <w:webHidden/>
          </w:rPr>
          <w:t>72</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857" w:history="1">
        <w:r w:rsidRPr="00C95951">
          <w:rPr>
            <w:rStyle w:val="Hypertextovodkaz"/>
            <w:noProof/>
            <w:lang w:eastAsia="en-US"/>
          </w:rPr>
          <w:t>4.6.2</w:t>
        </w:r>
        <w:r>
          <w:rPr>
            <w:rFonts w:asciiTheme="minorHAnsi" w:eastAsiaTheme="minorEastAsia" w:hAnsiTheme="minorHAnsi" w:cstheme="minorBidi"/>
            <w:noProof/>
            <w:szCs w:val="22"/>
          </w:rPr>
          <w:tab/>
        </w:r>
        <w:r w:rsidRPr="00C95951">
          <w:rPr>
            <w:rStyle w:val="Hypertextovodkaz"/>
            <w:noProof/>
            <w:lang w:eastAsia="en-US"/>
          </w:rPr>
          <w:t>Tržní analýza</w:t>
        </w:r>
        <w:r>
          <w:rPr>
            <w:noProof/>
            <w:webHidden/>
          </w:rPr>
          <w:tab/>
        </w:r>
        <w:r>
          <w:rPr>
            <w:noProof/>
            <w:webHidden/>
          </w:rPr>
          <w:fldChar w:fldCharType="begin"/>
        </w:r>
        <w:r>
          <w:rPr>
            <w:noProof/>
            <w:webHidden/>
          </w:rPr>
          <w:instrText xml:space="preserve"> PAGEREF _Toc416447857 \h </w:instrText>
        </w:r>
        <w:r>
          <w:rPr>
            <w:noProof/>
            <w:webHidden/>
          </w:rPr>
        </w:r>
        <w:r>
          <w:rPr>
            <w:noProof/>
            <w:webHidden/>
          </w:rPr>
          <w:fldChar w:fldCharType="separate"/>
        </w:r>
        <w:r>
          <w:rPr>
            <w:noProof/>
            <w:webHidden/>
          </w:rPr>
          <w:t>73</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858" w:history="1">
        <w:r w:rsidRPr="00C95951">
          <w:rPr>
            <w:rStyle w:val="Hypertextovodkaz"/>
            <w:noProof/>
            <w:lang w:eastAsia="en-US"/>
          </w:rPr>
          <w:t>4.6.3</w:t>
        </w:r>
        <w:r>
          <w:rPr>
            <w:rFonts w:asciiTheme="minorHAnsi" w:eastAsiaTheme="minorEastAsia" w:hAnsiTheme="minorHAnsi" w:cstheme="minorBidi"/>
            <w:noProof/>
            <w:szCs w:val="22"/>
          </w:rPr>
          <w:tab/>
        </w:r>
        <w:r w:rsidRPr="00C95951">
          <w:rPr>
            <w:rStyle w:val="Hypertextovodkaz"/>
            <w:noProof/>
            <w:lang w:eastAsia="en-US"/>
          </w:rPr>
          <w:t>Vyčíslení potenciální absorpční kapacity</w:t>
        </w:r>
        <w:r>
          <w:rPr>
            <w:noProof/>
            <w:webHidden/>
          </w:rPr>
          <w:tab/>
        </w:r>
        <w:r>
          <w:rPr>
            <w:noProof/>
            <w:webHidden/>
          </w:rPr>
          <w:fldChar w:fldCharType="begin"/>
        </w:r>
        <w:r>
          <w:rPr>
            <w:noProof/>
            <w:webHidden/>
          </w:rPr>
          <w:instrText xml:space="preserve"> PAGEREF _Toc416447858 \h </w:instrText>
        </w:r>
        <w:r>
          <w:rPr>
            <w:noProof/>
            <w:webHidden/>
          </w:rPr>
        </w:r>
        <w:r>
          <w:rPr>
            <w:noProof/>
            <w:webHidden/>
          </w:rPr>
          <w:fldChar w:fldCharType="separate"/>
        </w:r>
        <w:r>
          <w:rPr>
            <w:noProof/>
            <w:webHidden/>
          </w:rPr>
          <w:t>74</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859" w:history="1">
        <w:r w:rsidRPr="00C95951">
          <w:rPr>
            <w:rStyle w:val="Hypertextovodkaz"/>
            <w:noProof/>
            <w:lang w:eastAsia="en-US"/>
          </w:rPr>
          <w:t>4.6.4</w:t>
        </w:r>
        <w:r>
          <w:rPr>
            <w:rFonts w:asciiTheme="minorHAnsi" w:eastAsiaTheme="minorEastAsia" w:hAnsiTheme="minorHAnsi" w:cstheme="minorBidi"/>
            <w:noProof/>
            <w:szCs w:val="22"/>
          </w:rPr>
          <w:tab/>
        </w:r>
        <w:r w:rsidRPr="00C95951">
          <w:rPr>
            <w:rStyle w:val="Hypertextovodkaz"/>
            <w:noProof/>
            <w:lang w:eastAsia="en-US"/>
          </w:rPr>
          <w:t>Analýza tržních selhání a suboptimální investiční situace</w:t>
        </w:r>
        <w:r>
          <w:rPr>
            <w:noProof/>
            <w:webHidden/>
          </w:rPr>
          <w:tab/>
        </w:r>
        <w:r>
          <w:rPr>
            <w:noProof/>
            <w:webHidden/>
          </w:rPr>
          <w:fldChar w:fldCharType="begin"/>
        </w:r>
        <w:r>
          <w:rPr>
            <w:noProof/>
            <w:webHidden/>
          </w:rPr>
          <w:instrText xml:space="preserve"> PAGEREF _Toc416447859 \h </w:instrText>
        </w:r>
        <w:r>
          <w:rPr>
            <w:noProof/>
            <w:webHidden/>
          </w:rPr>
        </w:r>
        <w:r>
          <w:rPr>
            <w:noProof/>
            <w:webHidden/>
          </w:rPr>
          <w:fldChar w:fldCharType="separate"/>
        </w:r>
        <w:r>
          <w:rPr>
            <w:noProof/>
            <w:webHidden/>
          </w:rPr>
          <w:t>75</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862" w:history="1">
        <w:r w:rsidRPr="00C95951">
          <w:rPr>
            <w:rStyle w:val="Hypertextovodkaz"/>
            <w:noProof/>
            <w:lang w:eastAsia="en-US"/>
          </w:rPr>
          <w:t>4.6.5</w:t>
        </w:r>
        <w:r>
          <w:rPr>
            <w:rFonts w:asciiTheme="minorHAnsi" w:eastAsiaTheme="minorEastAsia" w:hAnsiTheme="minorHAnsi" w:cstheme="minorBidi"/>
            <w:noProof/>
            <w:szCs w:val="22"/>
          </w:rPr>
          <w:tab/>
        </w:r>
        <w:r w:rsidRPr="00C95951">
          <w:rPr>
            <w:rStyle w:val="Hypertextovodkaz"/>
            <w:noProof/>
            <w:lang w:eastAsia="en-US"/>
          </w:rPr>
          <w:t>Návrh opatření</w:t>
        </w:r>
        <w:r>
          <w:rPr>
            <w:noProof/>
            <w:webHidden/>
          </w:rPr>
          <w:tab/>
        </w:r>
        <w:r>
          <w:rPr>
            <w:noProof/>
            <w:webHidden/>
          </w:rPr>
          <w:fldChar w:fldCharType="begin"/>
        </w:r>
        <w:r>
          <w:rPr>
            <w:noProof/>
            <w:webHidden/>
          </w:rPr>
          <w:instrText xml:space="preserve"> PAGEREF _Toc416447862 \h </w:instrText>
        </w:r>
        <w:r>
          <w:rPr>
            <w:noProof/>
            <w:webHidden/>
          </w:rPr>
        </w:r>
        <w:r>
          <w:rPr>
            <w:noProof/>
            <w:webHidden/>
          </w:rPr>
          <w:fldChar w:fldCharType="separate"/>
        </w:r>
        <w:r>
          <w:rPr>
            <w:noProof/>
            <w:webHidden/>
          </w:rPr>
          <w:t>76</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863" w:history="1">
        <w:r w:rsidRPr="00C95951">
          <w:rPr>
            <w:rStyle w:val="Hypertextovodkaz"/>
            <w:noProof/>
            <w:lang w:eastAsia="en-US"/>
          </w:rPr>
          <w:t>4.6.6</w:t>
        </w:r>
        <w:r>
          <w:rPr>
            <w:rFonts w:asciiTheme="minorHAnsi" w:eastAsiaTheme="minorEastAsia" w:hAnsiTheme="minorHAnsi" w:cstheme="minorBidi"/>
            <w:noProof/>
            <w:szCs w:val="22"/>
          </w:rPr>
          <w:tab/>
        </w:r>
        <w:r w:rsidRPr="00C95951">
          <w:rPr>
            <w:rStyle w:val="Hypertextovodkaz"/>
            <w:noProof/>
            <w:lang w:eastAsia="en-US"/>
          </w:rPr>
          <w:t>Posouzení přidané hodnoty finančních nástrojů</w:t>
        </w:r>
        <w:r>
          <w:rPr>
            <w:noProof/>
            <w:webHidden/>
          </w:rPr>
          <w:tab/>
        </w:r>
        <w:r>
          <w:rPr>
            <w:noProof/>
            <w:webHidden/>
          </w:rPr>
          <w:fldChar w:fldCharType="begin"/>
        </w:r>
        <w:r>
          <w:rPr>
            <w:noProof/>
            <w:webHidden/>
          </w:rPr>
          <w:instrText xml:space="preserve"> PAGEREF _Toc416447863 \h </w:instrText>
        </w:r>
        <w:r>
          <w:rPr>
            <w:noProof/>
            <w:webHidden/>
          </w:rPr>
        </w:r>
        <w:r>
          <w:rPr>
            <w:noProof/>
            <w:webHidden/>
          </w:rPr>
          <w:fldChar w:fldCharType="separate"/>
        </w:r>
        <w:r>
          <w:rPr>
            <w:noProof/>
            <w:webHidden/>
          </w:rPr>
          <w:t>77</w:t>
        </w:r>
        <w:r>
          <w:rPr>
            <w:noProof/>
            <w:webHidden/>
          </w:rPr>
          <w:fldChar w:fldCharType="end"/>
        </w:r>
      </w:hyperlink>
    </w:p>
    <w:p w:rsidR="00F50BC7" w:rsidRDefault="00F50BC7">
      <w:pPr>
        <w:pStyle w:val="Obsah2"/>
        <w:tabs>
          <w:tab w:val="left" w:pos="720"/>
          <w:tab w:val="right" w:leader="dot" w:pos="9060"/>
        </w:tabs>
        <w:rPr>
          <w:rFonts w:asciiTheme="minorHAnsi" w:eastAsiaTheme="minorEastAsia" w:hAnsiTheme="minorHAnsi" w:cstheme="minorBidi"/>
          <w:noProof/>
          <w:szCs w:val="22"/>
        </w:rPr>
      </w:pPr>
      <w:hyperlink w:anchor="_Toc416447864" w:history="1">
        <w:r w:rsidRPr="00C95951">
          <w:rPr>
            <w:rStyle w:val="Hypertextovodkaz"/>
            <w:noProof/>
            <w:lang w:eastAsia="en-US"/>
          </w:rPr>
          <w:t>4.7</w:t>
        </w:r>
        <w:r>
          <w:rPr>
            <w:rFonts w:asciiTheme="minorHAnsi" w:eastAsiaTheme="minorEastAsia" w:hAnsiTheme="minorHAnsi" w:cstheme="minorBidi"/>
            <w:noProof/>
            <w:szCs w:val="22"/>
          </w:rPr>
          <w:tab/>
        </w:r>
        <w:r w:rsidRPr="00C95951">
          <w:rPr>
            <w:rStyle w:val="Hypertextovodkaz"/>
            <w:noProof/>
            <w:lang w:eastAsia="en-US"/>
          </w:rPr>
          <w:t xml:space="preserve">Specifický cíl 3.5 </w:t>
        </w:r>
        <w:r w:rsidRPr="00C95951">
          <w:rPr>
            <w:rStyle w:val="Hypertextovodkaz"/>
            <w:noProof/>
          </w:rPr>
          <w:t>Zvýšit účinnost soustav zásobování teplem</w:t>
        </w:r>
        <w:r>
          <w:rPr>
            <w:noProof/>
            <w:webHidden/>
          </w:rPr>
          <w:tab/>
        </w:r>
        <w:r>
          <w:rPr>
            <w:noProof/>
            <w:webHidden/>
          </w:rPr>
          <w:fldChar w:fldCharType="begin"/>
        </w:r>
        <w:r>
          <w:rPr>
            <w:noProof/>
            <w:webHidden/>
          </w:rPr>
          <w:instrText xml:space="preserve"> PAGEREF _Toc416447864 \h </w:instrText>
        </w:r>
        <w:r>
          <w:rPr>
            <w:noProof/>
            <w:webHidden/>
          </w:rPr>
        </w:r>
        <w:r>
          <w:rPr>
            <w:noProof/>
            <w:webHidden/>
          </w:rPr>
          <w:fldChar w:fldCharType="separate"/>
        </w:r>
        <w:r>
          <w:rPr>
            <w:noProof/>
            <w:webHidden/>
          </w:rPr>
          <w:t>80</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865" w:history="1">
        <w:r w:rsidRPr="00C95951">
          <w:rPr>
            <w:rStyle w:val="Hypertextovodkaz"/>
            <w:noProof/>
          </w:rPr>
          <w:t>4.7.1</w:t>
        </w:r>
        <w:r>
          <w:rPr>
            <w:rFonts w:asciiTheme="minorHAnsi" w:eastAsiaTheme="minorEastAsia" w:hAnsiTheme="minorHAnsi" w:cstheme="minorBidi"/>
            <w:noProof/>
            <w:szCs w:val="22"/>
          </w:rPr>
          <w:tab/>
        </w:r>
        <w:r w:rsidRPr="00C95951">
          <w:rPr>
            <w:rStyle w:val="Hypertextovodkaz"/>
            <w:noProof/>
          </w:rPr>
          <w:t>Zaměření specifického cíle</w:t>
        </w:r>
        <w:r>
          <w:rPr>
            <w:noProof/>
            <w:webHidden/>
          </w:rPr>
          <w:tab/>
        </w:r>
        <w:r>
          <w:rPr>
            <w:noProof/>
            <w:webHidden/>
          </w:rPr>
          <w:fldChar w:fldCharType="begin"/>
        </w:r>
        <w:r>
          <w:rPr>
            <w:noProof/>
            <w:webHidden/>
          </w:rPr>
          <w:instrText xml:space="preserve"> PAGEREF _Toc416447865 \h </w:instrText>
        </w:r>
        <w:r>
          <w:rPr>
            <w:noProof/>
            <w:webHidden/>
          </w:rPr>
        </w:r>
        <w:r>
          <w:rPr>
            <w:noProof/>
            <w:webHidden/>
          </w:rPr>
          <w:fldChar w:fldCharType="separate"/>
        </w:r>
        <w:r>
          <w:rPr>
            <w:noProof/>
            <w:webHidden/>
          </w:rPr>
          <w:t>80</w:t>
        </w:r>
        <w:r>
          <w:rPr>
            <w:noProof/>
            <w:webHidden/>
          </w:rPr>
          <w:fldChar w:fldCharType="end"/>
        </w:r>
      </w:hyperlink>
    </w:p>
    <w:p w:rsidR="00F50BC7" w:rsidRDefault="00F50BC7">
      <w:pPr>
        <w:pStyle w:val="Obsah3"/>
        <w:tabs>
          <w:tab w:val="left" w:pos="720"/>
          <w:tab w:val="right" w:leader="dot" w:pos="9060"/>
        </w:tabs>
        <w:rPr>
          <w:rFonts w:asciiTheme="minorHAnsi" w:eastAsiaTheme="minorEastAsia" w:hAnsiTheme="minorHAnsi" w:cstheme="minorBidi"/>
          <w:noProof/>
          <w:szCs w:val="22"/>
        </w:rPr>
      </w:pPr>
      <w:hyperlink w:anchor="_Toc416447866" w:history="1">
        <w:r>
          <w:rPr>
            <w:rFonts w:asciiTheme="minorHAnsi" w:eastAsiaTheme="minorEastAsia" w:hAnsiTheme="minorHAnsi" w:cstheme="minorBidi"/>
            <w:noProof/>
            <w:szCs w:val="22"/>
          </w:rPr>
          <w:tab/>
        </w:r>
        <w:r w:rsidRPr="00C95951">
          <w:rPr>
            <w:rStyle w:val="Hypertextovodkaz"/>
            <w:noProof/>
            <w:lang w:eastAsia="en-US"/>
          </w:rPr>
          <w:t>Tržní analýza</w:t>
        </w:r>
        <w:r>
          <w:rPr>
            <w:noProof/>
            <w:webHidden/>
          </w:rPr>
          <w:tab/>
        </w:r>
        <w:r>
          <w:rPr>
            <w:noProof/>
            <w:webHidden/>
          </w:rPr>
          <w:fldChar w:fldCharType="begin"/>
        </w:r>
        <w:r>
          <w:rPr>
            <w:noProof/>
            <w:webHidden/>
          </w:rPr>
          <w:instrText xml:space="preserve"> PAGEREF _Toc416447866 \h </w:instrText>
        </w:r>
        <w:r>
          <w:rPr>
            <w:noProof/>
            <w:webHidden/>
          </w:rPr>
        </w:r>
        <w:r>
          <w:rPr>
            <w:noProof/>
            <w:webHidden/>
          </w:rPr>
          <w:fldChar w:fldCharType="separate"/>
        </w:r>
        <w:r>
          <w:rPr>
            <w:noProof/>
            <w:webHidden/>
          </w:rPr>
          <w:t>81</w:t>
        </w:r>
        <w:r>
          <w:rPr>
            <w:noProof/>
            <w:webHidden/>
          </w:rPr>
          <w:fldChar w:fldCharType="end"/>
        </w:r>
      </w:hyperlink>
    </w:p>
    <w:p w:rsidR="00F50BC7" w:rsidRDefault="00F50BC7">
      <w:pPr>
        <w:pStyle w:val="Obsah3"/>
        <w:tabs>
          <w:tab w:val="right" w:leader="dot" w:pos="9060"/>
        </w:tabs>
        <w:rPr>
          <w:rFonts w:asciiTheme="minorHAnsi" w:eastAsiaTheme="minorEastAsia" w:hAnsiTheme="minorHAnsi" w:cstheme="minorBidi"/>
          <w:noProof/>
          <w:szCs w:val="22"/>
        </w:rPr>
      </w:pPr>
      <w:hyperlink w:anchor="_Toc416447869" w:history="1">
        <w:r w:rsidRPr="00C95951">
          <w:rPr>
            <w:rStyle w:val="Hypertextovodkaz"/>
            <w:noProof/>
            <w:lang w:eastAsia="en-US"/>
          </w:rPr>
          <w:t>4.7.2</w:t>
        </w:r>
        <w:r>
          <w:rPr>
            <w:noProof/>
            <w:webHidden/>
          </w:rPr>
          <w:tab/>
        </w:r>
        <w:r>
          <w:rPr>
            <w:noProof/>
            <w:webHidden/>
          </w:rPr>
          <w:fldChar w:fldCharType="begin"/>
        </w:r>
        <w:r>
          <w:rPr>
            <w:noProof/>
            <w:webHidden/>
          </w:rPr>
          <w:instrText xml:space="preserve"> PAGEREF _Toc416447869 \h </w:instrText>
        </w:r>
        <w:r>
          <w:rPr>
            <w:noProof/>
            <w:webHidden/>
          </w:rPr>
        </w:r>
        <w:r>
          <w:rPr>
            <w:noProof/>
            <w:webHidden/>
          </w:rPr>
          <w:fldChar w:fldCharType="separate"/>
        </w:r>
        <w:r>
          <w:rPr>
            <w:noProof/>
            <w:webHidden/>
          </w:rPr>
          <w:t>81</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873" w:history="1">
        <w:r w:rsidRPr="00C95951">
          <w:rPr>
            <w:rStyle w:val="Hypertextovodkaz"/>
            <w:noProof/>
          </w:rPr>
          <w:t>4.7.3</w:t>
        </w:r>
        <w:r>
          <w:rPr>
            <w:rFonts w:asciiTheme="minorHAnsi" w:eastAsiaTheme="minorEastAsia" w:hAnsiTheme="minorHAnsi" w:cstheme="minorBidi"/>
            <w:noProof/>
            <w:szCs w:val="22"/>
          </w:rPr>
          <w:tab/>
        </w:r>
        <w:r w:rsidRPr="00C95951">
          <w:rPr>
            <w:rStyle w:val="Hypertextovodkaz"/>
            <w:noProof/>
            <w:lang w:eastAsia="en-US"/>
          </w:rPr>
          <w:t>Vyčíslení potenciální absorpční kapacity</w:t>
        </w:r>
        <w:r>
          <w:rPr>
            <w:noProof/>
            <w:webHidden/>
          </w:rPr>
          <w:tab/>
        </w:r>
        <w:r>
          <w:rPr>
            <w:noProof/>
            <w:webHidden/>
          </w:rPr>
          <w:fldChar w:fldCharType="begin"/>
        </w:r>
        <w:r>
          <w:rPr>
            <w:noProof/>
            <w:webHidden/>
          </w:rPr>
          <w:instrText xml:space="preserve"> PAGEREF _Toc416447873 \h </w:instrText>
        </w:r>
        <w:r>
          <w:rPr>
            <w:noProof/>
            <w:webHidden/>
          </w:rPr>
        </w:r>
        <w:r>
          <w:rPr>
            <w:noProof/>
            <w:webHidden/>
          </w:rPr>
          <w:fldChar w:fldCharType="separate"/>
        </w:r>
        <w:r>
          <w:rPr>
            <w:noProof/>
            <w:webHidden/>
          </w:rPr>
          <w:t>83</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874" w:history="1">
        <w:r w:rsidRPr="00C95951">
          <w:rPr>
            <w:rStyle w:val="Hypertextovodkaz"/>
            <w:noProof/>
          </w:rPr>
          <w:t>4.7.4</w:t>
        </w:r>
        <w:r>
          <w:rPr>
            <w:rFonts w:asciiTheme="minorHAnsi" w:eastAsiaTheme="minorEastAsia" w:hAnsiTheme="minorHAnsi" w:cstheme="minorBidi"/>
            <w:noProof/>
            <w:szCs w:val="22"/>
          </w:rPr>
          <w:tab/>
        </w:r>
        <w:r w:rsidRPr="00C95951">
          <w:rPr>
            <w:rStyle w:val="Hypertextovodkaz"/>
            <w:noProof/>
          </w:rPr>
          <w:t>Analýza tržních selhání a suboptimální investiční situace</w:t>
        </w:r>
        <w:r>
          <w:rPr>
            <w:noProof/>
            <w:webHidden/>
          </w:rPr>
          <w:tab/>
        </w:r>
        <w:r>
          <w:rPr>
            <w:noProof/>
            <w:webHidden/>
          </w:rPr>
          <w:fldChar w:fldCharType="begin"/>
        </w:r>
        <w:r>
          <w:rPr>
            <w:noProof/>
            <w:webHidden/>
          </w:rPr>
          <w:instrText xml:space="preserve"> PAGEREF _Toc416447874 \h </w:instrText>
        </w:r>
        <w:r>
          <w:rPr>
            <w:noProof/>
            <w:webHidden/>
          </w:rPr>
        </w:r>
        <w:r>
          <w:rPr>
            <w:noProof/>
            <w:webHidden/>
          </w:rPr>
          <w:fldChar w:fldCharType="separate"/>
        </w:r>
        <w:r>
          <w:rPr>
            <w:noProof/>
            <w:webHidden/>
          </w:rPr>
          <w:t>83</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875" w:history="1">
        <w:r w:rsidRPr="00C95951">
          <w:rPr>
            <w:rStyle w:val="Hypertextovodkaz"/>
            <w:noProof/>
          </w:rPr>
          <w:t>4.7.5</w:t>
        </w:r>
        <w:r>
          <w:rPr>
            <w:rFonts w:asciiTheme="minorHAnsi" w:eastAsiaTheme="minorEastAsia" w:hAnsiTheme="minorHAnsi" w:cstheme="minorBidi"/>
            <w:noProof/>
            <w:szCs w:val="22"/>
          </w:rPr>
          <w:tab/>
        </w:r>
        <w:r w:rsidRPr="00C95951">
          <w:rPr>
            <w:rStyle w:val="Hypertextovodkaz"/>
            <w:noProof/>
          </w:rPr>
          <w:t>Návrh opatření</w:t>
        </w:r>
        <w:r>
          <w:rPr>
            <w:noProof/>
            <w:webHidden/>
          </w:rPr>
          <w:tab/>
        </w:r>
        <w:r>
          <w:rPr>
            <w:noProof/>
            <w:webHidden/>
          </w:rPr>
          <w:fldChar w:fldCharType="begin"/>
        </w:r>
        <w:r>
          <w:rPr>
            <w:noProof/>
            <w:webHidden/>
          </w:rPr>
          <w:instrText xml:space="preserve"> PAGEREF _Toc416447875 \h </w:instrText>
        </w:r>
        <w:r>
          <w:rPr>
            <w:noProof/>
            <w:webHidden/>
          </w:rPr>
        </w:r>
        <w:r>
          <w:rPr>
            <w:noProof/>
            <w:webHidden/>
          </w:rPr>
          <w:fldChar w:fldCharType="separate"/>
        </w:r>
        <w:r>
          <w:rPr>
            <w:noProof/>
            <w:webHidden/>
          </w:rPr>
          <w:t>84</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876" w:history="1">
        <w:r w:rsidRPr="00C95951">
          <w:rPr>
            <w:rStyle w:val="Hypertextovodkaz"/>
            <w:noProof/>
            <w:lang w:eastAsia="en-US"/>
          </w:rPr>
          <w:t>4.7.6</w:t>
        </w:r>
        <w:r>
          <w:rPr>
            <w:rFonts w:asciiTheme="minorHAnsi" w:eastAsiaTheme="minorEastAsia" w:hAnsiTheme="minorHAnsi" w:cstheme="minorBidi"/>
            <w:noProof/>
            <w:szCs w:val="22"/>
          </w:rPr>
          <w:tab/>
        </w:r>
        <w:r w:rsidRPr="00C95951">
          <w:rPr>
            <w:rStyle w:val="Hypertextovodkaz"/>
            <w:noProof/>
            <w:lang w:eastAsia="en-US"/>
          </w:rPr>
          <w:t>Posouzení přidané hodnoty finančních nástrojů</w:t>
        </w:r>
        <w:r>
          <w:rPr>
            <w:noProof/>
            <w:webHidden/>
          </w:rPr>
          <w:tab/>
        </w:r>
        <w:r>
          <w:rPr>
            <w:noProof/>
            <w:webHidden/>
          </w:rPr>
          <w:fldChar w:fldCharType="begin"/>
        </w:r>
        <w:r>
          <w:rPr>
            <w:noProof/>
            <w:webHidden/>
          </w:rPr>
          <w:instrText xml:space="preserve"> PAGEREF _Toc416447876 \h </w:instrText>
        </w:r>
        <w:r>
          <w:rPr>
            <w:noProof/>
            <w:webHidden/>
          </w:rPr>
        </w:r>
        <w:r>
          <w:rPr>
            <w:noProof/>
            <w:webHidden/>
          </w:rPr>
          <w:fldChar w:fldCharType="separate"/>
        </w:r>
        <w:r>
          <w:rPr>
            <w:noProof/>
            <w:webHidden/>
          </w:rPr>
          <w:t>84</w:t>
        </w:r>
        <w:r>
          <w:rPr>
            <w:noProof/>
            <w:webHidden/>
          </w:rPr>
          <w:fldChar w:fldCharType="end"/>
        </w:r>
      </w:hyperlink>
    </w:p>
    <w:p w:rsidR="00F50BC7" w:rsidRDefault="00F50BC7">
      <w:pPr>
        <w:pStyle w:val="Obsah2"/>
        <w:tabs>
          <w:tab w:val="left" w:pos="720"/>
          <w:tab w:val="right" w:leader="dot" w:pos="9060"/>
        </w:tabs>
        <w:rPr>
          <w:rFonts w:asciiTheme="minorHAnsi" w:eastAsiaTheme="minorEastAsia" w:hAnsiTheme="minorHAnsi" w:cstheme="minorBidi"/>
          <w:noProof/>
          <w:szCs w:val="22"/>
        </w:rPr>
      </w:pPr>
      <w:hyperlink w:anchor="_Toc416447877" w:history="1">
        <w:r w:rsidRPr="00C95951">
          <w:rPr>
            <w:rStyle w:val="Hypertextovodkaz"/>
            <w:noProof/>
            <w:lang w:eastAsia="en-US"/>
          </w:rPr>
          <w:t>4.8</w:t>
        </w:r>
        <w:r>
          <w:rPr>
            <w:rFonts w:asciiTheme="minorHAnsi" w:eastAsiaTheme="minorEastAsia" w:hAnsiTheme="minorHAnsi" w:cstheme="minorBidi"/>
            <w:noProof/>
            <w:szCs w:val="22"/>
          </w:rPr>
          <w:tab/>
        </w:r>
        <w:r w:rsidRPr="00C95951">
          <w:rPr>
            <w:rStyle w:val="Hypertextovodkaz"/>
            <w:noProof/>
            <w:lang w:eastAsia="en-US"/>
          </w:rPr>
          <w:t xml:space="preserve">Specifický cíl 4.1- </w:t>
        </w:r>
        <w:r w:rsidRPr="00C95951">
          <w:rPr>
            <w:rStyle w:val="Hypertextovodkaz"/>
            <w:noProof/>
          </w:rPr>
          <w:t>Zvětšit pokrytí vysokorychlostním přístupem k internetu</w:t>
        </w:r>
        <w:r>
          <w:rPr>
            <w:noProof/>
            <w:webHidden/>
          </w:rPr>
          <w:tab/>
        </w:r>
        <w:r>
          <w:rPr>
            <w:noProof/>
            <w:webHidden/>
          </w:rPr>
          <w:fldChar w:fldCharType="begin"/>
        </w:r>
        <w:r>
          <w:rPr>
            <w:noProof/>
            <w:webHidden/>
          </w:rPr>
          <w:instrText xml:space="preserve"> PAGEREF _Toc416447877 \h </w:instrText>
        </w:r>
        <w:r>
          <w:rPr>
            <w:noProof/>
            <w:webHidden/>
          </w:rPr>
        </w:r>
        <w:r>
          <w:rPr>
            <w:noProof/>
            <w:webHidden/>
          </w:rPr>
          <w:fldChar w:fldCharType="separate"/>
        </w:r>
        <w:r>
          <w:rPr>
            <w:noProof/>
            <w:webHidden/>
          </w:rPr>
          <w:t>87</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878" w:history="1">
        <w:r w:rsidRPr="00C95951">
          <w:rPr>
            <w:rStyle w:val="Hypertextovodkaz"/>
            <w:noProof/>
          </w:rPr>
          <w:t>4.8.1</w:t>
        </w:r>
        <w:r>
          <w:rPr>
            <w:rFonts w:asciiTheme="minorHAnsi" w:eastAsiaTheme="minorEastAsia" w:hAnsiTheme="minorHAnsi" w:cstheme="minorBidi"/>
            <w:noProof/>
            <w:szCs w:val="22"/>
          </w:rPr>
          <w:tab/>
        </w:r>
        <w:r w:rsidRPr="00C95951">
          <w:rPr>
            <w:rStyle w:val="Hypertextovodkaz"/>
            <w:noProof/>
          </w:rPr>
          <w:t>Zaměření specifického cíle</w:t>
        </w:r>
        <w:r>
          <w:rPr>
            <w:noProof/>
            <w:webHidden/>
          </w:rPr>
          <w:tab/>
        </w:r>
        <w:r>
          <w:rPr>
            <w:noProof/>
            <w:webHidden/>
          </w:rPr>
          <w:fldChar w:fldCharType="begin"/>
        </w:r>
        <w:r>
          <w:rPr>
            <w:noProof/>
            <w:webHidden/>
          </w:rPr>
          <w:instrText xml:space="preserve"> PAGEREF _Toc416447878 \h </w:instrText>
        </w:r>
        <w:r>
          <w:rPr>
            <w:noProof/>
            <w:webHidden/>
          </w:rPr>
        </w:r>
        <w:r>
          <w:rPr>
            <w:noProof/>
            <w:webHidden/>
          </w:rPr>
          <w:fldChar w:fldCharType="separate"/>
        </w:r>
        <w:r>
          <w:rPr>
            <w:noProof/>
            <w:webHidden/>
          </w:rPr>
          <w:t>87</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879" w:history="1">
        <w:r w:rsidRPr="00C95951">
          <w:rPr>
            <w:rStyle w:val="Hypertextovodkaz"/>
            <w:noProof/>
          </w:rPr>
          <w:t>4.8.2</w:t>
        </w:r>
        <w:r>
          <w:rPr>
            <w:rFonts w:asciiTheme="minorHAnsi" w:eastAsiaTheme="minorEastAsia" w:hAnsiTheme="minorHAnsi" w:cstheme="minorBidi"/>
            <w:noProof/>
            <w:szCs w:val="22"/>
          </w:rPr>
          <w:tab/>
        </w:r>
        <w:r w:rsidRPr="00C95951">
          <w:rPr>
            <w:rStyle w:val="Hypertextovodkaz"/>
            <w:noProof/>
          </w:rPr>
          <w:t>Tržní analýza</w:t>
        </w:r>
        <w:r>
          <w:rPr>
            <w:noProof/>
            <w:webHidden/>
          </w:rPr>
          <w:tab/>
        </w:r>
        <w:r>
          <w:rPr>
            <w:noProof/>
            <w:webHidden/>
          </w:rPr>
          <w:fldChar w:fldCharType="begin"/>
        </w:r>
        <w:r>
          <w:rPr>
            <w:noProof/>
            <w:webHidden/>
          </w:rPr>
          <w:instrText xml:space="preserve"> PAGEREF _Toc416447879 \h </w:instrText>
        </w:r>
        <w:r>
          <w:rPr>
            <w:noProof/>
            <w:webHidden/>
          </w:rPr>
        </w:r>
        <w:r>
          <w:rPr>
            <w:noProof/>
            <w:webHidden/>
          </w:rPr>
          <w:fldChar w:fldCharType="separate"/>
        </w:r>
        <w:r>
          <w:rPr>
            <w:noProof/>
            <w:webHidden/>
          </w:rPr>
          <w:t>88</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880" w:history="1">
        <w:r w:rsidRPr="00C95951">
          <w:rPr>
            <w:rStyle w:val="Hypertextovodkaz"/>
            <w:noProof/>
          </w:rPr>
          <w:t>4.8.3</w:t>
        </w:r>
        <w:r>
          <w:rPr>
            <w:rFonts w:asciiTheme="minorHAnsi" w:eastAsiaTheme="minorEastAsia" w:hAnsiTheme="minorHAnsi" w:cstheme="minorBidi"/>
            <w:noProof/>
            <w:szCs w:val="22"/>
          </w:rPr>
          <w:tab/>
        </w:r>
        <w:r w:rsidRPr="00C95951">
          <w:rPr>
            <w:rStyle w:val="Hypertextovodkaz"/>
            <w:noProof/>
            <w:lang w:eastAsia="en-US"/>
          </w:rPr>
          <w:t>Vyčíslení potenciální absorpční kapacity</w:t>
        </w:r>
        <w:r>
          <w:rPr>
            <w:noProof/>
            <w:webHidden/>
          </w:rPr>
          <w:tab/>
        </w:r>
        <w:r>
          <w:rPr>
            <w:noProof/>
            <w:webHidden/>
          </w:rPr>
          <w:fldChar w:fldCharType="begin"/>
        </w:r>
        <w:r>
          <w:rPr>
            <w:noProof/>
            <w:webHidden/>
          </w:rPr>
          <w:instrText xml:space="preserve"> PAGEREF _Toc416447880 \h </w:instrText>
        </w:r>
        <w:r>
          <w:rPr>
            <w:noProof/>
            <w:webHidden/>
          </w:rPr>
        </w:r>
        <w:r>
          <w:rPr>
            <w:noProof/>
            <w:webHidden/>
          </w:rPr>
          <w:fldChar w:fldCharType="separate"/>
        </w:r>
        <w:r>
          <w:rPr>
            <w:noProof/>
            <w:webHidden/>
          </w:rPr>
          <w:t>91</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881" w:history="1">
        <w:r w:rsidRPr="00C95951">
          <w:rPr>
            <w:rStyle w:val="Hypertextovodkaz"/>
            <w:noProof/>
          </w:rPr>
          <w:t>4.8.4</w:t>
        </w:r>
        <w:r>
          <w:rPr>
            <w:rFonts w:asciiTheme="minorHAnsi" w:eastAsiaTheme="minorEastAsia" w:hAnsiTheme="minorHAnsi" w:cstheme="minorBidi"/>
            <w:noProof/>
            <w:szCs w:val="22"/>
          </w:rPr>
          <w:tab/>
        </w:r>
        <w:r w:rsidRPr="00C95951">
          <w:rPr>
            <w:rStyle w:val="Hypertextovodkaz"/>
            <w:noProof/>
          </w:rPr>
          <w:t>Analýza tržních selhání a suboptimální investiční situace</w:t>
        </w:r>
        <w:r>
          <w:rPr>
            <w:noProof/>
            <w:webHidden/>
          </w:rPr>
          <w:tab/>
        </w:r>
        <w:r>
          <w:rPr>
            <w:noProof/>
            <w:webHidden/>
          </w:rPr>
          <w:fldChar w:fldCharType="begin"/>
        </w:r>
        <w:r>
          <w:rPr>
            <w:noProof/>
            <w:webHidden/>
          </w:rPr>
          <w:instrText xml:space="preserve"> PAGEREF _Toc416447881 \h </w:instrText>
        </w:r>
        <w:r>
          <w:rPr>
            <w:noProof/>
            <w:webHidden/>
          </w:rPr>
        </w:r>
        <w:r>
          <w:rPr>
            <w:noProof/>
            <w:webHidden/>
          </w:rPr>
          <w:fldChar w:fldCharType="separate"/>
        </w:r>
        <w:r>
          <w:rPr>
            <w:noProof/>
            <w:webHidden/>
          </w:rPr>
          <w:t>91</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889" w:history="1">
        <w:r w:rsidRPr="00C95951">
          <w:rPr>
            <w:rStyle w:val="Hypertextovodkaz"/>
            <w:noProof/>
          </w:rPr>
          <w:t>4.8.5</w:t>
        </w:r>
        <w:r>
          <w:rPr>
            <w:rFonts w:asciiTheme="minorHAnsi" w:eastAsiaTheme="minorEastAsia" w:hAnsiTheme="minorHAnsi" w:cstheme="minorBidi"/>
            <w:noProof/>
            <w:szCs w:val="22"/>
          </w:rPr>
          <w:tab/>
        </w:r>
        <w:r w:rsidRPr="00C95951">
          <w:rPr>
            <w:rStyle w:val="Hypertextovodkaz"/>
            <w:noProof/>
          </w:rPr>
          <w:t>Návrh opatření</w:t>
        </w:r>
        <w:r>
          <w:rPr>
            <w:noProof/>
            <w:webHidden/>
          </w:rPr>
          <w:tab/>
        </w:r>
        <w:r>
          <w:rPr>
            <w:noProof/>
            <w:webHidden/>
          </w:rPr>
          <w:fldChar w:fldCharType="begin"/>
        </w:r>
        <w:r>
          <w:rPr>
            <w:noProof/>
            <w:webHidden/>
          </w:rPr>
          <w:instrText xml:space="preserve"> PAGEREF _Toc416447889 \h </w:instrText>
        </w:r>
        <w:r>
          <w:rPr>
            <w:noProof/>
            <w:webHidden/>
          </w:rPr>
        </w:r>
        <w:r>
          <w:rPr>
            <w:noProof/>
            <w:webHidden/>
          </w:rPr>
          <w:fldChar w:fldCharType="separate"/>
        </w:r>
        <w:r>
          <w:rPr>
            <w:noProof/>
            <w:webHidden/>
          </w:rPr>
          <w:t>91</w:t>
        </w:r>
        <w:r>
          <w:rPr>
            <w:noProof/>
            <w:webHidden/>
          </w:rPr>
          <w:fldChar w:fldCharType="end"/>
        </w:r>
      </w:hyperlink>
    </w:p>
    <w:p w:rsidR="00F50BC7" w:rsidRDefault="00F50BC7">
      <w:pPr>
        <w:pStyle w:val="Obsah1"/>
        <w:rPr>
          <w:rFonts w:asciiTheme="minorHAnsi" w:eastAsiaTheme="minorEastAsia" w:hAnsiTheme="minorHAnsi" w:cstheme="minorBidi"/>
          <w:noProof/>
          <w:szCs w:val="22"/>
        </w:rPr>
      </w:pPr>
      <w:hyperlink w:anchor="_Toc416447891" w:history="1">
        <w:r w:rsidRPr="00C95951">
          <w:rPr>
            <w:rStyle w:val="Hypertextovodkaz"/>
            <w:noProof/>
          </w:rPr>
          <w:t>5</w:t>
        </w:r>
        <w:r>
          <w:rPr>
            <w:rFonts w:asciiTheme="minorHAnsi" w:eastAsiaTheme="minorEastAsia" w:hAnsiTheme="minorHAnsi" w:cstheme="minorBidi"/>
            <w:noProof/>
            <w:szCs w:val="22"/>
          </w:rPr>
          <w:tab/>
        </w:r>
        <w:r w:rsidRPr="00C95951">
          <w:rPr>
            <w:rStyle w:val="Hypertextovodkaz"/>
            <w:noProof/>
          </w:rPr>
          <w:t>Blok II.: Návrh vhodné strategie</w:t>
        </w:r>
        <w:r>
          <w:rPr>
            <w:noProof/>
            <w:webHidden/>
          </w:rPr>
          <w:tab/>
        </w:r>
        <w:r>
          <w:rPr>
            <w:noProof/>
            <w:webHidden/>
          </w:rPr>
          <w:fldChar w:fldCharType="begin"/>
        </w:r>
        <w:r>
          <w:rPr>
            <w:noProof/>
            <w:webHidden/>
          </w:rPr>
          <w:instrText xml:space="preserve"> PAGEREF _Toc416447891 \h </w:instrText>
        </w:r>
        <w:r>
          <w:rPr>
            <w:noProof/>
            <w:webHidden/>
          </w:rPr>
        </w:r>
        <w:r>
          <w:rPr>
            <w:noProof/>
            <w:webHidden/>
          </w:rPr>
          <w:fldChar w:fldCharType="separate"/>
        </w:r>
        <w:r>
          <w:rPr>
            <w:noProof/>
            <w:webHidden/>
          </w:rPr>
          <w:t>93</w:t>
        </w:r>
        <w:r>
          <w:rPr>
            <w:noProof/>
            <w:webHidden/>
          </w:rPr>
          <w:fldChar w:fldCharType="end"/>
        </w:r>
      </w:hyperlink>
    </w:p>
    <w:p w:rsidR="00F50BC7" w:rsidRDefault="00F50BC7">
      <w:pPr>
        <w:pStyle w:val="Obsah2"/>
        <w:tabs>
          <w:tab w:val="left" w:pos="720"/>
          <w:tab w:val="right" w:leader="dot" w:pos="9060"/>
        </w:tabs>
        <w:rPr>
          <w:rFonts w:asciiTheme="minorHAnsi" w:eastAsiaTheme="minorEastAsia" w:hAnsiTheme="minorHAnsi" w:cstheme="minorBidi"/>
          <w:noProof/>
          <w:szCs w:val="22"/>
        </w:rPr>
      </w:pPr>
      <w:hyperlink w:anchor="_Toc416447892" w:history="1">
        <w:r w:rsidRPr="00C95951">
          <w:rPr>
            <w:rStyle w:val="Hypertextovodkaz"/>
            <w:noProof/>
          </w:rPr>
          <w:t>5.1</w:t>
        </w:r>
        <w:r>
          <w:rPr>
            <w:rFonts w:asciiTheme="minorHAnsi" w:eastAsiaTheme="minorEastAsia" w:hAnsiTheme="minorHAnsi" w:cstheme="minorBidi"/>
            <w:noProof/>
            <w:szCs w:val="22"/>
          </w:rPr>
          <w:tab/>
        </w:r>
        <w:r w:rsidRPr="00C95951">
          <w:rPr>
            <w:rStyle w:val="Hypertextovodkaz"/>
            <w:noProof/>
          </w:rPr>
          <w:t>Specifický cíl 1.1</w:t>
        </w:r>
        <w:r>
          <w:rPr>
            <w:noProof/>
            <w:webHidden/>
          </w:rPr>
          <w:tab/>
        </w:r>
        <w:r>
          <w:rPr>
            <w:noProof/>
            <w:webHidden/>
          </w:rPr>
          <w:fldChar w:fldCharType="begin"/>
        </w:r>
        <w:r>
          <w:rPr>
            <w:noProof/>
            <w:webHidden/>
          </w:rPr>
          <w:instrText xml:space="preserve"> PAGEREF _Toc416447892 \h </w:instrText>
        </w:r>
        <w:r>
          <w:rPr>
            <w:noProof/>
            <w:webHidden/>
          </w:rPr>
        </w:r>
        <w:r>
          <w:rPr>
            <w:noProof/>
            <w:webHidden/>
          </w:rPr>
          <w:fldChar w:fldCharType="separate"/>
        </w:r>
        <w:r>
          <w:rPr>
            <w:noProof/>
            <w:webHidden/>
          </w:rPr>
          <w:t>93</w:t>
        </w:r>
        <w:r>
          <w:rPr>
            <w:noProof/>
            <w:webHidden/>
          </w:rPr>
          <w:fldChar w:fldCharType="end"/>
        </w:r>
      </w:hyperlink>
    </w:p>
    <w:p w:rsidR="00F50BC7" w:rsidRDefault="00F50BC7">
      <w:pPr>
        <w:pStyle w:val="Obsah3"/>
        <w:tabs>
          <w:tab w:val="left" w:pos="720"/>
          <w:tab w:val="right" w:leader="dot" w:pos="9060"/>
        </w:tabs>
        <w:rPr>
          <w:rFonts w:asciiTheme="minorHAnsi" w:eastAsiaTheme="minorEastAsia" w:hAnsiTheme="minorHAnsi" w:cstheme="minorBidi"/>
          <w:noProof/>
          <w:szCs w:val="22"/>
        </w:rPr>
      </w:pPr>
      <w:hyperlink w:anchor="_Toc416447896" w:history="1">
        <w:r>
          <w:rPr>
            <w:rFonts w:asciiTheme="minorHAnsi" w:eastAsiaTheme="minorEastAsia" w:hAnsiTheme="minorHAnsi" w:cstheme="minorBidi"/>
            <w:noProof/>
            <w:szCs w:val="22"/>
          </w:rPr>
          <w:tab/>
        </w:r>
        <w:r w:rsidRPr="00C95951">
          <w:rPr>
            <w:rStyle w:val="Hypertextovodkaz"/>
            <w:noProof/>
          </w:rPr>
          <w:t>Odůvodnění volby oblasti podpory a návrhu nástroje</w:t>
        </w:r>
        <w:r>
          <w:rPr>
            <w:noProof/>
            <w:webHidden/>
          </w:rPr>
          <w:tab/>
        </w:r>
        <w:r>
          <w:rPr>
            <w:noProof/>
            <w:webHidden/>
          </w:rPr>
          <w:fldChar w:fldCharType="begin"/>
        </w:r>
        <w:r>
          <w:rPr>
            <w:noProof/>
            <w:webHidden/>
          </w:rPr>
          <w:instrText xml:space="preserve"> PAGEREF _Toc416447896 \h </w:instrText>
        </w:r>
        <w:r>
          <w:rPr>
            <w:noProof/>
            <w:webHidden/>
          </w:rPr>
        </w:r>
        <w:r>
          <w:rPr>
            <w:noProof/>
            <w:webHidden/>
          </w:rPr>
          <w:fldChar w:fldCharType="separate"/>
        </w:r>
        <w:r>
          <w:rPr>
            <w:noProof/>
            <w:webHidden/>
          </w:rPr>
          <w:t>93</w:t>
        </w:r>
        <w:r>
          <w:rPr>
            <w:noProof/>
            <w:webHidden/>
          </w:rPr>
          <w:fldChar w:fldCharType="end"/>
        </w:r>
      </w:hyperlink>
    </w:p>
    <w:p w:rsidR="00F50BC7" w:rsidRDefault="00F50BC7">
      <w:pPr>
        <w:pStyle w:val="Obsah3"/>
        <w:tabs>
          <w:tab w:val="right" w:leader="dot" w:pos="9060"/>
        </w:tabs>
        <w:rPr>
          <w:rFonts w:asciiTheme="minorHAnsi" w:eastAsiaTheme="minorEastAsia" w:hAnsiTheme="minorHAnsi" w:cstheme="minorBidi"/>
          <w:noProof/>
          <w:szCs w:val="22"/>
        </w:rPr>
      </w:pPr>
      <w:hyperlink w:anchor="_Toc416447897" w:history="1">
        <w:r w:rsidRPr="00C95951">
          <w:rPr>
            <w:rStyle w:val="Hypertextovodkaz"/>
            <w:noProof/>
          </w:rPr>
          <w:t>5.1.1</w:t>
        </w:r>
        <w:r>
          <w:rPr>
            <w:noProof/>
            <w:webHidden/>
          </w:rPr>
          <w:tab/>
        </w:r>
        <w:r>
          <w:rPr>
            <w:noProof/>
            <w:webHidden/>
          </w:rPr>
          <w:fldChar w:fldCharType="begin"/>
        </w:r>
        <w:r>
          <w:rPr>
            <w:noProof/>
            <w:webHidden/>
          </w:rPr>
          <w:instrText xml:space="preserve"> PAGEREF _Toc416447897 \h </w:instrText>
        </w:r>
        <w:r>
          <w:rPr>
            <w:noProof/>
            <w:webHidden/>
          </w:rPr>
        </w:r>
        <w:r>
          <w:rPr>
            <w:noProof/>
            <w:webHidden/>
          </w:rPr>
          <w:fldChar w:fldCharType="separate"/>
        </w:r>
        <w:r>
          <w:rPr>
            <w:noProof/>
            <w:webHidden/>
          </w:rPr>
          <w:t>93</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908" w:history="1">
        <w:r w:rsidRPr="00C95951">
          <w:rPr>
            <w:rStyle w:val="Hypertextovodkaz"/>
            <w:noProof/>
          </w:rPr>
          <w:t>5.1.2</w:t>
        </w:r>
        <w:r>
          <w:rPr>
            <w:rFonts w:asciiTheme="minorHAnsi" w:eastAsiaTheme="minorEastAsia" w:hAnsiTheme="minorHAnsi" w:cstheme="minorBidi"/>
            <w:noProof/>
            <w:szCs w:val="22"/>
          </w:rPr>
          <w:tab/>
        </w:r>
        <w:r w:rsidRPr="00C95951">
          <w:rPr>
            <w:rStyle w:val="Hypertextovodkaz"/>
            <w:noProof/>
          </w:rPr>
          <w:t>Schéma fungování navrhovaného finančního nástroje</w:t>
        </w:r>
        <w:r>
          <w:rPr>
            <w:noProof/>
            <w:webHidden/>
          </w:rPr>
          <w:tab/>
        </w:r>
        <w:r>
          <w:rPr>
            <w:noProof/>
            <w:webHidden/>
          </w:rPr>
          <w:fldChar w:fldCharType="begin"/>
        </w:r>
        <w:r>
          <w:rPr>
            <w:noProof/>
            <w:webHidden/>
          </w:rPr>
          <w:instrText xml:space="preserve"> PAGEREF _Toc416447908 \h </w:instrText>
        </w:r>
        <w:r>
          <w:rPr>
            <w:noProof/>
            <w:webHidden/>
          </w:rPr>
        </w:r>
        <w:r>
          <w:rPr>
            <w:noProof/>
            <w:webHidden/>
          </w:rPr>
          <w:fldChar w:fldCharType="separate"/>
        </w:r>
        <w:r>
          <w:rPr>
            <w:noProof/>
            <w:webHidden/>
          </w:rPr>
          <w:t>94</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918" w:history="1">
        <w:r w:rsidRPr="00C95951">
          <w:rPr>
            <w:rStyle w:val="Hypertextovodkaz"/>
            <w:noProof/>
          </w:rPr>
          <w:t>5.1.3</w:t>
        </w:r>
        <w:r>
          <w:rPr>
            <w:rFonts w:asciiTheme="minorHAnsi" w:eastAsiaTheme="minorEastAsia" w:hAnsiTheme="minorHAnsi" w:cstheme="minorBidi"/>
            <w:noProof/>
            <w:szCs w:val="22"/>
          </w:rPr>
          <w:tab/>
        </w:r>
        <w:r w:rsidRPr="00C95951">
          <w:rPr>
            <w:rStyle w:val="Hypertextovodkaz"/>
            <w:noProof/>
          </w:rPr>
          <w:t>Základní parametry finančního nástroje</w:t>
        </w:r>
        <w:r>
          <w:rPr>
            <w:noProof/>
            <w:webHidden/>
          </w:rPr>
          <w:tab/>
        </w:r>
        <w:r>
          <w:rPr>
            <w:noProof/>
            <w:webHidden/>
          </w:rPr>
          <w:fldChar w:fldCharType="begin"/>
        </w:r>
        <w:r>
          <w:rPr>
            <w:noProof/>
            <w:webHidden/>
          </w:rPr>
          <w:instrText xml:space="preserve"> PAGEREF _Toc416447918 \h </w:instrText>
        </w:r>
        <w:r>
          <w:rPr>
            <w:noProof/>
            <w:webHidden/>
          </w:rPr>
        </w:r>
        <w:r>
          <w:rPr>
            <w:noProof/>
            <w:webHidden/>
          </w:rPr>
          <w:fldChar w:fldCharType="separate"/>
        </w:r>
        <w:r>
          <w:rPr>
            <w:noProof/>
            <w:webHidden/>
          </w:rPr>
          <w:t>94</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951" w:history="1">
        <w:r w:rsidRPr="00C95951">
          <w:rPr>
            <w:rStyle w:val="Hypertextovodkaz"/>
            <w:noProof/>
          </w:rPr>
          <w:t>5.1.4</w:t>
        </w:r>
        <w:r>
          <w:rPr>
            <w:rFonts w:asciiTheme="minorHAnsi" w:eastAsiaTheme="minorEastAsia" w:hAnsiTheme="minorHAnsi" w:cstheme="minorBidi"/>
            <w:noProof/>
            <w:szCs w:val="22"/>
          </w:rPr>
          <w:tab/>
        </w:r>
        <w:r w:rsidRPr="00C95951">
          <w:rPr>
            <w:rStyle w:val="Hypertextovodkaz"/>
            <w:noProof/>
          </w:rPr>
          <w:t>Posouzení zkušeností získaných v minulosti</w:t>
        </w:r>
        <w:r>
          <w:rPr>
            <w:noProof/>
            <w:webHidden/>
          </w:rPr>
          <w:tab/>
        </w:r>
        <w:r>
          <w:rPr>
            <w:noProof/>
            <w:webHidden/>
          </w:rPr>
          <w:fldChar w:fldCharType="begin"/>
        </w:r>
        <w:r>
          <w:rPr>
            <w:noProof/>
            <w:webHidden/>
          </w:rPr>
          <w:instrText xml:space="preserve"> PAGEREF _Toc416447951 \h </w:instrText>
        </w:r>
        <w:r>
          <w:rPr>
            <w:noProof/>
            <w:webHidden/>
          </w:rPr>
        </w:r>
        <w:r>
          <w:rPr>
            <w:noProof/>
            <w:webHidden/>
          </w:rPr>
          <w:fldChar w:fldCharType="separate"/>
        </w:r>
        <w:r>
          <w:rPr>
            <w:noProof/>
            <w:webHidden/>
          </w:rPr>
          <w:t>95</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952" w:history="1">
        <w:r w:rsidRPr="00C95951">
          <w:rPr>
            <w:rStyle w:val="Hypertextovodkaz"/>
            <w:noProof/>
          </w:rPr>
          <w:t>5.1.5</w:t>
        </w:r>
        <w:r>
          <w:rPr>
            <w:rFonts w:asciiTheme="minorHAnsi" w:eastAsiaTheme="minorEastAsia" w:hAnsiTheme="minorHAnsi" w:cstheme="minorBidi"/>
            <w:noProof/>
            <w:szCs w:val="22"/>
          </w:rPr>
          <w:tab/>
        </w:r>
        <w:r w:rsidRPr="00C95951">
          <w:rPr>
            <w:rStyle w:val="Hypertextovodkaz"/>
            <w:noProof/>
          </w:rPr>
          <w:t>Očekávané výsledky finančního nástroje</w:t>
        </w:r>
        <w:r>
          <w:rPr>
            <w:noProof/>
            <w:webHidden/>
          </w:rPr>
          <w:tab/>
        </w:r>
        <w:r>
          <w:rPr>
            <w:noProof/>
            <w:webHidden/>
          </w:rPr>
          <w:fldChar w:fldCharType="begin"/>
        </w:r>
        <w:r>
          <w:rPr>
            <w:noProof/>
            <w:webHidden/>
          </w:rPr>
          <w:instrText xml:space="preserve"> PAGEREF _Toc416447952 \h </w:instrText>
        </w:r>
        <w:r>
          <w:rPr>
            <w:noProof/>
            <w:webHidden/>
          </w:rPr>
        </w:r>
        <w:r>
          <w:rPr>
            <w:noProof/>
            <w:webHidden/>
          </w:rPr>
          <w:fldChar w:fldCharType="separate"/>
        </w:r>
        <w:r>
          <w:rPr>
            <w:noProof/>
            <w:webHidden/>
          </w:rPr>
          <w:t>96</w:t>
        </w:r>
        <w:r>
          <w:rPr>
            <w:noProof/>
            <w:webHidden/>
          </w:rPr>
          <w:fldChar w:fldCharType="end"/>
        </w:r>
      </w:hyperlink>
    </w:p>
    <w:p w:rsidR="00F50BC7" w:rsidRDefault="00F50BC7">
      <w:pPr>
        <w:pStyle w:val="Obsah2"/>
        <w:tabs>
          <w:tab w:val="left" w:pos="720"/>
          <w:tab w:val="right" w:leader="dot" w:pos="9060"/>
        </w:tabs>
        <w:rPr>
          <w:rFonts w:asciiTheme="minorHAnsi" w:eastAsiaTheme="minorEastAsia" w:hAnsiTheme="minorHAnsi" w:cstheme="minorBidi"/>
          <w:noProof/>
          <w:szCs w:val="22"/>
        </w:rPr>
      </w:pPr>
      <w:hyperlink w:anchor="_Toc416447953" w:history="1">
        <w:r w:rsidRPr="00C95951">
          <w:rPr>
            <w:rStyle w:val="Hypertextovodkaz"/>
            <w:noProof/>
          </w:rPr>
          <w:t>5.2</w:t>
        </w:r>
        <w:r>
          <w:rPr>
            <w:rFonts w:asciiTheme="minorHAnsi" w:eastAsiaTheme="minorEastAsia" w:hAnsiTheme="minorHAnsi" w:cstheme="minorBidi"/>
            <w:noProof/>
            <w:szCs w:val="22"/>
          </w:rPr>
          <w:tab/>
        </w:r>
        <w:r w:rsidRPr="00C95951">
          <w:rPr>
            <w:rStyle w:val="Hypertextovodkaz"/>
            <w:noProof/>
          </w:rPr>
          <w:t>SC 1.2</w:t>
        </w:r>
        <w:r>
          <w:rPr>
            <w:noProof/>
            <w:webHidden/>
          </w:rPr>
          <w:tab/>
        </w:r>
        <w:r>
          <w:rPr>
            <w:noProof/>
            <w:webHidden/>
          </w:rPr>
          <w:fldChar w:fldCharType="begin"/>
        </w:r>
        <w:r>
          <w:rPr>
            <w:noProof/>
            <w:webHidden/>
          </w:rPr>
          <w:instrText xml:space="preserve"> PAGEREF _Toc416447953 \h </w:instrText>
        </w:r>
        <w:r>
          <w:rPr>
            <w:noProof/>
            <w:webHidden/>
          </w:rPr>
        </w:r>
        <w:r>
          <w:rPr>
            <w:noProof/>
            <w:webHidden/>
          </w:rPr>
          <w:fldChar w:fldCharType="separate"/>
        </w:r>
        <w:r>
          <w:rPr>
            <w:noProof/>
            <w:webHidden/>
          </w:rPr>
          <w:t>97</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954" w:history="1">
        <w:r w:rsidRPr="00C95951">
          <w:rPr>
            <w:rStyle w:val="Hypertextovodkaz"/>
            <w:noProof/>
          </w:rPr>
          <w:t>5.2.1</w:t>
        </w:r>
        <w:r>
          <w:rPr>
            <w:rFonts w:asciiTheme="minorHAnsi" w:eastAsiaTheme="minorEastAsia" w:hAnsiTheme="minorHAnsi" w:cstheme="minorBidi"/>
            <w:noProof/>
            <w:szCs w:val="22"/>
          </w:rPr>
          <w:tab/>
        </w:r>
        <w:r w:rsidRPr="00C95951">
          <w:rPr>
            <w:rStyle w:val="Hypertextovodkaz"/>
            <w:noProof/>
          </w:rPr>
          <w:t>Odůvodnění volby oblasti podpory a návrhu nástroje</w:t>
        </w:r>
        <w:r>
          <w:rPr>
            <w:noProof/>
            <w:webHidden/>
          </w:rPr>
          <w:tab/>
        </w:r>
        <w:r>
          <w:rPr>
            <w:noProof/>
            <w:webHidden/>
          </w:rPr>
          <w:fldChar w:fldCharType="begin"/>
        </w:r>
        <w:r>
          <w:rPr>
            <w:noProof/>
            <w:webHidden/>
          </w:rPr>
          <w:instrText xml:space="preserve"> PAGEREF _Toc416447954 \h </w:instrText>
        </w:r>
        <w:r>
          <w:rPr>
            <w:noProof/>
            <w:webHidden/>
          </w:rPr>
        </w:r>
        <w:r>
          <w:rPr>
            <w:noProof/>
            <w:webHidden/>
          </w:rPr>
          <w:fldChar w:fldCharType="separate"/>
        </w:r>
        <w:r>
          <w:rPr>
            <w:noProof/>
            <w:webHidden/>
          </w:rPr>
          <w:t>97</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955" w:history="1">
        <w:r w:rsidRPr="00C95951">
          <w:rPr>
            <w:rStyle w:val="Hypertextovodkaz"/>
            <w:noProof/>
          </w:rPr>
          <w:t>5.2.2</w:t>
        </w:r>
        <w:r>
          <w:rPr>
            <w:rFonts w:asciiTheme="minorHAnsi" w:eastAsiaTheme="minorEastAsia" w:hAnsiTheme="minorHAnsi" w:cstheme="minorBidi"/>
            <w:noProof/>
            <w:szCs w:val="22"/>
          </w:rPr>
          <w:tab/>
        </w:r>
        <w:r w:rsidRPr="00C95951">
          <w:rPr>
            <w:rStyle w:val="Hypertextovodkaz"/>
            <w:noProof/>
          </w:rPr>
          <w:t>Schéma fungování navrhovaného finančního nástroje</w:t>
        </w:r>
        <w:r>
          <w:rPr>
            <w:noProof/>
            <w:webHidden/>
          </w:rPr>
          <w:tab/>
        </w:r>
        <w:r>
          <w:rPr>
            <w:noProof/>
            <w:webHidden/>
          </w:rPr>
          <w:fldChar w:fldCharType="begin"/>
        </w:r>
        <w:r>
          <w:rPr>
            <w:noProof/>
            <w:webHidden/>
          </w:rPr>
          <w:instrText xml:space="preserve"> PAGEREF _Toc416447955 \h </w:instrText>
        </w:r>
        <w:r>
          <w:rPr>
            <w:noProof/>
            <w:webHidden/>
          </w:rPr>
        </w:r>
        <w:r>
          <w:rPr>
            <w:noProof/>
            <w:webHidden/>
          </w:rPr>
          <w:fldChar w:fldCharType="separate"/>
        </w:r>
        <w:r>
          <w:rPr>
            <w:noProof/>
            <w:webHidden/>
          </w:rPr>
          <w:t>98</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956" w:history="1">
        <w:r w:rsidRPr="00C95951">
          <w:rPr>
            <w:rStyle w:val="Hypertextovodkaz"/>
            <w:noProof/>
          </w:rPr>
          <w:t>5.2.3</w:t>
        </w:r>
        <w:r>
          <w:rPr>
            <w:rFonts w:asciiTheme="minorHAnsi" w:eastAsiaTheme="minorEastAsia" w:hAnsiTheme="minorHAnsi" w:cstheme="minorBidi"/>
            <w:noProof/>
            <w:szCs w:val="22"/>
          </w:rPr>
          <w:tab/>
        </w:r>
        <w:r w:rsidRPr="00C95951">
          <w:rPr>
            <w:rStyle w:val="Hypertextovodkaz"/>
            <w:noProof/>
          </w:rPr>
          <w:t>Základní parametry finančního nástroje</w:t>
        </w:r>
        <w:r>
          <w:rPr>
            <w:noProof/>
            <w:webHidden/>
          </w:rPr>
          <w:tab/>
        </w:r>
        <w:r>
          <w:rPr>
            <w:noProof/>
            <w:webHidden/>
          </w:rPr>
          <w:fldChar w:fldCharType="begin"/>
        </w:r>
        <w:r>
          <w:rPr>
            <w:noProof/>
            <w:webHidden/>
          </w:rPr>
          <w:instrText xml:space="preserve"> PAGEREF _Toc416447956 \h </w:instrText>
        </w:r>
        <w:r>
          <w:rPr>
            <w:noProof/>
            <w:webHidden/>
          </w:rPr>
        </w:r>
        <w:r>
          <w:rPr>
            <w:noProof/>
            <w:webHidden/>
          </w:rPr>
          <w:fldChar w:fldCharType="separate"/>
        </w:r>
        <w:r>
          <w:rPr>
            <w:noProof/>
            <w:webHidden/>
          </w:rPr>
          <w:t>99</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957" w:history="1">
        <w:r w:rsidRPr="00C95951">
          <w:rPr>
            <w:rStyle w:val="Hypertextovodkaz"/>
            <w:noProof/>
          </w:rPr>
          <w:t>5.2.4</w:t>
        </w:r>
        <w:r>
          <w:rPr>
            <w:rFonts w:asciiTheme="minorHAnsi" w:eastAsiaTheme="minorEastAsia" w:hAnsiTheme="minorHAnsi" w:cstheme="minorBidi"/>
            <w:noProof/>
            <w:szCs w:val="22"/>
          </w:rPr>
          <w:tab/>
        </w:r>
        <w:r w:rsidRPr="00C95951">
          <w:rPr>
            <w:rStyle w:val="Hypertextovodkaz"/>
            <w:noProof/>
          </w:rPr>
          <w:t>Posouzení zkušeností získaných v minulosti</w:t>
        </w:r>
        <w:r>
          <w:rPr>
            <w:noProof/>
            <w:webHidden/>
          </w:rPr>
          <w:tab/>
        </w:r>
        <w:r>
          <w:rPr>
            <w:noProof/>
            <w:webHidden/>
          </w:rPr>
          <w:fldChar w:fldCharType="begin"/>
        </w:r>
        <w:r>
          <w:rPr>
            <w:noProof/>
            <w:webHidden/>
          </w:rPr>
          <w:instrText xml:space="preserve"> PAGEREF _Toc416447957 \h </w:instrText>
        </w:r>
        <w:r>
          <w:rPr>
            <w:noProof/>
            <w:webHidden/>
          </w:rPr>
        </w:r>
        <w:r>
          <w:rPr>
            <w:noProof/>
            <w:webHidden/>
          </w:rPr>
          <w:fldChar w:fldCharType="separate"/>
        </w:r>
        <w:r>
          <w:rPr>
            <w:noProof/>
            <w:webHidden/>
          </w:rPr>
          <w:t>100</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958" w:history="1">
        <w:r w:rsidRPr="00C95951">
          <w:rPr>
            <w:rStyle w:val="Hypertextovodkaz"/>
            <w:noProof/>
          </w:rPr>
          <w:t>5.2.5</w:t>
        </w:r>
        <w:r>
          <w:rPr>
            <w:rFonts w:asciiTheme="minorHAnsi" w:eastAsiaTheme="minorEastAsia" w:hAnsiTheme="minorHAnsi" w:cstheme="minorBidi"/>
            <w:noProof/>
            <w:szCs w:val="22"/>
          </w:rPr>
          <w:tab/>
        </w:r>
        <w:r w:rsidRPr="00C95951">
          <w:rPr>
            <w:rStyle w:val="Hypertextovodkaz"/>
            <w:noProof/>
          </w:rPr>
          <w:t>Očekávané výsledky finančního nástroje</w:t>
        </w:r>
        <w:r>
          <w:rPr>
            <w:noProof/>
            <w:webHidden/>
          </w:rPr>
          <w:tab/>
        </w:r>
        <w:r>
          <w:rPr>
            <w:noProof/>
            <w:webHidden/>
          </w:rPr>
          <w:fldChar w:fldCharType="begin"/>
        </w:r>
        <w:r>
          <w:rPr>
            <w:noProof/>
            <w:webHidden/>
          </w:rPr>
          <w:instrText xml:space="preserve"> PAGEREF _Toc416447958 \h </w:instrText>
        </w:r>
        <w:r>
          <w:rPr>
            <w:noProof/>
            <w:webHidden/>
          </w:rPr>
        </w:r>
        <w:r>
          <w:rPr>
            <w:noProof/>
            <w:webHidden/>
          </w:rPr>
          <w:fldChar w:fldCharType="separate"/>
        </w:r>
        <w:r>
          <w:rPr>
            <w:noProof/>
            <w:webHidden/>
          </w:rPr>
          <w:t>103</w:t>
        </w:r>
        <w:r>
          <w:rPr>
            <w:noProof/>
            <w:webHidden/>
          </w:rPr>
          <w:fldChar w:fldCharType="end"/>
        </w:r>
      </w:hyperlink>
    </w:p>
    <w:p w:rsidR="00F50BC7" w:rsidRDefault="00F50BC7">
      <w:pPr>
        <w:pStyle w:val="Obsah2"/>
        <w:tabs>
          <w:tab w:val="left" w:pos="720"/>
          <w:tab w:val="right" w:leader="dot" w:pos="9060"/>
        </w:tabs>
        <w:rPr>
          <w:rFonts w:asciiTheme="minorHAnsi" w:eastAsiaTheme="minorEastAsia" w:hAnsiTheme="minorHAnsi" w:cstheme="minorBidi"/>
          <w:noProof/>
          <w:szCs w:val="22"/>
        </w:rPr>
      </w:pPr>
      <w:hyperlink w:anchor="_Toc416447959" w:history="1">
        <w:r w:rsidRPr="00C95951">
          <w:rPr>
            <w:rStyle w:val="Hypertextovodkaz"/>
            <w:noProof/>
          </w:rPr>
          <w:t>5.3</w:t>
        </w:r>
        <w:r>
          <w:rPr>
            <w:rFonts w:asciiTheme="minorHAnsi" w:eastAsiaTheme="minorEastAsia" w:hAnsiTheme="minorHAnsi" w:cstheme="minorBidi"/>
            <w:noProof/>
            <w:szCs w:val="22"/>
          </w:rPr>
          <w:tab/>
        </w:r>
        <w:r w:rsidRPr="00C95951">
          <w:rPr>
            <w:rStyle w:val="Hypertextovodkaz"/>
            <w:noProof/>
          </w:rPr>
          <w:t>SC 2.1</w:t>
        </w:r>
        <w:r>
          <w:rPr>
            <w:noProof/>
            <w:webHidden/>
          </w:rPr>
          <w:tab/>
        </w:r>
        <w:r>
          <w:rPr>
            <w:noProof/>
            <w:webHidden/>
          </w:rPr>
          <w:fldChar w:fldCharType="begin"/>
        </w:r>
        <w:r>
          <w:rPr>
            <w:noProof/>
            <w:webHidden/>
          </w:rPr>
          <w:instrText xml:space="preserve"> PAGEREF _Toc416447959 \h </w:instrText>
        </w:r>
        <w:r>
          <w:rPr>
            <w:noProof/>
            <w:webHidden/>
          </w:rPr>
        </w:r>
        <w:r>
          <w:rPr>
            <w:noProof/>
            <w:webHidden/>
          </w:rPr>
          <w:fldChar w:fldCharType="separate"/>
        </w:r>
        <w:r>
          <w:rPr>
            <w:noProof/>
            <w:webHidden/>
          </w:rPr>
          <w:t>104</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960" w:history="1">
        <w:r w:rsidRPr="00C95951">
          <w:rPr>
            <w:rStyle w:val="Hypertextovodkaz"/>
            <w:noProof/>
          </w:rPr>
          <w:t>5.3.1</w:t>
        </w:r>
        <w:r>
          <w:rPr>
            <w:rFonts w:asciiTheme="minorHAnsi" w:eastAsiaTheme="minorEastAsia" w:hAnsiTheme="minorHAnsi" w:cstheme="minorBidi"/>
            <w:noProof/>
            <w:szCs w:val="22"/>
          </w:rPr>
          <w:tab/>
        </w:r>
        <w:r w:rsidRPr="00C95951">
          <w:rPr>
            <w:rStyle w:val="Hypertextovodkaz"/>
            <w:noProof/>
          </w:rPr>
          <w:t>Odůvodnění volby oblasti podpory a návrhu nástroje</w:t>
        </w:r>
        <w:r>
          <w:rPr>
            <w:noProof/>
            <w:webHidden/>
          </w:rPr>
          <w:tab/>
        </w:r>
        <w:r>
          <w:rPr>
            <w:noProof/>
            <w:webHidden/>
          </w:rPr>
          <w:fldChar w:fldCharType="begin"/>
        </w:r>
        <w:r>
          <w:rPr>
            <w:noProof/>
            <w:webHidden/>
          </w:rPr>
          <w:instrText xml:space="preserve"> PAGEREF _Toc416447960 \h </w:instrText>
        </w:r>
        <w:r>
          <w:rPr>
            <w:noProof/>
            <w:webHidden/>
          </w:rPr>
        </w:r>
        <w:r>
          <w:rPr>
            <w:noProof/>
            <w:webHidden/>
          </w:rPr>
          <w:fldChar w:fldCharType="separate"/>
        </w:r>
        <w:r>
          <w:rPr>
            <w:noProof/>
            <w:webHidden/>
          </w:rPr>
          <w:t>104</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968" w:history="1">
        <w:r w:rsidRPr="00C95951">
          <w:rPr>
            <w:rStyle w:val="Hypertextovodkaz"/>
            <w:noProof/>
          </w:rPr>
          <w:t>5.3.2</w:t>
        </w:r>
        <w:r>
          <w:rPr>
            <w:rFonts w:asciiTheme="minorHAnsi" w:eastAsiaTheme="minorEastAsia" w:hAnsiTheme="minorHAnsi" w:cstheme="minorBidi"/>
            <w:noProof/>
            <w:szCs w:val="22"/>
          </w:rPr>
          <w:tab/>
        </w:r>
        <w:r w:rsidRPr="00C95951">
          <w:rPr>
            <w:rStyle w:val="Hypertextovodkaz"/>
            <w:noProof/>
          </w:rPr>
          <w:t>Schéma fungování navrhovaného finančního nástroje</w:t>
        </w:r>
        <w:r>
          <w:rPr>
            <w:noProof/>
            <w:webHidden/>
          </w:rPr>
          <w:tab/>
        </w:r>
        <w:r>
          <w:rPr>
            <w:noProof/>
            <w:webHidden/>
          </w:rPr>
          <w:fldChar w:fldCharType="begin"/>
        </w:r>
        <w:r>
          <w:rPr>
            <w:noProof/>
            <w:webHidden/>
          </w:rPr>
          <w:instrText xml:space="preserve"> PAGEREF _Toc416447968 \h </w:instrText>
        </w:r>
        <w:r>
          <w:rPr>
            <w:noProof/>
            <w:webHidden/>
          </w:rPr>
        </w:r>
        <w:r>
          <w:rPr>
            <w:noProof/>
            <w:webHidden/>
          </w:rPr>
          <w:fldChar w:fldCharType="separate"/>
        </w:r>
        <w:r>
          <w:rPr>
            <w:noProof/>
            <w:webHidden/>
          </w:rPr>
          <w:t>106</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969" w:history="1">
        <w:r w:rsidRPr="00C95951">
          <w:rPr>
            <w:rStyle w:val="Hypertextovodkaz"/>
            <w:noProof/>
          </w:rPr>
          <w:t>5.3.3</w:t>
        </w:r>
        <w:r>
          <w:rPr>
            <w:rFonts w:asciiTheme="minorHAnsi" w:eastAsiaTheme="minorEastAsia" w:hAnsiTheme="minorHAnsi" w:cstheme="minorBidi"/>
            <w:noProof/>
            <w:szCs w:val="22"/>
          </w:rPr>
          <w:tab/>
        </w:r>
        <w:r w:rsidRPr="00C95951">
          <w:rPr>
            <w:rStyle w:val="Hypertextovodkaz"/>
            <w:noProof/>
          </w:rPr>
          <w:t>Základní parametry finančního nástroje</w:t>
        </w:r>
        <w:r>
          <w:rPr>
            <w:noProof/>
            <w:webHidden/>
          </w:rPr>
          <w:tab/>
        </w:r>
        <w:r>
          <w:rPr>
            <w:noProof/>
            <w:webHidden/>
          </w:rPr>
          <w:fldChar w:fldCharType="begin"/>
        </w:r>
        <w:r>
          <w:rPr>
            <w:noProof/>
            <w:webHidden/>
          </w:rPr>
          <w:instrText xml:space="preserve"> PAGEREF _Toc416447969 \h </w:instrText>
        </w:r>
        <w:r>
          <w:rPr>
            <w:noProof/>
            <w:webHidden/>
          </w:rPr>
        </w:r>
        <w:r>
          <w:rPr>
            <w:noProof/>
            <w:webHidden/>
          </w:rPr>
          <w:fldChar w:fldCharType="separate"/>
        </w:r>
        <w:r>
          <w:rPr>
            <w:noProof/>
            <w:webHidden/>
          </w:rPr>
          <w:t>107</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7970" w:history="1">
        <w:r w:rsidRPr="00C95951">
          <w:rPr>
            <w:rStyle w:val="Hypertextovodkaz"/>
            <w:noProof/>
          </w:rPr>
          <w:t>5.3.4</w:t>
        </w:r>
        <w:r>
          <w:rPr>
            <w:rFonts w:asciiTheme="minorHAnsi" w:eastAsiaTheme="minorEastAsia" w:hAnsiTheme="minorHAnsi" w:cstheme="minorBidi"/>
            <w:noProof/>
            <w:szCs w:val="22"/>
          </w:rPr>
          <w:tab/>
        </w:r>
        <w:r w:rsidRPr="00C95951">
          <w:rPr>
            <w:rStyle w:val="Hypertextovodkaz"/>
            <w:noProof/>
          </w:rPr>
          <w:t>Posouzení zkušeností získaných v minulosti</w:t>
        </w:r>
        <w:r>
          <w:rPr>
            <w:noProof/>
            <w:webHidden/>
          </w:rPr>
          <w:tab/>
        </w:r>
        <w:r>
          <w:rPr>
            <w:noProof/>
            <w:webHidden/>
          </w:rPr>
          <w:fldChar w:fldCharType="begin"/>
        </w:r>
        <w:r>
          <w:rPr>
            <w:noProof/>
            <w:webHidden/>
          </w:rPr>
          <w:instrText xml:space="preserve"> PAGEREF _Toc416447970 \h </w:instrText>
        </w:r>
        <w:r>
          <w:rPr>
            <w:noProof/>
            <w:webHidden/>
          </w:rPr>
        </w:r>
        <w:r>
          <w:rPr>
            <w:noProof/>
            <w:webHidden/>
          </w:rPr>
          <w:fldChar w:fldCharType="separate"/>
        </w:r>
        <w:r>
          <w:rPr>
            <w:noProof/>
            <w:webHidden/>
          </w:rPr>
          <w:t>110</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8027" w:history="1">
        <w:r w:rsidRPr="00C95951">
          <w:rPr>
            <w:rStyle w:val="Hypertextovodkaz"/>
            <w:noProof/>
          </w:rPr>
          <w:t>5.3.5</w:t>
        </w:r>
        <w:r>
          <w:rPr>
            <w:rFonts w:asciiTheme="minorHAnsi" w:eastAsiaTheme="minorEastAsia" w:hAnsiTheme="minorHAnsi" w:cstheme="minorBidi"/>
            <w:noProof/>
            <w:szCs w:val="22"/>
          </w:rPr>
          <w:tab/>
        </w:r>
        <w:r w:rsidRPr="00C95951">
          <w:rPr>
            <w:rStyle w:val="Hypertextovodkaz"/>
            <w:noProof/>
          </w:rPr>
          <w:t>Očekávané výsledky finančního nástroje</w:t>
        </w:r>
        <w:r>
          <w:rPr>
            <w:noProof/>
            <w:webHidden/>
          </w:rPr>
          <w:tab/>
        </w:r>
        <w:r>
          <w:rPr>
            <w:noProof/>
            <w:webHidden/>
          </w:rPr>
          <w:fldChar w:fldCharType="begin"/>
        </w:r>
        <w:r>
          <w:rPr>
            <w:noProof/>
            <w:webHidden/>
          </w:rPr>
          <w:instrText xml:space="preserve"> PAGEREF _Toc416448027 \h </w:instrText>
        </w:r>
        <w:r>
          <w:rPr>
            <w:noProof/>
            <w:webHidden/>
          </w:rPr>
        </w:r>
        <w:r>
          <w:rPr>
            <w:noProof/>
            <w:webHidden/>
          </w:rPr>
          <w:fldChar w:fldCharType="separate"/>
        </w:r>
        <w:r>
          <w:rPr>
            <w:noProof/>
            <w:webHidden/>
          </w:rPr>
          <w:t>113</w:t>
        </w:r>
        <w:r>
          <w:rPr>
            <w:noProof/>
            <w:webHidden/>
          </w:rPr>
          <w:fldChar w:fldCharType="end"/>
        </w:r>
      </w:hyperlink>
    </w:p>
    <w:p w:rsidR="00F50BC7" w:rsidRDefault="00F50BC7">
      <w:pPr>
        <w:pStyle w:val="Obsah2"/>
        <w:tabs>
          <w:tab w:val="left" w:pos="720"/>
          <w:tab w:val="right" w:leader="dot" w:pos="9060"/>
        </w:tabs>
        <w:rPr>
          <w:rFonts w:asciiTheme="minorHAnsi" w:eastAsiaTheme="minorEastAsia" w:hAnsiTheme="minorHAnsi" w:cstheme="minorBidi"/>
          <w:noProof/>
          <w:szCs w:val="22"/>
        </w:rPr>
      </w:pPr>
      <w:hyperlink w:anchor="_Toc416448032" w:history="1">
        <w:r w:rsidRPr="00C95951">
          <w:rPr>
            <w:rStyle w:val="Hypertextovodkaz"/>
            <w:noProof/>
          </w:rPr>
          <w:t>5.4</w:t>
        </w:r>
        <w:r>
          <w:rPr>
            <w:rFonts w:asciiTheme="minorHAnsi" w:eastAsiaTheme="minorEastAsia" w:hAnsiTheme="minorHAnsi" w:cstheme="minorBidi"/>
            <w:noProof/>
            <w:szCs w:val="22"/>
          </w:rPr>
          <w:tab/>
        </w:r>
        <w:r w:rsidRPr="00C95951">
          <w:rPr>
            <w:rStyle w:val="Hypertextovodkaz"/>
            <w:noProof/>
          </w:rPr>
          <w:t>SC 2.3</w:t>
        </w:r>
        <w:r>
          <w:rPr>
            <w:noProof/>
            <w:webHidden/>
          </w:rPr>
          <w:tab/>
        </w:r>
        <w:r>
          <w:rPr>
            <w:noProof/>
            <w:webHidden/>
          </w:rPr>
          <w:fldChar w:fldCharType="begin"/>
        </w:r>
        <w:r>
          <w:rPr>
            <w:noProof/>
            <w:webHidden/>
          </w:rPr>
          <w:instrText xml:space="preserve"> PAGEREF _Toc416448032 \h </w:instrText>
        </w:r>
        <w:r>
          <w:rPr>
            <w:noProof/>
            <w:webHidden/>
          </w:rPr>
        </w:r>
        <w:r>
          <w:rPr>
            <w:noProof/>
            <w:webHidden/>
          </w:rPr>
          <w:fldChar w:fldCharType="separate"/>
        </w:r>
        <w:r>
          <w:rPr>
            <w:noProof/>
            <w:webHidden/>
          </w:rPr>
          <w:t>116</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8033" w:history="1">
        <w:r w:rsidRPr="00C95951">
          <w:rPr>
            <w:rStyle w:val="Hypertextovodkaz"/>
            <w:noProof/>
          </w:rPr>
          <w:t>5.4.1</w:t>
        </w:r>
        <w:r>
          <w:rPr>
            <w:rFonts w:asciiTheme="minorHAnsi" w:eastAsiaTheme="minorEastAsia" w:hAnsiTheme="minorHAnsi" w:cstheme="minorBidi"/>
            <w:noProof/>
            <w:szCs w:val="22"/>
          </w:rPr>
          <w:tab/>
        </w:r>
        <w:r w:rsidRPr="00C95951">
          <w:rPr>
            <w:rStyle w:val="Hypertextovodkaz"/>
            <w:noProof/>
          </w:rPr>
          <w:t>Odůvodnění volby oblasti podpory a návrhu nástroje</w:t>
        </w:r>
        <w:r>
          <w:rPr>
            <w:noProof/>
            <w:webHidden/>
          </w:rPr>
          <w:tab/>
        </w:r>
        <w:r>
          <w:rPr>
            <w:noProof/>
            <w:webHidden/>
          </w:rPr>
          <w:fldChar w:fldCharType="begin"/>
        </w:r>
        <w:r>
          <w:rPr>
            <w:noProof/>
            <w:webHidden/>
          </w:rPr>
          <w:instrText xml:space="preserve"> PAGEREF _Toc416448033 \h </w:instrText>
        </w:r>
        <w:r>
          <w:rPr>
            <w:noProof/>
            <w:webHidden/>
          </w:rPr>
        </w:r>
        <w:r>
          <w:rPr>
            <w:noProof/>
            <w:webHidden/>
          </w:rPr>
          <w:fldChar w:fldCharType="separate"/>
        </w:r>
        <w:r>
          <w:rPr>
            <w:noProof/>
            <w:webHidden/>
          </w:rPr>
          <w:t>116</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8034" w:history="1">
        <w:r w:rsidRPr="00C95951">
          <w:rPr>
            <w:rStyle w:val="Hypertextovodkaz"/>
            <w:noProof/>
          </w:rPr>
          <w:t>5.4.2</w:t>
        </w:r>
        <w:r>
          <w:rPr>
            <w:rFonts w:asciiTheme="minorHAnsi" w:eastAsiaTheme="minorEastAsia" w:hAnsiTheme="minorHAnsi" w:cstheme="minorBidi"/>
            <w:noProof/>
            <w:szCs w:val="22"/>
          </w:rPr>
          <w:tab/>
        </w:r>
        <w:r w:rsidRPr="00C95951">
          <w:rPr>
            <w:rStyle w:val="Hypertextovodkaz"/>
            <w:noProof/>
          </w:rPr>
          <w:t>Schéma fungování navrhovaného finančního nástroje</w:t>
        </w:r>
        <w:r>
          <w:rPr>
            <w:noProof/>
            <w:webHidden/>
          </w:rPr>
          <w:tab/>
        </w:r>
        <w:r>
          <w:rPr>
            <w:noProof/>
            <w:webHidden/>
          </w:rPr>
          <w:fldChar w:fldCharType="begin"/>
        </w:r>
        <w:r>
          <w:rPr>
            <w:noProof/>
            <w:webHidden/>
          </w:rPr>
          <w:instrText xml:space="preserve"> PAGEREF _Toc416448034 \h </w:instrText>
        </w:r>
        <w:r>
          <w:rPr>
            <w:noProof/>
            <w:webHidden/>
          </w:rPr>
        </w:r>
        <w:r>
          <w:rPr>
            <w:noProof/>
            <w:webHidden/>
          </w:rPr>
          <w:fldChar w:fldCharType="separate"/>
        </w:r>
        <w:r>
          <w:rPr>
            <w:noProof/>
            <w:webHidden/>
          </w:rPr>
          <w:t>118</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8035" w:history="1">
        <w:r w:rsidRPr="00C95951">
          <w:rPr>
            <w:rStyle w:val="Hypertextovodkaz"/>
            <w:noProof/>
          </w:rPr>
          <w:t>5.4.3</w:t>
        </w:r>
        <w:r>
          <w:rPr>
            <w:rFonts w:asciiTheme="minorHAnsi" w:eastAsiaTheme="minorEastAsia" w:hAnsiTheme="minorHAnsi" w:cstheme="minorBidi"/>
            <w:noProof/>
            <w:szCs w:val="22"/>
          </w:rPr>
          <w:tab/>
        </w:r>
        <w:r w:rsidRPr="00C95951">
          <w:rPr>
            <w:rStyle w:val="Hypertextovodkaz"/>
            <w:noProof/>
          </w:rPr>
          <w:t>Základní parametry finančního nástroje</w:t>
        </w:r>
        <w:r>
          <w:rPr>
            <w:noProof/>
            <w:webHidden/>
          </w:rPr>
          <w:tab/>
        </w:r>
        <w:r>
          <w:rPr>
            <w:noProof/>
            <w:webHidden/>
          </w:rPr>
          <w:fldChar w:fldCharType="begin"/>
        </w:r>
        <w:r>
          <w:rPr>
            <w:noProof/>
            <w:webHidden/>
          </w:rPr>
          <w:instrText xml:space="preserve"> PAGEREF _Toc416448035 \h </w:instrText>
        </w:r>
        <w:r>
          <w:rPr>
            <w:noProof/>
            <w:webHidden/>
          </w:rPr>
        </w:r>
        <w:r>
          <w:rPr>
            <w:noProof/>
            <w:webHidden/>
          </w:rPr>
          <w:fldChar w:fldCharType="separate"/>
        </w:r>
        <w:r>
          <w:rPr>
            <w:noProof/>
            <w:webHidden/>
          </w:rPr>
          <w:t>118</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8036" w:history="1">
        <w:r w:rsidRPr="00C95951">
          <w:rPr>
            <w:rStyle w:val="Hypertextovodkaz"/>
            <w:noProof/>
          </w:rPr>
          <w:t>5.4.4</w:t>
        </w:r>
        <w:r>
          <w:rPr>
            <w:rFonts w:asciiTheme="minorHAnsi" w:eastAsiaTheme="minorEastAsia" w:hAnsiTheme="minorHAnsi" w:cstheme="minorBidi"/>
            <w:noProof/>
            <w:szCs w:val="22"/>
          </w:rPr>
          <w:tab/>
        </w:r>
        <w:r w:rsidRPr="00C95951">
          <w:rPr>
            <w:rStyle w:val="Hypertextovodkaz"/>
            <w:noProof/>
          </w:rPr>
          <w:t>Posouzení zkušeností získaných v minulosti</w:t>
        </w:r>
        <w:r>
          <w:rPr>
            <w:noProof/>
            <w:webHidden/>
          </w:rPr>
          <w:tab/>
        </w:r>
        <w:r>
          <w:rPr>
            <w:noProof/>
            <w:webHidden/>
          </w:rPr>
          <w:fldChar w:fldCharType="begin"/>
        </w:r>
        <w:r>
          <w:rPr>
            <w:noProof/>
            <w:webHidden/>
          </w:rPr>
          <w:instrText xml:space="preserve"> PAGEREF _Toc416448036 \h </w:instrText>
        </w:r>
        <w:r>
          <w:rPr>
            <w:noProof/>
            <w:webHidden/>
          </w:rPr>
        </w:r>
        <w:r>
          <w:rPr>
            <w:noProof/>
            <w:webHidden/>
          </w:rPr>
          <w:fldChar w:fldCharType="separate"/>
        </w:r>
        <w:r>
          <w:rPr>
            <w:noProof/>
            <w:webHidden/>
          </w:rPr>
          <w:t>119</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8037" w:history="1">
        <w:r w:rsidRPr="00C95951">
          <w:rPr>
            <w:rStyle w:val="Hypertextovodkaz"/>
            <w:noProof/>
          </w:rPr>
          <w:t>5.4.5</w:t>
        </w:r>
        <w:r>
          <w:rPr>
            <w:rFonts w:asciiTheme="minorHAnsi" w:eastAsiaTheme="minorEastAsia" w:hAnsiTheme="minorHAnsi" w:cstheme="minorBidi"/>
            <w:noProof/>
            <w:szCs w:val="22"/>
          </w:rPr>
          <w:tab/>
        </w:r>
        <w:r w:rsidRPr="00C95951">
          <w:rPr>
            <w:rStyle w:val="Hypertextovodkaz"/>
            <w:noProof/>
          </w:rPr>
          <w:t>Očekávané výsledky finančního nástroje</w:t>
        </w:r>
        <w:r>
          <w:rPr>
            <w:noProof/>
            <w:webHidden/>
          </w:rPr>
          <w:tab/>
        </w:r>
        <w:r>
          <w:rPr>
            <w:noProof/>
            <w:webHidden/>
          </w:rPr>
          <w:fldChar w:fldCharType="begin"/>
        </w:r>
        <w:r>
          <w:rPr>
            <w:noProof/>
            <w:webHidden/>
          </w:rPr>
          <w:instrText xml:space="preserve"> PAGEREF _Toc416448037 \h </w:instrText>
        </w:r>
        <w:r>
          <w:rPr>
            <w:noProof/>
            <w:webHidden/>
          </w:rPr>
        </w:r>
        <w:r>
          <w:rPr>
            <w:noProof/>
            <w:webHidden/>
          </w:rPr>
          <w:fldChar w:fldCharType="separate"/>
        </w:r>
        <w:r>
          <w:rPr>
            <w:noProof/>
            <w:webHidden/>
          </w:rPr>
          <w:t>123</w:t>
        </w:r>
        <w:r>
          <w:rPr>
            <w:noProof/>
            <w:webHidden/>
          </w:rPr>
          <w:fldChar w:fldCharType="end"/>
        </w:r>
      </w:hyperlink>
    </w:p>
    <w:p w:rsidR="00F50BC7" w:rsidRDefault="00F50BC7">
      <w:pPr>
        <w:pStyle w:val="Obsah2"/>
        <w:tabs>
          <w:tab w:val="left" w:pos="720"/>
          <w:tab w:val="right" w:leader="dot" w:pos="9060"/>
        </w:tabs>
        <w:rPr>
          <w:rFonts w:asciiTheme="minorHAnsi" w:eastAsiaTheme="minorEastAsia" w:hAnsiTheme="minorHAnsi" w:cstheme="minorBidi"/>
          <w:noProof/>
          <w:szCs w:val="22"/>
        </w:rPr>
      </w:pPr>
      <w:hyperlink w:anchor="_Toc416448038" w:history="1">
        <w:r w:rsidRPr="00C95951">
          <w:rPr>
            <w:rStyle w:val="Hypertextovodkaz"/>
            <w:noProof/>
          </w:rPr>
          <w:t>5.5</w:t>
        </w:r>
        <w:r>
          <w:rPr>
            <w:rFonts w:asciiTheme="minorHAnsi" w:eastAsiaTheme="minorEastAsia" w:hAnsiTheme="minorHAnsi" w:cstheme="minorBidi"/>
            <w:noProof/>
            <w:szCs w:val="22"/>
          </w:rPr>
          <w:tab/>
        </w:r>
        <w:r w:rsidRPr="00C95951">
          <w:rPr>
            <w:rStyle w:val="Hypertextovodkaz"/>
            <w:noProof/>
          </w:rPr>
          <w:t>SC 3.1</w:t>
        </w:r>
        <w:r>
          <w:rPr>
            <w:noProof/>
            <w:webHidden/>
          </w:rPr>
          <w:tab/>
        </w:r>
        <w:r>
          <w:rPr>
            <w:noProof/>
            <w:webHidden/>
          </w:rPr>
          <w:fldChar w:fldCharType="begin"/>
        </w:r>
        <w:r>
          <w:rPr>
            <w:noProof/>
            <w:webHidden/>
          </w:rPr>
          <w:instrText xml:space="preserve"> PAGEREF _Toc416448038 \h </w:instrText>
        </w:r>
        <w:r>
          <w:rPr>
            <w:noProof/>
            <w:webHidden/>
          </w:rPr>
        </w:r>
        <w:r>
          <w:rPr>
            <w:noProof/>
            <w:webHidden/>
          </w:rPr>
          <w:fldChar w:fldCharType="separate"/>
        </w:r>
        <w:r>
          <w:rPr>
            <w:noProof/>
            <w:webHidden/>
          </w:rPr>
          <w:t>123</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8039" w:history="1">
        <w:r w:rsidRPr="00C95951">
          <w:rPr>
            <w:rStyle w:val="Hypertextovodkaz"/>
            <w:noProof/>
          </w:rPr>
          <w:t>5.5.1</w:t>
        </w:r>
        <w:r>
          <w:rPr>
            <w:rFonts w:asciiTheme="minorHAnsi" w:eastAsiaTheme="minorEastAsia" w:hAnsiTheme="minorHAnsi" w:cstheme="minorBidi"/>
            <w:noProof/>
            <w:szCs w:val="22"/>
          </w:rPr>
          <w:tab/>
        </w:r>
        <w:r w:rsidRPr="00C95951">
          <w:rPr>
            <w:rStyle w:val="Hypertextovodkaz"/>
            <w:noProof/>
          </w:rPr>
          <w:t>Odůvodnění volby oblasti podpory a návrhu nástroje</w:t>
        </w:r>
        <w:r>
          <w:rPr>
            <w:noProof/>
            <w:webHidden/>
          </w:rPr>
          <w:tab/>
        </w:r>
        <w:r>
          <w:rPr>
            <w:noProof/>
            <w:webHidden/>
          </w:rPr>
          <w:fldChar w:fldCharType="begin"/>
        </w:r>
        <w:r>
          <w:rPr>
            <w:noProof/>
            <w:webHidden/>
          </w:rPr>
          <w:instrText xml:space="preserve"> PAGEREF _Toc416448039 \h </w:instrText>
        </w:r>
        <w:r>
          <w:rPr>
            <w:noProof/>
            <w:webHidden/>
          </w:rPr>
        </w:r>
        <w:r>
          <w:rPr>
            <w:noProof/>
            <w:webHidden/>
          </w:rPr>
          <w:fldChar w:fldCharType="separate"/>
        </w:r>
        <w:r>
          <w:rPr>
            <w:noProof/>
            <w:webHidden/>
          </w:rPr>
          <w:t>123</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8062" w:history="1">
        <w:r w:rsidRPr="00C95951">
          <w:rPr>
            <w:rStyle w:val="Hypertextovodkaz"/>
            <w:noProof/>
          </w:rPr>
          <w:t>5.5.2</w:t>
        </w:r>
        <w:r>
          <w:rPr>
            <w:rFonts w:asciiTheme="minorHAnsi" w:eastAsiaTheme="minorEastAsia" w:hAnsiTheme="minorHAnsi" w:cstheme="minorBidi"/>
            <w:noProof/>
            <w:szCs w:val="22"/>
          </w:rPr>
          <w:tab/>
        </w:r>
        <w:r w:rsidRPr="00C95951">
          <w:rPr>
            <w:rStyle w:val="Hypertextovodkaz"/>
            <w:noProof/>
          </w:rPr>
          <w:t>Schéma fungování navrhovaného finančního nástroje</w:t>
        </w:r>
        <w:r>
          <w:rPr>
            <w:noProof/>
            <w:webHidden/>
          </w:rPr>
          <w:tab/>
        </w:r>
        <w:r>
          <w:rPr>
            <w:noProof/>
            <w:webHidden/>
          </w:rPr>
          <w:fldChar w:fldCharType="begin"/>
        </w:r>
        <w:r>
          <w:rPr>
            <w:noProof/>
            <w:webHidden/>
          </w:rPr>
          <w:instrText xml:space="preserve"> PAGEREF _Toc416448062 \h </w:instrText>
        </w:r>
        <w:r>
          <w:rPr>
            <w:noProof/>
            <w:webHidden/>
          </w:rPr>
        </w:r>
        <w:r>
          <w:rPr>
            <w:noProof/>
            <w:webHidden/>
          </w:rPr>
          <w:fldChar w:fldCharType="separate"/>
        </w:r>
        <w:r>
          <w:rPr>
            <w:noProof/>
            <w:webHidden/>
          </w:rPr>
          <w:t>124</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8070" w:history="1">
        <w:r w:rsidRPr="00C95951">
          <w:rPr>
            <w:rStyle w:val="Hypertextovodkaz"/>
            <w:noProof/>
          </w:rPr>
          <w:t>5.5.3</w:t>
        </w:r>
        <w:r>
          <w:rPr>
            <w:rFonts w:asciiTheme="minorHAnsi" w:eastAsiaTheme="minorEastAsia" w:hAnsiTheme="minorHAnsi" w:cstheme="minorBidi"/>
            <w:noProof/>
            <w:szCs w:val="22"/>
          </w:rPr>
          <w:tab/>
        </w:r>
        <w:r w:rsidRPr="00C95951">
          <w:rPr>
            <w:rStyle w:val="Hypertextovodkaz"/>
            <w:noProof/>
          </w:rPr>
          <w:t>Základní parametry finančního nástroje</w:t>
        </w:r>
        <w:r>
          <w:rPr>
            <w:noProof/>
            <w:webHidden/>
          </w:rPr>
          <w:tab/>
        </w:r>
        <w:r>
          <w:rPr>
            <w:noProof/>
            <w:webHidden/>
          </w:rPr>
          <w:fldChar w:fldCharType="begin"/>
        </w:r>
        <w:r>
          <w:rPr>
            <w:noProof/>
            <w:webHidden/>
          </w:rPr>
          <w:instrText xml:space="preserve"> PAGEREF _Toc416448070 \h </w:instrText>
        </w:r>
        <w:r>
          <w:rPr>
            <w:noProof/>
            <w:webHidden/>
          </w:rPr>
        </w:r>
        <w:r>
          <w:rPr>
            <w:noProof/>
            <w:webHidden/>
          </w:rPr>
          <w:fldChar w:fldCharType="separate"/>
        </w:r>
        <w:r>
          <w:rPr>
            <w:noProof/>
            <w:webHidden/>
          </w:rPr>
          <w:t>124</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8071" w:history="1">
        <w:r w:rsidRPr="00C95951">
          <w:rPr>
            <w:rStyle w:val="Hypertextovodkaz"/>
            <w:noProof/>
          </w:rPr>
          <w:t>5.5.4</w:t>
        </w:r>
        <w:r>
          <w:rPr>
            <w:rFonts w:asciiTheme="minorHAnsi" w:eastAsiaTheme="minorEastAsia" w:hAnsiTheme="minorHAnsi" w:cstheme="minorBidi"/>
            <w:noProof/>
            <w:szCs w:val="22"/>
          </w:rPr>
          <w:tab/>
        </w:r>
        <w:r w:rsidRPr="00C95951">
          <w:rPr>
            <w:rStyle w:val="Hypertextovodkaz"/>
            <w:noProof/>
          </w:rPr>
          <w:t>Očekávané výsledky finančního nástroje</w:t>
        </w:r>
        <w:r>
          <w:rPr>
            <w:noProof/>
            <w:webHidden/>
          </w:rPr>
          <w:tab/>
        </w:r>
        <w:r>
          <w:rPr>
            <w:noProof/>
            <w:webHidden/>
          </w:rPr>
          <w:fldChar w:fldCharType="begin"/>
        </w:r>
        <w:r>
          <w:rPr>
            <w:noProof/>
            <w:webHidden/>
          </w:rPr>
          <w:instrText xml:space="preserve"> PAGEREF _Toc416448071 \h </w:instrText>
        </w:r>
        <w:r>
          <w:rPr>
            <w:noProof/>
            <w:webHidden/>
          </w:rPr>
        </w:r>
        <w:r>
          <w:rPr>
            <w:noProof/>
            <w:webHidden/>
          </w:rPr>
          <w:fldChar w:fldCharType="separate"/>
        </w:r>
        <w:r>
          <w:rPr>
            <w:noProof/>
            <w:webHidden/>
          </w:rPr>
          <w:t>125</w:t>
        </w:r>
        <w:r>
          <w:rPr>
            <w:noProof/>
            <w:webHidden/>
          </w:rPr>
          <w:fldChar w:fldCharType="end"/>
        </w:r>
      </w:hyperlink>
    </w:p>
    <w:p w:rsidR="00F50BC7" w:rsidRDefault="00F50BC7">
      <w:pPr>
        <w:pStyle w:val="Obsah2"/>
        <w:tabs>
          <w:tab w:val="left" w:pos="720"/>
          <w:tab w:val="right" w:leader="dot" w:pos="9060"/>
        </w:tabs>
        <w:rPr>
          <w:rFonts w:asciiTheme="minorHAnsi" w:eastAsiaTheme="minorEastAsia" w:hAnsiTheme="minorHAnsi" w:cstheme="minorBidi"/>
          <w:noProof/>
          <w:szCs w:val="22"/>
        </w:rPr>
      </w:pPr>
      <w:hyperlink w:anchor="_Toc416448072" w:history="1">
        <w:r w:rsidRPr="00C95951">
          <w:rPr>
            <w:rStyle w:val="Hypertextovodkaz"/>
            <w:noProof/>
          </w:rPr>
          <w:t>5.6</w:t>
        </w:r>
        <w:r>
          <w:rPr>
            <w:rFonts w:asciiTheme="minorHAnsi" w:eastAsiaTheme="minorEastAsia" w:hAnsiTheme="minorHAnsi" w:cstheme="minorBidi"/>
            <w:noProof/>
            <w:szCs w:val="22"/>
          </w:rPr>
          <w:tab/>
        </w:r>
        <w:r w:rsidRPr="00C95951">
          <w:rPr>
            <w:rStyle w:val="Hypertextovodkaz"/>
            <w:noProof/>
          </w:rPr>
          <w:t>SC 3.2</w:t>
        </w:r>
        <w:r>
          <w:rPr>
            <w:noProof/>
            <w:webHidden/>
          </w:rPr>
          <w:tab/>
        </w:r>
        <w:r>
          <w:rPr>
            <w:noProof/>
            <w:webHidden/>
          </w:rPr>
          <w:fldChar w:fldCharType="begin"/>
        </w:r>
        <w:r>
          <w:rPr>
            <w:noProof/>
            <w:webHidden/>
          </w:rPr>
          <w:instrText xml:space="preserve"> PAGEREF _Toc416448072 \h </w:instrText>
        </w:r>
        <w:r>
          <w:rPr>
            <w:noProof/>
            <w:webHidden/>
          </w:rPr>
        </w:r>
        <w:r>
          <w:rPr>
            <w:noProof/>
            <w:webHidden/>
          </w:rPr>
          <w:fldChar w:fldCharType="separate"/>
        </w:r>
        <w:r>
          <w:rPr>
            <w:noProof/>
            <w:webHidden/>
          </w:rPr>
          <w:t>127</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8073" w:history="1">
        <w:r w:rsidRPr="00C95951">
          <w:rPr>
            <w:rStyle w:val="Hypertextovodkaz"/>
            <w:noProof/>
          </w:rPr>
          <w:t>5.6.1</w:t>
        </w:r>
        <w:r>
          <w:rPr>
            <w:rFonts w:asciiTheme="minorHAnsi" w:eastAsiaTheme="minorEastAsia" w:hAnsiTheme="minorHAnsi" w:cstheme="minorBidi"/>
            <w:noProof/>
            <w:szCs w:val="22"/>
          </w:rPr>
          <w:tab/>
        </w:r>
        <w:r w:rsidRPr="00C95951">
          <w:rPr>
            <w:rStyle w:val="Hypertextovodkaz"/>
            <w:noProof/>
          </w:rPr>
          <w:t>Odůvodnění volby oblasti podpory a návrhu nástroje</w:t>
        </w:r>
        <w:r>
          <w:rPr>
            <w:noProof/>
            <w:webHidden/>
          </w:rPr>
          <w:tab/>
        </w:r>
        <w:r>
          <w:rPr>
            <w:noProof/>
            <w:webHidden/>
          </w:rPr>
          <w:fldChar w:fldCharType="begin"/>
        </w:r>
        <w:r>
          <w:rPr>
            <w:noProof/>
            <w:webHidden/>
          </w:rPr>
          <w:instrText xml:space="preserve"> PAGEREF _Toc416448073 \h </w:instrText>
        </w:r>
        <w:r>
          <w:rPr>
            <w:noProof/>
            <w:webHidden/>
          </w:rPr>
        </w:r>
        <w:r>
          <w:rPr>
            <w:noProof/>
            <w:webHidden/>
          </w:rPr>
          <w:fldChar w:fldCharType="separate"/>
        </w:r>
        <w:r>
          <w:rPr>
            <w:noProof/>
            <w:webHidden/>
          </w:rPr>
          <w:t>127</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8074" w:history="1">
        <w:r w:rsidRPr="00C95951">
          <w:rPr>
            <w:rStyle w:val="Hypertextovodkaz"/>
            <w:noProof/>
          </w:rPr>
          <w:t>5.6.2</w:t>
        </w:r>
        <w:r>
          <w:rPr>
            <w:rFonts w:asciiTheme="minorHAnsi" w:eastAsiaTheme="minorEastAsia" w:hAnsiTheme="minorHAnsi" w:cstheme="minorBidi"/>
            <w:noProof/>
            <w:szCs w:val="22"/>
          </w:rPr>
          <w:tab/>
        </w:r>
        <w:r w:rsidRPr="00C95951">
          <w:rPr>
            <w:rStyle w:val="Hypertextovodkaz"/>
            <w:noProof/>
          </w:rPr>
          <w:t>Schéma fungování navrhovaného finančního nástroje</w:t>
        </w:r>
        <w:r>
          <w:rPr>
            <w:noProof/>
            <w:webHidden/>
          </w:rPr>
          <w:tab/>
        </w:r>
        <w:r>
          <w:rPr>
            <w:noProof/>
            <w:webHidden/>
          </w:rPr>
          <w:fldChar w:fldCharType="begin"/>
        </w:r>
        <w:r>
          <w:rPr>
            <w:noProof/>
            <w:webHidden/>
          </w:rPr>
          <w:instrText xml:space="preserve"> PAGEREF _Toc416448074 \h </w:instrText>
        </w:r>
        <w:r>
          <w:rPr>
            <w:noProof/>
            <w:webHidden/>
          </w:rPr>
        </w:r>
        <w:r>
          <w:rPr>
            <w:noProof/>
            <w:webHidden/>
          </w:rPr>
          <w:fldChar w:fldCharType="separate"/>
        </w:r>
        <w:r>
          <w:rPr>
            <w:noProof/>
            <w:webHidden/>
          </w:rPr>
          <w:t>128</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8075" w:history="1">
        <w:r w:rsidRPr="00C95951">
          <w:rPr>
            <w:rStyle w:val="Hypertextovodkaz"/>
            <w:noProof/>
          </w:rPr>
          <w:t>5.6.3</w:t>
        </w:r>
        <w:r>
          <w:rPr>
            <w:rFonts w:asciiTheme="minorHAnsi" w:eastAsiaTheme="minorEastAsia" w:hAnsiTheme="minorHAnsi" w:cstheme="minorBidi"/>
            <w:noProof/>
            <w:szCs w:val="22"/>
          </w:rPr>
          <w:tab/>
        </w:r>
        <w:r w:rsidRPr="00C95951">
          <w:rPr>
            <w:rStyle w:val="Hypertextovodkaz"/>
            <w:noProof/>
          </w:rPr>
          <w:t>Základní parametry finančního nástroje</w:t>
        </w:r>
        <w:r>
          <w:rPr>
            <w:noProof/>
            <w:webHidden/>
          </w:rPr>
          <w:tab/>
        </w:r>
        <w:r>
          <w:rPr>
            <w:noProof/>
            <w:webHidden/>
          </w:rPr>
          <w:fldChar w:fldCharType="begin"/>
        </w:r>
        <w:r>
          <w:rPr>
            <w:noProof/>
            <w:webHidden/>
          </w:rPr>
          <w:instrText xml:space="preserve"> PAGEREF _Toc416448075 \h </w:instrText>
        </w:r>
        <w:r>
          <w:rPr>
            <w:noProof/>
            <w:webHidden/>
          </w:rPr>
        </w:r>
        <w:r>
          <w:rPr>
            <w:noProof/>
            <w:webHidden/>
          </w:rPr>
          <w:fldChar w:fldCharType="separate"/>
        </w:r>
        <w:r>
          <w:rPr>
            <w:noProof/>
            <w:webHidden/>
          </w:rPr>
          <w:t>129</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8076" w:history="1">
        <w:r w:rsidRPr="00C95951">
          <w:rPr>
            <w:rStyle w:val="Hypertextovodkaz"/>
            <w:noProof/>
          </w:rPr>
          <w:t>5.6.4</w:t>
        </w:r>
        <w:r>
          <w:rPr>
            <w:rFonts w:asciiTheme="minorHAnsi" w:eastAsiaTheme="minorEastAsia" w:hAnsiTheme="minorHAnsi" w:cstheme="minorBidi"/>
            <w:noProof/>
            <w:szCs w:val="22"/>
          </w:rPr>
          <w:tab/>
        </w:r>
        <w:r w:rsidRPr="00C95951">
          <w:rPr>
            <w:rStyle w:val="Hypertextovodkaz"/>
            <w:noProof/>
          </w:rPr>
          <w:t>Očekávané výsledky finančního nástroje</w:t>
        </w:r>
        <w:r>
          <w:rPr>
            <w:noProof/>
            <w:webHidden/>
          </w:rPr>
          <w:tab/>
        </w:r>
        <w:r>
          <w:rPr>
            <w:noProof/>
            <w:webHidden/>
          </w:rPr>
          <w:fldChar w:fldCharType="begin"/>
        </w:r>
        <w:r>
          <w:rPr>
            <w:noProof/>
            <w:webHidden/>
          </w:rPr>
          <w:instrText xml:space="preserve"> PAGEREF _Toc416448076 \h </w:instrText>
        </w:r>
        <w:r>
          <w:rPr>
            <w:noProof/>
            <w:webHidden/>
          </w:rPr>
        </w:r>
        <w:r>
          <w:rPr>
            <w:noProof/>
            <w:webHidden/>
          </w:rPr>
          <w:fldChar w:fldCharType="separate"/>
        </w:r>
        <w:r>
          <w:rPr>
            <w:noProof/>
            <w:webHidden/>
          </w:rPr>
          <w:t>130</w:t>
        </w:r>
        <w:r>
          <w:rPr>
            <w:noProof/>
            <w:webHidden/>
          </w:rPr>
          <w:fldChar w:fldCharType="end"/>
        </w:r>
      </w:hyperlink>
    </w:p>
    <w:p w:rsidR="00F50BC7" w:rsidRDefault="00F50BC7">
      <w:pPr>
        <w:pStyle w:val="Obsah2"/>
        <w:tabs>
          <w:tab w:val="left" w:pos="720"/>
          <w:tab w:val="right" w:leader="dot" w:pos="9060"/>
        </w:tabs>
        <w:rPr>
          <w:rFonts w:asciiTheme="minorHAnsi" w:eastAsiaTheme="minorEastAsia" w:hAnsiTheme="minorHAnsi" w:cstheme="minorBidi"/>
          <w:noProof/>
          <w:szCs w:val="22"/>
        </w:rPr>
      </w:pPr>
      <w:hyperlink w:anchor="_Toc416448079" w:history="1">
        <w:r w:rsidRPr="00C95951">
          <w:rPr>
            <w:rStyle w:val="Hypertextovodkaz"/>
            <w:noProof/>
          </w:rPr>
          <w:t>5.7</w:t>
        </w:r>
        <w:r>
          <w:rPr>
            <w:rFonts w:asciiTheme="minorHAnsi" w:eastAsiaTheme="minorEastAsia" w:hAnsiTheme="minorHAnsi" w:cstheme="minorBidi"/>
            <w:noProof/>
            <w:szCs w:val="22"/>
          </w:rPr>
          <w:tab/>
        </w:r>
        <w:r w:rsidRPr="00C95951">
          <w:rPr>
            <w:rStyle w:val="Hypertextovodkaz"/>
            <w:noProof/>
          </w:rPr>
          <w:t>SC 3.5</w:t>
        </w:r>
        <w:r>
          <w:rPr>
            <w:noProof/>
            <w:webHidden/>
          </w:rPr>
          <w:tab/>
        </w:r>
        <w:r>
          <w:rPr>
            <w:noProof/>
            <w:webHidden/>
          </w:rPr>
          <w:fldChar w:fldCharType="begin"/>
        </w:r>
        <w:r>
          <w:rPr>
            <w:noProof/>
            <w:webHidden/>
          </w:rPr>
          <w:instrText xml:space="preserve"> PAGEREF _Toc416448079 \h </w:instrText>
        </w:r>
        <w:r>
          <w:rPr>
            <w:noProof/>
            <w:webHidden/>
          </w:rPr>
        </w:r>
        <w:r>
          <w:rPr>
            <w:noProof/>
            <w:webHidden/>
          </w:rPr>
          <w:fldChar w:fldCharType="separate"/>
        </w:r>
        <w:r>
          <w:rPr>
            <w:noProof/>
            <w:webHidden/>
          </w:rPr>
          <w:t>132</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8080" w:history="1">
        <w:r w:rsidRPr="00C95951">
          <w:rPr>
            <w:rStyle w:val="Hypertextovodkaz"/>
            <w:noProof/>
          </w:rPr>
          <w:t>5.7.1</w:t>
        </w:r>
        <w:r>
          <w:rPr>
            <w:rFonts w:asciiTheme="minorHAnsi" w:eastAsiaTheme="minorEastAsia" w:hAnsiTheme="minorHAnsi" w:cstheme="minorBidi"/>
            <w:noProof/>
            <w:szCs w:val="22"/>
          </w:rPr>
          <w:tab/>
        </w:r>
        <w:r w:rsidRPr="00C95951">
          <w:rPr>
            <w:rStyle w:val="Hypertextovodkaz"/>
            <w:noProof/>
          </w:rPr>
          <w:t>Odůvodnění volby oblasti podpory a návrhu nástroje</w:t>
        </w:r>
        <w:r>
          <w:rPr>
            <w:noProof/>
            <w:webHidden/>
          </w:rPr>
          <w:tab/>
        </w:r>
        <w:r>
          <w:rPr>
            <w:noProof/>
            <w:webHidden/>
          </w:rPr>
          <w:fldChar w:fldCharType="begin"/>
        </w:r>
        <w:r>
          <w:rPr>
            <w:noProof/>
            <w:webHidden/>
          </w:rPr>
          <w:instrText xml:space="preserve"> PAGEREF _Toc416448080 \h </w:instrText>
        </w:r>
        <w:r>
          <w:rPr>
            <w:noProof/>
            <w:webHidden/>
          </w:rPr>
        </w:r>
        <w:r>
          <w:rPr>
            <w:noProof/>
            <w:webHidden/>
          </w:rPr>
          <w:fldChar w:fldCharType="separate"/>
        </w:r>
        <w:r>
          <w:rPr>
            <w:noProof/>
            <w:webHidden/>
          </w:rPr>
          <w:t>132</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8081" w:history="1">
        <w:r w:rsidRPr="00C95951">
          <w:rPr>
            <w:rStyle w:val="Hypertextovodkaz"/>
            <w:noProof/>
          </w:rPr>
          <w:t>5.7.2</w:t>
        </w:r>
        <w:r>
          <w:rPr>
            <w:rFonts w:asciiTheme="minorHAnsi" w:eastAsiaTheme="minorEastAsia" w:hAnsiTheme="minorHAnsi" w:cstheme="minorBidi"/>
            <w:noProof/>
            <w:szCs w:val="22"/>
          </w:rPr>
          <w:tab/>
        </w:r>
        <w:r w:rsidRPr="00C95951">
          <w:rPr>
            <w:rStyle w:val="Hypertextovodkaz"/>
            <w:noProof/>
          </w:rPr>
          <w:t>Schéma fungování navrhovaného finančního nástroje</w:t>
        </w:r>
        <w:r>
          <w:rPr>
            <w:noProof/>
            <w:webHidden/>
          </w:rPr>
          <w:tab/>
        </w:r>
        <w:r>
          <w:rPr>
            <w:noProof/>
            <w:webHidden/>
          </w:rPr>
          <w:fldChar w:fldCharType="begin"/>
        </w:r>
        <w:r>
          <w:rPr>
            <w:noProof/>
            <w:webHidden/>
          </w:rPr>
          <w:instrText xml:space="preserve"> PAGEREF _Toc416448081 \h </w:instrText>
        </w:r>
        <w:r>
          <w:rPr>
            <w:noProof/>
            <w:webHidden/>
          </w:rPr>
        </w:r>
        <w:r>
          <w:rPr>
            <w:noProof/>
            <w:webHidden/>
          </w:rPr>
          <w:fldChar w:fldCharType="separate"/>
        </w:r>
        <w:r>
          <w:rPr>
            <w:noProof/>
            <w:webHidden/>
          </w:rPr>
          <w:t>132</w:t>
        </w:r>
        <w:r>
          <w:rPr>
            <w:noProof/>
            <w:webHidden/>
          </w:rPr>
          <w:fldChar w:fldCharType="end"/>
        </w:r>
      </w:hyperlink>
    </w:p>
    <w:p w:rsidR="00F50BC7" w:rsidRDefault="00F50BC7">
      <w:pPr>
        <w:pStyle w:val="Obsah3"/>
        <w:tabs>
          <w:tab w:val="left" w:pos="1320"/>
          <w:tab w:val="right" w:leader="dot" w:pos="9060"/>
        </w:tabs>
        <w:rPr>
          <w:rFonts w:asciiTheme="minorHAnsi" w:eastAsiaTheme="minorEastAsia" w:hAnsiTheme="minorHAnsi" w:cstheme="minorBidi"/>
          <w:noProof/>
          <w:szCs w:val="22"/>
        </w:rPr>
      </w:pPr>
      <w:hyperlink w:anchor="_Toc416448082" w:history="1">
        <w:r w:rsidRPr="00C95951">
          <w:rPr>
            <w:rStyle w:val="Hypertextovodkaz"/>
            <w:noProof/>
          </w:rPr>
          <w:t>5.7.3</w:t>
        </w:r>
        <w:r>
          <w:rPr>
            <w:rFonts w:asciiTheme="minorHAnsi" w:eastAsiaTheme="minorEastAsia" w:hAnsiTheme="minorHAnsi" w:cstheme="minorBidi"/>
            <w:noProof/>
            <w:szCs w:val="22"/>
          </w:rPr>
          <w:tab/>
        </w:r>
        <w:r w:rsidRPr="00C95951">
          <w:rPr>
            <w:rStyle w:val="Hypertextovodkaz"/>
            <w:noProof/>
          </w:rPr>
          <w:t>Základní parametry finančního nástroje</w:t>
        </w:r>
        <w:r>
          <w:rPr>
            <w:noProof/>
            <w:webHidden/>
          </w:rPr>
          <w:tab/>
        </w:r>
        <w:r>
          <w:rPr>
            <w:noProof/>
            <w:webHidden/>
          </w:rPr>
          <w:fldChar w:fldCharType="begin"/>
        </w:r>
        <w:r>
          <w:rPr>
            <w:noProof/>
            <w:webHidden/>
          </w:rPr>
          <w:instrText xml:space="preserve"> PAGEREF _Toc416448082 \h </w:instrText>
        </w:r>
        <w:r>
          <w:rPr>
            <w:noProof/>
            <w:webHidden/>
          </w:rPr>
        </w:r>
        <w:r>
          <w:rPr>
            <w:noProof/>
            <w:webHidden/>
          </w:rPr>
          <w:fldChar w:fldCharType="separate"/>
        </w:r>
        <w:r>
          <w:rPr>
            <w:noProof/>
            <w:webHidden/>
          </w:rPr>
          <w:t>133</w:t>
        </w:r>
        <w:r>
          <w:rPr>
            <w:noProof/>
            <w:webHidden/>
          </w:rPr>
          <w:fldChar w:fldCharType="end"/>
        </w:r>
      </w:hyperlink>
    </w:p>
    <w:p w:rsidR="00F50BC7" w:rsidRDefault="00F50BC7">
      <w:pPr>
        <w:pStyle w:val="Obsah2"/>
        <w:tabs>
          <w:tab w:val="left" w:pos="720"/>
          <w:tab w:val="right" w:leader="dot" w:pos="9060"/>
        </w:tabs>
        <w:rPr>
          <w:rFonts w:asciiTheme="minorHAnsi" w:eastAsiaTheme="minorEastAsia" w:hAnsiTheme="minorHAnsi" w:cstheme="minorBidi"/>
          <w:noProof/>
          <w:szCs w:val="22"/>
        </w:rPr>
      </w:pPr>
      <w:hyperlink w:anchor="_Toc416448083" w:history="1">
        <w:r w:rsidRPr="00C95951">
          <w:rPr>
            <w:rStyle w:val="Hypertextovodkaz"/>
            <w:noProof/>
          </w:rPr>
          <w:t>5.8</w:t>
        </w:r>
        <w:r>
          <w:rPr>
            <w:rFonts w:asciiTheme="minorHAnsi" w:eastAsiaTheme="minorEastAsia" w:hAnsiTheme="minorHAnsi" w:cstheme="minorBidi"/>
            <w:noProof/>
            <w:szCs w:val="22"/>
          </w:rPr>
          <w:tab/>
        </w:r>
        <w:r w:rsidRPr="00C95951">
          <w:rPr>
            <w:rStyle w:val="Hypertextovodkaz"/>
            <w:noProof/>
          </w:rPr>
          <w:t>SC 4.1</w:t>
        </w:r>
        <w:r>
          <w:rPr>
            <w:noProof/>
            <w:webHidden/>
          </w:rPr>
          <w:tab/>
        </w:r>
        <w:r>
          <w:rPr>
            <w:noProof/>
            <w:webHidden/>
          </w:rPr>
          <w:fldChar w:fldCharType="begin"/>
        </w:r>
        <w:r>
          <w:rPr>
            <w:noProof/>
            <w:webHidden/>
          </w:rPr>
          <w:instrText xml:space="preserve"> PAGEREF _Toc416448083 \h </w:instrText>
        </w:r>
        <w:r>
          <w:rPr>
            <w:noProof/>
            <w:webHidden/>
          </w:rPr>
        </w:r>
        <w:r>
          <w:rPr>
            <w:noProof/>
            <w:webHidden/>
          </w:rPr>
          <w:fldChar w:fldCharType="separate"/>
        </w:r>
        <w:r>
          <w:rPr>
            <w:noProof/>
            <w:webHidden/>
          </w:rPr>
          <w:t>134</w:t>
        </w:r>
        <w:r>
          <w:rPr>
            <w:noProof/>
            <w:webHidden/>
          </w:rPr>
          <w:fldChar w:fldCharType="end"/>
        </w:r>
      </w:hyperlink>
    </w:p>
    <w:p w:rsidR="00F50BC7" w:rsidRDefault="00F50BC7">
      <w:pPr>
        <w:pStyle w:val="Obsah1"/>
        <w:rPr>
          <w:rFonts w:asciiTheme="minorHAnsi" w:eastAsiaTheme="minorEastAsia" w:hAnsiTheme="minorHAnsi" w:cstheme="minorBidi"/>
          <w:noProof/>
          <w:szCs w:val="22"/>
        </w:rPr>
      </w:pPr>
      <w:hyperlink w:anchor="_Toc416448084" w:history="1">
        <w:r w:rsidRPr="00C95951">
          <w:rPr>
            <w:rStyle w:val="Hypertextovodkaz"/>
            <w:noProof/>
          </w:rPr>
          <w:t>6</w:t>
        </w:r>
        <w:r>
          <w:rPr>
            <w:rFonts w:asciiTheme="minorHAnsi" w:eastAsiaTheme="minorEastAsia" w:hAnsiTheme="minorHAnsi" w:cstheme="minorBidi"/>
            <w:noProof/>
            <w:szCs w:val="22"/>
          </w:rPr>
          <w:tab/>
        </w:r>
        <w:r w:rsidRPr="00C95951">
          <w:rPr>
            <w:rStyle w:val="Hypertextovodkaz"/>
            <w:noProof/>
          </w:rPr>
          <w:t>Seznam provedených řízených rozhovorů</w:t>
        </w:r>
        <w:r>
          <w:rPr>
            <w:noProof/>
            <w:webHidden/>
          </w:rPr>
          <w:tab/>
        </w:r>
        <w:r>
          <w:rPr>
            <w:noProof/>
            <w:webHidden/>
          </w:rPr>
          <w:fldChar w:fldCharType="begin"/>
        </w:r>
        <w:r>
          <w:rPr>
            <w:noProof/>
            <w:webHidden/>
          </w:rPr>
          <w:instrText xml:space="preserve"> PAGEREF _Toc416448084 \h </w:instrText>
        </w:r>
        <w:r>
          <w:rPr>
            <w:noProof/>
            <w:webHidden/>
          </w:rPr>
        </w:r>
        <w:r>
          <w:rPr>
            <w:noProof/>
            <w:webHidden/>
          </w:rPr>
          <w:fldChar w:fldCharType="separate"/>
        </w:r>
        <w:r>
          <w:rPr>
            <w:noProof/>
            <w:webHidden/>
          </w:rPr>
          <w:t>135</w:t>
        </w:r>
        <w:r>
          <w:rPr>
            <w:noProof/>
            <w:webHidden/>
          </w:rPr>
          <w:fldChar w:fldCharType="end"/>
        </w:r>
      </w:hyperlink>
    </w:p>
    <w:p w:rsidR="00F50BC7" w:rsidRDefault="00F50BC7">
      <w:pPr>
        <w:pStyle w:val="Obsah1"/>
        <w:rPr>
          <w:rFonts w:asciiTheme="minorHAnsi" w:eastAsiaTheme="minorEastAsia" w:hAnsiTheme="minorHAnsi" w:cstheme="minorBidi"/>
          <w:noProof/>
          <w:szCs w:val="22"/>
        </w:rPr>
      </w:pPr>
      <w:hyperlink w:anchor="_Toc416448096" w:history="1">
        <w:r w:rsidRPr="00C95951">
          <w:rPr>
            <w:rStyle w:val="Hypertextovodkaz"/>
            <w:noProof/>
          </w:rPr>
          <w:t>7</w:t>
        </w:r>
        <w:r>
          <w:rPr>
            <w:rFonts w:asciiTheme="minorHAnsi" w:eastAsiaTheme="minorEastAsia" w:hAnsiTheme="minorHAnsi" w:cstheme="minorBidi"/>
            <w:noProof/>
            <w:szCs w:val="22"/>
          </w:rPr>
          <w:tab/>
        </w:r>
        <w:r w:rsidRPr="00C95951">
          <w:rPr>
            <w:rStyle w:val="Hypertextovodkaz"/>
            <w:noProof/>
          </w:rPr>
          <w:t>Použité zdroje</w:t>
        </w:r>
        <w:r>
          <w:rPr>
            <w:noProof/>
            <w:webHidden/>
          </w:rPr>
          <w:tab/>
        </w:r>
        <w:r>
          <w:rPr>
            <w:noProof/>
            <w:webHidden/>
          </w:rPr>
          <w:fldChar w:fldCharType="begin"/>
        </w:r>
        <w:r>
          <w:rPr>
            <w:noProof/>
            <w:webHidden/>
          </w:rPr>
          <w:instrText xml:space="preserve"> PAGEREF _Toc416448096 \h </w:instrText>
        </w:r>
        <w:r>
          <w:rPr>
            <w:noProof/>
            <w:webHidden/>
          </w:rPr>
        </w:r>
        <w:r>
          <w:rPr>
            <w:noProof/>
            <w:webHidden/>
          </w:rPr>
          <w:fldChar w:fldCharType="separate"/>
        </w:r>
        <w:r>
          <w:rPr>
            <w:noProof/>
            <w:webHidden/>
          </w:rPr>
          <w:t>136</w:t>
        </w:r>
        <w:r>
          <w:rPr>
            <w:noProof/>
            <w:webHidden/>
          </w:rPr>
          <w:fldChar w:fldCharType="end"/>
        </w:r>
      </w:hyperlink>
    </w:p>
    <w:p w:rsidR="00F50BC7" w:rsidRDefault="00F50BC7">
      <w:pPr>
        <w:pStyle w:val="Obsah2"/>
        <w:tabs>
          <w:tab w:val="left" w:pos="720"/>
          <w:tab w:val="right" w:leader="dot" w:pos="9060"/>
        </w:tabs>
        <w:rPr>
          <w:rFonts w:asciiTheme="minorHAnsi" w:eastAsiaTheme="minorEastAsia" w:hAnsiTheme="minorHAnsi" w:cstheme="minorBidi"/>
          <w:noProof/>
          <w:szCs w:val="22"/>
        </w:rPr>
      </w:pPr>
      <w:hyperlink w:anchor="_Toc416448098" w:history="1">
        <w:r w:rsidRPr="00C95951">
          <w:rPr>
            <w:rStyle w:val="Hypertextovodkaz"/>
            <w:noProof/>
          </w:rPr>
          <w:t>7.1</w:t>
        </w:r>
        <w:r>
          <w:rPr>
            <w:rFonts w:asciiTheme="minorHAnsi" w:eastAsiaTheme="minorEastAsia" w:hAnsiTheme="minorHAnsi" w:cstheme="minorBidi"/>
            <w:noProof/>
            <w:szCs w:val="22"/>
          </w:rPr>
          <w:tab/>
        </w:r>
        <w:r w:rsidRPr="00C95951">
          <w:rPr>
            <w:rStyle w:val="Hypertextovodkaz"/>
            <w:noProof/>
          </w:rPr>
          <w:t>Legislativní východiska</w:t>
        </w:r>
        <w:r>
          <w:rPr>
            <w:noProof/>
            <w:webHidden/>
          </w:rPr>
          <w:tab/>
        </w:r>
        <w:r>
          <w:rPr>
            <w:noProof/>
            <w:webHidden/>
          </w:rPr>
          <w:fldChar w:fldCharType="begin"/>
        </w:r>
        <w:r>
          <w:rPr>
            <w:noProof/>
            <w:webHidden/>
          </w:rPr>
          <w:instrText xml:space="preserve"> PAGEREF _Toc416448098 \h </w:instrText>
        </w:r>
        <w:r>
          <w:rPr>
            <w:noProof/>
            <w:webHidden/>
          </w:rPr>
        </w:r>
        <w:r>
          <w:rPr>
            <w:noProof/>
            <w:webHidden/>
          </w:rPr>
          <w:fldChar w:fldCharType="separate"/>
        </w:r>
        <w:r>
          <w:rPr>
            <w:noProof/>
            <w:webHidden/>
          </w:rPr>
          <w:t>136</w:t>
        </w:r>
        <w:r>
          <w:rPr>
            <w:noProof/>
            <w:webHidden/>
          </w:rPr>
          <w:fldChar w:fldCharType="end"/>
        </w:r>
      </w:hyperlink>
    </w:p>
    <w:p w:rsidR="00F50BC7" w:rsidRDefault="00F50BC7">
      <w:pPr>
        <w:pStyle w:val="Obsah2"/>
        <w:tabs>
          <w:tab w:val="left" w:pos="720"/>
          <w:tab w:val="right" w:leader="dot" w:pos="9060"/>
        </w:tabs>
        <w:rPr>
          <w:rFonts w:asciiTheme="minorHAnsi" w:eastAsiaTheme="minorEastAsia" w:hAnsiTheme="minorHAnsi" w:cstheme="minorBidi"/>
          <w:noProof/>
          <w:szCs w:val="22"/>
        </w:rPr>
      </w:pPr>
      <w:hyperlink w:anchor="_Toc416448099" w:history="1">
        <w:r w:rsidRPr="00C95951">
          <w:rPr>
            <w:rStyle w:val="Hypertextovodkaz"/>
            <w:noProof/>
          </w:rPr>
          <w:t>7.2</w:t>
        </w:r>
        <w:r>
          <w:rPr>
            <w:rFonts w:asciiTheme="minorHAnsi" w:eastAsiaTheme="minorEastAsia" w:hAnsiTheme="minorHAnsi" w:cstheme="minorBidi"/>
            <w:noProof/>
            <w:szCs w:val="22"/>
          </w:rPr>
          <w:tab/>
        </w:r>
        <w:r w:rsidRPr="00C95951">
          <w:rPr>
            <w:rStyle w:val="Hypertextovodkaz"/>
            <w:noProof/>
          </w:rPr>
          <w:t>Další podkladové materiály</w:t>
        </w:r>
        <w:r>
          <w:rPr>
            <w:noProof/>
            <w:webHidden/>
          </w:rPr>
          <w:tab/>
        </w:r>
        <w:r>
          <w:rPr>
            <w:noProof/>
            <w:webHidden/>
          </w:rPr>
          <w:fldChar w:fldCharType="begin"/>
        </w:r>
        <w:r>
          <w:rPr>
            <w:noProof/>
            <w:webHidden/>
          </w:rPr>
          <w:instrText xml:space="preserve"> PAGEREF _Toc416448099 \h </w:instrText>
        </w:r>
        <w:r>
          <w:rPr>
            <w:noProof/>
            <w:webHidden/>
          </w:rPr>
        </w:r>
        <w:r>
          <w:rPr>
            <w:noProof/>
            <w:webHidden/>
          </w:rPr>
          <w:fldChar w:fldCharType="separate"/>
        </w:r>
        <w:r>
          <w:rPr>
            <w:noProof/>
            <w:webHidden/>
          </w:rPr>
          <w:t>137</w:t>
        </w:r>
        <w:r>
          <w:rPr>
            <w:noProof/>
            <w:webHidden/>
          </w:rPr>
          <w:fldChar w:fldCharType="end"/>
        </w:r>
      </w:hyperlink>
    </w:p>
    <w:p w:rsidR="00F50BC7" w:rsidRDefault="00F50BC7">
      <w:pPr>
        <w:pStyle w:val="Obsah1"/>
        <w:rPr>
          <w:rFonts w:asciiTheme="minorHAnsi" w:eastAsiaTheme="minorEastAsia" w:hAnsiTheme="minorHAnsi" w:cstheme="minorBidi"/>
          <w:noProof/>
          <w:szCs w:val="22"/>
        </w:rPr>
      </w:pPr>
      <w:hyperlink w:anchor="_Toc416448100" w:history="1">
        <w:r w:rsidRPr="00C95951">
          <w:rPr>
            <w:rStyle w:val="Hypertextovodkaz"/>
            <w:noProof/>
          </w:rPr>
          <w:t>8</w:t>
        </w:r>
        <w:r>
          <w:rPr>
            <w:rFonts w:asciiTheme="minorHAnsi" w:eastAsiaTheme="minorEastAsia" w:hAnsiTheme="minorHAnsi" w:cstheme="minorBidi"/>
            <w:noProof/>
            <w:szCs w:val="22"/>
          </w:rPr>
          <w:tab/>
        </w:r>
        <w:r w:rsidRPr="00C95951">
          <w:rPr>
            <w:rStyle w:val="Hypertextovodkaz"/>
            <w:noProof/>
          </w:rPr>
          <w:t>Seznam zkratek</w:t>
        </w:r>
        <w:r>
          <w:rPr>
            <w:noProof/>
            <w:webHidden/>
          </w:rPr>
          <w:tab/>
        </w:r>
        <w:r>
          <w:rPr>
            <w:noProof/>
            <w:webHidden/>
          </w:rPr>
          <w:fldChar w:fldCharType="begin"/>
        </w:r>
        <w:r>
          <w:rPr>
            <w:noProof/>
            <w:webHidden/>
          </w:rPr>
          <w:instrText xml:space="preserve"> PAGEREF _Toc416448100 \h </w:instrText>
        </w:r>
        <w:r>
          <w:rPr>
            <w:noProof/>
            <w:webHidden/>
          </w:rPr>
        </w:r>
        <w:r>
          <w:rPr>
            <w:noProof/>
            <w:webHidden/>
          </w:rPr>
          <w:fldChar w:fldCharType="separate"/>
        </w:r>
        <w:r>
          <w:rPr>
            <w:noProof/>
            <w:webHidden/>
          </w:rPr>
          <w:t>139</w:t>
        </w:r>
        <w:r>
          <w:rPr>
            <w:noProof/>
            <w:webHidden/>
          </w:rPr>
          <w:fldChar w:fldCharType="end"/>
        </w:r>
      </w:hyperlink>
    </w:p>
    <w:p w:rsidR="009D2CAE" w:rsidRPr="007C0CDA" w:rsidRDefault="009D2CAE" w:rsidP="000C1B4F">
      <w:pPr>
        <w:rPr>
          <w:rFonts w:cs="Calibri"/>
          <w:szCs w:val="24"/>
        </w:rPr>
        <w:sectPr w:rsidR="009D2CAE" w:rsidRPr="007C0CDA" w:rsidSect="00EB27E7">
          <w:headerReference w:type="default" r:id="rId9"/>
          <w:footerReference w:type="even" r:id="rId10"/>
          <w:footerReference w:type="default" r:id="rId11"/>
          <w:headerReference w:type="first" r:id="rId12"/>
          <w:footerReference w:type="first" r:id="rId13"/>
          <w:pgSz w:w="11906" w:h="16838" w:code="9"/>
          <w:pgMar w:top="1418" w:right="1418" w:bottom="1418" w:left="1418" w:header="709" w:footer="709" w:gutter="0"/>
          <w:pgNumType w:start="0"/>
          <w:cols w:space="708"/>
          <w:titlePg/>
          <w:docGrid w:linePitch="360"/>
        </w:sectPr>
      </w:pPr>
      <w:r w:rsidRPr="00B675D6">
        <w:rPr>
          <w:rFonts w:cs="Calibri"/>
          <w:szCs w:val="24"/>
        </w:rPr>
        <w:fldChar w:fldCharType="end"/>
      </w:r>
    </w:p>
    <w:p w:rsidR="009D2CAE" w:rsidRPr="007C0CDA" w:rsidRDefault="009D2CAE" w:rsidP="001B1EEC">
      <w:pPr>
        <w:pStyle w:val="Nadpis1"/>
      </w:pPr>
      <w:bookmarkStart w:id="2" w:name="_Toc416447534"/>
      <w:r w:rsidRPr="007C0CDA">
        <w:lastRenderedPageBreak/>
        <w:t>Definice základních pojmů</w:t>
      </w:r>
      <w:bookmarkEnd w:id="2"/>
    </w:p>
    <w:p w:rsidR="009D2CAE" w:rsidRPr="007C0CDA" w:rsidRDefault="009D2CAE" w:rsidP="001B1EEC">
      <w:r w:rsidRPr="007C0CDA">
        <w:t>V kontextu tohoto předběžného posouzení finančních nástrojů a v souladu s Obecným nařízením</w:t>
      </w:r>
      <w:r w:rsidRPr="007C0CDA">
        <w:rPr>
          <w:rStyle w:val="Znakapoznpodarou"/>
        </w:rPr>
        <w:footnoteReference w:id="1"/>
      </w:r>
      <w:r w:rsidRPr="007C0CDA">
        <w:t xml:space="preserve"> a </w:t>
      </w:r>
      <w:r w:rsidRPr="002433DA">
        <w:t>Finančním nařízením</w:t>
      </w:r>
      <w:r w:rsidRPr="007C0CDA">
        <w:rPr>
          <w:rStyle w:val="Znakapoznpodarou"/>
          <w:rFonts w:ascii="Calibri" w:hAnsi="Calibri" w:cs="Calibri"/>
          <w:color w:val="222222"/>
          <w:szCs w:val="22"/>
        </w:rPr>
        <w:footnoteReference w:id="2"/>
      </w:r>
      <w:r w:rsidRPr="007C0CDA">
        <w:t xml:space="preserve"> se rozumí:</w:t>
      </w:r>
    </w:p>
    <w:p w:rsidR="009D2CAE" w:rsidRPr="007C0CDA" w:rsidRDefault="009D2CAE" w:rsidP="001B1EEC">
      <w:r w:rsidRPr="007C0CDA">
        <w:t>a)</w:t>
      </w:r>
      <w:r w:rsidRPr="007C0CDA">
        <w:tab/>
        <w:t>„finančním nástrojem“ opatření finanční podpory ve formě kapitálových či kvazikapitálových investic, půjček nebo záruk anebo jiných nástrojů ke sdílení rizik přičemž tam, kde je to vhodné, mohou být spojeny s granty, pokud není v Obecném nařízení stanoveno jinak;</w:t>
      </w:r>
    </w:p>
    <w:p w:rsidR="009D2CAE" w:rsidRPr="007C0CDA" w:rsidRDefault="009D2CAE" w:rsidP="001B1EEC">
      <w:pPr>
        <w:rPr>
          <w:rFonts w:cs="Calibri"/>
          <w:szCs w:val="24"/>
        </w:rPr>
      </w:pPr>
      <w:r w:rsidRPr="007C0CDA">
        <w:rPr>
          <w:rFonts w:cs="Calibri"/>
          <w:szCs w:val="24"/>
        </w:rPr>
        <w:t>b)</w:t>
      </w:r>
      <w:r w:rsidRPr="007C0CDA">
        <w:rPr>
          <w:rFonts w:cs="Calibri"/>
          <w:szCs w:val="24"/>
        </w:rPr>
        <w:tab/>
        <w:t>„fondem fondů“ fond, který investuje prostředky do více finančních nástrojů a pro svou činnost typicky využívá finanční zprostředkovatele;</w:t>
      </w:r>
    </w:p>
    <w:p w:rsidR="009D2CAE" w:rsidRPr="007C0CDA" w:rsidRDefault="009D2CAE" w:rsidP="001B1EEC">
      <w:pPr>
        <w:rPr>
          <w:rFonts w:cs="Calibri"/>
          <w:szCs w:val="24"/>
        </w:rPr>
      </w:pPr>
      <w:r w:rsidRPr="007C0CDA">
        <w:rPr>
          <w:rFonts w:cs="Calibri"/>
          <w:szCs w:val="24"/>
        </w:rPr>
        <w:t>c)</w:t>
      </w:r>
      <w:r w:rsidRPr="007C0CDA">
        <w:rPr>
          <w:rFonts w:cs="Calibri"/>
          <w:szCs w:val="24"/>
        </w:rPr>
        <w:tab/>
        <w:t>„příjemcem“ subjekt, který provádí finanční nástroj, popřípadě fond fondů. V případě, že je pro realizaci finančního nástroje nebo fondu fondů řídícím orgánem založeno SPV jako příjemce prostředků státního rozpočtu obhospodařované příjemcem, je v souladu s obecně závaznými právními předpisy možné, aby smlouvy s konečnými příjemci, soukromými spoluinvestory a podepisoval příjemce jménem příjemce prostředků státního rozpočtu;</w:t>
      </w:r>
    </w:p>
    <w:p w:rsidR="009D2CAE" w:rsidRPr="007C0CDA" w:rsidRDefault="009D2CAE" w:rsidP="001B1EEC">
      <w:pPr>
        <w:rPr>
          <w:rFonts w:cs="Calibri"/>
          <w:szCs w:val="24"/>
        </w:rPr>
      </w:pPr>
      <w:r w:rsidRPr="007C0CDA">
        <w:rPr>
          <w:rFonts w:cs="Calibri"/>
          <w:szCs w:val="24"/>
        </w:rPr>
        <w:t>d)</w:t>
      </w:r>
      <w:r w:rsidRPr="007C0CDA">
        <w:rPr>
          <w:rFonts w:cs="Calibri"/>
          <w:szCs w:val="24"/>
        </w:rPr>
        <w:tab/>
        <w:t>„dohodou o financování“ dohoda o financování podle čl. 38 odst. 7 Obecného nařízení;</w:t>
      </w:r>
    </w:p>
    <w:p w:rsidR="009D2CAE" w:rsidRPr="007C0CDA" w:rsidRDefault="009D2CAE" w:rsidP="001B1EEC">
      <w:pPr>
        <w:rPr>
          <w:rFonts w:cs="Calibri"/>
          <w:szCs w:val="24"/>
        </w:rPr>
      </w:pPr>
      <w:r w:rsidRPr="007C0CDA">
        <w:rPr>
          <w:rFonts w:cs="Calibri"/>
          <w:szCs w:val="24"/>
        </w:rPr>
        <w:t>e)</w:t>
      </w:r>
      <w:r w:rsidRPr="007C0CDA">
        <w:rPr>
          <w:rFonts w:cs="Calibri"/>
          <w:szCs w:val="24"/>
        </w:rPr>
        <w:tab/>
        <w:t>„finančním zprostředkovatelem“ subjekt, kterému subjekt uvedený v čl. 38 odst. 4 prvním pododstavci písm. a) a b) Obecného nařízení při provádění fondů fondů svěřil část provádění za předpokladu, že tento subjekt na vlastní odpovědnost zajistí, aby finanční zprostředkovatel splňoval kritéria stanovená v čl. 140 odst. 1, 2 a 4 Finančního nařízení. Finanční zprostředkovatelé se vybírají prostřednictvím otevřených, transparentních, přiměřených a nediskriminačních postupů, kdy je vyloučen střet zájmů;</w:t>
      </w:r>
    </w:p>
    <w:p w:rsidR="009D2CAE" w:rsidRPr="007C0CDA" w:rsidRDefault="009D2CAE" w:rsidP="001B1EEC">
      <w:pPr>
        <w:rPr>
          <w:rFonts w:cs="Calibri"/>
          <w:szCs w:val="24"/>
        </w:rPr>
      </w:pPr>
      <w:r w:rsidRPr="007C0CDA">
        <w:rPr>
          <w:rFonts w:cs="Calibri"/>
          <w:szCs w:val="24"/>
        </w:rPr>
        <w:t>f)</w:t>
      </w:r>
      <w:r w:rsidRPr="007C0CDA">
        <w:rPr>
          <w:rFonts w:cs="Calibri"/>
          <w:szCs w:val="24"/>
        </w:rPr>
        <w:tab/>
        <w:t>„konečným příjemcem“ právnická nebo fyzická osoba, která dostává finanční podporu z finančního nástroje;</w:t>
      </w:r>
    </w:p>
    <w:p w:rsidR="009D2CAE" w:rsidRPr="007C0CDA" w:rsidRDefault="009D2CAE" w:rsidP="001B1EEC">
      <w:pPr>
        <w:rPr>
          <w:rFonts w:cs="Calibri"/>
          <w:szCs w:val="24"/>
        </w:rPr>
      </w:pPr>
      <w:r w:rsidRPr="007C0CDA">
        <w:rPr>
          <w:rFonts w:cs="Calibri"/>
          <w:szCs w:val="24"/>
        </w:rPr>
        <w:t>g)</w:t>
      </w:r>
      <w:r w:rsidRPr="007C0CDA">
        <w:rPr>
          <w:rFonts w:cs="Calibri"/>
          <w:szCs w:val="24"/>
        </w:rPr>
        <w:tab/>
        <w:t>„operací“ finanční příspěvky z operačního programu na finanční nástroje a následná finanční podpora, kterou tyto finanční nástroje poskytují;</w:t>
      </w:r>
    </w:p>
    <w:p w:rsidR="009D2CAE" w:rsidRPr="007C0CDA" w:rsidRDefault="009D2CAE" w:rsidP="001B1EEC">
      <w:pPr>
        <w:rPr>
          <w:rFonts w:cs="Calibri"/>
          <w:szCs w:val="24"/>
        </w:rPr>
      </w:pPr>
      <w:r w:rsidRPr="007C0CDA">
        <w:rPr>
          <w:rFonts w:cs="Calibri"/>
          <w:szCs w:val="24"/>
        </w:rPr>
        <w:t>h)</w:t>
      </w:r>
      <w:r w:rsidRPr="007C0CDA">
        <w:rPr>
          <w:rFonts w:cs="Calibri"/>
          <w:szCs w:val="24"/>
        </w:rPr>
        <w:tab/>
        <w:t>„projektem konečného příjemce“ finanční, časový a materiální plán činností, který tvoří logický celek, zpracovaný v písemné formě, na který lze čerpat podporu z finančního nástroje v souladu s pravidly pro způsobilost výdajů;</w:t>
      </w:r>
    </w:p>
    <w:p w:rsidR="009D2CAE" w:rsidRPr="007C0CDA" w:rsidRDefault="009D2CAE" w:rsidP="001B1EEC">
      <w:pPr>
        <w:rPr>
          <w:rFonts w:cs="Calibri"/>
          <w:szCs w:val="24"/>
        </w:rPr>
      </w:pPr>
      <w:r w:rsidRPr="007C0CDA">
        <w:rPr>
          <w:rFonts w:cs="Calibri"/>
          <w:szCs w:val="24"/>
        </w:rPr>
        <w:t>i)</w:t>
      </w:r>
      <w:r w:rsidRPr="007C0CDA">
        <w:rPr>
          <w:rFonts w:cs="Calibri"/>
          <w:szCs w:val="24"/>
        </w:rPr>
        <w:tab/>
        <w:t xml:space="preserve">„půjčkou“ smlouva, která zavazuje poskytovatele půjčky k tomu, aby dal příjemci půjčky k dispozici peněžní částku v dohodnuté výši a na dohodnutou dobu, již je příjemce půjčky povinen splatit v dohodnuté době; </w:t>
      </w:r>
    </w:p>
    <w:p w:rsidR="009D2CAE" w:rsidRPr="007C0CDA" w:rsidRDefault="009D2CAE" w:rsidP="001B1EEC">
      <w:pPr>
        <w:rPr>
          <w:rFonts w:cs="Calibri"/>
          <w:szCs w:val="24"/>
        </w:rPr>
      </w:pPr>
      <w:r w:rsidRPr="007C0CDA">
        <w:rPr>
          <w:rFonts w:cs="Calibri"/>
          <w:szCs w:val="24"/>
        </w:rPr>
        <w:t>j)</w:t>
      </w:r>
      <w:r w:rsidRPr="007C0CDA">
        <w:rPr>
          <w:rFonts w:cs="Calibri"/>
          <w:szCs w:val="24"/>
        </w:rPr>
        <w:tab/>
        <w:t xml:space="preserve">„zárukou“ písemný závazek, kterým ručitel přebírá odpovědnost za všechny či některé závazky či povinnosti třetí osoby anebo nebo za úspěšné splnění povinností touto třetí osobou, nastane-li událost, která vede k uplatnění takové záruky, například prodlení při splácení půjčky; </w:t>
      </w:r>
    </w:p>
    <w:p w:rsidR="009D2CAE" w:rsidRPr="007C0CDA" w:rsidRDefault="009D2CAE" w:rsidP="001B1EEC">
      <w:pPr>
        <w:rPr>
          <w:rFonts w:cs="Calibri"/>
          <w:szCs w:val="24"/>
        </w:rPr>
      </w:pPr>
      <w:r w:rsidRPr="007C0CDA">
        <w:rPr>
          <w:rFonts w:cs="Calibri"/>
          <w:szCs w:val="24"/>
        </w:rPr>
        <w:t>k)</w:t>
      </w:r>
      <w:r w:rsidRPr="007C0CDA">
        <w:rPr>
          <w:rFonts w:cs="Calibri"/>
          <w:szCs w:val="24"/>
        </w:rPr>
        <w:tab/>
        <w:t xml:space="preserve">„kapitálovou investicí“ poskytnutí kapitálu společnosti investorem přímo či nepřímo výměnou za celkové nebo částečné vlastnictví této společnosti, při němž může investor převzít určitou kontrolu nad řízením společnosti a podílet se na jejím zisku; </w:t>
      </w:r>
    </w:p>
    <w:p w:rsidR="009D2CAE" w:rsidRPr="007C0CDA" w:rsidRDefault="009D2CAE" w:rsidP="001B1EEC">
      <w:pPr>
        <w:rPr>
          <w:rFonts w:cs="Calibri"/>
          <w:szCs w:val="24"/>
        </w:rPr>
      </w:pPr>
      <w:r w:rsidRPr="007C0CDA">
        <w:rPr>
          <w:rFonts w:cs="Calibri"/>
          <w:szCs w:val="24"/>
        </w:rPr>
        <w:t>l)</w:t>
      </w:r>
      <w:r w:rsidRPr="007C0CDA">
        <w:rPr>
          <w:rFonts w:cs="Calibri"/>
          <w:szCs w:val="24"/>
        </w:rPr>
        <w:tab/>
        <w:t>„kvazikapitálovou investicí“ takový typ financování, které stojí mezi kapitálovou investicí a dluhem, je rizikovější než přednostní dluh a méně rizikové než běžná kapitálová investice. Kvazikapitálové investice mohou mít strukturu dluhu, obvykle nezajištěného a podřízeného, který lze převést na kapitál nebo na preferenční kapitál;</w:t>
      </w:r>
    </w:p>
    <w:p w:rsidR="009D2CAE" w:rsidRPr="007C0CDA" w:rsidRDefault="009D2CAE" w:rsidP="001B1EEC">
      <w:pPr>
        <w:rPr>
          <w:rFonts w:cs="Calibri"/>
          <w:szCs w:val="24"/>
        </w:rPr>
      </w:pPr>
      <w:r w:rsidRPr="007C0CDA">
        <w:rPr>
          <w:rFonts w:cs="Calibri"/>
          <w:szCs w:val="24"/>
        </w:rPr>
        <w:t>m)</w:t>
      </w:r>
      <w:r w:rsidRPr="007C0CDA">
        <w:rPr>
          <w:rFonts w:cs="Calibri"/>
          <w:szCs w:val="24"/>
        </w:rPr>
        <w:tab/>
        <w:t>„nástrojem ke sdílení rizik“ finanční nástroj, který umožňuje sdílet definované riziko mezi dvěma či více subjekty, případně výměnou za dohodnutou odměnu;</w:t>
      </w:r>
    </w:p>
    <w:p w:rsidR="009D2CAE" w:rsidRPr="007C0CDA" w:rsidRDefault="009D2CAE" w:rsidP="002433DA">
      <w:r w:rsidRPr="007C0CDA">
        <w:lastRenderedPageBreak/>
        <w:t>n)</w:t>
      </w:r>
      <w:r w:rsidRPr="007C0CDA">
        <w:tab/>
        <w:t>„EIB“ Evropská investiční banka, Evropský investiční fond nebo jakákoli dceřiná společ</w:t>
      </w:r>
      <w:r w:rsidR="008D1A01">
        <w:t>nost Evropské investiční banky.</w:t>
      </w:r>
    </w:p>
    <w:p w:rsidR="009D2CAE" w:rsidRPr="007C0CDA" w:rsidRDefault="009D2CAE" w:rsidP="001B1EEC">
      <w:pPr>
        <w:pStyle w:val="Nadpis1"/>
      </w:pPr>
      <w:r w:rsidRPr="007C0CDA">
        <w:rPr>
          <w:b w:val="0"/>
          <w:bCs w:val="0"/>
        </w:rPr>
        <w:br w:type="page"/>
      </w:r>
      <w:bookmarkStart w:id="3" w:name="_Toc416447535"/>
      <w:r w:rsidRPr="007C0CDA">
        <w:lastRenderedPageBreak/>
        <w:t>Úvod</w:t>
      </w:r>
      <w:bookmarkEnd w:id="3"/>
    </w:p>
    <w:p w:rsidR="009D2CAE" w:rsidRPr="007C0CDA" w:rsidRDefault="009D2CAE" w:rsidP="001B1EEC"/>
    <w:p w:rsidR="009D2CAE" w:rsidRPr="007C0CDA" w:rsidRDefault="009D2CAE" w:rsidP="001B1EEC">
      <w:r w:rsidRPr="007C0CDA">
        <w:t>Předkládaný dokument představuje předběžné posouzení finančních nástrojů v Operačním programu Podnikání a inovace (OP PIK) podle čl. 37 odst. 2 Obecného nařízení, které tvoří první krok k implementaci finančních nástrojů v novém programovacím období 2014-2020 v rámci operačního programu Ministerstva průmyslu a obchodu (MPO).</w:t>
      </w:r>
    </w:p>
    <w:p w:rsidR="009D2CAE" w:rsidRPr="007C0CDA" w:rsidRDefault="009D2CAE" w:rsidP="001B1EEC"/>
    <w:p w:rsidR="009D2CAE" w:rsidRPr="007C0CDA" w:rsidRDefault="009D2CAE" w:rsidP="001B1EEC">
      <w:r w:rsidRPr="007C0CDA">
        <w:t xml:space="preserve">Evropská komise v minulosti mnohokrát deklarovala, že finanční nástroje (dále též jen „FN“) považuje za jedno z klíčových témat nového finančního rámce. Strategie Evropa 2020 v této souvislosti na několika místech mluví o „mobilizaci finančních nástrojů“. Již v programovém období 2007-2013 došlo v rámci jak kohezní politiky, tak iniciativ Komise k významnému pokroku ve využívání finančních nástrojů, období 2014-2020 má jejich význam dále posílit. Česká republika si tuto příležitost uvědomuje – význam finančních nástrojů akcentuje zejména současné úsilí vlády o aktivizaci Českomoravské záruční a rozvojové banky (ČMZRB). </w:t>
      </w:r>
    </w:p>
    <w:p w:rsidR="009D2CAE" w:rsidRPr="007C0CDA" w:rsidRDefault="009D2CAE" w:rsidP="001B1EEC"/>
    <w:p w:rsidR="009D2CAE" w:rsidRPr="007C0CDA" w:rsidRDefault="009D2CAE" w:rsidP="001B1EEC">
      <w:r w:rsidRPr="007C0CDA">
        <w:t>MPO chápe finanční nástroje jako efektivní formu realizace politiky podpory podnikání a inovací s potenciálem v řadě oblastí. Jedná se však o prostředek dosažení stanovených cílů v oblasti těchto politik, nikoliv o cíl samotný. Proto se tato analýza v první fázi zaměřuje především na strategický postup pro výběr vhodných opatření/strategických cílů OP PIK pro aplikaci finančních nástrojů.</w:t>
      </w:r>
    </w:p>
    <w:p w:rsidR="009D2CAE" w:rsidRPr="007C0CDA" w:rsidRDefault="009D2CAE" w:rsidP="001B1EEC"/>
    <w:p w:rsidR="009D2CAE" w:rsidRPr="007C0CDA" w:rsidRDefault="009D2CAE" w:rsidP="001B1EEC">
      <w:r w:rsidRPr="007C0CDA">
        <w:t>Na zpracování ex ante hodnocení se podílel zejména odbor finančních nástrojů a řízení projektů MPO a společnost Deloitte Advisory, s.r.o, coby dodavatel externích podkladů a nezávislé oponentury. V rámci principu partnerství se na zpracování tohoto vyhodnocení podíleli na bázi konzultací též členové Pracovní skupiny pro finanční nástroje OP PIK, mezi které patří zejména zástupci České bankovní asociace (ČBA), Českomoravské záruční a rozvojové banky, a.s. (ČMZRB), Czech Venture Capital &amp; Private Equity Association (CVCA) a další partneři. Materiál byl konzultován a připomínkován také řadou dalších partnerů, jejichž seznam je přiložen. Uspořádány byly dva workshopy nad pracovními závěry analýzy s účastí hlavních stakeholderů dotčených specifických cílů.</w:t>
      </w:r>
    </w:p>
    <w:p w:rsidR="009D2CAE" w:rsidRPr="007C0CDA" w:rsidRDefault="009D2CAE" w:rsidP="001B1EEC"/>
    <w:p w:rsidR="009D2CAE" w:rsidRPr="007C0CDA" w:rsidRDefault="009D2CAE" w:rsidP="001B1EEC">
      <w:r w:rsidRPr="007C0CDA">
        <w:t xml:space="preserve">Konzultováni byli také zástupci dalších útvarů MPO: odbor implementace strukturálních fondů, odbor koordinace strukturálních fondů, odbor elektroenergetiky, odbor výzkumu, vývoje a inovací, odbor podpory malého a středního podnikání, odbor investic a průmyslových zón a odbor poštovních služeb a služeb informační společnosti. Ex ante vyhodnocení finančních nástrojů je též průběžně diskutováno s Ministerstvem pro místní rozvoj (Národní orgán pro koordinaci) a Ministerstvem financí. </w:t>
      </w:r>
    </w:p>
    <w:p w:rsidR="009D2CAE" w:rsidRPr="007C0CDA" w:rsidRDefault="009D2CAE" w:rsidP="001B1EEC"/>
    <w:p w:rsidR="009D2CAE" w:rsidRPr="007C0CDA" w:rsidRDefault="009D2CAE" w:rsidP="001B1EEC">
      <w:r w:rsidRPr="007C0CDA">
        <w:t>Dále v návaznosti na čl. 37 odst. 2 písm. g) Obecného nařízení uvádíme, že Řídící orgán podle potřeby přezkoumá a aktualizuje toto předběžné posouzení během provádění jakéhokoli finančního nástroje, který byl použit na základě tohoto posouzení, pokud řídící orgán v prováděcí fázi usoudí, že předběžné posouzení již přesně nevystihuje aktuální podmínky na trhu v době provádění.</w:t>
      </w:r>
    </w:p>
    <w:p w:rsidR="009D2CAE" w:rsidRPr="007C0CDA" w:rsidRDefault="009D2CAE" w:rsidP="001B1EEC">
      <w:pPr>
        <w:pStyle w:val="Nadpis1"/>
      </w:pPr>
      <w:bookmarkStart w:id="4" w:name="_Toc416447536"/>
      <w:r w:rsidRPr="007C0CDA">
        <w:t>Výchozí podmínky analýzy</w:t>
      </w:r>
      <w:bookmarkEnd w:id="4"/>
    </w:p>
    <w:p w:rsidR="009D2CAE" w:rsidRPr="007C0CDA" w:rsidRDefault="009D2CAE" w:rsidP="001B1EEC">
      <w:pPr>
        <w:spacing w:after="240"/>
        <w:rPr>
          <w:rFonts w:cs="Calibri"/>
          <w:color w:val="222222"/>
          <w:szCs w:val="22"/>
        </w:rPr>
      </w:pPr>
    </w:p>
    <w:p w:rsidR="009D2CAE" w:rsidRPr="007C0CDA" w:rsidRDefault="009D2CAE" w:rsidP="001B1EEC">
      <w:r w:rsidRPr="007C0CDA">
        <w:t xml:space="preserve">Finanční nařízení definuje finanční nástroj v čl. 2 odst. p) jako opatření finanční podpory Unie poskytovaná z rozpočtu na doplňkovém základě a zaměřená na plnění jednoho nebo více konkrétních politických cílů Unie. Tyto nástroje mohou mít formu kapitálových či kvazikapitálových investic, </w:t>
      </w:r>
      <w:r w:rsidRPr="007C0CDA">
        <w:lastRenderedPageBreak/>
        <w:t>půjček nebo záruk anebo jiných nástrojů ke sdílení rizik a tam, kde je to vhodné, mohou být spojeny s granty.</w:t>
      </w:r>
    </w:p>
    <w:p w:rsidR="009D2CAE" w:rsidRPr="007C0CDA" w:rsidRDefault="009D2CAE" w:rsidP="001B1EEC"/>
    <w:p w:rsidR="009D2CAE" w:rsidRPr="007C0CDA" w:rsidRDefault="009D2CAE" w:rsidP="001B1EEC">
      <w:r w:rsidRPr="007C0CDA">
        <w:t>Evropská komise (EK) přisuzuje finančním nástrojům</w:t>
      </w:r>
      <w:r w:rsidRPr="007C0CDA">
        <w:rPr>
          <w:rStyle w:val="hps"/>
          <w:rFonts w:cs="Calibri"/>
          <w:color w:val="222222"/>
          <w:szCs w:val="22"/>
        </w:rPr>
        <w:t>(FN)</w:t>
      </w:r>
      <w:r w:rsidRPr="007C0CDA">
        <w:t xml:space="preserve">významnou úlohu, kterou </w:t>
      </w:r>
      <w:r w:rsidRPr="007C0CDA">
        <w:rPr>
          <w:rStyle w:val="hps"/>
          <w:rFonts w:cs="Calibri"/>
          <w:color w:val="222222"/>
          <w:szCs w:val="22"/>
        </w:rPr>
        <w:t>mohou sehrát při provádění Společného strategického rámce(SSR</w:t>
      </w:r>
      <w:r w:rsidRPr="007C0CDA">
        <w:t xml:space="preserve">) </w:t>
      </w:r>
      <w:r w:rsidRPr="007C0CDA">
        <w:rPr>
          <w:rStyle w:val="hps"/>
          <w:rFonts w:cs="Calibri"/>
          <w:color w:val="222222"/>
          <w:szCs w:val="22"/>
        </w:rPr>
        <w:t xml:space="preserve">politiky </w:t>
      </w:r>
      <w:r w:rsidRPr="007C0CDA">
        <w:t xml:space="preserve">hospodářské a sociální soudržnosti a </w:t>
      </w:r>
      <w:r w:rsidRPr="007C0CDA">
        <w:rPr>
          <w:rStyle w:val="hps"/>
          <w:rFonts w:cs="Calibri"/>
          <w:color w:val="222222"/>
          <w:szCs w:val="22"/>
        </w:rPr>
        <w:t>přispět tak k dos</w:t>
      </w:r>
      <w:r w:rsidRPr="007C0CDA">
        <w:t>ažení cílů Strategie Evropa 2020. EK má proto v úmyslu podporovat rozvoj a rozšíření oblasti působnosti využití FN v programovém období 2014-2020 a vnímá využití FN jako hodnotný doplněk k tradičnímu grantovému financování. Regulační rámec pro období 2014-2020 umožňuje kombinaci FN s granty a jinými formami podpory v operačních programech (OP) ušitých na míru tak, aby splňovaly specifické potřeby členských států a řídících orgánů(ŘO), nebo je možné využít standardní podmínky pro FN</w:t>
      </w:r>
      <w:r w:rsidRPr="007C0CDA">
        <w:rPr>
          <w:rStyle w:val="Znakapoznpodarou"/>
          <w:rFonts w:ascii="Calibri" w:hAnsi="Calibri" w:cs="Calibri"/>
          <w:color w:val="222222"/>
          <w:szCs w:val="22"/>
        </w:rPr>
        <w:footnoteReference w:id="3"/>
      </w:r>
      <w:r w:rsidRPr="007C0CDA">
        <w:t>.</w:t>
      </w:r>
    </w:p>
    <w:p w:rsidR="009D2CAE" w:rsidRPr="007C0CDA" w:rsidRDefault="009D2CAE" w:rsidP="001B1EEC"/>
    <w:p w:rsidR="009D2CAE" w:rsidRPr="007C0CDA" w:rsidRDefault="009D2CAE" w:rsidP="001B1EEC">
      <w:pPr>
        <w:spacing w:after="240"/>
        <w:rPr>
          <w:rFonts w:cs="Calibri"/>
          <w:b/>
          <w:color w:val="222222"/>
          <w:szCs w:val="22"/>
        </w:rPr>
      </w:pPr>
      <w:r w:rsidRPr="007C0CDA">
        <w:t xml:space="preserve">Finanční nástroje fungují v rámci strukturálních fondů EU již od programového období 1994-1999. Jejich relativní význam se zejména v průběhu programového období 2007-2013 významně zvýšil a nyní představují asi 5 % z celkových zdrojů Evropského fondu pro regionální rozvoj (ERDF, EFRR). </w:t>
      </w:r>
      <w:r w:rsidRPr="007C0CDA">
        <w:rPr>
          <w:b/>
        </w:rPr>
        <w:t>S ohledem na současnou hospodářskou situaci a zvyšující se nedostatek veřejných zdrojů Komise očekává, že FN budou hrát ještě významnější úlohu v kohezní politice v novém programovém období 2014-2020.</w:t>
      </w:r>
      <w:r w:rsidRPr="007C0CDA">
        <w:rPr>
          <w:rFonts w:cs="Calibri"/>
          <w:color w:val="222222"/>
          <w:szCs w:val="22"/>
        </w:rPr>
        <w:t>Fondy ESI lze využívat k podpoře finančních nástrojů v rámci jednoho nebo více OP, a to včetně případů, kdy k tomu dochází prostřednictvím fondů fondů (FF).</w:t>
      </w:r>
    </w:p>
    <w:p w:rsidR="009D2CAE" w:rsidRPr="007C0CDA" w:rsidRDefault="009D2CAE" w:rsidP="001B1EEC">
      <w:pPr>
        <w:spacing w:after="240"/>
        <w:rPr>
          <w:rFonts w:cs="Calibri"/>
          <w:color w:val="222222"/>
          <w:szCs w:val="22"/>
        </w:rPr>
      </w:pPr>
      <w:r w:rsidRPr="007C0CDA">
        <w:rPr>
          <w:rFonts w:cs="Calibri"/>
          <w:color w:val="222222"/>
          <w:szCs w:val="22"/>
        </w:rPr>
        <w:t xml:space="preserve">Hlava IV Obecného </w:t>
      </w:r>
      <w:r w:rsidRPr="007C0CDA">
        <w:rPr>
          <w:rStyle w:val="hps"/>
          <w:rFonts w:cs="Calibri"/>
          <w:color w:val="222222"/>
          <w:szCs w:val="22"/>
        </w:rPr>
        <w:t>nařízení</w:t>
      </w:r>
      <w:r w:rsidRPr="007C0CDA">
        <w:rPr>
          <w:rStyle w:val="Znakapoznpodarou"/>
          <w:rFonts w:ascii="Calibri" w:hAnsi="Calibri" w:cs="Calibri"/>
          <w:color w:val="222222"/>
          <w:szCs w:val="22"/>
        </w:rPr>
        <w:footnoteReference w:id="4"/>
      </w:r>
      <w:r w:rsidRPr="007C0CDA">
        <w:rPr>
          <w:rStyle w:val="hps"/>
          <w:rFonts w:cs="Calibri"/>
          <w:color w:val="222222"/>
          <w:szCs w:val="22"/>
        </w:rPr>
        <w:t>(články37 až 46</w:t>
      </w:r>
      <w:r w:rsidRPr="007C0CDA">
        <w:rPr>
          <w:rFonts w:cs="Calibri"/>
          <w:color w:val="222222"/>
          <w:szCs w:val="22"/>
        </w:rPr>
        <w:t xml:space="preserve">) </w:t>
      </w:r>
      <w:r w:rsidRPr="007C0CDA">
        <w:rPr>
          <w:rStyle w:val="hps"/>
          <w:rFonts w:cs="Calibri"/>
          <w:color w:val="222222"/>
          <w:szCs w:val="22"/>
        </w:rPr>
        <w:t>obsahuje specifická ustanovení o finančních nástrojích podporovaných z Evropských strukturálních a investičních fondů (ESIF, fondy ESI)</w:t>
      </w:r>
      <w:r w:rsidRPr="007C0CDA">
        <w:rPr>
          <w:rFonts w:cs="Calibri"/>
          <w:color w:val="222222"/>
          <w:szCs w:val="22"/>
        </w:rPr>
        <w:t xml:space="preserve">. </w:t>
      </w:r>
      <w:r w:rsidRPr="007C0CDA">
        <w:rPr>
          <w:rStyle w:val="hps"/>
          <w:rFonts w:cs="Calibri"/>
          <w:color w:val="222222"/>
          <w:szCs w:val="22"/>
        </w:rPr>
        <w:t>Členské státy a řídící orgány mohou používat FN ve vztahu ke všem tematickým cílům (TC) na něž se vztahuje OP</w:t>
      </w:r>
      <w:r w:rsidRPr="007C0CDA">
        <w:rPr>
          <w:rFonts w:cs="Calibri"/>
          <w:color w:val="222222"/>
          <w:szCs w:val="22"/>
        </w:rPr>
        <w:t xml:space="preserve">, </w:t>
      </w:r>
      <w:r w:rsidRPr="007C0CDA">
        <w:rPr>
          <w:rStyle w:val="hps"/>
          <w:rFonts w:cs="Calibri"/>
          <w:color w:val="222222"/>
          <w:szCs w:val="22"/>
        </w:rPr>
        <w:t>a pro všechny fondy ESI</w:t>
      </w:r>
      <w:r w:rsidRPr="007C0CDA">
        <w:rPr>
          <w:rFonts w:cs="Calibri"/>
          <w:color w:val="222222"/>
          <w:szCs w:val="22"/>
        </w:rPr>
        <w:t>. Při implementaci FN podle hlavy IV Obecného nařízení musí řídící orgány, subjekty provádějící FF a subjekty provádějící dané FN postupovat v souladu s platnými právními předpisy, zejména s těmi, které upravují poskytování státní podpory a zadávání veřejných zakázek.Kromě toho jsou implementační detaily stanoveny v související sekundární právní úpravě (nařízení v přenesené pravomoci a prováděcí nařízení)</w:t>
      </w:r>
      <w:r w:rsidRPr="007C0CDA">
        <w:rPr>
          <w:rStyle w:val="Znakapoznpodarou"/>
          <w:rFonts w:ascii="Calibri" w:hAnsi="Calibri" w:cs="Calibri"/>
          <w:color w:val="222222"/>
          <w:szCs w:val="22"/>
        </w:rPr>
        <w:footnoteReference w:id="5"/>
      </w:r>
      <w:r w:rsidRPr="007C0CDA">
        <w:rPr>
          <w:rFonts w:cs="Calibri"/>
          <w:color w:val="222222"/>
          <w:szCs w:val="22"/>
        </w:rPr>
        <w:t>.</w:t>
      </w:r>
    </w:p>
    <w:p w:rsidR="009D2CAE" w:rsidRPr="007C0CDA" w:rsidRDefault="009D2CAE" w:rsidP="001B1EEC">
      <w:r w:rsidRPr="007C0CDA">
        <w:t xml:space="preserve">Finanční nástroje představují zvláštní kategorie výdajů ESIF a jejich úspěšný návrh a realizace závisí na správném vyhodnocení mezer a potřeb trhu. </w:t>
      </w:r>
      <w:r w:rsidRPr="007C0CDA">
        <w:rPr>
          <w:b/>
        </w:rPr>
        <w:t>Proto Obecné nařízení obsahuje mj. nové ustanovení, podle kterého by finanční nástroje měly být navrženy na základě předběžného posouzení</w:t>
      </w:r>
      <w:r w:rsidRPr="007C0CDA">
        <w:t xml:space="preserve">. </w:t>
      </w:r>
      <w:r w:rsidRPr="007C0CDA">
        <w:rPr>
          <w:b/>
        </w:rPr>
        <w:t>Povinnost provést předběžné hodnocení FN v rámci přípravy operačního programu vyplývá z článku 37 Obecného nařízení.</w:t>
      </w:r>
      <w:r w:rsidRPr="007C0CDA">
        <w:t xml:space="preserve"> Stává se tak nezbytnou součástí přípravy OP, která výrazně přispívá ke zkvalitnění jeho provádění, zajištění větší koordinovanosti a především k zajištění budoucí úspěšné realizace a efektivnosti využití prostředků určených na finanční nástroje.</w:t>
      </w:r>
    </w:p>
    <w:p w:rsidR="009D2CAE" w:rsidRPr="007C0CDA" w:rsidRDefault="009D2CAE" w:rsidP="001B1EEC"/>
    <w:p w:rsidR="009D2CAE" w:rsidRPr="007C0CDA" w:rsidRDefault="009D2CAE" w:rsidP="001B1EEC">
      <w:pPr>
        <w:spacing w:line="280" w:lineRule="atLeast"/>
        <w:rPr>
          <w:rFonts w:cs="Calibri"/>
          <w:szCs w:val="24"/>
        </w:rPr>
      </w:pPr>
    </w:p>
    <w:p w:rsidR="009D2CAE" w:rsidRPr="007C0CDA" w:rsidRDefault="009D2CAE" w:rsidP="001B1EEC">
      <w:pPr>
        <w:pStyle w:val="Nadpis2"/>
      </w:pPr>
      <w:bookmarkStart w:id="5" w:name="_Toc416447537"/>
      <w:r w:rsidRPr="007C0CDA">
        <w:t>Základní principy fungování finančních nástrojů</w:t>
      </w:r>
      <w:bookmarkEnd w:id="5"/>
    </w:p>
    <w:p w:rsidR="009D2CAE" w:rsidRPr="007C0CDA" w:rsidRDefault="009D2CAE" w:rsidP="001B1EEC">
      <w:r w:rsidRPr="007C0CDA">
        <w:t xml:space="preserve">Při rozhodování o využívání návratných forem pomoci prostřednictvím finančních nástrojů v rámci OP PIK musí být pečlivě zváženo, nakolik je pro konkrétní typ intervence využívání této specifické formy podpory vhodné či nikoli. </w:t>
      </w:r>
    </w:p>
    <w:p w:rsidR="009D2CAE" w:rsidRPr="007C0CDA" w:rsidRDefault="009D2CAE" w:rsidP="001B1EEC">
      <w:pPr>
        <w:rPr>
          <w:szCs w:val="24"/>
        </w:rPr>
      </w:pPr>
    </w:p>
    <w:p w:rsidR="009D2CAE" w:rsidRPr="007C0CDA" w:rsidRDefault="009D2CAE" w:rsidP="001B1EEC">
      <w:pPr>
        <w:pStyle w:val="Nadpis3"/>
      </w:pPr>
      <w:bookmarkStart w:id="6" w:name="_Toc416447538"/>
      <w:r w:rsidRPr="007C0CDA">
        <w:lastRenderedPageBreak/>
        <w:t>Využitelnost finančních nástrojů</w:t>
      </w:r>
      <w:bookmarkEnd w:id="6"/>
    </w:p>
    <w:p w:rsidR="009D2CAE" w:rsidRPr="007C0CDA" w:rsidRDefault="009D2CAE" w:rsidP="001B1EEC">
      <w:r w:rsidRPr="007C0CDA">
        <w:t>Finanční nástroje jsou vhodné k využití veřejných prostředků způsoby zabezpečujícími návratný charakter či vysoký pákový efekt. U opatření obsahujících prvek veřejné podpory lze očekávat zvýšení produktivní činnosti, která bude generovat výnosy a tedy potenciální zdroje pro splacení poskytnutého financování prostředků.</w:t>
      </w:r>
    </w:p>
    <w:p w:rsidR="009D2CAE" w:rsidRPr="007C0CDA" w:rsidRDefault="009D2CAE" w:rsidP="001B1EEC">
      <w:pPr>
        <w:spacing w:line="280" w:lineRule="atLeast"/>
        <w:rPr>
          <w:rFonts w:cs="Calibri"/>
          <w:szCs w:val="24"/>
        </w:rPr>
      </w:pPr>
    </w:p>
    <w:p w:rsidR="009D2CAE" w:rsidRPr="007C0CDA" w:rsidRDefault="009D2CAE" w:rsidP="001B1EEC">
      <w:r w:rsidRPr="007C0CDA">
        <w:t>Je třeba chápat logickou vazbu mezi problémem, jehož řešení vyžaduje veřejnou intervenci v podobě finančního nástroje, a cílem – finanční nástroj je prostředek k řešení problému v ekonomice, nikoliv řešení samotné.</w:t>
      </w:r>
    </w:p>
    <w:p w:rsidR="009D2CAE" w:rsidRPr="007C0CDA" w:rsidRDefault="009D2CAE" w:rsidP="001B1EEC">
      <w:pPr>
        <w:pStyle w:val="Nadpis3"/>
      </w:pPr>
      <w:bookmarkStart w:id="7" w:name="_Toc416447539"/>
      <w:r w:rsidRPr="007C0CDA">
        <w:t>Přínos pro využití veřejných prostředků</w:t>
      </w:r>
      <w:bookmarkEnd w:id="7"/>
    </w:p>
    <w:p w:rsidR="009D2CAE" w:rsidRPr="007C0CDA" w:rsidRDefault="009D2CAE" w:rsidP="001B1EEC">
      <w:r w:rsidRPr="007C0CDA">
        <w:t xml:space="preserve">ŘO při přípravě implementačního schématu operačního programu zhodnotí, zdali poskytnutí návratných prostředků v sobě nese přidanou hodnotu či nikoli. Obecně lze tvrdit, že podpůrné zdroje poskytnuté návratným způsobem významněji motivují podpořené subjekty při výběru a přípravě rozvojových projektů a tím radikálně snižují „morální hazard“ spojený s dotačním způsobem rozdělování pomoci. Také intenzita podpory může být v tomto případě nastavena přesněji (adekvátně projektu), což jistě přispívá k podpoře funkčních a udržitelných tržních mechanismů. Na druhou stranu náklady, spojené se správou projektů, jež jsou financovány návratnými formami podpory, mohou být vyšší než náklady, spojené s dotačním financováním, a to zejména z důvodu odlišné délky období správy zdrojů. </w:t>
      </w:r>
    </w:p>
    <w:p w:rsidR="009D2CAE" w:rsidRPr="007C0CDA" w:rsidRDefault="009D2CAE" w:rsidP="001B1EEC">
      <w:pPr>
        <w:pStyle w:val="Nadpis3"/>
      </w:pPr>
      <w:bookmarkStart w:id="8" w:name="_Toc416447540"/>
      <w:r w:rsidRPr="007C0CDA">
        <w:t>Přidaná hodnota a rizika finančních nástrojů</w:t>
      </w:r>
      <w:bookmarkEnd w:id="8"/>
    </w:p>
    <w:p w:rsidR="009D2CAE" w:rsidRPr="007C0CDA" w:rsidRDefault="009D2CAE" w:rsidP="001B1EEC">
      <w:r w:rsidRPr="007C0CDA">
        <w:t>V případě, že řídící orgán rozhodne o návratném způsobu financování, musí zvážit výhody a nevýhody, které přináší finanční nástroje oproti dotační formě.</w:t>
      </w:r>
    </w:p>
    <w:p w:rsidR="009D2CAE" w:rsidRPr="007C0CDA" w:rsidRDefault="009D2CAE" w:rsidP="001B1EEC"/>
    <w:p w:rsidR="009D2CAE" w:rsidRPr="007C0CDA" w:rsidRDefault="009D2CAE" w:rsidP="001B1EEC">
      <w:r w:rsidRPr="007C0CDA">
        <w:t>Významné přednosti finančních nástrojů pro řídící orgány představují:</w:t>
      </w:r>
    </w:p>
    <w:p w:rsidR="009D2CAE" w:rsidRPr="007C0CDA" w:rsidRDefault="009D2CAE" w:rsidP="001B1EEC">
      <w:pPr>
        <w:pStyle w:val="Odstavecseseznamem"/>
        <w:numPr>
          <w:ilvl w:val="0"/>
          <w:numId w:val="24"/>
        </w:numPr>
        <w:spacing w:after="120" w:line="280" w:lineRule="atLeast"/>
        <w:rPr>
          <w:rFonts w:cs="Calibri"/>
          <w:szCs w:val="24"/>
        </w:rPr>
      </w:pPr>
      <w:r w:rsidRPr="007C0CDA">
        <w:rPr>
          <w:rFonts w:cs="Calibri"/>
          <w:szCs w:val="24"/>
        </w:rPr>
        <w:t xml:space="preserve">sdílení rizika a pákový efekt díky zapojení soukromých zdrojů, </w:t>
      </w:r>
    </w:p>
    <w:p w:rsidR="009D2CAE" w:rsidRPr="007C0CDA" w:rsidRDefault="009D2CAE" w:rsidP="001B1EEC">
      <w:pPr>
        <w:pStyle w:val="Odstavecseseznamem"/>
        <w:numPr>
          <w:ilvl w:val="0"/>
          <w:numId w:val="24"/>
        </w:numPr>
        <w:spacing w:after="120" w:line="280" w:lineRule="atLeast"/>
        <w:rPr>
          <w:rFonts w:cs="Calibri"/>
          <w:szCs w:val="24"/>
        </w:rPr>
      </w:pPr>
      <w:r w:rsidRPr="007C0CDA">
        <w:rPr>
          <w:rFonts w:cs="Calibri"/>
          <w:szCs w:val="24"/>
        </w:rPr>
        <w:t>možnost opětovného využití prostředků</w:t>
      </w:r>
    </w:p>
    <w:p w:rsidR="009D2CAE" w:rsidRPr="007C0CDA" w:rsidRDefault="009D2CAE" w:rsidP="001B1EEC">
      <w:r w:rsidRPr="007C0CDA">
        <w:rPr>
          <w:b/>
        </w:rPr>
        <w:t>Finanční nástroje díky pákovému efektu a sdílením rizika snižují nároky na veřejné rozpočty při srovnatelných možnostech dosažení daného cíle.</w:t>
      </w:r>
      <w:r w:rsidRPr="007C0CDA">
        <w:t xml:space="preserve"> Komise proto počítá s rozšířenými možnostmi podpory zapojení soukromých investorů v rámci nových pravidel pro veřejnou podporu, např. nadproporční distribuce zisku ve prospěch soukromých spoluinvestorů – nicméně jen tam, kde je to nutné.</w:t>
      </w:r>
    </w:p>
    <w:p w:rsidR="009D2CAE" w:rsidRPr="007C0CDA" w:rsidRDefault="009D2CAE" w:rsidP="001B1EEC"/>
    <w:p w:rsidR="009D2CAE" w:rsidRPr="007C0CDA" w:rsidRDefault="009D2CAE" w:rsidP="001B1EEC">
      <w:r w:rsidRPr="007C0CDA">
        <w:t>Na druhé straně, jistou nevýhodou finančních nástrojů oproti dotacím jsou výrazně vyšší nároky na jejich řízení v době přípravy – příprava nového typu smluvní dokumentace, nastavení podmínek na několik let dopředu, je třeba modelovat všechny možné situace a scénáře. Finanční nástroje proto byly ve většině členských států spouštěny až v průběhu programového období. Z dosavadních zkušeností proto plyne, že je v této oblasti výhodnější věnovat adekvátní čas přípravě finančního nástroje a zapojit do tohoto procesu subjekty se zkušenostmi s tímto typem nástroje ve strukturálních fondech EU, neboť to dokáže přinést vyšší kvalitu celého procesu a snížit riziko neuznatelnosti výdajů a z toho plynoucích finančních korekcí.</w:t>
      </w:r>
    </w:p>
    <w:p w:rsidR="009D2CAE" w:rsidRPr="007C0CDA" w:rsidRDefault="009D2CAE" w:rsidP="001B1EEC"/>
    <w:p w:rsidR="009D2CAE" w:rsidRPr="002433DA" w:rsidRDefault="009D2CAE" w:rsidP="001B1EEC">
      <w:r w:rsidRPr="007C0CDA">
        <w:t xml:space="preserve">Náklady správy hrazené z veřejných prostředků u finančních nástrojů mohou být částečně či plně hrazeny z výnosů investice. Lze tedy říci, že v případě dotací je vždy ještě nutno vynaložit další prostředky na jejich správu, a to jako čistý náklad. V případě finančních nástrojů mohou být náklady na správu v různé míře kompenzovány a jejich výše je transparentně stanovena prostřednictvím </w:t>
      </w:r>
      <w:r w:rsidRPr="007C0CDA">
        <w:lastRenderedPageBreak/>
        <w:t>limitů nákladů a poplatků spojených s řízením finančního nástroje stanovených v Implementačním nařízení</w:t>
      </w:r>
      <w:r w:rsidRPr="007C0CDA">
        <w:rPr>
          <w:rStyle w:val="Znakapoznpodarou"/>
        </w:rPr>
        <w:footnoteReference w:id="6"/>
      </w:r>
      <w:r w:rsidRPr="002433DA">
        <w:t>.</w:t>
      </w:r>
    </w:p>
    <w:p w:rsidR="009D2CAE" w:rsidRPr="002433DA" w:rsidRDefault="009D2CAE" w:rsidP="001B1EEC"/>
    <w:p w:rsidR="009D2CAE" w:rsidRPr="007C0CDA" w:rsidRDefault="009D2CAE" w:rsidP="001B1EEC">
      <w:r w:rsidRPr="002433DA">
        <w:t>Pro samotné příjemce podpory přináší finanční nástroje oproti dotacím výhodu v</w:t>
      </w:r>
      <w:r w:rsidRPr="007C0CDA">
        <w:t> </w:t>
      </w:r>
      <w:r w:rsidRPr="002433DA">
        <w:t xml:space="preserve">podobě </w:t>
      </w:r>
      <w:r w:rsidRPr="007C0CDA">
        <w:rPr>
          <w:b/>
        </w:rPr>
        <w:t>snížených časových i finančních nákladů na administrativu žádosti</w:t>
      </w:r>
      <w:r w:rsidRPr="007C0CDA">
        <w:t xml:space="preserve">, výrazně rychlejší proces hodnocení, nižší nároky na monitoring a především mnohem rychlejší profinancování samotného projektu. Z ekonomického pohledu (zejména při zohlednění časové hodnoty) nemusí být návratná podpora pro konečné příjemce méně výhodná než dotace. </w:t>
      </w:r>
    </w:p>
    <w:p w:rsidR="009D2CAE" w:rsidRPr="007C0CDA" w:rsidRDefault="009D2CAE" w:rsidP="001B1EEC"/>
    <w:p w:rsidR="009D2CAE" w:rsidRPr="007C0CDA" w:rsidRDefault="009D2CAE" w:rsidP="001B1EEC">
      <w:r w:rsidRPr="007C0CDA">
        <w:t>Zásadní výhodou pro příjemce je skutečnost, že mu finanční nástroj pomáhá překonat hlavní překážku, a to je nedostupnost zdrojů financování jako takového.</w:t>
      </w:r>
    </w:p>
    <w:p w:rsidR="009D2CAE" w:rsidRPr="007C0CDA" w:rsidRDefault="009D2CAE" w:rsidP="001B1EEC"/>
    <w:p w:rsidR="009D2CAE" w:rsidRPr="007C0CDA" w:rsidRDefault="009D2CAE" w:rsidP="001B1EEC">
      <w:pPr>
        <w:rPr>
          <w:b/>
        </w:rPr>
      </w:pPr>
      <w:r w:rsidRPr="007C0CDA">
        <w:rPr>
          <w:b/>
        </w:rPr>
        <w:t>Uvedené obecné charakteristiky FN jsou zpřesněny pro jednotlivé hlouběji analyzované specifické cíle a druhy nástrojů v rámci bloku I. v podkapitolách Posouzení přidané hodnoty finančních nástrojů.</w:t>
      </w:r>
    </w:p>
    <w:p w:rsidR="009D2CAE" w:rsidRPr="007C0CDA" w:rsidRDefault="009D2CAE" w:rsidP="001B1EEC"/>
    <w:p w:rsidR="009D2CAE" w:rsidRPr="007C0CDA" w:rsidRDefault="009D2CAE" w:rsidP="001B1EEC">
      <w:pPr>
        <w:pStyle w:val="Nadpis2"/>
      </w:pPr>
      <w:bookmarkStart w:id="9" w:name="_Toc416447541"/>
      <w:r w:rsidRPr="007C0CDA">
        <w:t>Screening specifických cílů OP PIK z hlediska aplikovatelnosti finančních nástrojů</w:t>
      </w:r>
      <w:bookmarkEnd w:id="9"/>
    </w:p>
    <w:p w:rsidR="009D2CAE" w:rsidRPr="007C0CDA" w:rsidRDefault="009D2CAE" w:rsidP="001B1EEC">
      <w:r w:rsidRPr="007C0CDA">
        <w:t>Řídící orgán OP PIK provedl screening prioritních os a specifických cílů operačního programu z hlediska vhodnosti aplikace finančních nástrojů jako formy podpory na základě principů popsaných v předchozí kapitole a tezí pro přípravu operačního programu obsažených v dokumentu Intervenční logika programu/teorie změny, který byl připraven v součinnosti s Ministerstvem pro místní rozvoj. Na základě výsledků tohoto screeningu byly následně v operačním programu uvedeny specifické cíle, u kterých řídící orgán předpokládá/zvažuje/nepředpokládá využití finančních nástrojů, přičemž jednotlivé verze OP PIK byly na základě principu partnerství konzultovány též s dalšími subjekty.Prvotní výsledky screeningu byly dále doplněny na základě konzultací s Evropskou komisí, která zejména doporučila rovněž zvážení využití finančních nástrojů v prioritní ose 4 OPPIK.</w:t>
      </w:r>
    </w:p>
    <w:p w:rsidR="009D2CAE" w:rsidRPr="007C0CDA" w:rsidRDefault="009D2CAE" w:rsidP="001B1EEC"/>
    <w:p w:rsidR="009D2CAE" w:rsidRPr="007C0CDA" w:rsidRDefault="009D2CAE" w:rsidP="001B1EEC">
      <w:r w:rsidRPr="007C0CDA">
        <w:t>Screening byl prováděn na základě ohodnocení cílů intervence, podporovaných aktivit, cílových skupin a typů příjemců následujícími pěti binárními kritérii:</w:t>
      </w:r>
    </w:p>
    <w:p w:rsidR="009D2CAE" w:rsidRPr="007C0CDA" w:rsidRDefault="009D2CAE" w:rsidP="001B1EEC"/>
    <w:p w:rsidR="009D2CAE" w:rsidRPr="007C0CDA" w:rsidRDefault="009D2CAE" w:rsidP="001B1EEC">
      <w:pPr>
        <w:numPr>
          <w:ilvl w:val="0"/>
          <w:numId w:val="75"/>
        </w:numPr>
        <w:spacing w:after="240"/>
        <w:rPr>
          <w:rFonts w:cs="Calibri"/>
          <w:color w:val="222222"/>
          <w:szCs w:val="22"/>
        </w:rPr>
      </w:pPr>
      <w:r w:rsidRPr="007C0CDA">
        <w:rPr>
          <w:rFonts w:cs="Calibri"/>
          <w:color w:val="222222"/>
          <w:szCs w:val="22"/>
        </w:rPr>
        <w:t>Produktivní činnost (investiční projekty) – ANO/NE</w:t>
      </w:r>
    </w:p>
    <w:p w:rsidR="009D2CAE" w:rsidRPr="007C0CDA" w:rsidRDefault="009D2CAE" w:rsidP="001B1EEC">
      <w:pPr>
        <w:numPr>
          <w:ilvl w:val="0"/>
          <w:numId w:val="75"/>
        </w:numPr>
        <w:spacing w:after="240"/>
        <w:rPr>
          <w:rFonts w:cs="Calibri"/>
          <w:color w:val="222222"/>
          <w:szCs w:val="22"/>
        </w:rPr>
      </w:pPr>
      <w:r w:rsidRPr="007C0CDA">
        <w:rPr>
          <w:rFonts w:cs="Calibri"/>
          <w:color w:val="222222"/>
          <w:szCs w:val="22"/>
        </w:rPr>
        <w:t>Předpoklad dostatečného cash flow typových projektů – ANO/NE</w:t>
      </w:r>
    </w:p>
    <w:p w:rsidR="009D2CAE" w:rsidRPr="007C0CDA" w:rsidRDefault="009D2CAE" w:rsidP="001B1EEC">
      <w:pPr>
        <w:numPr>
          <w:ilvl w:val="0"/>
          <w:numId w:val="75"/>
        </w:numPr>
        <w:spacing w:after="240"/>
        <w:rPr>
          <w:rFonts w:cs="Calibri"/>
          <w:color w:val="222222"/>
          <w:szCs w:val="22"/>
        </w:rPr>
      </w:pPr>
      <w:r w:rsidRPr="007C0CDA">
        <w:rPr>
          <w:rFonts w:cs="Calibri"/>
          <w:color w:val="222222"/>
          <w:szCs w:val="22"/>
        </w:rPr>
        <w:t>Možnost zapojení dodatečných soukromých nebo veřejných zdrojů – ANO/NE</w:t>
      </w:r>
    </w:p>
    <w:p w:rsidR="009D2CAE" w:rsidRPr="007C0CDA" w:rsidRDefault="009D2CAE" w:rsidP="001B1EEC">
      <w:pPr>
        <w:numPr>
          <w:ilvl w:val="0"/>
          <w:numId w:val="75"/>
        </w:numPr>
        <w:spacing w:after="240"/>
        <w:rPr>
          <w:rFonts w:cs="Calibri"/>
          <w:color w:val="222222"/>
          <w:szCs w:val="22"/>
        </w:rPr>
      </w:pPr>
      <w:r w:rsidRPr="007C0CDA">
        <w:rPr>
          <w:rFonts w:cs="Calibri"/>
          <w:color w:val="222222"/>
          <w:szCs w:val="22"/>
        </w:rPr>
        <w:t>Předpoklad ztížené dostupnosti komerčního financování – ANO/NE</w:t>
      </w:r>
    </w:p>
    <w:p w:rsidR="009D2CAE" w:rsidRPr="007C0CDA" w:rsidRDefault="009D2CAE" w:rsidP="001B1EEC">
      <w:pPr>
        <w:numPr>
          <w:ilvl w:val="0"/>
          <w:numId w:val="75"/>
        </w:numPr>
        <w:spacing w:after="240"/>
        <w:rPr>
          <w:rFonts w:cs="Calibri"/>
          <w:color w:val="222222"/>
          <w:szCs w:val="22"/>
        </w:rPr>
      </w:pPr>
      <w:r w:rsidRPr="007C0CDA">
        <w:rPr>
          <w:rFonts w:cs="Calibri"/>
          <w:color w:val="222222"/>
          <w:szCs w:val="22"/>
        </w:rPr>
        <w:t>Dosavadní zkušenosti v ČR s aplikací finančního nástroje v dané oblasti – ANO/NE</w:t>
      </w:r>
    </w:p>
    <w:p w:rsidR="009D2CAE" w:rsidRPr="007C0CDA" w:rsidRDefault="009D2CAE" w:rsidP="001B1EEC"/>
    <w:p w:rsidR="009D2CAE" w:rsidRPr="007C0CDA" w:rsidRDefault="009D2CAE" w:rsidP="001B1EEC">
      <w:r w:rsidRPr="007C0CDA">
        <w:t>Závěrem screeningu bylo zjištění, že finanční nástroje mají potenciál využití ve všech prioritních osách OP PIK odpovídajících tematickým cílům 1, 2, 3 a 4. Následující tabulka poskytuje podrobný přehled specifických cílů OP PIK z hlediska předpokladů řídícího orgánu o aplikovatelnosti finančních nástrojů na základě výsledků screeningu.</w:t>
      </w:r>
    </w:p>
    <w:p w:rsidR="009D2CAE" w:rsidRPr="007C0CDA" w:rsidRDefault="009D2CAE" w:rsidP="001B1EEC"/>
    <w:tbl>
      <w:tblPr>
        <w:tblW w:w="9238" w:type="dxa"/>
        <w:tblLayout w:type="fixed"/>
        <w:tblLook w:val="00A0" w:firstRow="1" w:lastRow="0" w:firstColumn="1" w:lastColumn="0" w:noHBand="0" w:noVBand="0"/>
      </w:tblPr>
      <w:tblGrid>
        <w:gridCol w:w="1701"/>
        <w:gridCol w:w="1843"/>
        <w:gridCol w:w="1985"/>
        <w:gridCol w:w="3709"/>
      </w:tblGrid>
      <w:tr w:rsidR="009D2CAE" w:rsidRPr="007C0CDA" w:rsidTr="003B0EE7">
        <w:tc>
          <w:tcPr>
            <w:tcW w:w="1701" w:type="dxa"/>
            <w:shd w:val="clear" w:color="auto" w:fill="4F81BD"/>
          </w:tcPr>
          <w:p w:rsidR="009D2CAE" w:rsidRPr="007C0CDA" w:rsidRDefault="009D2CAE" w:rsidP="00FB388C">
            <w:pPr>
              <w:spacing w:after="240"/>
              <w:rPr>
                <w:rFonts w:cs="Calibri"/>
                <w:b/>
                <w:color w:val="FFFFFF"/>
                <w:szCs w:val="22"/>
              </w:rPr>
            </w:pPr>
            <w:r w:rsidRPr="007C0CDA">
              <w:rPr>
                <w:rFonts w:cs="Calibri"/>
                <w:b/>
                <w:color w:val="FFFFFF"/>
                <w:szCs w:val="22"/>
              </w:rPr>
              <w:lastRenderedPageBreak/>
              <w:t>Prioritní osa OP PIK</w:t>
            </w:r>
          </w:p>
        </w:tc>
        <w:tc>
          <w:tcPr>
            <w:tcW w:w="1843" w:type="dxa"/>
            <w:shd w:val="clear" w:color="auto" w:fill="4F81BD"/>
          </w:tcPr>
          <w:p w:rsidR="009D2CAE" w:rsidRPr="007C0CDA" w:rsidRDefault="009D2CAE" w:rsidP="00FB388C">
            <w:pPr>
              <w:spacing w:after="240"/>
              <w:rPr>
                <w:rFonts w:cs="Calibri"/>
                <w:b/>
                <w:color w:val="FFFFFF"/>
                <w:szCs w:val="22"/>
              </w:rPr>
            </w:pPr>
            <w:r w:rsidRPr="007C0CDA">
              <w:rPr>
                <w:rFonts w:cs="Calibri"/>
                <w:b/>
                <w:color w:val="FFFFFF"/>
                <w:szCs w:val="22"/>
              </w:rPr>
              <w:t>Investiční priorita</w:t>
            </w:r>
          </w:p>
        </w:tc>
        <w:tc>
          <w:tcPr>
            <w:tcW w:w="1985" w:type="dxa"/>
            <w:shd w:val="clear" w:color="auto" w:fill="4F81BD"/>
          </w:tcPr>
          <w:p w:rsidR="009D2CAE" w:rsidRPr="007C0CDA" w:rsidRDefault="009D2CAE" w:rsidP="00FB388C">
            <w:pPr>
              <w:spacing w:after="240"/>
              <w:rPr>
                <w:rFonts w:cs="Calibri"/>
                <w:b/>
                <w:color w:val="FFFFFF"/>
                <w:szCs w:val="22"/>
              </w:rPr>
            </w:pPr>
            <w:r w:rsidRPr="007C0CDA">
              <w:rPr>
                <w:rFonts w:cs="Calibri"/>
                <w:b/>
                <w:color w:val="FFFFFF"/>
                <w:szCs w:val="22"/>
              </w:rPr>
              <w:t>Specifický cíl</w:t>
            </w:r>
          </w:p>
        </w:tc>
        <w:tc>
          <w:tcPr>
            <w:tcW w:w="3709" w:type="dxa"/>
            <w:shd w:val="clear" w:color="auto" w:fill="4F81BD"/>
          </w:tcPr>
          <w:p w:rsidR="009D2CAE" w:rsidRPr="007C0CDA" w:rsidRDefault="009D2CAE" w:rsidP="00FB388C">
            <w:pPr>
              <w:spacing w:after="240"/>
              <w:rPr>
                <w:rFonts w:cs="Calibri"/>
                <w:b/>
                <w:color w:val="FFFFFF"/>
                <w:szCs w:val="22"/>
              </w:rPr>
            </w:pPr>
            <w:r w:rsidRPr="007C0CDA">
              <w:rPr>
                <w:rFonts w:cs="Calibri"/>
                <w:b/>
                <w:color w:val="FFFFFF"/>
                <w:szCs w:val="22"/>
              </w:rPr>
              <w:t xml:space="preserve">Výsledek screeningu na základě analýzy intervenční logiky </w:t>
            </w:r>
          </w:p>
        </w:tc>
      </w:tr>
      <w:tr w:rsidR="009D2CAE" w:rsidRPr="007C0CDA" w:rsidTr="00FB388C">
        <w:tc>
          <w:tcPr>
            <w:tcW w:w="1701" w:type="dxa"/>
            <w:vMerge w:val="restart"/>
          </w:tcPr>
          <w:p w:rsidR="009D2CAE" w:rsidRPr="007C0CDA" w:rsidRDefault="009D2CAE" w:rsidP="00FB388C">
            <w:pPr>
              <w:spacing w:after="240"/>
              <w:rPr>
                <w:rFonts w:cs="Calibri"/>
                <w:color w:val="222222"/>
                <w:szCs w:val="22"/>
              </w:rPr>
            </w:pPr>
            <w:r w:rsidRPr="007C0CDA">
              <w:rPr>
                <w:rFonts w:cs="Calibri"/>
                <w:color w:val="222222"/>
                <w:szCs w:val="22"/>
              </w:rPr>
              <w:t>PO 1: Rozvoj výzkumu a vývoje pro inovace</w:t>
            </w:r>
          </w:p>
        </w:tc>
        <w:tc>
          <w:tcPr>
            <w:tcW w:w="1843" w:type="dxa"/>
            <w:vMerge w:val="restart"/>
          </w:tcPr>
          <w:p w:rsidR="009D2CAE" w:rsidRPr="007C0CDA" w:rsidRDefault="009D2CAE" w:rsidP="00FB388C">
            <w:pPr>
              <w:spacing w:after="240"/>
              <w:rPr>
                <w:rFonts w:cs="Calibri"/>
                <w:color w:val="222222"/>
                <w:szCs w:val="22"/>
              </w:rPr>
            </w:pPr>
            <w:r w:rsidRPr="007C0CDA">
              <w:rPr>
                <w:rFonts w:cs="Calibri"/>
                <w:color w:val="222222"/>
                <w:szCs w:val="22"/>
              </w:rPr>
              <w:t>Podpora podnikových investic do výzkumu a inovací a vytváření vazeb a součinnosti mezi podniky, středisky výzkumu a vývoje a odvětvím vysokoškolského vzdělávání</w:t>
            </w:r>
          </w:p>
        </w:tc>
        <w:tc>
          <w:tcPr>
            <w:tcW w:w="1985" w:type="dxa"/>
          </w:tcPr>
          <w:p w:rsidR="009D2CAE" w:rsidRPr="007C0CDA" w:rsidRDefault="009D2CAE" w:rsidP="00FB388C">
            <w:pPr>
              <w:spacing w:after="240"/>
              <w:rPr>
                <w:rFonts w:cs="Calibri"/>
                <w:color w:val="222222"/>
                <w:szCs w:val="22"/>
              </w:rPr>
            </w:pPr>
            <w:r w:rsidRPr="007C0CDA">
              <w:rPr>
                <w:rFonts w:cs="Calibri"/>
                <w:color w:val="222222"/>
                <w:szCs w:val="22"/>
              </w:rPr>
              <w:t>SC 1.1: Zvýšit inovační výkonnost podniků</w:t>
            </w:r>
          </w:p>
        </w:tc>
        <w:tc>
          <w:tcPr>
            <w:tcW w:w="3709" w:type="dxa"/>
            <w:vMerge w:val="restart"/>
          </w:tcPr>
          <w:p w:rsidR="009D2CAE" w:rsidRPr="007C0CDA" w:rsidRDefault="009D2CAE" w:rsidP="00FB388C">
            <w:pPr>
              <w:spacing w:after="240"/>
              <w:rPr>
                <w:rFonts w:cs="Calibri"/>
                <w:color w:val="222222"/>
                <w:szCs w:val="22"/>
              </w:rPr>
            </w:pPr>
            <w:r w:rsidRPr="007C0CDA">
              <w:rPr>
                <w:rFonts w:cs="Calibri"/>
                <w:color w:val="222222"/>
                <w:szCs w:val="22"/>
              </w:rPr>
              <w:t>Produktivní činnost (investiční projekty)  - ANO</w:t>
            </w:r>
          </w:p>
          <w:p w:rsidR="009D2CAE" w:rsidRPr="007C0CDA" w:rsidRDefault="009D2CAE" w:rsidP="00FB388C">
            <w:pPr>
              <w:spacing w:after="240"/>
              <w:rPr>
                <w:rFonts w:cs="Calibri"/>
                <w:color w:val="222222"/>
                <w:szCs w:val="22"/>
              </w:rPr>
            </w:pPr>
            <w:r w:rsidRPr="007C0CDA">
              <w:rPr>
                <w:rFonts w:cs="Calibri"/>
                <w:color w:val="222222"/>
                <w:szCs w:val="22"/>
              </w:rPr>
              <w:t>Předpoklad dostatečného cash flow typových projektů – ANO</w:t>
            </w:r>
          </w:p>
          <w:p w:rsidR="009D2CAE" w:rsidRPr="007C0CDA" w:rsidRDefault="009D2CAE" w:rsidP="00FB388C">
            <w:pPr>
              <w:spacing w:after="240"/>
              <w:rPr>
                <w:rFonts w:cs="Calibri"/>
                <w:color w:val="222222"/>
                <w:szCs w:val="22"/>
              </w:rPr>
            </w:pPr>
            <w:r w:rsidRPr="007C0CDA">
              <w:rPr>
                <w:rFonts w:cs="Calibri"/>
                <w:color w:val="222222"/>
                <w:szCs w:val="22"/>
              </w:rPr>
              <w:t>Možnost zapojení dodatečných soukromých nebo veřejných zdrojů – ANO</w:t>
            </w:r>
          </w:p>
          <w:p w:rsidR="009D2CAE" w:rsidRPr="007C0CDA" w:rsidRDefault="009D2CAE" w:rsidP="00FB388C">
            <w:pPr>
              <w:spacing w:after="240"/>
              <w:rPr>
                <w:rFonts w:cs="Calibri"/>
                <w:color w:val="222222"/>
                <w:szCs w:val="22"/>
              </w:rPr>
            </w:pPr>
            <w:r w:rsidRPr="007C0CDA">
              <w:rPr>
                <w:rFonts w:cs="Calibri"/>
                <w:color w:val="222222"/>
                <w:szCs w:val="22"/>
              </w:rPr>
              <w:t>Předpoklad ztížené dostupnosti komerčního financování – ANO</w:t>
            </w:r>
          </w:p>
          <w:p w:rsidR="009D2CAE" w:rsidRPr="007C0CDA" w:rsidRDefault="009D2CAE" w:rsidP="00FB388C">
            <w:pPr>
              <w:spacing w:after="240"/>
              <w:rPr>
                <w:rFonts w:cs="Calibri"/>
                <w:color w:val="222222"/>
                <w:szCs w:val="22"/>
              </w:rPr>
            </w:pPr>
            <w:r w:rsidRPr="007C0CDA">
              <w:rPr>
                <w:rFonts w:cs="Calibri"/>
                <w:color w:val="222222"/>
                <w:szCs w:val="22"/>
              </w:rPr>
              <w:t>Dosavadní zkušenosti v ČR s aplikací finančního nástroje v dané oblasti - NE</w:t>
            </w:r>
          </w:p>
          <w:p w:rsidR="009D2CAE" w:rsidRPr="007C0CDA" w:rsidRDefault="009D2CAE" w:rsidP="00FB388C">
            <w:pPr>
              <w:spacing w:after="240"/>
              <w:rPr>
                <w:rFonts w:cs="Calibri"/>
                <w:color w:val="222222"/>
                <w:szCs w:val="22"/>
              </w:rPr>
            </w:pPr>
            <w:r w:rsidRPr="007C0CDA">
              <w:rPr>
                <w:rFonts w:cs="Calibri"/>
                <w:color w:val="222222"/>
                <w:szCs w:val="22"/>
              </w:rPr>
              <w:t>Řídící orgán zvažuje využití finančních nástrojů v této investiční prioritě</w:t>
            </w:r>
          </w:p>
        </w:tc>
      </w:tr>
      <w:tr w:rsidR="009D2CAE" w:rsidRPr="007C0CDA" w:rsidTr="00FB388C">
        <w:tc>
          <w:tcPr>
            <w:tcW w:w="1701" w:type="dxa"/>
            <w:vMerge/>
          </w:tcPr>
          <w:p w:rsidR="009D2CAE" w:rsidRPr="007C0CDA" w:rsidRDefault="009D2CAE" w:rsidP="00FB388C">
            <w:pPr>
              <w:spacing w:after="240"/>
              <w:rPr>
                <w:rFonts w:cs="Calibri"/>
                <w:color w:val="222222"/>
                <w:szCs w:val="22"/>
              </w:rPr>
            </w:pPr>
          </w:p>
        </w:tc>
        <w:tc>
          <w:tcPr>
            <w:tcW w:w="1843" w:type="dxa"/>
            <w:vMerge/>
          </w:tcPr>
          <w:p w:rsidR="009D2CAE" w:rsidRPr="007C0CDA" w:rsidRDefault="009D2CAE" w:rsidP="00FB388C">
            <w:pPr>
              <w:spacing w:after="240"/>
              <w:rPr>
                <w:rFonts w:cs="Calibri"/>
                <w:color w:val="222222"/>
                <w:szCs w:val="22"/>
              </w:rPr>
            </w:pPr>
          </w:p>
        </w:tc>
        <w:tc>
          <w:tcPr>
            <w:tcW w:w="1985" w:type="dxa"/>
          </w:tcPr>
          <w:p w:rsidR="009D2CAE" w:rsidRPr="007C0CDA" w:rsidRDefault="009D2CAE" w:rsidP="00FB388C">
            <w:pPr>
              <w:spacing w:after="240"/>
              <w:rPr>
                <w:rFonts w:cs="Calibri"/>
                <w:color w:val="222222"/>
                <w:szCs w:val="22"/>
              </w:rPr>
            </w:pPr>
            <w:r w:rsidRPr="007C0CDA">
              <w:rPr>
                <w:rFonts w:cs="Calibri"/>
                <w:color w:val="222222"/>
                <w:szCs w:val="22"/>
              </w:rPr>
              <w:t>SC 1.2: Zvýšit intenzitu a účinnost spolupráce ve výzkumu, vývoji a inovacích</w:t>
            </w:r>
          </w:p>
        </w:tc>
        <w:tc>
          <w:tcPr>
            <w:tcW w:w="3709" w:type="dxa"/>
            <w:vMerge/>
          </w:tcPr>
          <w:p w:rsidR="009D2CAE" w:rsidRPr="007C0CDA" w:rsidRDefault="009D2CAE" w:rsidP="00FB388C">
            <w:pPr>
              <w:spacing w:after="240"/>
              <w:rPr>
                <w:rFonts w:cs="Calibri"/>
                <w:color w:val="222222"/>
                <w:szCs w:val="22"/>
              </w:rPr>
            </w:pPr>
          </w:p>
        </w:tc>
      </w:tr>
      <w:tr w:rsidR="009D2CAE" w:rsidRPr="007C0CDA" w:rsidTr="00FB388C">
        <w:trPr>
          <w:trHeight w:val="586"/>
        </w:trPr>
        <w:tc>
          <w:tcPr>
            <w:tcW w:w="1701" w:type="dxa"/>
            <w:vMerge w:val="restart"/>
          </w:tcPr>
          <w:p w:rsidR="009D2CAE" w:rsidRPr="007C0CDA" w:rsidRDefault="009D2CAE" w:rsidP="00FB388C">
            <w:pPr>
              <w:spacing w:after="240"/>
              <w:rPr>
                <w:rFonts w:cs="Calibri"/>
                <w:color w:val="222222"/>
                <w:szCs w:val="22"/>
              </w:rPr>
            </w:pPr>
            <w:r w:rsidRPr="007C0CDA">
              <w:rPr>
                <w:rFonts w:cs="Calibri"/>
                <w:color w:val="222222"/>
                <w:szCs w:val="22"/>
              </w:rPr>
              <w:t>PO 2: Rozvoj podnikání a konkurenceschopnosti malých a středních podniků</w:t>
            </w:r>
          </w:p>
        </w:tc>
        <w:tc>
          <w:tcPr>
            <w:tcW w:w="1843" w:type="dxa"/>
          </w:tcPr>
          <w:p w:rsidR="009D2CAE" w:rsidRPr="007C0CDA" w:rsidRDefault="009D2CAE" w:rsidP="00FB388C">
            <w:pPr>
              <w:spacing w:after="240"/>
              <w:rPr>
                <w:rFonts w:cs="Calibri"/>
                <w:color w:val="222222"/>
                <w:szCs w:val="22"/>
              </w:rPr>
            </w:pPr>
            <w:r w:rsidRPr="007C0CDA">
              <w:rPr>
                <w:rFonts w:cs="Calibri"/>
                <w:color w:val="222222"/>
                <w:szCs w:val="22"/>
              </w:rPr>
              <w:t>Podpora podnikání, zejména usnadněním hospodářského využívání nových myšlenek a podporou zakládání nových firem,mimo jiné prostřednictvím podnikatelských inkubátorů</w:t>
            </w:r>
          </w:p>
        </w:tc>
        <w:tc>
          <w:tcPr>
            <w:tcW w:w="1985" w:type="dxa"/>
          </w:tcPr>
          <w:p w:rsidR="009D2CAE" w:rsidRPr="007C0CDA" w:rsidRDefault="009D2CAE" w:rsidP="00FB388C">
            <w:pPr>
              <w:spacing w:after="240"/>
              <w:rPr>
                <w:rFonts w:cs="Calibri"/>
                <w:color w:val="222222"/>
                <w:szCs w:val="22"/>
              </w:rPr>
            </w:pPr>
            <w:r w:rsidRPr="007C0CDA">
              <w:rPr>
                <w:rFonts w:cs="Calibri"/>
                <w:color w:val="222222"/>
                <w:szCs w:val="22"/>
              </w:rPr>
              <w:t>SC 2.1: Zvýšit konkurenceschopnost začínajících a rozvojových MSP</w:t>
            </w:r>
          </w:p>
        </w:tc>
        <w:tc>
          <w:tcPr>
            <w:tcW w:w="3709" w:type="dxa"/>
          </w:tcPr>
          <w:p w:rsidR="009D2CAE" w:rsidRPr="007C0CDA" w:rsidRDefault="009D2CAE" w:rsidP="00FB388C">
            <w:pPr>
              <w:spacing w:after="240"/>
              <w:rPr>
                <w:rFonts w:cs="Calibri"/>
                <w:color w:val="222222"/>
                <w:szCs w:val="22"/>
              </w:rPr>
            </w:pPr>
            <w:r w:rsidRPr="007C0CDA">
              <w:rPr>
                <w:rFonts w:cs="Calibri"/>
                <w:color w:val="222222"/>
                <w:szCs w:val="22"/>
              </w:rPr>
              <w:t>Produktivní činnost (investiční projekty) – ANO</w:t>
            </w:r>
          </w:p>
          <w:p w:rsidR="009D2CAE" w:rsidRPr="007C0CDA" w:rsidRDefault="009D2CAE" w:rsidP="00FB388C">
            <w:pPr>
              <w:spacing w:after="240"/>
              <w:rPr>
                <w:rFonts w:cs="Calibri"/>
                <w:color w:val="222222"/>
                <w:szCs w:val="22"/>
              </w:rPr>
            </w:pPr>
            <w:r w:rsidRPr="007C0CDA">
              <w:rPr>
                <w:rFonts w:cs="Calibri"/>
                <w:color w:val="222222"/>
                <w:szCs w:val="22"/>
              </w:rPr>
              <w:t>Předpoklad dostatečného cash flow typových projektů – ANO</w:t>
            </w:r>
          </w:p>
          <w:p w:rsidR="009D2CAE" w:rsidRPr="007C0CDA" w:rsidRDefault="009D2CAE" w:rsidP="00FB388C">
            <w:pPr>
              <w:spacing w:after="240"/>
              <w:rPr>
                <w:rFonts w:cs="Calibri"/>
                <w:color w:val="222222"/>
                <w:szCs w:val="22"/>
              </w:rPr>
            </w:pPr>
            <w:r w:rsidRPr="007C0CDA">
              <w:rPr>
                <w:rFonts w:cs="Calibri"/>
                <w:color w:val="222222"/>
                <w:szCs w:val="22"/>
              </w:rPr>
              <w:t>Možnost zapojení dodatečných soukromých nebo veřejných zdrojů – ANO</w:t>
            </w:r>
          </w:p>
          <w:p w:rsidR="009D2CAE" w:rsidRPr="007C0CDA" w:rsidRDefault="009D2CAE" w:rsidP="00FB388C">
            <w:pPr>
              <w:spacing w:after="240"/>
              <w:rPr>
                <w:rFonts w:cs="Calibri"/>
                <w:color w:val="222222"/>
                <w:szCs w:val="22"/>
              </w:rPr>
            </w:pPr>
            <w:r w:rsidRPr="007C0CDA">
              <w:rPr>
                <w:rFonts w:cs="Calibri"/>
                <w:color w:val="222222"/>
                <w:szCs w:val="22"/>
              </w:rPr>
              <w:t>Předpoklad ztížené dostupnosti komerčního financování – ANO</w:t>
            </w:r>
          </w:p>
          <w:p w:rsidR="009D2CAE" w:rsidRPr="007C0CDA" w:rsidRDefault="009D2CAE" w:rsidP="00FB388C">
            <w:pPr>
              <w:spacing w:after="240"/>
              <w:rPr>
                <w:rFonts w:cs="Calibri"/>
                <w:color w:val="222222"/>
                <w:szCs w:val="22"/>
              </w:rPr>
            </w:pPr>
            <w:r w:rsidRPr="007C0CDA">
              <w:rPr>
                <w:rFonts w:cs="Calibri"/>
                <w:color w:val="222222"/>
                <w:szCs w:val="22"/>
              </w:rPr>
              <w:t>Dosavadní zkušenosti v ČR s aplikací finančního nástroje v dané oblasti - ANO</w:t>
            </w:r>
          </w:p>
          <w:p w:rsidR="009D2CAE" w:rsidRPr="007C0CDA" w:rsidRDefault="009D2CAE" w:rsidP="00FB388C">
            <w:pPr>
              <w:spacing w:after="240"/>
              <w:rPr>
                <w:rFonts w:cs="Calibri"/>
                <w:color w:val="222222"/>
                <w:szCs w:val="22"/>
              </w:rPr>
            </w:pPr>
            <w:r w:rsidRPr="007C0CDA">
              <w:rPr>
                <w:rFonts w:cs="Calibri"/>
                <w:color w:val="222222"/>
                <w:szCs w:val="22"/>
              </w:rPr>
              <w:t>Řídící orgán předpokládá využití finančních nástrojů v této investiční prioritě.</w:t>
            </w:r>
          </w:p>
        </w:tc>
      </w:tr>
      <w:tr w:rsidR="009D2CAE" w:rsidRPr="007C0CDA" w:rsidTr="00FB388C">
        <w:tc>
          <w:tcPr>
            <w:tcW w:w="1701" w:type="dxa"/>
            <w:vMerge/>
          </w:tcPr>
          <w:p w:rsidR="009D2CAE" w:rsidRPr="007C0CDA" w:rsidRDefault="009D2CAE" w:rsidP="00FB388C">
            <w:pPr>
              <w:spacing w:after="240"/>
              <w:rPr>
                <w:rFonts w:cs="Calibri"/>
                <w:color w:val="222222"/>
                <w:szCs w:val="22"/>
              </w:rPr>
            </w:pPr>
          </w:p>
        </w:tc>
        <w:tc>
          <w:tcPr>
            <w:tcW w:w="1843" w:type="dxa"/>
          </w:tcPr>
          <w:p w:rsidR="009D2CAE" w:rsidRPr="007C0CDA" w:rsidRDefault="009D2CAE" w:rsidP="00FB388C">
            <w:pPr>
              <w:spacing w:after="240"/>
              <w:rPr>
                <w:rFonts w:cs="Calibri"/>
                <w:color w:val="222222"/>
                <w:szCs w:val="22"/>
              </w:rPr>
            </w:pPr>
            <w:r w:rsidRPr="007C0CDA">
              <w:t>Vyvíjení a provádění nových obchodních modelů pro MSP, zejména pro oblast mezinárodního obchodu</w:t>
            </w:r>
          </w:p>
        </w:tc>
        <w:tc>
          <w:tcPr>
            <w:tcW w:w="1985" w:type="dxa"/>
          </w:tcPr>
          <w:p w:rsidR="009D2CAE" w:rsidRPr="007C0CDA" w:rsidRDefault="009D2CAE" w:rsidP="00FB388C">
            <w:pPr>
              <w:spacing w:after="240"/>
              <w:rPr>
                <w:rFonts w:cs="Calibri"/>
                <w:color w:val="222222"/>
                <w:szCs w:val="22"/>
              </w:rPr>
            </w:pPr>
            <w:r w:rsidRPr="007C0CDA">
              <w:rPr>
                <w:rFonts w:cs="Calibri"/>
                <w:color w:val="222222"/>
                <w:szCs w:val="22"/>
              </w:rPr>
              <w:t xml:space="preserve">SC 2.2: </w:t>
            </w:r>
            <w:r w:rsidRPr="007C0CDA">
              <w:t>Zvýšit internacionalizaci malých a středních podniků</w:t>
            </w:r>
          </w:p>
        </w:tc>
        <w:tc>
          <w:tcPr>
            <w:tcW w:w="3709" w:type="dxa"/>
          </w:tcPr>
          <w:p w:rsidR="009D2CAE" w:rsidRPr="007C0CDA" w:rsidRDefault="009D2CAE" w:rsidP="00FB388C">
            <w:pPr>
              <w:spacing w:after="240"/>
              <w:rPr>
                <w:rFonts w:cs="Calibri"/>
                <w:color w:val="222222"/>
                <w:szCs w:val="22"/>
              </w:rPr>
            </w:pPr>
            <w:r w:rsidRPr="007C0CDA">
              <w:rPr>
                <w:rFonts w:cs="Calibri"/>
                <w:color w:val="222222"/>
                <w:szCs w:val="22"/>
              </w:rPr>
              <w:t xml:space="preserve">Produktivní činnost (investiční projekty) – NE </w:t>
            </w:r>
          </w:p>
          <w:p w:rsidR="009D2CAE" w:rsidRPr="007C0CDA" w:rsidRDefault="009D2CAE" w:rsidP="00FB388C">
            <w:pPr>
              <w:spacing w:after="240"/>
              <w:rPr>
                <w:rFonts w:cs="Calibri"/>
                <w:color w:val="222222"/>
                <w:szCs w:val="22"/>
              </w:rPr>
            </w:pPr>
            <w:r w:rsidRPr="007C0CDA">
              <w:rPr>
                <w:rFonts w:cs="Calibri"/>
                <w:color w:val="222222"/>
                <w:szCs w:val="22"/>
              </w:rPr>
              <w:t>Předpoklad dostatečného cash flow typových projektů – NE</w:t>
            </w:r>
          </w:p>
          <w:p w:rsidR="009D2CAE" w:rsidRPr="007C0CDA" w:rsidRDefault="009D2CAE" w:rsidP="00FB388C">
            <w:pPr>
              <w:spacing w:after="240"/>
              <w:rPr>
                <w:rFonts w:cs="Calibri"/>
                <w:color w:val="222222"/>
                <w:szCs w:val="22"/>
              </w:rPr>
            </w:pPr>
            <w:r w:rsidRPr="007C0CDA">
              <w:rPr>
                <w:rFonts w:cs="Calibri"/>
                <w:color w:val="222222"/>
                <w:szCs w:val="22"/>
              </w:rPr>
              <w:t>Možnost zapojení dodatečných soukromých nebo veřejných zdrojů – ANO</w:t>
            </w:r>
          </w:p>
          <w:p w:rsidR="009D2CAE" w:rsidRPr="007C0CDA" w:rsidRDefault="009D2CAE" w:rsidP="00FB388C">
            <w:pPr>
              <w:spacing w:after="240"/>
              <w:rPr>
                <w:rFonts w:cs="Calibri"/>
                <w:color w:val="222222"/>
                <w:szCs w:val="22"/>
              </w:rPr>
            </w:pPr>
            <w:r w:rsidRPr="007C0CDA">
              <w:rPr>
                <w:rFonts w:cs="Calibri"/>
                <w:color w:val="222222"/>
                <w:szCs w:val="22"/>
              </w:rPr>
              <w:lastRenderedPageBreak/>
              <w:t>Předpoklad ztížené dostupnosti komerčního financování – ANO</w:t>
            </w:r>
          </w:p>
          <w:p w:rsidR="009D2CAE" w:rsidRPr="007C0CDA" w:rsidRDefault="009D2CAE" w:rsidP="00FB388C">
            <w:pPr>
              <w:spacing w:after="240"/>
              <w:rPr>
                <w:rFonts w:cs="Calibri"/>
                <w:color w:val="222222"/>
                <w:szCs w:val="22"/>
              </w:rPr>
            </w:pPr>
            <w:r w:rsidRPr="007C0CDA">
              <w:rPr>
                <w:rFonts w:cs="Calibri"/>
                <w:color w:val="222222"/>
                <w:szCs w:val="22"/>
              </w:rPr>
              <w:t>Dosavadní zkušenosti v ČR s aplikací finančního nástroje v dané oblasti - NE</w:t>
            </w:r>
          </w:p>
          <w:p w:rsidR="009D2CAE" w:rsidRPr="007C0CDA" w:rsidRDefault="009D2CAE" w:rsidP="00FB388C">
            <w:pPr>
              <w:spacing w:after="240"/>
              <w:rPr>
                <w:rFonts w:cs="Calibri"/>
                <w:color w:val="222222"/>
                <w:szCs w:val="22"/>
              </w:rPr>
            </w:pPr>
            <w:r w:rsidRPr="007C0CDA">
              <w:rPr>
                <w:rFonts w:cs="Calibri"/>
                <w:color w:val="222222"/>
                <w:szCs w:val="22"/>
              </w:rPr>
              <w:t>Řídící orgán nepředpokládá využití finančních nástrojů v této investiční prioritě, podpůrné poradenské služby  však bude vhodné provázat s finančními nástroji pro MSP ve specifickém cíli 2.1.</w:t>
            </w:r>
          </w:p>
        </w:tc>
      </w:tr>
      <w:tr w:rsidR="009D2CAE" w:rsidRPr="007C0CDA" w:rsidTr="00FB388C">
        <w:tc>
          <w:tcPr>
            <w:tcW w:w="1701" w:type="dxa"/>
            <w:vMerge/>
          </w:tcPr>
          <w:p w:rsidR="009D2CAE" w:rsidRPr="007C0CDA" w:rsidRDefault="009D2CAE" w:rsidP="00FB388C">
            <w:pPr>
              <w:spacing w:after="240"/>
              <w:rPr>
                <w:rFonts w:cs="Calibri"/>
                <w:color w:val="222222"/>
                <w:szCs w:val="22"/>
              </w:rPr>
            </w:pPr>
          </w:p>
        </w:tc>
        <w:tc>
          <w:tcPr>
            <w:tcW w:w="1843" w:type="dxa"/>
            <w:vMerge w:val="restart"/>
          </w:tcPr>
          <w:p w:rsidR="009D2CAE" w:rsidRPr="007C0CDA" w:rsidRDefault="009D2CAE" w:rsidP="00FB388C">
            <w:pPr>
              <w:spacing w:after="240"/>
              <w:rPr>
                <w:rFonts w:cs="Calibri"/>
                <w:color w:val="222222"/>
                <w:szCs w:val="22"/>
              </w:rPr>
            </w:pPr>
            <w:r w:rsidRPr="007C0CDA">
              <w:t>Podpora vytváření a rozšiřování vyspělých kapacit pro rozvoj produktů a služeb</w:t>
            </w:r>
          </w:p>
        </w:tc>
        <w:tc>
          <w:tcPr>
            <w:tcW w:w="1985" w:type="dxa"/>
          </w:tcPr>
          <w:p w:rsidR="009D2CAE" w:rsidRPr="007C0CDA" w:rsidRDefault="009D2CAE" w:rsidP="00FB388C">
            <w:pPr>
              <w:spacing w:after="240"/>
              <w:rPr>
                <w:rFonts w:cs="Calibri"/>
                <w:color w:val="222222"/>
                <w:szCs w:val="22"/>
              </w:rPr>
            </w:pPr>
            <w:r w:rsidRPr="007C0CDA">
              <w:rPr>
                <w:rFonts w:cs="Calibri"/>
                <w:color w:val="222222"/>
                <w:szCs w:val="22"/>
              </w:rPr>
              <w:t>SC 2.3: Zvýšit využitelnost infrastruktury pro podnikání</w:t>
            </w:r>
          </w:p>
        </w:tc>
        <w:tc>
          <w:tcPr>
            <w:tcW w:w="3709" w:type="dxa"/>
            <w:vMerge w:val="restart"/>
          </w:tcPr>
          <w:p w:rsidR="009D2CAE" w:rsidRPr="007C0CDA" w:rsidRDefault="009D2CAE" w:rsidP="00FB388C">
            <w:pPr>
              <w:spacing w:after="240"/>
              <w:rPr>
                <w:rFonts w:cs="Calibri"/>
                <w:color w:val="222222"/>
                <w:szCs w:val="22"/>
              </w:rPr>
            </w:pPr>
            <w:r w:rsidRPr="007C0CDA">
              <w:rPr>
                <w:rFonts w:cs="Calibri"/>
                <w:color w:val="222222"/>
                <w:szCs w:val="22"/>
              </w:rPr>
              <w:t>Produktivní činnost (investiční projekty) – ANO</w:t>
            </w:r>
          </w:p>
          <w:p w:rsidR="009D2CAE" w:rsidRPr="007C0CDA" w:rsidRDefault="009D2CAE" w:rsidP="00FB388C">
            <w:pPr>
              <w:spacing w:after="240"/>
              <w:rPr>
                <w:rFonts w:cs="Calibri"/>
                <w:color w:val="222222"/>
                <w:szCs w:val="22"/>
              </w:rPr>
            </w:pPr>
            <w:r w:rsidRPr="007C0CDA">
              <w:rPr>
                <w:rFonts w:cs="Calibri"/>
                <w:color w:val="222222"/>
                <w:szCs w:val="22"/>
              </w:rPr>
              <w:t>Předpoklad dostatečného cash flow typových projektů – ANO (pouze SC 2.3)</w:t>
            </w:r>
          </w:p>
          <w:p w:rsidR="009D2CAE" w:rsidRPr="007C0CDA" w:rsidRDefault="009D2CAE" w:rsidP="00FB388C">
            <w:pPr>
              <w:spacing w:after="240"/>
              <w:rPr>
                <w:rFonts w:cs="Calibri"/>
                <w:color w:val="222222"/>
                <w:szCs w:val="22"/>
              </w:rPr>
            </w:pPr>
            <w:r w:rsidRPr="007C0CDA">
              <w:rPr>
                <w:rFonts w:cs="Calibri"/>
                <w:color w:val="222222"/>
                <w:szCs w:val="22"/>
              </w:rPr>
              <w:t>Možnost zapojení dodatečných soukromých nebo veřejných zdrojů – ANO</w:t>
            </w:r>
          </w:p>
          <w:p w:rsidR="009D2CAE" w:rsidRPr="007C0CDA" w:rsidRDefault="009D2CAE" w:rsidP="00FB388C">
            <w:pPr>
              <w:spacing w:after="240"/>
              <w:rPr>
                <w:rFonts w:cs="Calibri"/>
                <w:color w:val="222222"/>
                <w:szCs w:val="22"/>
              </w:rPr>
            </w:pPr>
            <w:r w:rsidRPr="007C0CDA">
              <w:rPr>
                <w:rFonts w:cs="Calibri"/>
                <w:color w:val="222222"/>
                <w:szCs w:val="22"/>
              </w:rPr>
              <w:t>Předpoklad ztížené dostupnosti komerčního financování – ANO</w:t>
            </w:r>
          </w:p>
          <w:p w:rsidR="009D2CAE" w:rsidRPr="007C0CDA" w:rsidRDefault="009D2CAE" w:rsidP="00FB388C">
            <w:pPr>
              <w:spacing w:after="240"/>
              <w:rPr>
                <w:rFonts w:cs="Calibri"/>
                <w:color w:val="222222"/>
                <w:szCs w:val="22"/>
              </w:rPr>
            </w:pPr>
            <w:r w:rsidRPr="007C0CDA">
              <w:rPr>
                <w:rFonts w:cs="Calibri"/>
                <w:color w:val="222222"/>
                <w:szCs w:val="22"/>
              </w:rPr>
              <w:t>Dosavadní zkušenosti v ČR s aplikací finančního nástroje v dané oblasti - NE</w:t>
            </w:r>
          </w:p>
          <w:p w:rsidR="009D2CAE" w:rsidRPr="007C0CDA" w:rsidRDefault="009D2CAE" w:rsidP="00FB388C">
            <w:pPr>
              <w:spacing w:after="240"/>
              <w:rPr>
                <w:rFonts w:cs="Calibri"/>
                <w:color w:val="222222"/>
                <w:szCs w:val="22"/>
              </w:rPr>
            </w:pPr>
            <w:r w:rsidRPr="007C0CDA">
              <w:rPr>
                <w:rFonts w:cs="Calibri"/>
                <w:color w:val="222222"/>
                <w:szCs w:val="22"/>
              </w:rPr>
              <w:t>Řídící orgán předpokládá využití finančních nástrojů v této investiční prioritě v rámci specifického cíle 2.3.</w:t>
            </w:r>
          </w:p>
        </w:tc>
      </w:tr>
      <w:tr w:rsidR="009D2CAE" w:rsidRPr="007C0CDA" w:rsidTr="00FB388C">
        <w:tc>
          <w:tcPr>
            <w:tcW w:w="1701" w:type="dxa"/>
            <w:vMerge/>
          </w:tcPr>
          <w:p w:rsidR="009D2CAE" w:rsidRPr="007C0CDA" w:rsidRDefault="009D2CAE" w:rsidP="00FB388C">
            <w:pPr>
              <w:spacing w:after="240"/>
              <w:rPr>
                <w:rFonts w:cs="Calibri"/>
                <w:color w:val="222222"/>
                <w:szCs w:val="22"/>
              </w:rPr>
            </w:pPr>
          </w:p>
        </w:tc>
        <w:tc>
          <w:tcPr>
            <w:tcW w:w="1843" w:type="dxa"/>
            <w:vMerge/>
          </w:tcPr>
          <w:p w:rsidR="009D2CAE" w:rsidRPr="007C0CDA" w:rsidRDefault="009D2CAE" w:rsidP="00FB388C">
            <w:pPr>
              <w:spacing w:after="240"/>
              <w:rPr>
                <w:rFonts w:cs="Calibri"/>
                <w:color w:val="222222"/>
                <w:szCs w:val="22"/>
              </w:rPr>
            </w:pPr>
          </w:p>
        </w:tc>
        <w:tc>
          <w:tcPr>
            <w:tcW w:w="1985" w:type="dxa"/>
          </w:tcPr>
          <w:p w:rsidR="009D2CAE" w:rsidRPr="007C0CDA" w:rsidRDefault="009D2CAE" w:rsidP="00FB388C">
            <w:pPr>
              <w:spacing w:after="240"/>
              <w:rPr>
                <w:rFonts w:cs="Calibri"/>
                <w:color w:val="222222"/>
                <w:szCs w:val="22"/>
              </w:rPr>
            </w:pPr>
            <w:r w:rsidRPr="007C0CDA">
              <w:rPr>
                <w:rFonts w:cs="Calibri"/>
                <w:color w:val="222222"/>
                <w:szCs w:val="22"/>
              </w:rPr>
              <w:t xml:space="preserve">SC 2.4: </w:t>
            </w:r>
            <w:r w:rsidRPr="007C0CDA">
              <w:t>Zvýšit kapacitu pro odborné vzdělávání v MSP</w:t>
            </w:r>
          </w:p>
        </w:tc>
        <w:tc>
          <w:tcPr>
            <w:tcW w:w="3709" w:type="dxa"/>
            <w:vMerge/>
          </w:tcPr>
          <w:p w:rsidR="009D2CAE" w:rsidRPr="007C0CDA" w:rsidRDefault="009D2CAE" w:rsidP="00FB388C">
            <w:pPr>
              <w:spacing w:after="240"/>
              <w:rPr>
                <w:rFonts w:cs="Calibri"/>
                <w:color w:val="222222"/>
                <w:szCs w:val="22"/>
              </w:rPr>
            </w:pPr>
          </w:p>
        </w:tc>
      </w:tr>
      <w:tr w:rsidR="009D2CAE" w:rsidRPr="007C0CDA" w:rsidTr="00FB388C">
        <w:tc>
          <w:tcPr>
            <w:tcW w:w="1701" w:type="dxa"/>
            <w:vMerge w:val="restart"/>
          </w:tcPr>
          <w:p w:rsidR="009D2CAE" w:rsidRPr="007C0CDA" w:rsidRDefault="009D2CAE" w:rsidP="00FB388C">
            <w:pPr>
              <w:spacing w:after="240"/>
              <w:rPr>
                <w:rFonts w:cs="Calibri"/>
                <w:color w:val="222222"/>
                <w:szCs w:val="22"/>
              </w:rPr>
            </w:pPr>
            <w:r w:rsidRPr="007C0CDA">
              <w:rPr>
                <w:rFonts w:cs="Calibri"/>
                <w:color w:val="222222"/>
                <w:szCs w:val="22"/>
              </w:rPr>
              <w:t>PO 3: Účinné nakládání energií, rozvoj energetické infrastruktury a obnovitelných zdrojů energie, podpora zavádění nových technologií v oblasti nakládání energií a druhotných surovin</w:t>
            </w:r>
          </w:p>
        </w:tc>
        <w:tc>
          <w:tcPr>
            <w:tcW w:w="1843" w:type="dxa"/>
          </w:tcPr>
          <w:p w:rsidR="009D2CAE" w:rsidRPr="007C0CDA" w:rsidRDefault="009D2CAE" w:rsidP="00FB388C">
            <w:pPr>
              <w:spacing w:after="240"/>
              <w:rPr>
                <w:rFonts w:cs="Calibri"/>
                <w:color w:val="222222"/>
                <w:szCs w:val="22"/>
              </w:rPr>
            </w:pPr>
            <w:r w:rsidRPr="007C0CDA">
              <w:t>Podpora výroby a distribuce energie pocházející z obnovitelných zdrojů</w:t>
            </w:r>
          </w:p>
        </w:tc>
        <w:tc>
          <w:tcPr>
            <w:tcW w:w="1985" w:type="dxa"/>
          </w:tcPr>
          <w:p w:rsidR="009D2CAE" w:rsidRPr="007C0CDA" w:rsidRDefault="009D2CAE" w:rsidP="00FB388C">
            <w:pPr>
              <w:spacing w:after="240"/>
              <w:rPr>
                <w:rFonts w:cs="Calibri"/>
                <w:color w:val="222222"/>
                <w:szCs w:val="22"/>
              </w:rPr>
            </w:pPr>
            <w:r w:rsidRPr="007C0CDA">
              <w:rPr>
                <w:rFonts w:cs="Calibri"/>
                <w:color w:val="222222"/>
                <w:szCs w:val="22"/>
              </w:rPr>
              <w:t>SC 3.1: Zvýšit podíl výroby energie z obnovitelných zdrojů na hrubé konečné spotřebě ČR</w:t>
            </w:r>
          </w:p>
        </w:tc>
        <w:tc>
          <w:tcPr>
            <w:tcW w:w="3709" w:type="dxa"/>
          </w:tcPr>
          <w:p w:rsidR="009D2CAE" w:rsidRPr="007C0CDA" w:rsidRDefault="009D2CAE" w:rsidP="00FB388C">
            <w:pPr>
              <w:spacing w:after="240"/>
              <w:rPr>
                <w:rFonts w:cs="Calibri"/>
                <w:color w:val="222222"/>
                <w:szCs w:val="22"/>
              </w:rPr>
            </w:pPr>
            <w:r w:rsidRPr="007C0CDA">
              <w:rPr>
                <w:rFonts w:cs="Calibri"/>
                <w:color w:val="222222"/>
                <w:szCs w:val="22"/>
              </w:rPr>
              <w:t>Produktivní činnost (investiční projekty) – ANO</w:t>
            </w:r>
          </w:p>
          <w:p w:rsidR="009D2CAE" w:rsidRPr="007C0CDA" w:rsidRDefault="009D2CAE" w:rsidP="00FB388C">
            <w:pPr>
              <w:spacing w:after="240"/>
              <w:rPr>
                <w:rFonts w:cs="Calibri"/>
                <w:color w:val="222222"/>
                <w:szCs w:val="22"/>
              </w:rPr>
            </w:pPr>
            <w:r w:rsidRPr="007C0CDA">
              <w:rPr>
                <w:rFonts w:cs="Calibri"/>
                <w:color w:val="222222"/>
                <w:szCs w:val="22"/>
              </w:rPr>
              <w:t>Předpoklad dostatečného cash flow typových projektů – ANO</w:t>
            </w:r>
          </w:p>
          <w:p w:rsidR="009D2CAE" w:rsidRPr="007C0CDA" w:rsidRDefault="009D2CAE" w:rsidP="00FB388C">
            <w:pPr>
              <w:spacing w:after="240"/>
              <w:rPr>
                <w:rFonts w:cs="Calibri"/>
                <w:color w:val="222222"/>
                <w:szCs w:val="22"/>
              </w:rPr>
            </w:pPr>
            <w:r w:rsidRPr="007C0CDA">
              <w:rPr>
                <w:rFonts w:cs="Calibri"/>
                <w:color w:val="222222"/>
                <w:szCs w:val="22"/>
              </w:rPr>
              <w:t>Možnost zapojení dodatečných soukromých nebo veřejných zdrojů – ANO</w:t>
            </w:r>
          </w:p>
          <w:p w:rsidR="009D2CAE" w:rsidRPr="007C0CDA" w:rsidRDefault="009D2CAE" w:rsidP="00FB388C">
            <w:pPr>
              <w:spacing w:after="240"/>
              <w:rPr>
                <w:rFonts w:cs="Calibri"/>
                <w:color w:val="222222"/>
                <w:szCs w:val="22"/>
              </w:rPr>
            </w:pPr>
            <w:r w:rsidRPr="007C0CDA">
              <w:rPr>
                <w:rFonts w:cs="Calibri"/>
                <w:color w:val="222222"/>
                <w:szCs w:val="22"/>
              </w:rPr>
              <w:t>Předpoklad ztížené dostupnosti komerčního financování – ANO</w:t>
            </w:r>
          </w:p>
          <w:p w:rsidR="009D2CAE" w:rsidRPr="007C0CDA" w:rsidRDefault="009D2CAE" w:rsidP="00FB388C">
            <w:pPr>
              <w:spacing w:after="240"/>
              <w:rPr>
                <w:rFonts w:cs="Calibri"/>
                <w:color w:val="222222"/>
                <w:szCs w:val="22"/>
              </w:rPr>
            </w:pPr>
            <w:r w:rsidRPr="007C0CDA">
              <w:rPr>
                <w:rFonts w:cs="Calibri"/>
                <w:color w:val="222222"/>
                <w:szCs w:val="22"/>
              </w:rPr>
              <w:t>Dosavadní zkušenosti v ČR s aplikací finančního nástroje v dané oblasti - NE</w:t>
            </w:r>
          </w:p>
          <w:p w:rsidR="009D2CAE" w:rsidRPr="007C0CDA" w:rsidRDefault="009D2CAE" w:rsidP="00FB388C">
            <w:pPr>
              <w:spacing w:after="240"/>
              <w:rPr>
                <w:rFonts w:cs="Calibri"/>
                <w:color w:val="222222"/>
                <w:szCs w:val="22"/>
              </w:rPr>
            </w:pPr>
            <w:r w:rsidRPr="007C0CDA">
              <w:rPr>
                <w:rFonts w:cs="Calibri"/>
                <w:color w:val="222222"/>
                <w:szCs w:val="22"/>
              </w:rPr>
              <w:t>Řídící orgán zvažuje využití finančních nástrojů v této investiční prioritě.</w:t>
            </w:r>
          </w:p>
        </w:tc>
      </w:tr>
      <w:tr w:rsidR="009D2CAE" w:rsidRPr="007C0CDA" w:rsidTr="00FB388C">
        <w:tc>
          <w:tcPr>
            <w:tcW w:w="1701" w:type="dxa"/>
            <w:vMerge/>
          </w:tcPr>
          <w:p w:rsidR="009D2CAE" w:rsidRPr="007C0CDA" w:rsidRDefault="009D2CAE" w:rsidP="00FB388C">
            <w:pPr>
              <w:spacing w:after="240"/>
              <w:rPr>
                <w:rFonts w:cs="Calibri"/>
                <w:color w:val="222222"/>
                <w:szCs w:val="22"/>
              </w:rPr>
            </w:pPr>
          </w:p>
        </w:tc>
        <w:tc>
          <w:tcPr>
            <w:tcW w:w="1843" w:type="dxa"/>
          </w:tcPr>
          <w:p w:rsidR="009D2CAE" w:rsidRPr="007C0CDA" w:rsidRDefault="009D2CAE" w:rsidP="00FB388C">
            <w:pPr>
              <w:spacing w:after="240"/>
              <w:rPr>
                <w:rFonts w:cs="Calibri"/>
                <w:color w:val="222222"/>
                <w:szCs w:val="22"/>
              </w:rPr>
            </w:pPr>
            <w:r w:rsidRPr="007C0CDA">
              <w:t>Podpora energetické účinnosti a využívání energie z obnovitelných zdrojů v podnicích</w:t>
            </w:r>
          </w:p>
        </w:tc>
        <w:tc>
          <w:tcPr>
            <w:tcW w:w="1985" w:type="dxa"/>
          </w:tcPr>
          <w:p w:rsidR="009D2CAE" w:rsidRPr="007C0CDA" w:rsidRDefault="009D2CAE" w:rsidP="00FB388C">
            <w:pPr>
              <w:spacing w:after="240"/>
              <w:rPr>
                <w:rFonts w:cs="Calibri"/>
                <w:color w:val="222222"/>
                <w:szCs w:val="22"/>
              </w:rPr>
            </w:pPr>
            <w:r w:rsidRPr="007C0CDA">
              <w:rPr>
                <w:rFonts w:cs="Calibri"/>
                <w:color w:val="222222"/>
                <w:szCs w:val="22"/>
              </w:rPr>
              <w:t>SC 3.2: Zvýšit energetickou účinnost podnikatelského sektoru</w:t>
            </w:r>
          </w:p>
        </w:tc>
        <w:tc>
          <w:tcPr>
            <w:tcW w:w="3709" w:type="dxa"/>
          </w:tcPr>
          <w:p w:rsidR="009D2CAE" w:rsidRPr="007C0CDA" w:rsidRDefault="009D2CAE" w:rsidP="00FB388C">
            <w:pPr>
              <w:spacing w:after="240"/>
              <w:rPr>
                <w:rFonts w:cs="Calibri"/>
                <w:color w:val="222222"/>
                <w:szCs w:val="22"/>
              </w:rPr>
            </w:pPr>
            <w:r w:rsidRPr="007C0CDA">
              <w:rPr>
                <w:rFonts w:cs="Calibri"/>
                <w:color w:val="222222"/>
                <w:szCs w:val="22"/>
              </w:rPr>
              <w:t>Produktivní činnost (investiční projekty) – ANO</w:t>
            </w:r>
          </w:p>
          <w:p w:rsidR="009D2CAE" w:rsidRPr="007C0CDA" w:rsidRDefault="009D2CAE" w:rsidP="00FB388C">
            <w:pPr>
              <w:spacing w:after="240"/>
              <w:rPr>
                <w:rFonts w:cs="Calibri"/>
                <w:color w:val="222222"/>
                <w:szCs w:val="22"/>
              </w:rPr>
            </w:pPr>
            <w:r w:rsidRPr="007C0CDA">
              <w:rPr>
                <w:rFonts w:cs="Calibri"/>
                <w:color w:val="222222"/>
                <w:szCs w:val="22"/>
              </w:rPr>
              <w:t>Předpoklad dostatečného cash flow typových projektů – ANO</w:t>
            </w:r>
          </w:p>
          <w:p w:rsidR="009D2CAE" w:rsidRPr="007C0CDA" w:rsidRDefault="009D2CAE" w:rsidP="00FB388C">
            <w:pPr>
              <w:spacing w:after="240"/>
              <w:rPr>
                <w:rFonts w:cs="Calibri"/>
                <w:color w:val="222222"/>
                <w:szCs w:val="22"/>
              </w:rPr>
            </w:pPr>
            <w:r w:rsidRPr="007C0CDA">
              <w:rPr>
                <w:rFonts w:cs="Calibri"/>
                <w:color w:val="222222"/>
                <w:szCs w:val="22"/>
              </w:rPr>
              <w:t>Možnost zapojení dodatečných soukromých nebo veřejných zdrojů – ANO</w:t>
            </w:r>
          </w:p>
          <w:p w:rsidR="009D2CAE" w:rsidRPr="007C0CDA" w:rsidRDefault="009D2CAE" w:rsidP="00FB388C">
            <w:pPr>
              <w:spacing w:after="240"/>
              <w:rPr>
                <w:rFonts w:cs="Calibri"/>
                <w:color w:val="222222"/>
                <w:szCs w:val="22"/>
              </w:rPr>
            </w:pPr>
            <w:r w:rsidRPr="007C0CDA">
              <w:rPr>
                <w:rFonts w:cs="Calibri"/>
                <w:color w:val="222222"/>
                <w:szCs w:val="22"/>
              </w:rPr>
              <w:t>Předpoklad ztížené dostupnosti komerčního financování – ANO</w:t>
            </w:r>
          </w:p>
          <w:p w:rsidR="009D2CAE" w:rsidRPr="007C0CDA" w:rsidRDefault="009D2CAE" w:rsidP="00FB388C">
            <w:pPr>
              <w:spacing w:after="240"/>
              <w:rPr>
                <w:rFonts w:cs="Calibri"/>
                <w:color w:val="222222"/>
                <w:szCs w:val="22"/>
              </w:rPr>
            </w:pPr>
            <w:r w:rsidRPr="007C0CDA">
              <w:rPr>
                <w:rFonts w:cs="Calibri"/>
                <w:color w:val="222222"/>
                <w:szCs w:val="22"/>
              </w:rPr>
              <w:t>Dosavadní zkušenosti v ČR s aplikací finančního nástroje v dané oblasti – NE (nicméně již v OPPI 2007-2013 byl uveden předpoklad spuštění finančního nástroje a je k dispozici řada best practice příkladů finančních nástrojů v této oblasti)</w:t>
            </w:r>
          </w:p>
          <w:p w:rsidR="009D2CAE" w:rsidRPr="007C0CDA" w:rsidRDefault="009D2CAE" w:rsidP="00FB388C">
            <w:pPr>
              <w:spacing w:after="240"/>
              <w:rPr>
                <w:rFonts w:cs="Calibri"/>
                <w:color w:val="222222"/>
                <w:szCs w:val="22"/>
              </w:rPr>
            </w:pPr>
            <w:r w:rsidRPr="007C0CDA">
              <w:rPr>
                <w:rFonts w:cs="Calibri"/>
                <w:color w:val="222222"/>
                <w:szCs w:val="22"/>
              </w:rPr>
              <w:t>Řídící orgán předpokládá využití finančních nástrojů v této investiční prioritě.</w:t>
            </w:r>
          </w:p>
        </w:tc>
      </w:tr>
      <w:tr w:rsidR="009D2CAE" w:rsidRPr="007C0CDA" w:rsidTr="00FB388C">
        <w:tc>
          <w:tcPr>
            <w:tcW w:w="1701" w:type="dxa"/>
            <w:vMerge/>
          </w:tcPr>
          <w:p w:rsidR="009D2CAE" w:rsidRPr="007C0CDA" w:rsidRDefault="009D2CAE" w:rsidP="00FB388C">
            <w:pPr>
              <w:spacing w:after="240"/>
              <w:rPr>
                <w:rFonts w:cs="Calibri"/>
                <w:color w:val="222222"/>
                <w:szCs w:val="22"/>
              </w:rPr>
            </w:pPr>
          </w:p>
        </w:tc>
        <w:tc>
          <w:tcPr>
            <w:tcW w:w="1843" w:type="dxa"/>
          </w:tcPr>
          <w:p w:rsidR="009D2CAE" w:rsidRPr="007C0CDA" w:rsidRDefault="009D2CAE" w:rsidP="00FB388C">
            <w:pPr>
              <w:spacing w:after="240"/>
              <w:rPr>
                <w:rFonts w:cs="Calibri"/>
                <w:color w:val="222222"/>
                <w:szCs w:val="22"/>
              </w:rPr>
            </w:pPr>
            <w:r w:rsidRPr="007C0CDA">
              <w:t>Rozvoj a zavádění inteligentních distribučních soustav, jež fungují na hladině nízkého a středního napětí</w:t>
            </w:r>
          </w:p>
        </w:tc>
        <w:tc>
          <w:tcPr>
            <w:tcW w:w="1985" w:type="dxa"/>
          </w:tcPr>
          <w:p w:rsidR="009D2CAE" w:rsidRPr="007C0CDA" w:rsidRDefault="009D2CAE" w:rsidP="00FB388C">
            <w:pPr>
              <w:spacing w:after="240"/>
              <w:rPr>
                <w:rFonts w:cs="Calibri"/>
                <w:color w:val="222222"/>
                <w:szCs w:val="22"/>
              </w:rPr>
            </w:pPr>
            <w:r w:rsidRPr="007C0CDA">
              <w:rPr>
                <w:rFonts w:cs="Calibri"/>
                <w:color w:val="222222"/>
                <w:szCs w:val="22"/>
              </w:rPr>
              <w:t xml:space="preserve">SC 3.3: </w:t>
            </w:r>
            <w:r w:rsidRPr="007C0CDA">
              <w:t>Zvýšit aplikaci prvků inteligentních sítí v distribučních soustavách</w:t>
            </w:r>
          </w:p>
        </w:tc>
        <w:tc>
          <w:tcPr>
            <w:tcW w:w="3709" w:type="dxa"/>
          </w:tcPr>
          <w:p w:rsidR="009D2CAE" w:rsidRPr="007C0CDA" w:rsidRDefault="009D2CAE" w:rsidP="00FB388C">
            <w:pPr>
              <w:spacing w:after="240"/>
              <w:rPr>
                <w:rFonts w:cs="Calibri"/>
                <w:color w:val="222222"/>
                <w:szCs w:val="22"/>
              </w:rPr>
            </w:pPr>
            <w:r w:rsidRPr="007C0CDA">
              <w:rPr>
                <w:rFonts w:cs="Calibri"/>
                <w:color w:val="222222"/>
                <w:szCs w:val="22"/>
              </w:rPr>
              <w:t>Produktivní činnost (investiční projekty) – ANO</w:t>
            </w:r>
          </w:p>
          <w:p w:rsidR="009D2CAE" w:rsidRPr="007C0CDA" w:rsidRDefault="009D2CAE" w:rsidP="00FB388C">
            <w:pPr>
              <w:spacing w:after="240"/>
              <w:rPr>
                <w:rFonts w:cs="Calibri"/>
                <w:color w:val="222222"/>
                <w:szCs w:val="22"/>
              </w:rPr>
            </w:pPr>
            <w:r w:rsidRPr="007C0CDA">
              <w:rPr>
                <w:rFonts w:cs="Calibri"/>
                <w:color w:val="222222"/>
                <w:szCs w:val="22"/>
              </w:rPr>
              <w:t>Předpoklad dostatečného cash flow typových projektů – NE</w:t>
            </w:r>
          </w:p>
          <w:p w:rsidR="009D2CAE" w:rsidRPr="007C0CDA" w:rsidRDefault="009D2CAE" w:rsidP="00FB388C">
            <w:pPr>
              <w:spacing w:after="240"/>
              <w:rPr>
                <w:rFonts w:cs="Calibri"/>
                <w:color w:val="222222"/>
                <w:szCs w:val="22"/>
              </w:rPr>
            </w:pPr>
            <w:r w:rsidRPr="007C0CDA">
              <w:rPr>
                <w:rFonts w:cs="Calibri"/>
                <w:color w:val="222222"/>
                <w:szCs w:val="22"/>
              </w:rPr>
              <w:t>Možnost zapojení dodatečných soukromých nebo veřejných zdrojů – ANO</w:t>
            </w:r>
          </w:p>
          <w:p w:rsidR="009D2CAE" w:rsidRPr="007C0CDA" w:rsidRDefault="009D2CAE" w:rsidP="00FB388C">
            <w:pPr>
              <w:spacing w:after="240"/>
              <w:rPr>
                <w:rFonts w:cs="Calibri"/>
                <w:color w:val="222222"/>
                <w:szCs w:val="22"/>
              </w:rPr>
            </w:pPr>
            <w:r w:rsidRPr="007C0CDA">
              <w:rPr>
                <w:rFonts w:cs="Calibri"/>
                <w:color w:val="222222"/>
                <w:szCs w:val="22"/>
              </w:rPr>
              <w:t>Předpoklad ztížené dostupnosti komerčního financování – ANO</w:t>
            </w:r>
          </w:p>
          <w:p w:rsidR="009D2CAE" w:rsidRPr="007C0CDA" w:rsidRDefault="009D2CAE" w:rsidP="00FB388C">
            <w:pPr>
              <w:spacing w:after="240"/>
              <w:rPr>
                <w:rFonts w:cs="Calibri"/>
                <w:color w:val="222222"/>
                <w:szCs w:val="22"/>
              </w:rPr>
            </w:pPr>
            <w:r w:rsidRPr="007C0CDA">
              <w:rPr>
                <w:rFonts w:cs="Calibri"/>
                <w:color w:val="222222"/>
                <w:szCs w:val="22"/>
              </w:rPr>
              <w:t>Dosavadní zkušenosti v ČR s aplikací finančního nástroje v dané oblasti – NE</w:t>
            </w:r>
          </w:p>
          <w:p w:rsidR="009D2CAE" w:rsidRPr="007C0CDA" w:rsidRDefault="009D2CAE" w:rsidP="00FB388C">
            <w:pPr>
              <w:spacing w:after="240"/>
              <w:rPr>
                <w:rFonts w:cs="Calibri"/>
                <w:color w:val="222222"/>
                <w:szCs w:val="22"/>
              </w:rPr>
            </w:pPr>
            <w:r w:rsidRPr="007C0CDA">
              <w:rPr>
                <w:rFonts w:cs="Calibri"/>
                <w:color w:val="222222"/>
                <w:szCs w:val="22"/>
              </w:rPr>
              <w:t>Řídící orgán nepředpokládá využití finančních nástrojů v této investiční prioritě. Jde o projekty, jejichž cílem je primárně zvýšení  spolehlivosti, bezpečnosti a udržitelnosti dodávek elektřiny, nikoliv realizace cash flow a přímých výnosů.</w:t>
            </w:r>
          </w:p>
        </w:tc>
      </w:tr>
      <w:tr w:rsidR="009D2CAE" w:rsidRPr="007C0CDA" w:rsidTr="00FB388C">
        <w:tc>
          <w:tcPr>
            <w:tcW w:w="1701" w:type="dxa"/>
            <w:vMerge/>
          </w:tcPr>
          <w:p w:rsidR="009D2CAE" w:rsidRPr="007C0CDA" w:rsidRDefault="009D2CAE" w:rsidP="00FB388C">
            <w:pPr>
              <w:spacing w:after="240"/>
              <w:rPr>
                <w:rFonts w:cs="Calibri"/>
                <w:color w:val="222222"/>
                <w:szCs w:val="22"/>
              </w:rPr>
            </w:pPr>
          </w:p>
        </w:tc>
        <w:tc>
          <w:tcPr>
            <w:tcW w:w="1843" w:type="dxa"/>
          </w:tcPr>
          <w:p w:rsidR="009D2CAE" w:rsidRPr="007C0CDA" w:rsidRDefault="009D2CAE" w:rsidP="00FB388C">
            <w:pPr>
              <w:spacing w:after="240"/>
              <w:rPr>
                <w:rFonts w:cs="Calibri"/>
                <w:color w:val="222222"/>
                <w:szCs w:val="22"/>
              </w:rPr>
            </w:pPr>
            <w:r w:rsidRPr="007C0CDA">
              <w:t xml:space="preserve">Podpora výzkumu a inovací a zavádění nízkouhlíkových </w:t>
            </w:r>
            <w:r w:rsidRPr="007C0CDA">
              <w:lastRenderedPageBreak/>
              <w:t xml:space="preserve">technologií </w:t>
            </w:r>
          </w:p>
        </w:tc>
        <w:tc>
          <w:tcPr>
            <w:tcW w:w="1985" w:type="dxa"/>
          </w:tcPr>
          <w:p w:rsidR="009D2CAE" w:rsidRPr="007C0CDA" w:rsidRDefault="009D2CAE" w:rsidP="00FB388C">
            <w:pPr>
              <w:spacing w:after="240"/>
              <w:rPr>
                <w:rFonts w:cs="Calibri"/>
                <w:color w:val="222222"/>
                <w:szCs w:val="22"/>
              </w:rPr>
            </w:pPr>
            <w:r w:rsidRPr="007C0CDA">
              <w:rPr>
                <w:rFonts w:cs="Calibri"/>
                <w:color w:val="222222"/>
                <w:szCs w:val="22"/>
              </w:rPr>
              <w:lastRenderedPageBreak/>
              <w:t xml:space="preserve">SC 3.4: </w:t>
            </w:r>
            <w:r w:rsidRPr="007C0CDA">
              <w:t xml:space="preserve">Uplatnit inovativní nízkouhlíkové technologie v </w:t>
            </w:r>
            <w:r w:rsidRPr="007C0CDA">
              <w:lastRenderedPageBreak/>
              <w:t>oblasti nakládání energií a při využívání druhotných surovin</w:t>
            </w:r>
          </w:p>
        </w:tc>
        <w:tc>
          <w:tcPr>
            <w:tcW w:w="3709" w:type="dxa"/>
          </w:tcPr>
          <w:p w:rsidR="009D2CAE" w:rsidRPr="007C0CDA" w:rsidRDefault="009D2CAE" w:rsidP="00FB388C">
            <w:pPr>
              <w:spacing w:after="240"/>
              <w:rPr>
                <w:rFonts w:cs="Calibri"/>
                <w:color w:val="222222"/>
                <w:szCs w:val="22"/>
              </w:rPr>
            </w:pPr>
            <w:r w:rsidRPr="007C0CDA">
              <w:rPr>
                <w:rFonts w:cs="Calibri"/>
                <w:color w:val="222222"/>
                <w:szCs w:val="22"/>
              </w:rPr>
              <w:lastRenderedPageBreak/>
              <w:t>Produktivní činnost (investiční projekty) – ANO</w:t>
            </w:r>
          </w:p>
          <w:p w:rsidR="009D2CAE" w:rsidRPr="007C0CDA" w:rsidRDefault="009D2CAE" w:rsidP="00FB388C">
            <w:pPr>
              <w:spacing w:after="240"/>
              <w:rPr>
                <w:rFonts w:cs="Calibri"/>
                <w:color w:val="222222"/>
                <w:szCs w:val="22"/>
              </w:rPr>
            </w:pPr>
            <w:r w:rsidRPr="007C0CDA">
              <w:rPr>
                <w:rFonts w:cs="Calibri"/>
                <w:color w:val="222222"/>
                <w:szCs w:val="22"/>
              </w:rPr>
              <w:t xml:space="preserve">Předpoklad dostatečného cash flow </w:t>
            </w:r>
            <w:r w:rsidRPr="007C0CDA">
              <w:rPr>
                <w:rFonts w:cs="Calibri"/>
                <w:color w:val="222222"/>
                <w:szCs w:val="22"/>
              </w:rPr>
              <w:lastRenderedPageBreak/>
              <w:t>typových projektů – NE</w:t>
            </w:r>
          </w:p>
          <w:p w:rsidR="009D2CAE" w:rsidRPr="007C0CDA" w:rsidRDefault="009D2CAE" w:rsidP="00FB388C">
            <w:pPr>
              <w:spacing w:after="240"/>
              <w:rPr>
                <w:rFonts w:cs="Calibri"/>
                <w:color w:val="222222"/>
                <w:szCs w:val="22"/>
              </w:rPr>
            </w:pPr>
            <w:r w:rsidRPr="007C0CDA">
              <w:rPr>
                <w:rFonts w:cs="Calibri"/>
                <w:color w:val="222222"/>
                <w:szCs w:val="22"/>
              </w:rPr>
              <w:t>Možnost zapojení dodatečných soukromých nebo veřejných zdrojů – ANO</w:t>
            </w:r>
          </w:p>
          <w:p w:rsidR="009D2CAE" w:rsidRPr="007C0CDA" w:rsidRDefault="009D2CAE" w:rsidP="00FB388C">
            <w:pPr>
              <w:spacing w:after="240"/>
              <w:rPr>
                <w:rFonts w:cs="Calibri"/>
                <w:color w:val="222222"/>
                <w:szCs w:val="22"/>
              </w:rPr>
            </w:pPr>
            <w:r w:rsidRPr="007C0CDA">
              <w:rPr>
                <w:rFonts w:cs="Calibri"/>
                <w:color w:val="222222"/>
                <w:szCs w:val="22"/>
              </w:rPr>
              <w:t>Předpoklad ztížené dostupnosti komerčního financování – ANO</w:t>
            </w:r>
          </w:p>
          <w:p w:rsidR="009D2CAE" w:rsidRPr="007C0CDA" w:rsidRDefault="009D2CAE" w:rsidP="00FB388C">
            <w:pPr>
              <w:spacing w:after="240"/>
              <w:rPr>
                <w:rFonts w:cs="Calibri"/>
                <w:color w:val="222222"/>
                <w:szCs w:val="22"/>
              </w:rPr>
            </w:pPr>
            <w:r w:rsidRPr="007C0CDA">
              <w:rPr>
                <w:rFonts w:cs="Calibri"/>
                <w:color w:val="222222"/>
                <w:szCs w:val="22"/>
              </w:rPr>
              <w:t>Dosavadní zkušenosti v ČR s aplikací finančního nástroje v dané oblasti – NE</w:t>
            </w:r>
          </w:p>
          <w:p w:rsidR="009D2CAE" w:rsidRPr="007C0CDA" w:rsidRDefault="009D2CAE" w:rsidP="00FB388C">
            <w:pPr>
              <w:spacing w:after="240"/>
              <w:rPr>
                <w:rFonts w:cs="Calibri"/>
                <w:color w:val="222222"/>
                <w:szCs w:val="22"/>
              </w:rPr>
            </w:pPr>
            <w:r w:rsidRPr="007C0CDA">
              <w:rPr>
                <w:rFonts w:cs="Calibri"/>
                <w:color w:val="222222"/>
                <w:szCs w:val="22"/>
              </w:rPr>
              <w:t>Řídící orgán nepředpokládá využití finančních nástrojů v této investiční prioritě. Jde o projekty, jejichž cílem je primárně přispět k vyššímu rozšíření high-end technologií, nikoliv realizace cash flow a přímých výnosů.</w:t>
            </w:r>
          </w:p>
        </w:tc>
      </w:tr>
      <w:tr w:rsidR="009D2CAE" w:rsidRPr="007C0CDA" w:rsidTr="00FB388C">
        <w:tc>
          <w:tcPr>
            <w:tcW w:w="1701" w:type="dxa"/>
            <w:vMerge/>
          </w:tcPr>
          <w:p w:rsidR="009D2CAE" w:rsidRPr="007C0CDA" w:rsidRDefault="009D2CAE" w:rsidP="00FB388C">
            <w:pPr>
              <w:spacing w:after="240"/>
              <w:rPr>
                <w:rFonts w:cs="Calibri"/>
                <w:color w:val="222222"/>
                <w:szCs w:val="22"/>
              </w:rPr>
            </w:pPr>
          </w:p>
        </w:tc>
        <w:tc>
          <w:tcPr>
            <w:tcW w:w="1843" w:type="dxa"/>
          </w:tcPr>
          <w:p w:rsidR="009D2CAE" w:rsidRPr="007C0CDA" w:rsidRDefault="009D2CAE" w:rsidP="00FB388C">
            <w:pPr>
              <w:spacing w:after="240"/>
              <w:rPr>
                <w:rFonts w:cs="Calibri"/>
                <w:color w:val="222222"/>
                <w:szCs w:val="22"/>
              </w:rPr>
            </w:pPr>
            <w:r w:rsidRPr="007C0CDA">
              <w:t>Podpora využívání vysoce účinné kombinované výroby tepla a elektřiny na základě poptávky po užitečném teple</w:t>
            </w:r>
          </w:p>
        </w:tc>
        <w:tc>
          <w:tcPr>
            <w:tcW w:w="1985" w:type="dxa"/>
          </w:tcPr>
          <w:p w:rsidR="009D2CAE" w:rsidRPr="007C0CDA" w:rsidRDefault="009D2CAE" w:rsidP="00FB388C">
            <w:pPr>
              <w:spacing w:after="240"/>
              <w:rPr>
                <w:rFonts w:cs="Calibri"/>
                <w:color w:val="222222"/>
                <w:szCs w:val="22"/>
              </w:rPr>
            </w:pPr>
            <w:r w:rsidRPr="007C0CDA">
              <w:rPr>
                <w:rFonts w:cs="Calibri"/>
                <w:color w:val="222222"/>
                <w:szCs w:val="22"/>
              </w:rPr>
              <w:t>SC 3.5: Zvýšit účinnost soustav zásobování teplem</w:t>
            </w:r>
          </w:p>
        </w:tc>
        <w:tc>
          <w:tcPr>
            <w:tcW w:w="3709" w:type="dxa"/>
          </w:tcPr>
          <w:p w:rsidR="009D2CAE" w:rsidRPr="007C0CDA" w:rsidRDefault="009D2CAE" w:rsidP="00FB388C">
            <w:pPr>
              <w:spacing w:after="240"/>
              <w:rPr>
                <w:rFonts w:cs="Calibri"/>
                <w:color w:val="222222"/>
                <w:szCs w:val="22"/>
              </w:rPr>
            </w:pPr>
            <w:r w:rsidRPr="007C0CDA">
              <w:rPr>
                <w:rFonts w:cs="Calibri"/>
                <w:color w:val="222222"/>
                <w:szCs w:val="22"/>
              </w:rPr>
              <w:t>Produktivní činnost (investiční projekty) – ANO</w:t>
            </w:r>
          </w:p>
          <w:p w:rsidR="009D2CAE" w:rsidRPr="007C0CDA" w:rsidRDefault="009D2CAE" w:rsidP="00FB388C">
            <w:pPr>
              <w:spacing w:after="240"/>
              <w:rPr>
                <w:rFonts w:cs="Calibri"/>
                <w:color w:val="222222"/>
                <w:szCs w:val="22"/>
              </w:rPr>
            </w:pPr>
            <w:r w:rsidRPr="007C0CDA">
              <w:rPr>
                <w:rFonts w:cs="Calibri"/>
                <w:color w:val="222222"/>
                <w:szCs w:val="22"/>
              </w:rPr>
              <w:t>Předpoklad dostatečného cash flow typových projektů – ANO</w:t>
            </w:r>
          </w:p>
          <w:p w:rsidR="009D2CAE" w:rsidRPr="007C0CDA" w:rsidRDefault="009D2CAE" w:rsidP="00FB388C">
            <w:pPr>
              <w:spacing w:after="240"/>
              <w:rPr>
                <w:rFonts w:cs="Calibri"/>
                <w:color w:val="222222"/>
                <w:szCs w:val="22"/>
              </w:rPr>
            </w:pPr>
            <w:r w:rsidRPr="007C0CDA">
              <w:rPr>
                <w:rFonts w:cs="Calibri"/>
                <w:color w:val="222222"/>
                <w:szCs w:val="22"/>
              </w:rPr>
              <w:t>Možnost zapojení dodatečných soukromých nebo veřejných zdrojů – ANO</w:t>
            </w:r>
          </w:p>
          <w:p w:rsidR="009D2CAE" w:rsidRPr="007C0CDA" w:rsidRDefault="009D2CAE" w:rsidP="00FB388C">
            <w:pPr>
              <w:spacing w:after="240"/>
              <w:rPr>
                <w:rFonts w:cs="Calibri"/>
                <w:color w:val="222222"/>
                <w:szCs w:val="22"/>
              </w:rPr>
            </w:pPr>
            <w:r w:rsidRPr="007C0CDA">
              <w:rPr>
                <w:rFonts w:cs="Calibri"/>
                <w:color w:val="222222"/>
                <w:szCs w:val="22"/>
              </w:rPr>
              <w:t>Předpoklad ztížené dostupnosti komerčního financování – ANO</w:t>
            </w:r>
          </w:p>
          <w:p w:rsidR="009D2CAE" w:rsidRPr="007C0CDA" w:rsidRDefault="009D2CAE" w:rsidP="00FB388C">
            <w:pPr>
              <w:spacing w:after="240"/>
              <w:rPr>
                <w:rFonts w:cs="Calibri"/>
                <w:color w:val="222222"/>
                <w:szCs w:val="22"/>
              </w:rPr>
            </w:pPr>
            <w:r w:rsidRPr="007C0CDA">
              <w:rPr>
                <w:rFonts w:cs="Calibri"/>
                <w:color w:val="222222"/>
                <w:szCs w:val="22"/>
              </w:rPr>
              <w:t>Dosavadní zkušenosti v ČR s aplikací finančního nástroje v dané oblasti – NE (nicméně již v OPPI 2007-2013 byl uveden předpoklad spuštění finančního nástroje v oblasti úspory energie)</w:t>
            </w:r>
          </w:p>
          <w:p w:rsidR="009D2CAE" w:rsidRPr="007C0CDA" w:rsidRDefault="009D2CAE" w:rsidP="00FB388C">
            <w:pPr>
              <w:spacing w:after="240"/>
              <w:rPr>
                <w:rFonts w:cs="Calibri"/>
                <w:color w:val="222222"/>
                <w:szCs w:val="22"/>
              </w:rPr>
            </w:pPr>
            <w:r w:rsidRPr="007C0CDA">
              <w:rPr>
                <w:rFonts w:cs="Calibri"/>
                <w:color w:val="222222"/>
                <w:szCs w:val="22"/>
              </w:rPr>
              <w:t>Řídící orgán předpokládá využití finančních nástrojů v této investiční prioritě. Specifický cíl zahrnuje projekty, které se ekonomickou logikou blíží projektům specifického cíle 3.2, jsou tedy typicky spojeny s úsporou energie a generují tak cash flow pro příjemce.</w:t>
            </w:r>
          </w:p>
        </w:tc>
      </w:tr>
      <w:tr w:rsidR="009D2CAE" w:rsidRPr="007C0CDA" w:rsidTr="00FB388C">
        <w:tc>
          <w:tcPr>
            <w:tcW w:w="1701" w:type="dxa"/>
            <w:vMerge/>
          </w:tcPr>
          <w:p w:rsidR="009D2CAE" w:rsidRPr="007C0CDA" w:rsidRDefault="009D2CAE" w:rsidP="00FB388C">
            <w:pPr>
              <w:spacing w:after="240"/>
              <w:rPr>
                <w:rFonts w:cs="Calibri"/>
                <w:color w:val="222222"/>
                <w:szCs w:val="22"/>
              </w:rPr>
            </w:pPr>
          </w:p>
        </w:tc>
        <w:tc>
          <w:tcPr>
            <w:tcW w:w="1843" w:type="dxa"/>
          </w:tcPr>
          <w:p w:rsidR="009D2CAE" w:rsidRPr="007C0CDA" w:rsidRDefault="009D2CAE" w:rsidP="00FB388C">
            <w:pPr>
              <w:spacing w:after="240"/>
              <w:rPr>
                <w:rFonts w:cs="Calibri"/>
                <w:color w:val="222222"/>
                <w:szCs w:val="22"/>
              </w:rPr>
            </w:pPr>
            <w:r w:rsidRPr="007C0CDA">
              <w:t xml:space="preserve">Zvyšování energetické účinnosti a zabezpečení dodávek </w:t>
            </w:r>
            <w:r w:rsidRPr="007C0CDA">
              <w:lastRenderedPageBreak/>
              <w:t>prostřednictvím rozvoje inteligentních systémů pro distribuci, skladování a přenos energie a prostřednictvím integrace distribuované výroby z obnovitelných zdrojů</w:t>
            </w:r>
          </w:p>
        </w:tc>
        <w:tc>
          <w:tcPr>
            <w:tcW w:w="1985" w:type="dxa"/>
          </w:tcPr>
          <w:p w:rsidR="009D2CAE" w:rsidRPr="007C0CDA" w:rsidRDefault="009D2CAE" w:rsidP="00FB388C">
            <w:pPr>
              <w:spacing w:after="240"/>
              <w:rPr>
                <w:rFonts w:cs="Calibri"/>
                <w:color w:val="222222"/>
                <w:szCs w:val="22"/>
              </w:rPr>
            </w:pPr>
            <w:r w:rsidRPr="007C0CDA">
              <w:rPr>
                <w:rFonts w:cs="Calibri"/>
                <w:color w:val="222222"/>
                <w:szCs w:val="22"/>
              </w:rPr>
              <w:lastRenderedPageBreak/>
              <w:t xml:space="preserve">SC 3.6: </w:t>
            </w:r>
            <w:r w:rsidRPr="007C0CDA">
              <w:t xml:space="preserve">Posílit energetickou bezpečnost přenosové </w:t>
            </w:r>
            <w:r w:rsidRPr="007C0CDA">
              <w:lastRenderedPageBreak/>
              <w:t>soustavy</w:t>
            </w:r>
          </w:p>
        </w:tc>
        <w:tc>
          <w:tcPr>
            <w:tcW w:w="3709" w:type="dxa"/>
          </w:tcPr>
          <w:p w:rsidR="009D2CAE" w:rsidRPr="007C0CDA" w:rsidRDefault="009D2CAE" w:rsidP="00FB388C">
            <w:pPr>
              <w:spacing w:after="240"/>
              <w:rPr>
                <w:rFonts w:cs="Calibri"/>
                <w:color w:val="222222"/>
                <w:szCs w:val="22"/>
              </w:rPr>
            </w:pPr>
            <w:r w:rsidRPr="007C0CDA">
              <w:rPr>
                <w:rFonts w:cs="Calibri"/>
                <w:color w:val="222222"/>
                <w:szCs w:val="22"/>
              </w:rPr>
              <w:lastRenderedPageBreak/>
              <w:t>Produktivní činnost (investiční projekty) – ANO</w:t>
            </w:r>
          </w:p>
          <w:p w:rsidR="009D2CAE" w:rsidRPr="007C0CDA" w:rsidRDefault="009D2CAE" w:rsidP="00FB388C">
            <w:pPr>
              <w:spacing w:after="240"/>
              <w:rPr>
                <w:rFonts w:cs="Calibri"/>
                <w:color w:val="222222"/>
                <w:szCs w:val="22"/>
              </w:rPr>
            </w:pPr>
            <w:r w:rsidRPr="007C0CDA">
              <w:rPr>
                <w:rFonts w:cs="Calibri"/>
                <w:color w:val="222222"/>
                <w:szCs w:val="22"/>
              </w:rPr>
              <w:t xml:space="preserve">Předpoklad dostatečného cash flow </w:t>
            </w:r>
            <w:r w:rsidRPr="007C0CDA">
              <w:rPr>
                <w:rFonts w:cs="Calibri"/>
                <w:color w:val="222222"/>
                <w:szCs w:val="22"/>
              </w:rPr>
              <w:lastRenderedPageBreak/>
              <w:t>typových projektů – NE</w:t>
            </w:r>
          </w:p>
          <w:p w:rsidR="009D2CAE" w:rsidRPr="007C0CDA" w:rsidRDefault="009D2CAE" w:rsidP="00FB388C">
            <w:pPr>
              <w:spacing w:after="240"/>
              <w:rPr>
                <w:rFonts w:cs="Calibri"/>
                <w:color w:val="222222"/>
                <w:szCs w:val="22"/>
              </w:rPr>
            </w:pPr>
            <w:r w:rsidRPr="007C0CDA">
              <w:rPr>
                <w:rFonts w:cs="Calibri"/>
                <w:color w:val="222222"/>
                <w:szCs w:val="22"/>
              </w:rPr>
              <w:t>Možnost zapojení dodatečných soukromých nebo veřejných zdrojů – ANO</w:t>
            </w:r>
          </w:p>
          <w:p w:rsidR="009D2CAE" w:rsidRPr="007C0CDA" w:rsidRDefault="009D2CAE" w:rsidP="00FB388C">
            <w:pPr>
              <w:spacing w:after="240"/>
              <w:rPr>
                <w:rFonts w:cs="Calibri"/>
                <w:color w:val="222222"/>
                <w:szCs w:val="22"/>
              </w:rPr>
            </w:pPr>
            <w:r w:rsidRPr="007C0CDA">
              <w:rPr>
                <w:rFonts w:cs="Calibri"/>
                <w:color w:val="222222"/>
                <w:szCs w:val="22"/>
              </w:rPr>
              <w:t>Předpoklad ztížené dostupnosti komerčního financování – ANO</w:t>
            </w:r>
          </w:p>
          <w:p w:rsidR="009D2CAE" w:rsidRPr="007C0CDA" w:rsidRDefault="009D2CAE" w:rsidP="00FB388C">
            <w:pPr>
              <w:spacing w:after="240"/>
              <w:rPr>
                <w:rFonts w:cs="Calibri"/>
                <w:color w:val="222222"/>
                <w:szCs w:val="22"/>
              </w:rPr>
            </w:pPr>
            <w:r w:rsidRPr="007C0CDA">
              <w:rPr>
                <w:rFonts w:cs="Calibri"/>
                <w:color w:val="222222"/>
                <w:szCs w:val="22"/>
              </w:rPr>
              <w:t>Dosavadní zkušenosti v ČR s aplikací finančního nástroje v dané oblasti – NE</w:t>
            </w:r>
          </w:p>
          <w:p w:rsidR="009D2CAE" w:rsidRPr="007C0CDA" w:rsidRDefault="009D2CAE" w:rsidP="00FB388C">
            <w:pPr>
              <w:spacing w:after="240"/>
              <w:rPr>
                <w:rFonts w:cs="Calibri"/>
                <w:color w:val="222222"/>
                <w:szCs w:val="22"/>
              </w:rPr>
            </w:pPr>
            <w:r w:rsidRPr="007C0CDA">
              <w:rPr>
                <w:rFonts w:cs="Calibri"/>
                <w:color w:val="222222"/>
                <w:szCs w:val="22"/>
              </w:rPr>
              <w:t>Řídící orgán nepředpokládá využití finančních nástrojů v této investiční prioritě. Jde o projekty, jejichž cílem je primárně zvýšení  spolehlivosti, bezpečnosti a udržitelnosti dodávek elektřiny, nikoliv realizace cash flow a přímých výnosů.</w:t>
            </w:r>
          </w:p>
        </w:tc>
      </w:tr>
      <w:tr w:rsidR="009D2CAE" w:rsidRPr="007C0CDA" w:rsidTr="00FB388C">
        <w:tc>
          <w:tcPr>
            <w:tcW w:w="1701" w:type="dxa"/>
            <w:vMerge w:val="restart"/>
          </w:tcPr>
          <w:p w:rsidR="009D2CAE" w:rsidRPr="007C0CDA" w:rsidRDefault="009D2CAE" w:rsidP="00FB388C">
            <w:pPr>
              <w:spacing w:after="240"/>
              <w:rPr>
                <w:rFonts w:cs="Calibri"/>
                <w:color w:val="222222"/>
                <w:szCs w:val="22"/>
              </w:rPr>
            </w:pPr>
            <w:r w:rsidRPr="007C0CDA">
              <w:rPr>
                <w:rFonts w:cs="Calibri"/>
                <w:color w:val="222222"/>
                <w:szCs w:val="22"/>
              </w:rPr>
              <w:lastRenderedPageBreak/>
              <w:t>PO 4: Rozvoj vysokorychlostních přístupových sítí k internetu a informačních a komunikačních technologií</w:t>
            </w:r>
          </w:p>
        </w:tc>
        <w:tc>
          <w:tcPr>
            <w:tcW w:w="1843" w:type="dxa"/>
          </w:tcPr>
          <w:p w:rsidR="009D2CAE" w:rsidRPr="007C0CDA" w:rsidRDefault="009D2CAE" w:rsidP="00FB388C">
            <w:pPr>
              <w:spacing w:after="240"/>
              <w:rPr>
                <w:rFonts w:cs="Calibri"/>
                <w:color w:val="222222"/>
                <w:szCs w:val="22"/>
              </w:rPr>
            </w:pPr>
            <w:r w:rsidRPr="007C0CDA">
              <w:t>Rozšiřování širokopásmového připojení a zavádění vysokorychlostních sítí a podpora zavádění vznikajících technologií a sítí pro digitální hospodářství</w:t>
            </w:r>
          </w:p>
        </w:tc>
        <w:tc>
          <w:tcPr>
            <w:tcW w:w="1985" w:type="dxa"/>
          </w:tcPr>
          <w:p w:rsidR="009D2CAE" w:rsidRPr="007C0CDA" w:rsidRDefault="009D2CAE" w:rsidP="00FB388C">
            <w:pPr>
              <w:spacing w:after="240"/>
              <w:rPr>
                <w:rFonts w:cs="Calibri"/>
                <w:color w:val="222222"/>
                <w:szCs w:val="22"/>
              </w:rPr>
            </w:pPr>
            <w:r w:rsidRPr="007C0CDA">
              <w:rPr>
                <w:rFonts w:cs="Calibri"/>
                <w:color w:val="222222"/>
                <w:szCs w:val="22"/>
              </w:rPr>
              <w:t>SC 4.1: Zvětšit pokrytí vysokorychlostním přístupem k internetu</w:t>
            </w:r>
          </w:p>
        </w:tc>
        <w:tc>
          <w:tcPr>
            <w:tcW w:w="3709" w:type="dxa"/>
          </w:tcPr>
          <w:p w:rsidR="009D2CAE" w:rsidRPr="007C0CDA" w:rsidRDefault="009D2CAE" w:rsidP="00FB388C">
            <w:pPr>
              <w:spacing w:after="240"/>
              <w:rPr>
                <w:rFonts w:cs="Calibri"/>
                <w:color w:val="222222"/>
                <w:szCs w:val="22"/>
              </w:rPr>
            </w:pPr>
            <w:r w:rsidRPr="007C0CDA">
              <w:rPr>
                <w:rFonts w:cs="Calibri"/>
                <w:color w:val="222222"/>
                <w:szCs w:val="22"/>
              </w:rPr>
              <w:t>Produktivní činnost (investiční projekty) – ANO</w:t>
            </w:r>
          </w:p>
          <w:p w:rsidR="009D2CAE" w:rsidRPr="007C0CDA" w:rsidRDefault="009D2CAE" w:rsidP="00FB388C">
            <w:pPr>
              <w:spacing w:after="240"/>
              <w:rPr>
                <w:rFonts w:cs="Calibri"/>
                <w:color w:val="222222"/>
                <w:szCs w:val="22"/>
              </w:rPr>
            </w:pPr>
            <w:r w:rsidRPr="007C0CDA">
              <w:rPr>
                <w:rFonts w:cs="Calibri"/>
                <w:color w:val="222222"/>
                <w:szCs w:val="22"/>
              </w:rPr>
              <w:t>Předpoklad dostatečného cash flow typových projektů – ANO (resp. je nutné tento aspekt detailněji zanalyzovat, neboť podpora se týká zejména tzv. bílých míst)</w:t>
            </w:r>
          </w:p>
          <w:p w:rsidR="009D2CAE" w:rsidRPr="007C0CDA" w:rsidRDefault="009D2CAE" w:rsidP="00FB388C">
            <w:pPr>
              <w:spacing w:after="240"/>
              <w:rPr>
                <w:rFonts w:cs="Calibri"/>
                <w:color w:val="222222"/>
                <w:szCs w:val="22"/>
              </w:rPr>
            </w:pPr>
            <w:r w:rsidRPr="007C0CDA">
              <w:rPr>
                <w:rFonts w:cs="Calibri"/>
                <w:color w:val="222222"/>
                <w:szCs w:val="22"/>
              </w:rPr>
              <w:t>Možnost zapojení dodatečných soukromých nebo veřejných zdrojů – ANO</w:t>
            </w:r>
          </w:p>
          <w:p w:rsidR="009D2CAE" w:rsidRPr="007C0CDA" w:rsidRDefault="009D2CAE" w:rsidP="00FB388C">
            <w:pPr>
              <w:spacing w:after="240"/>
              <w:rPr>
                <w:rFonts w:cs="Calibri"/>
                <w:color w:val="222222"/>
                <w:szCs w:val="22"/>
              </w:rPr>
            </w:pPr>
            <w:r w:rsidRPr="007C0CDA">
              <w:rPr>
                <w:rFonts w:cs="Calibri"/>
                <w:color w:val="222222"/>
                <w:szCs w:val="22"/>
              </w:rPr>
              <w:t>Předpoklad ztížené dostupnosti komerčního financování – ANO</w:t>
            </w:r>
          </w:p>
          <w:p w:rsidR="009D2CAE" w:rsidRPr="007C0CDA" w:rsidRDefault="009D2CAE" w:rsidP="00FB388C">
            <w:pPr>
              <w:spacing w:after="240"/>
              <w:rPr>
                <w:rFonts w:cs="Calibri"/>
                <w:color w:val="222222"/>
                <w:szCs w:val="22"/>
              </w:rPr>
            </w:pPr>
            <w:r w:rsidRPr="007C0CDA">
              <w:rPr>
                <w:rFonts w:cs="Calibri"/>
                <w:color w:val="222222"/>
                <w:szCs w:val="22"/>
              </w:rPr>
              <w:t>Dosavadní zkušenosti v ČR s aplikací finančního nástroje v dané oblasti – NE</w:t>
            </w:r>
          </w:p>
          <w:p w:rsidR="009D2CAE" w:rsidRPr="007C0CDA" w:rsidRDefault="009D2CAE" w:rsidP="00FB388C">
            <w:pPr>
              <w:spacing w:after="240"/>
              <w:rPr>
                <w:rFonts w:cs="Calibri"/>
                <w:color w:val="222222"/>
                <w:szCs w:val="22"/>
              </w:rPr>
            </w:pPr>
            <w:r w:rsidRPr="007C0CDA">
              <w:rPr>
                <w:rFonts w:cs="Calibri"/>
                <w:color w:val="222222"/>
                <w:szCs w:val="22"/>
              </w:rPr>
              <w:t xml:space="preserve">Řídící orgán zváží využití finančních nástrojů v této investiční prioritě. Zejména bude nutné zjistit přidanou hodnotu a udržitelnost financování projektů prostřednictvím finančních nástrojů, neboť v případě bílých míst jde o budování infrastruktury, kde cílem je zajištění dostupnosti internetové konektivity z hlediska občanské vybavenosti, nikoliv ekonomický potenciál (jde o místa, kde by bez podpory pravděpodobně v příštích třech letech nebyl realizován </w:t>
            </w:r>
            <w:r w:rsidRPr="007C0CDA">
              <w:rPr>
                <w:rFonts w:cs="Calibri"/>
                <w:color w:val="222222"/>
                <w:szCs w:val="22"/>
              </w:rPr>
              <w:lastRenderedPageBreak/>
              <w:t>žádný projekt).</w:t>
            </w:r>
          </w:p>
        </w:tc>
      </w:tr>
      <w:tr w:rsidR="009D2CAE" w:rsidRPr="007C0CDA" w:rsidTr="00FB388C">
        <w:tc>
          <w:tcPr>
            <w:tcW w:w="1701" w:type="dxa"/>
            <w:vMerge/>
          </w:tcPr>
          <w:p w:rsidR="009D2CAE" w:rsidRPr="007C0CDA" w:rsidRDefault="009D2CAE" w:rsidP="00FB388C">
            <w:pPr>
              <w:spacing w:after="240"/>
              <w:rPr>
                <w:rFonts w:cs="Calibri"/>
                <w:color w:val="222222"/>
                <w:szCs w:val="22"/>
              </w:rPr>
            </w:pPr>
          </w:p>
        </w:tc>
        <w:tc>
          <w:tcPr>
            <w:tcW w:w="1843" w:type="dxa"/>
          </w:tcPr>
          <w:p w:rsidR="009D2CAE" w:rsidRPr="007C0CDA" w:rsidRDefault="009D2CAE" w:rsidP="00FB388C">
            <w:pPr>
              <w:spacing w:after="240"/>
              <w:rPr>
                <w:rFonts w:cs="Calibri"/>
                <w:color w:val="222222"/>
                <w:szCs w:val="22"/>
              </w:rPr>
            </w:pPr>
            <w:r w:rsidRPr="007C0CDA">
              <w:t>Vyvíjení produktů a služeb v oblasti IKT, elektronický obchod a zvyšování poptávky po IKT</w:t>
            </w:r>
          </w:p>
        </w:tc>
        <w:tc>
          <w:tcPr>
            <w:tcW w:w="1985" w:type="dxa"/>
          </w:tcPr>
          <w:p w:rsidR="009D2CAE" w:rsidRPr="007C0CDA" w:rsidRDefault="009D2CAE" w:rsidP="00FB388C">
            <w:pPr>
              <w:spacing w:after="240"/>
              <w:rPr>
                <w:rFonts w:cs="Calibri"/>
                <w:color w:val="222222"/>
                <w:szCs w:val="22"/>
              </w:rPr>
            </w:pPr>
            <w:r w:rsidRPr="007C0CDA">
              <w:rPr>
                <w:rFonts w:cs="Calibri"/>
                <w:color w:val="222222"/>
                <w:szCs w:val="22"/>
              </w:rPr>
              <w:t xml:space="preserve">SC 4.2: </w:t>
            </w:r>
            <w:r w:rsidRPr="007C0CDA">
              <w:t>Zvýšit využití potenciálu ICT sektoru pro konkurenceschopnost ekonomiky</w:t>
            </w:r>
          </w:p>
        </w:tc>
        <w:tc>
          <w:tcPr>
            <w:tcW w:w="3709" w:type="dxa"/>
          </w:tcPr>
          <w:p w:rsidR="009D2CAE" w:rsidRPr="007C0CDA" w:rsidRDefault="009D2CAE" w:rsidP="00FB388C">
            <w:pPr>
              <w:spacing w:after="240"/>
              <w:rPr>
                <w:rFonts w:cs="Calibri"/>
                <w:color w:val="222222"/>
                <w:szCs w:val="22"/>
              </w:rPr>
            </w:pPr>
            <w:r w:rsidRPr="007C0CDA">
              <w:rPr>
                <w:rFonts w:cs="Calibri"/>
                <w:color w:val="222222"/>
                <w:szCs w:val="22"/>
              </w:rPr>
              <w:t>Produktivní činnost (investiční projekty) – ANO/NE (záleží na konkrétním projektu)</w:t>
            </w:r>
          </w:p>
          <w:p w:rsidR="009D2CAE" w:rsidRPr="007C0CDA" w:rsidRDefault="009D2CAE" w:rsidP="00FB388C">
            <w:pPr>
              <w:spacing w:after="240"/>
              <w:rPr>
                <w:rFonts w:cs="Calibri"/>
                <w:color w:val="222222"/>
                <w:szCs w:val="22"/>
              </w:rPr>
            </w:pPr>
            <w:r w:rsidRPr="007C0CDA">
              <w:rPr>
                <w:rFonts w:cs="Calibri"/>
                <w:color w:val="222222"/>
                <w:szCs w:val="22"/>
              </w:rPr>
              <w:t>Předpoklad dostatečného cash flow typových projektů – ANO/NE (záleží na konkrétním projektu)</w:t>
            </w:r>
          </w:p>
          <w:p w:rsidR="009D2CAE" w:rsidRPr="007C0CDA" w:rsidRDefault="009D2CAE" w:rsidP="00FB388C">
            <w:pPr>
              <w:spacing w:after="240"/>
              <w:rPr>
                <w:rFonts w:cs="Calibri"/>
                <w:color w:val="222222"/>
                <w:szCs w:val="22"/>
              </w:rPr>
            </w:pPr>
            <w:r w:rsidRPr="007C0CDA">
              <w:rPr>
                <w:rFonts w:cs="Calibri"/>
                <w:color w:val="222222"/>
                <w:szCs w:val="22"/>
              </w:rPr>
              <w:t>Možnost zapojení dodatečných soukromých nebo veřejných zdrojů – ANO</w:t>
            </w:r>
          </w:p>
          <w:p w:rsidR="009D2CAE" w:rsidRPr="007C0CDA" w:rsidRDefault="009D2CAE" w:rsidP="00FB388C">
            <w:pPr>
              <w:spacing w:after="240"/>
              <w:rPr>
                <w:rFonts w:cs="Calibri"/>
                <w:color w:val="222222"/>
                <w:szCs w:val="22"/>
              </w:rPr>
            </w:pPr>
            <w:r w:rsidRPr="007C0CDA">
              <w:rPr>
                <w:rFonts w:cs="Calibri"/>
                <w:color w:val="222222"/>
                <w:szCs w:val="22"/>
              </w:rPr>
              <w:t>Předpoklad ztížené dostupnosti komerčního financování – ANO</w:t>
            </w:r>
          </w:p>
          <w:p w:rsidR="009D2CAE" w:rsidRPr="007C0CDA" w:rsidRDefault="009D2CAE" w:rsidP="00FB388C">
            <w:pPr>
              <w:spacing w:after="240"/>
              <w:rPr>
                <w:rFonts w:cs="Calibri"/>
                <w:color w:val="222222"/>
                <w:szCs w:val="22"/>
              </w:rPr>
            </w:pPr>
            <w:r w:rsidRPr="007C0CDA">
              <w:rPr>
                <w:rFonts w:cs="Calibri"/>
                <w:color w:val="222222"/>
                <w:szCs w:val="22"/>
              </w:rPr>
              <w:t>Dosavadní zkušenosti v ČR s aplikací finančního nástroje v dané oblasti – NE</w:t>
            </w:r>
          </w:p>
          <w:p w:rsidR="009D2CAE" w:rsidRPr="007C0CDA" w:rsidRDefault="009D2CAE" w:rsidP="00FB388C">
            <w:pPr>
              <w:spacing w:after="240"/>
              <w:rPr>
                <w:rFonts w:cs="Calibri"/>
                <w:color w:val="222222"/>
                <w:szCs w:val="22"/>
              </w:rPr>
            </w:pPr>
            <w:r w:rsidRPr="007C0CDA">
              <w:rPr>
                <w:rFonts w:cs="Calibri"/>
                <w:color w:val="222222"/>
                <w:szCs w:val="22"/>
              </w:rPr>
              <w:t>Řídící orgán nepředpokládá využití finančních nástrojů v této investiční prioritě. Podporovány jsou zejména projekty vývoje software a center sdílených služeb, které jsou velmi různorodé z hlediska ekonomického potenciálu.</w:t>
            </w:r>
          </w:p>
        </w:tc>
      </w:tr>
    </w:tbl>
    <w:p w:rsidR="009D2CAE" w:rsidRPr="007C0CDA" w:rsidRDefault="009D2CAE" w:rsidP="001B1EEC"/>
    <w:p w:rsidR="009D2CAE" w:rsidRPr="007C0CDA" w:rsidRDefault="009D2CAE" w:rsidP="001B1EEC">
      <w:pPr>
        <w:rPr>
          <w:b/>
        </w:rPr>
      </w:pPr>
      <w:r w:rsidRPr="007C0CDA">
        <w:rPr>
          <w:b/>
        </w:rPr>
        <w:t>Předběžné posouzení finančních nástrojů OP PIK se dále detailně věnuje pouze specifickým cílům OPPIK odpovídajících investičním prioritám, u kterých je v operačním programu uvedeno, že v nich řídící orgán předpokládá nebo zvažuje využití finančních nástrojů, tedy ve specifických cílech 1.1, 1.2, 2.1, 2.3, 3.1, 3.2, 3.5 a 4.1.</w:t>
      </w:r>
    </w:p>
    <w:p w:rsidR="009D2CAE" w:rsidRPr="007C0CDA" w:rsidRDefault="009D2CAE" w:rsidP="00DF6E0B">
      <w:pPr>
        <w:pStyle w:val="Nadpis2"/>
        <w:rPr>
          <w:b w:val="0"/>
          <w:bCs w:val="0"/>
        </w:rPr>
      </w:pPr>
      <w:bookmarkStart w:id="10" w:name="_Toc416383560"/>
      <w:bookmarkStart w:id="11" w:name="_Toc416447542"/>
      <w:bookmarkStart w:id="12" w:name="_Toc416383561"/>
      <w:bookmarkStart w:id="13" w:name="_Toc416447543"/>
      <w:bookmarkStart w:id="14" w:name="_Toc416383562"/>
      <w:bookmarkStart w:id="15" w:name="_Toc416447544"/>
      <w:bookmarkStart w:id="16" w:name="_Toc416383563"/>
      <w:bookmarkStart w:id="17" w:name="_Toc416447545"/>
      <w:bookmarkStart w:id="18" w:name="_Toc416383564"/>
      <w:bookmarkStart w:id="19" w:name="_Toc416447546"/>
      <w:bookmarkStart w:id="20" w:name="_Toc416383565"/>
      <w:bookmarkStart w:id="21" w:name="_Toc416447547"/>
      <w:bookmarkStart w:id="22" w:name="_Toc416383566"/>
      <w:bookmarkStart w:id="23" w:name="_Toc416447548"/>
      <w:bookmarkStart w:id="24" w:name="_Toc416383567"/>
      <w:bookmarkStart w:id="25" w:name="_Toc416447549"/>
      <w:bookmarkStart w:id="26" w:name="_Toc416383568"/>
      <w:bookmarkStart w:id="27" w:name="_Toc416447550"/>
      <w:bookmarkStart w:id="28" w:name="_Toc416383569"/>
      <w:bookmarkStart w:id="29" w:name="_Toc416447551"/>
      <w:bookmarkStart w:id="30" w:name="_Toc416383570"/>
      <w:bookmarkStart w:id="31" w:name="_Toc416447552"/>
      <w:bookmarkStart w:id="32" w:name="_Toc416383571"/>
      <w:bookmarkStart w:id="33" w:name="_Toc416447553"/>
      <w:bookmarkStart w:id="34" w:name="_Toc416383572"/>
      <w:bookmarkStart w:id="35" w:name="_Toc416447554"/>
      <w:bookmarkStart w:id="36" w:name="_Toc416383573"/>
      <w:bookmarkStart w:id="37" w:name="_Toc416447555"/>
      <w:bookmarkStart w:id="38" w:name="_Toc416383574"/>
      <w:bookmarkStart w:id="39" w:name="_Toc416447556"/>
      <w:bookmarkStart w:id="40" w:name="_Toc416383575"/>
      <w:bookmarkStart w:id="41" w:name="_Toc416447557"/>
      <w:bookmarkStart w:id="42" w:name="_Toc416383576"/>
      <w:bookmarkStart w:id="43" w:name="_Toc416447558"/>
      <w:bookmarkStart w:id="44" w:name="_Toc416383577"/>
      <w:bookmarkStart w:id="45" w:name="_Toc416447559"/>
      <w:bookmarkStart w:id="46" w:name="_Toc416383578"/>
      <w:bookmarkStart w:id="47" w:name="_Toc416447560"/>
      <w:bookmarkStart w:id="48" w:name="_Toc416383579"/>
      <w:bookmarkStart w:id="49" w:name="_Toc416447561"/>
      <w:bookmarkStart w:id="50" w:name="_Toc416383580"/>
      <w:bookmarkStart w:id="51" w:name="_Toc416447562"/>
      <w:bookmarkStart w:id="52" w:name="_Toc416383581"/>
      <w:bookmarkStart w:id="53" w:name="_Toc416447563"/>
      <w:bookmarkStart w:id="54" w:name="_Toc416383582"/>
      <w:bookmarkStart w:id="55" w:name="_Toc416447564"/>
      <w:bookmarkStart w:id="56" w:name="_Toc416383583"/>
      <w:bookmarkStart w:id="57" w:name="_Toc416447565"/>
      <w:bookmarkStart w:id="58" w:name="_Toc416383584"/>
      <w:bookmarkStart w:id="59" w:name="_Toc416447566"/>
      <w:bookmarkStart w:id="60" w:name="_Toc416383585"/>
      <w:bookmarkStart w:id="61" w:name="_Toc416447567"/>
      <w:bookmarkStart w:id="62" w:name="_Toc416383586"/>
      <w:bookmarkStart w:id="63" w:name="_Toc416447568"/>
      <w:bookmarkStart w:id="64" w:name="_Toc416383587"/>
      <w:bookmarkStart w:id="65" w:name="_Toc416447569"/>
      <w:bookmarkStart w:id="66" w:name="_Toc416383588"/>
      <w:bookmarkStart w:id="67" w:name="_Toc416447570"/>
      <w:bookmarkStart w:id="68" w:name="_Toc416383589"/>
      <w:bookmarkStart w:id="69" w:name="_Toc416447571"/>
      <w:bookmarkStart w:id="70" w:name="_Toc416383590"/>
      <w:bookmarkStart w:id="71" w:name="_Toc416447572"/>
      <w:bookmarkStart w:id="72" w:name="_Toc416383591"/>
      <w:bookmarkStart w:id="73" w:name="_Toc416447573"/>
      <w:bookmarkStart w:id="74" w:name="_Toc416383592"/>
      <w:bookmarkStart w:id="75" w:name="_Toc416447574"/>
      <w:bookmarkStart w:id="76" w:name="_Toc416383593"/>
      <w:bookmarkStart w:id="77" w:name="_Toc416447575"/>
      <w:bookmarkStart w:id="78" w:name="_Toc416383594"/>
      <w:bookmarkStart w:id="79" w:name="_Toc416447576"/>
      <w:bookmarkStart w:id="80" w:name="_Toc416383595"/>
      <w:bookmarkStart w:id="81" w:name="_Toc416447577"/>
      <w:bookmarkStart w:id="82" w:name="_Toc416383596"/>
      <w:bookmarkStart w:id="83" w:name="_Toc416447578"/>
      <w:bookmarkStart w:id="84" w:name="_Toc416383597"/>
      <w:bookmarkStart w:id="85" w:name="_Toc416447579"/>
      <w:bookmarkStart w:id="86" w:name="_Toc416383598"/>
      <w:bookmarkStart w:id="87" w:name="_Toc416447580"/>
      <w:bookmarkStart w:id="88" w:name="_Toc416383599"/>
      <w:bookmarkStart w:id="89" w:name="_Toc416447581"/>
      <w:bookmarkStart w:id="90" w:name="_Toc416383600"/>
      <w:bookmarkStart w:id="91" w:name="_Toc416447582"/>
      <w:bookmarkStart w:id="92" w:name="_Toc416383601"/>
      <w:bookmarkStart w:id="93" w:name="_Toc416447583"/>
      <w:bookmarkStart w:id="94" w:name="_Toc416383602"/>
      <w:bookmarkStart w:id="95" w:name="_Toc416447584"/>
      <w:bookmarkStart w:id="96" w:name="_Toc416383603"/>
      <w:bookmarkStart w:id="97" w:name="_Toc416447585"/>
      <w:bookmarkStart w:id="98" w:name="_Toc416383604"/>
      <w:bookmarkStart w:id="99" w:name="_Toc416447586"/>
      <w:bookmarkStart w:id="100" w:name="_Toc416383605"/>
      <w:bookmarkStart w:id="101" w:name="_Toc416447587"/>
      <w:bookmarkStart w:id="102" w:name="_Toc416383606"/>
      <w:bookmarkStart w:id="103" w:name="_Toc416447588"/>
      <w:bookmarkStart w:id="104" w:name="_Toc416383607"/>
      <w:bookmarkStart w:id="105" w:name="_Toc416447589"/>
      <w:bookmarkStart w:id="106" w:name="_Toc416383608"/>
      <w:bookmarkStart w:id="107" w:name="_Toc416447590"/>
      <w:bookmarkStart w:id="108" w:name="_Toc416383609"/>
      <w:bookmarkStart w:id="109" w:name="_Toc416447591"/>
      <w:bookmarkStart w:id="110" w:name="_Toc416383610"/>
      <w:bookmarkStart w:id="111" w:name="_Toc416447592"/>
      <w:bookmarkStart w:id="112" w:name="_Toc416383611"/>
      <w:bookmarkStart w:id="113" w:name="_Toc416447593"/>
      <w:bookmarkStart w:id="114" w:name="_Toc416383613"/>
      <w:bookmarkStart w:id="115" w:name="_Toc416447595"/>
      <w:bookmarkStart w:id="116" w:name="_Toc416383614"/>
      <w:bookmarkStart w:id="117" w:name="_Toc416447596"/>
      <w:bookmarkStart w:id="118" w:name="_Toc416383615"/>
      <w:bookmarkStart w:id="119" w:name="_Toc416447597"/>
      <w:bookmarkStart w:id="120" w:name="_Toc416383616"/>
      <w:bookmarkStart w:id="121" w:name="_Toc416447598"/>
      <w:bookmarkStart w:id="122" w:name="_Toc416383617"/>
      <w:bookmarkStart w:id="123" w:name="_Toc416447599"/>
      <w:bookmarkStart w:id="124" w:name="_Toc416383618"/>
      <w:bookmarkStart w:id="125" w:name="_Toc416447600"/>
      <w:bookmarkStart w:id="126" w:name="_Toc416383619"/>
      <w:bookmarkStart w:id="127" w:name="_Toc416447601"/>
      <w:bookmarkStart w:id="128" w:name="_Toc416383620"/>
      <w:bookmarkStart w:id="129" w:name="_Toc416447602"/>
      <w:bookmarkStart w:id="130" w:name="_Toc416383621"/>
      <w:bookmarkStart w:id="131" w:name="_Toc416447603"/>
      <w:bookmarkStart w:id="132" w:name="_Toc416383622"/>
      <w:bookmarkStart w:id="133" w:name="_Toc416447604"/>
      <w:bookmarkStart w:id="134" w:name="_Toc416383623"/>
      <w:bookmarkStart w:id="135" w:name="_Toc416447605"/>
      <w:bookmarkStart w:id="136" w:name="_Toc416383624"/>
      <w:bookmarkStart w:id="137" w:name="_Toc416447606"/>
      <w:bookmarkStart w:id="138" w:name="_Toc416383625"/>
      <w:bookmarkStart w:id="139" w:name="_Toc416447607"/>
      <w:bookmarkStart w:id="140" w:name="_Toc416383626"/>
      <w:bookmarkStart w:id="141" w:name="_Toc416447608"/>
      <w:bookmarkStart w:id="142" w:name="_Toc416383627"/>
      <w:bookmarkStart w:id="143" w:name="_Toc416447609"/>
      <w:bookmarkStart w:id="144" w:name="_Toc416447610"/>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7C0CDA">
        <w:t>Metodický přístup ke zpracování předběžného posouzení finančních nástrojů</w:t>
      </w:r>
      <w:bookmarkEnd w:id="144"/>
    </w:p>
    <w:p w:rsidR="009D2CAE" w:rsidRPr="007C0CDA" w:rsidRDefault="009D2CAE" w:rsidP="009F5E79">
      <w:pPr>
        <w:spacing w:after="240"/>
        <w:rPr>
          <w:rFonts w:cs="Calibri"/>
          <w:color w:val="222222"/>
          <w:szCs w:val="22"/>
        </w:rPr>
      </w:pPr>
      <w:r w:rsidRPr="007C0CDA">
        <w:rPr>
          <w:rFonts w:cs="Calibri"/>
          <w:color w:val="222222"/>
          <w:szCs w:val="22"/>
        </w:rPr>
        <w:t>Předběžné posouzení FN OP PIK probíhá ve dvou blocích a sedmi dílčích okruzích, které podrobněji definuje článek 37 odst. 2 písm. a) až f) Obecného nařízení:</w:t>
      </w:r>
    </w:p>
    <w:p w:rsidR="009D2CAE" w:rsidRPr="007C0CDA" w:rsidRDefault="009D2CAE" w:rsidP="009F5E79">
      <w:pPr>
        <w:spacing w:after="240"/>
        <w:rPr>
          <w:rFonts w:cs="Calibri"/>
          <w:b/>
          <w:color w:val="222222"/>
          <w:szCs w:val="22"/>
        </w:rPr>
      </w:pPr>
      <w:r w:rsidRPr="007C0CDA">
        <w:rPr>
          <w:rFonts w:cs="Calibri"/>
          <w:b/>
          <w:color w:val="222222"/>
          <w:szCs w:val="22"/>
        </w:rPr>
        <w:t>Blok I.: Analýza tržní situace</w:t>
      </w:r>
    </w:p>
    <w:p w:rsidR="009D2CAE" w:rsidRPr="007C0CDA" w:rsidRDefault="009D2CAE" w:rsidP="009F5E79">
      <w:pPr>
        <w:spacing w:after="240"/>
        <w:rPr>
          <w:rFonts w:cs="Calibri"/>
          <w:color w:val="222222"/>
          <w:szCs w:val="22"/>
        </w:rPr>
      </w:pPr>
      <w:r w:rsidRPr="007C0CDA">
        <w:rPr>
          <w:rFonts w:cs="Calibri"/>
          <w:color w:val="222222"/>
          <w:szCs w:val="22"/>
        </w:rPr>
        <w:t>a) analýza selhání trhu,</w:t>
      </w:r>
    </w:p>
    <w:p w:rsidR="009D2CAE" w:rsidRPr="007C0CDA" w:rsidRDefault="009D2CAE" w:rsidP="009F5E79">
      <w:pPr>
        <w:spacing w:after="240"/>
        <w:rPr>
          <w:rFonts w:cs="Calibri"/>
          <w:color w:val="222222"/>
          <w:szCs w:val="22"/>
        </w:rPr>
      </w:pPr>
      <w:r w:rsidRPr="007C0CDA">
        <w:rPr>
          <w:rFonts w:cs="Calibri"/>
          <w:color w:val="222222"/>
          <w:szCs w:val="22"/>
        </w:rPr>
        <w:t>b) posouzení přidané hodnoty finančních nástrojů,</w:t>
      </w:r>
    </w:p>
    <w:p w:rsidR="009D2CAE" w:rsidRPr="007C0CDA" w:rsidRDefault="009D2CAE" w:rsidP="009F5E79">
      <w:pPr>
        <w:spacing w:after="240"/>
        <w:rPr>
          <w:rFonts w:cs="Calibri"/>
          <w:color w:val="222222"/>
          <w:szCs w:val="22"/>
        </w:rPr>
      </w:pPr>
      <w:r w:rsidRPr="007C0CDA">
        <w:rPr>
          <w:rFonts w:cs="Calibri"/>
          <w:color w:val="222222"/>
          <w:szCs w:val="22"/>
        </w:rPr>
        <w:t>c) odhad dodatečných veřejných a soukromých zdrojů.</w:t>
      </w:r>
    </w:p>
    <w:p w:rsidR="009D2CAE" w:rsidRPr="007C0CDA" w:rsidRDefault="009D2CAE" w:rsidP="009F5E79">
      <w:pPr>
        <w:spacing w:after="240"/>
        <w:rPr>
          <w:rFonts w:cs="Calibri"/>
          <w:b/>
          <w:color w:val="222222"/>
          <w:szCs w:val="22"/>
        </w:rPr>
      </w:pPr>
    </w:p>
    <w:p w:rsidR="009D2CAE" w:rsidRPr="007C0CDA" w:rsidRDefault="009D2CAE" w:rsidP="009F5E79">
      <w:pPr>
        <w:spacing w:after="240"/>
        <w:rPr>
          <w:rFonts w:cs="Calibri"/>
          <w:b/>
          <w:color w:val="222222"/>
          <w:szCs w:val="22"/>
        </w:rPr>
      </w:pPr>
      <w:r w:rsidRPr="007C0CDA">
        <w:rPr>
          <w:rFonts w:cs="Calibri"/>
          <w:b/>
          <w:color w:val="222222"/>
          <w:szCs w:val="22"/>
        </w:rPr>
        <w:t>Blok II.: Návrh vhodné strategie</w:t>
      </w:r>
    </w:p>
    <w:p w:rsidR="009D2CAE" w:rsidRPr="007C0CDA" w:rsidRDefault="009D2CAE" w:rsidP="009F5E79">
      <w:pPr>
        <w:spacing w:after="240"/>
        <w:rPr>
          <w:rFonts w:cs="Calibri"/>
          <w:color w:val="222222"/>
          <w:szCs w:val="22"/>
        </w:rPr>
      </w:pPr>
      <w:r w:rsidRPr="007C0CDA">
        <w:rPr>
          <w:rFonts w:cs="Calibri"/>
          <w:color w:val="222222"/>
          <w:szCs w:val="22"/>
        </w:rPr>
        <w:t>a) posouzení zkušeností získaných v minulosti,</w:t>
      </w:r>
    </w:p>
    <w:p w:rsidR="009D2CAE" w:rsidRPr="007C0CDA" w:rsidRDefault="009D2CAE" w:rsidP="009F5E79">
      <w:pPr>
        <w:spacing w:after="240"/>
        <w:rPr>
          <w:rFonts w:cs="Calibri"/>
          <w:color w:val="222222"/>
          <w:szCs w:val="22"/>
        </w:rPr>
      </w:pPr>
      <w:r w:rsidRPr="007C0CDA">
        <w:rPr>
          <w:rFonts w:cs="Calibri"/>
          <w:color w:val="222222"/>
          <w:szCs w:val="22"/>
        </w:rPr>
        <w:lastRenderedPageBreak/>
        <w:t>b) navrhovaná investiční strategie,</w:t>
      </w:r>
    </w:p>
    <w:p w:rsidR="009D2CAE" w:rsidRPr="007C0CDA" w:rsidRDefault="009D2CAE" w:rsidP="009F5E79">
      <w:pPr>
        <w:spacing w:after="240"/>
        <w:rPr>
          <w:rFonts w:cs="Calibri"/>
          <w:color w:val="222222"/>
          <w:szCs w:val="22"/>
        </w:rPr>
      </w:pPr>
      <w:r w:rsidRPr="007C0CDA">
        <w:rPr>
          <w:rFonts w:cs="Calibri"/>
          <w:color w:val="222222"/>
          <w:szCs w:val="22"/>
        </w:rPr>
        <w:t>c) očekávané výsledky,</w:t>
      </w:r>
    </w:p>
    <w:p w:rsidR="009D2CAE" w:rsidRPr="007C0CDA" w:rsidRDefault="009D2CAE" w:rsidP="009F5E79">
      <w:pPr>
        <w:spacing w:after="240"/>
        <w:rPr>
          <w:rFonts w:cs="Calibri"/>
          <w:color w:val="222222"/>
          <w:szCs w:val="22"/>
        </w:rPr>
      </w:pPr>
      <w:r w:rsidRPr="007C0CDA">
        <w:rPr>
          <w:rFonts w:cs="Calibri"/>
          <w:color w:val="222222"/>
          <w:szCs w:val="22"/>
        </w:rPr>
        <w:t>d) přezkoumatelnost závěrů hodnocení.</w:t>
      </w:r>
    </w:p>
    <w:p w:rsidR="009D2CAE" w:rsidRPr="007C0CDA" w:rsidRDefault="009D2CAE" w:rsidP="009F5E79">
      <w:pPr>
        <w:spacing w:after="240"/>
        <w:rPr>
          <w:rFonts w:cs="Calibri"/>
          <w:color w:val="222222"/>
          <w:szCs w:val="22"/>
        </w:rPr>
      </w:pPr>
    </w:p>
    <w:p w:rsidR="009D2CAE" w:rsidRPr="007C0CDA" w:rsidRDefault="009D2CAE" w:rsidP="009F5E79">
      <w:pPr>
        <w:spacing w:after="240"/>
        <w:rPr>
          <w:rFonts w:cs="Calibri"/>
          <w:color w:val="222222"/>
          <w:szCs w:val="22"/>
        </w:rPr>
      </w:pPr>
      <w:r w:rsidRPr="007C0CDA">
        <w:rPr>
          <w:rFonts w:cs="Calibri"/>
          <w:color w:val="222222"/>
          <w:szCs w:val="22"/>
        </w:rPr>
        <w:t>Čl. 37 odst. 2 Obecného nařízení dále obsahuje ustanovení o přezkoumatelnosti závěrů předběžného posouzení FN:</w:t>
      </w:r>
    </w:p>
    <w:p w:rsidR="009D2CAE" w:rsidRPr="007C0CDA" w:rsidRDefault="009D2CAE" w:rsidP="009F5E79">
      <w:pPr>
        <w:spacing w:after="240"/>
        <w:rPr>
          <w:rFonts w:cs="Calibri"/>
          <w:i/>
          <w:color w:val="222222"/>
          <w:szCs w:val="22"/>
        </w:rPr>
      </w:pPr>
      <w:r w:rsidRPr="007C0CDA">
        <w:rPr>
          <w:rFonts w:cs="Calibri"/>
          <w:i/>
          <w:color w:val="222222"/>
          <w:szCs w:val="22"/>
        </w:rPr>
        <w:t>g) ustanovení, jež podle potřeby umožní přezkoumat a aktualizovat předběžné posouzení během provádění jakéhokoli finančního nástroje, který byl použit na základě tohoto posouzení, pokud řídící orgán v prováděcí fázi usoudí, že předběžné posouzení již přesně nevystihuje aktuální podmínky na trhu v době provádění.</w:t>
      </w:r>
    </w:p>
    <w:p w:rsidR="009D2CAE" w:rsidRPr="007C0CDA" w:rsidRDefault="009D2CAE" w:rsidP="009F5E79">
      <w:pPr>
        <w:spacing w:after="240"/>
        <w:rPr>
          <w:rFonts w:cs="Calibri"/>
          <w:color w:val="222222"/>
          <w:szCs w:val="22"/>
        </w:rPr>
      </w:pPr>
      <w:r w:rsidRPr="007C0CDA">
        <w:rPr>
          <w:rFonts w:cs="Calibri"/>
          <w:color w:val="222222"/>
          <w:szCs w:val="22"/>
        </w:rPr>
        <w:t>Následující odstavec 3 článku 37 Obecného nařízení pak stanoví procesní náležitosti související s předběžným posouzením FN:</w:t>
      </w:r>
    </w:p>
    <w:p w:rsidR="009D2CAE" w:rsidRPr="007C0CDA" w:rsidRDefault="009D2CAE" w:rsidP="009F5E79">
      <w:pPr>
        <w:spacing w:after="240"/>
        <w:rPr>
          <w:rFonts w:cs="Calibri"/>
          <w:i/>
          <w:color w:val="222222"/>
          <w:szCs w:val="22"/>
        </w:rPr>
      </w:pPr>
      <w:r w:rsidRPr="007C0CDA">
        <w:rPr>
          <w:rFonts w:cs="Calibri"/>
          <w:i/>
          <w:color w:val="222222"/>
          <w:szCs w:val="22"/>
        </w:rPr>
        <w:t>3. Předběžné posouzení uvedené v odstavci 2 lze provádět postupně. Musí však být v každém případě dokončeno dříve, než řídící orgán rozhodne, že finanční nástroj obdrží příspěvek z programu.</w:t>
      </w:r>
    </w:p>
    <w:p w:rsidR="009D2CAE" w:rsidRPr="007C0CDA" w:rsidRDefault="009D2CAE" w:rsidP="009F5E79">
      <w:pPr>
        <w:spacing w:after="240"/>
        <w:rPr>
          <w:rFonts w:cs="Calibri"/>
          <w:i/>
          <w:color w:val="222222"/>
          <w:szCs w:val="22"/>
        </w:rPr>
      </w:pPr>
      <w:r w:rsidRPr="007C0CDA">
        <w:rPr>
          <w:rFonts w:cs="Calibri"/>
          <w:i/>
          <w:color w:val="222222"/>
          <w:szCs w:val="22"/>
        </w:rPr>
        <w:t>Do tří měsíců od dokončení předběžných posouzení finančních nástrojů se zveřejní souhrnný přehled jejich zjištění a závěrů.</w:t>
      </w:r>
    </w:p>
    <w:p w:rsidR="009D2CAE" w:rsidRPr="007C0CDA" w:rsidRDefault="009D2CAE" w:rsidP="009F5E79">
      <w:pPr>
        <w:spacing w:after="240"/>
        <w:rPr>
          <w:rFonts w:cs="Calibri"/>
          <w:i/>
          <w:color w:val="222222"/>
          <w:szCs w:val="22"/>
        </w:rPr>
      </w:pPr>
      <w:r w:rsidRPr="007C0CDA">
        <w:rPr>
          <w:rFonts w:cs="Calibri"/>
          <w:i/>
          <w:color w:val="222222"/>
          <w:szCs w:val="22"/>
        </w:rPr>
        <w:t>Předběžné posouzení se pro informaci předkládá monitorovacímu výboru v souladu s pravidly pro daný fond.</w:t>
      </w:r>
    </w:p>
    <w:p w:rsidR="009D2CAE" w:rsidRPr="007C0CDA" w:rsidRDefault="009D2CAE" w:rsidP="009F5E79">
      <w:pPr>
        <w:spacing w:after="240"/>
        <w:rPr>
          <w:rFonts w:cs="Calibri"/>
          <w:color w:val="222222"/>
          <w:szCs w:val="22"/>
        </w:rPr>
      </w:pPr>
      <w:r w:rsidRPr="007C0CDA">
        <w:rPr>
          <w:rFonts w:cs="Calibri"/>
          <w:color w:val="222222"/>
          <w:szCs w:val="22"/>
        </w:rPr>
        <w:t xml:space="preserve">Předběžné posouzení FN OP PIK se primárně řídí těmito ustanoveními Obecného nařízení a dále relevantními částmi metodiky, </w:t>
      </w:r>
      <w:r w:rsidRPr="007C0CDA">
        <w:rPr>
          <w:rStyle w:val="hps"/>
          <w:rFonts w:cs="Calibri"/>
          <w:color w:val="222222"/>
          <w:szCs w:val="22"/>
        </w:rPr>
        <w:t>kterou Evropská komise zveřejnila v průběhu roku 2014</w:t>
      </w:r>
      <w:r w:rsidRPr="007C0CDA">
        <w:rPr>
          <w:rStyle w:val="Znakapoznpodarou"/>
          <w:rFonts w:ascii="Calibri" w:hAnsi="Calibri" w:cs="Calibri"/>
          <w:color w:val="222222"/>
          <w:szCs w:val="22"/>
        </w:rPr>
        <w:footnoteReference w:id="7"/>
      </w:r>
      <w:r w:rsidRPr="007C0CDA">
        <w:rPr>
          <w:rFonts w:cs="Calibri"/>
          <w:color w:val="222222"/>
          <w:szCs w:val="22"/>
        </w:rPr>
        <w:t>:</w:t>
      </w:r>
    </w:p>
    <w:p w:rsidR="009D2CAE" w:rsidRPr="007C0CDA" w:rsidRDefault="009D2CAE" w:rsidP="009F5E79">
      <w:pPr>
        <w:spacing w:after="240"/>
        <w:rPr>
          <w:rFonts w:cs="Calibri"/>
          <w:i/>
          <w:color w:val="222222"/>
          <w:szCs w:val="22"/>
        </w:rPr>
      </w:pPr>
      <w:r w:rsidRPr="007C0CDA">
        <w:rPr>
          <w:rFonts w:cs="Calibri"/>
          <w:i/>
          <w:color w:val="222222"/>
          <w:szCs w:val="22"/>
        </w:rPr>
        <w:t>General methodology covering all thematic objectives - Quick reference guide</w:t>
      </w:r>
    </w:p>
    <w:p w:rsidR="009D2CAE" w:rsidRPr="007C0CDA" w:rsidRDefault="009D2CAE" w:rsidP="009F5E79">
      <w:pPr>
        <w:spacing w:after="240"/>
        <w:rPr>
          <w:rFonts w:cs="Calibri"/>
          <w:i/>
          <w:color w:val="222222"/>
          <w:szCs w:val="22"/>
        </w:rPr>
      </w:pPr>
      <w:r w:rsidRPr="007C0CDA">
        <w:rPr>
          <w:rFonts w:cs="Calibri"/>
          <w:i/>
          <w:color w:val="222222"/>
          <w:szCs w:val="22"/>
        </w:rPr>
        <w:t xml:space="preserve">General methodology covering all themati cobjectives - Volume I </w:t>
      </w:r>
    </w:p>
    <w:p w:rsidR="009D2CAE" w:rsidRPr="007C0CDA" w:rsidRDefault="009D2CAE" w:rsidP="009F5E79">
      <w:pPr>
        <w:spacing w:after="240"/>
        <w:rPr>
          <w:rFonts w:cs="Calibri"/>
          <w:i/>
          <w:color w:val="222222"/>
          <w:szCs w:val="22"/>
        </w:rPr>
      </w:pPr>
      <w:r w:rsidRPr="007C0CDA">
        <w:rPr>
          <w:rFonts w:cs="Calibri"/>
          <w:i/>
          <w:color w:val="222222"/>
          <w:szCs w:val="22"/>
        </w:rPr>
        <w:t xml:space="preserve">Strengthening research, technological development and innovation (Thematic objective 1) - Volume II </w:t>
      </w:r>
    </w:p>
    <w:p w:rsidR="009D2CAE" w:rsidRPr="007C0CDA" w:rsidRDefault="009D2CAE" w:rsidP="009F5E79">
      <w:pPr>
        <w:spacing w:after="240"/>
        <w:rPr>
          <w:rFonts w:cs="Calibri"/>
          <w:i/>
          <w:color w:val="222222"/>
          <w:szCs w:val="22"/>
        </w:rPr>
      </w:pPr>
      <w:r w:rsidRPr="007C0CDA">
        <w:rPr>
          <w:rFonts w:cs="Calibri"/>
          <w:i/>
          <w:color w:val="222222"/>
          <w:szCs w:val="22"/>
        </w:rPr>
        <w:t xml:space="preserve">Enhancing the competitivenes sof SME, including agriculture, microcredit and fisheries (Thematic objective 3) - Volume III </w:t>
      </w:r>
    </w:p>
    <w:p w:rsidR="009D2CAE" w:rsidRPr="007C0CDA" w:rsidRDefault="009D2CAE" w:rsidP="009F5E79">
      <w:pPr>
        <w:spacing w:after="240"/>
        <w:rPr>
          <w:rFonts w:cs="Calibri"/>
          <w:i/>
          <w:color w:val="222222"/>
          <w:szCs w:val="22"/>
        </w:rPr>
      </w:pPr>
      <w:r w:rsidRPr="007C0CDA">
        <w:rPr>
          <w:rFonts w:cs="Calibri"/>
          <w:i/>
          <w:color w:val="222222"/>
          <w:szCs w:val="22"/>
        </w:rPr>
        <w:t xml:space="preserve">Supporting the shift toward slow-carbon economy (Thematic objective 4) - Volume IV </w:t>
      </w:r>
    </w:p>
    <w:p w:rsidR="009D2CAE" w:rsidRPr="007C0CDA" w:rsidRDefault="009D2CAE" w:rsidP="009F5E79">
      <w:pPr>
        <w:spacing w:after="240"/>
        <w:rPr>
          <w:rFonts w:cs="Calibri"/>
          <w:i/>
          <w:color w:val="222222"/>
          <w:szCs w:val="22"/>
        </w:rPr>
      </w:pPr>
      <w:r w:rsidRPr="007C0CDA">
        <w:rPr>
          <w:rFonts w:cs="Calibri"/>
          <w:i/>
          <w:color w:val="222222"/>
          <w:szCs w:val="22"/>
        </w:rPr>
        <w:t>Financial instruments for urban and territorial development - Volume V</w:t>
      </w:r>
    </w:p>
    <w:p w:rsidR="009D2CAE" w:rsidRPr="007C0CDA" w:rsidRDefault="009D2CAE" w:rsidP="009F5E79">
      <w:pPr>
        <w:spacing w:after="240"/>
        <w:rPr>
          <w:rFonts w:cs="Calibri"/>
          <w:szCs w:val="22"/>
        </w:rPr>
      </w:pPr>
      <w:r w:rsidRPr="007C0CDA">
        <w:rPr>
          <w:rFonts w:cs="Calibri"/>
          <w:color w:val="222222"/>
          <w:szCs w:val="22"/>
        </w:rPr>
        <w:t>I</w:t>
      </w:r>
      <w:r w:rsidRPr="007C0CDA">
        <w:rPr>
          <w:rStyle w:val="hps"/>
          <w:rFonts w:cs="Calibri"/>
          <w:color w:val="222222"/>
          <w:szCs w:val="22"/>
        </w:rPr>
        <w:t xml:space="preserve"> když tyto metodické pokyny </w:t>
      </w:r>
      <w:r w:rsidRPr="007C0CDA">
        <w:rPr>
          <w:rFonts w:cs="Calibri"/>
          <w:color w:val="222222"/>
          <w:szCs w:val="22"/>
        </w:rPr>
        <w:t xml:space="preserve">Komise </w:t>
      </w:r>
      <w:r w:rsidRPr="007C0CDA">
        <w:rPr>
          <w:rStyle w:val="hps"/>
          <w:rFonts w:cs="Calibri"/>
          <w:color w:val="222222"/>
          <w:szCs w:val="22"/>
        </w:rPr>
        <w:t>nejsou závazné</w:t>
      </w:r>
      <w:r w:rsidRPr="007C0CDA">
        <w:rPr>
          <w:rFonts w:cs="Calibri"/>
          <w:color w:val="222222"/>
          <w:szCs w:val="22"/>
        </w:rPr>
        <w:t xml:space="preserve">, byly </w:t>
      </w:r>
      <w:r w:rsidRPr="007C0CDA">
        <w:rPr>
          <w:rStyle w:val="hps"/>
          <w:rFonts w:cs="Calibri"/>
          <w:color w:val="222222"/>
          <w:szCs w:val="22"/>
        </w:rPr>
        <w:t>vytvořeny s cílem poskytnout ŘO osvědčené postupy pro naplnění požadavkůčlánku37 odst. 2 Obecného nařízení a tvoří proto základní metodologický rámec pro přípravu předběžného posouzení finančních nástrojů OP PIK.</w:t>
      </w:r>
    </w:p>
    <w:p w:rsidR="009D2CAE" w:rsidRPr="007C0CDA" w:rsidRDefault="009D2CAE" w:rsidP="009F5E79">
      <w:pPr>
        <w:spacing w:after="240"/>
        <w:rPr>
          <w:rFonts w:cs="Calibri"/>
          <w:szCs w:val="22"/>
        </w:rPr>
      </w:pPr>
    </w:p>
    <w:p w:rsidR="009D2CAE" w:rsidRPr="007C0CDA" w:rsidRDefault="009D2CAE" w:rsidP="00DF6E0B">
      <w:pPr>
        <w:pStyle w:val="Nadpis3"/>
        <w:rPr>
          <w:b w:val="0"/>
          <w:bCs w:val="0"/>
        </w:rPr>
      </w:pPr>
      <w:bookmarkStart w:id="145" w:name="_Toc416447611"/>
      <w:r w:rsidRPr="007C0CDA">
        <w:lastRenderedPageBreak/>
        <w:t>Analýza tržní situace</w:t>
      </w:r>
      <w:bookmarkEnd w:id="145"/>
    </w:p>
    <w:p w:rsidR="009D2CAE" w:rsidRPr="007C0CDA" w:rsidRDefault="009D2CAE" w:rsidP="009F5E79">
      <w:pPr>
        <w:spacing w:after="240"/>
        <w:rPr>
          <w:rFonts w:cs="Calibri"/>
          <w:color w:val="222222"/>
          <w:szCs w:val="22"/>
        </w:rPr>
      </w:pPr>
      <w:r w:rsidRPr="007C0CDA">
        <w:rPr>
          <w:rFonts w:cs="Calibri"/>
          <w:color w:val="222222"/>
          <w:szCs w:val="22"/>
        </w:rPr>
        <w:t>Za účelem vytvoření strategického rámce pro finanční nástroje v OP PIK je třeba vzít v úvahu příslušný kontext, který odůvodňuje použití ESI fondů. Jakmile jsou tato východiska upřesněna, může být identifikováno selhání trhu nebo sub-optimální investiční situace, které se týkají finančních nástrojů, a to na základě analýzy finančních potřeb nebo mezer v tržním financování, zkoumání rovnováhy mezi nabídkou a poptávkou v dané investiční oblasti podle strategie OP PIK, včetně jejich možného budoucího vývoje.Analýza tržní situace se soustředí zejména na vývoj souvisejících ukazatelův cílových segmentech, ale i na finančním trhu, tržní průzkum a pohovory se zástupci cílových skupin.Analýza tržní situace by měla být založena na výsledcích kvantitativního a kvalitativního průzkumu.</w:t>
      </w:r>
    </w:p>
    <w:p w:rsidR="009D2CAE" w:rsidRPr="007C0CDA" w:rsidRDefault="009D2CAE" w:rsidP="009F5E79">
      <w:pPr>
        <w:spacing w:after="240"/>
        <w:rPr>
          <w:rFonts w:cs="Calibri"/>
          <w:b/>
          <w:color w:val="222222"/>
          <w:szCs w:val="22"/>
        </w:rPr>
      </w:pPr>
      <w:r w:rsidRPr="007C0CDA">
        <w:rPr>
          <w:rFonts w:cs="Calibri"/>
          <w:b/>
          <w:color w:val="222222"/>
          <w:szCs w:val="22"/>
        </w:rPr>
        <w:t>a) Analýza selhání trhu</w:t>
      </w:r>
    </w:p>
    <w:p w:rsidR="009D2CAE" w:rsidRPr="007C0CDA" w:rsidRDefault="009D2CAE" w:rsidP="002433DA">
      <w:pPr>
        <w:pStyle w:val="Odstavecseseznamem"/>
        <w:numPr>
          <w:ilvl w:val="0"/>
          <w:numId w:val="15"/>
        </w:numPr>
        <w:spacing w:after="240"/>
        <w:rPr>
          <w:rFonts w:cs="Calibri"/>
          <w:color w:val="222222"/>
          <w:szCs w:val="22"/>
        </w:rPr>
      </w:pPr>
      <w:r w:rsidRPr="007C0CDA">
        <w:rPr>
          <w:rFonts w:cs="Calibri"/>
          <w:color w:val="222222"/>
          <w:szCs w:val="22"/>
        </w:rPr>
        <w:t>Tržní analýza – rozbor tržních segmentů z hlediska programových cílů a potenciálních typových projektů, nabídka zdrojů a investiční poptávka</w:t>
      </w:r>
    </w:p>
    <w:p w:rsidR="009D2CAE" w:rsidRPr="007C0CDA" w:rsidRDefault="009D2CAE" w:rsidP="002433DA">
      <w:pPr>
        <w:pStyle w:val="Odstavecseseznamem"/>
        <w:numPr>
          <w:ilvl w:val="0"/>
          <w:numId w:val="15"/>
        </w:numPr>
        <w:spacing w:after="240"/>
        <w:rPr>
          <w:rFonts w:cs="Calibri"/>
          <w:color w:val="222222"/>
          <w:szCs w:val="22"/>
        </w:rPr>
      </w:pPr>
      <w:r w:rsidRPr="007C0CDA">
        <w:rPr>
          <w:rFonts w:cs="Calibri"/>
          <w:color w:val="222222"/>
          <w:szCs w:val="22"/>
        </w:rPr>
        <w:t>Odhad absorpční kapacity veřejné podpory a finančního nástroje</w:t>
      </w:r>
    </w:p>
    <w:p w:rsidR="009D2CAE" w:rsidRPr="007C0CDA" w:rsidRDefault="009D2CAE" w:rsidP="002433DA">
      <w:pPr>
        <w:pStyle w:val="Odstavecseseznamem"/>
        <w:numPr>
          <w:ilvl w:val="0"/>
          <w:numId w:val="15"/>
        </w:numPr>
        <w:spacing w:after="240"/>
        <w:rPr>
          <w:rFonts w:cs="Calibri"/>
          <w:color w:val="222222"/>
          <w:szCs w:val="22"/>
        </w:rPr>
      </w:pPr>
      <w:r w:rsidRPr="007C0CDA">
        <w:rPr>
          <w:rFonts w:cs="Calibri"/>
          <w:color w:val="222222"/>
          <w:szCs w:val="22"/>
        </w:rPr>
        <w:t>Identifikace selhání trhu a suboptimální investiční situace, jejich typ a rozsah</w:t>
      </w:r>
    </w:p>
    <w:p w:rsidR="009D2CAE" w:rsidRPr="007C0CDA" w:rsidRDefault="009D2CAE" w:rsidP="002433DA">
      <w:pPr>
        <w:pStyle w:val="Odstavecseseznamem"/>
        <w:numPr>
          <w:ilvl w:val="0"/>
          <w:numId w:val="15"/>
        </w:numPr>
        <w:jc w:val="left"/>
        <w:rPr>
          <w:rFonts w:cs="Calibri"/>
          <w:color w:val="222222"/>
          <w:szCs w:val="22"/>
        </w:rPr>
      </w:pPr>
      <w:r w:rsidRPr="007C0CDA">
        <w:rPr>
          <w:rFonts w:cs="Calibri"/>
          <w:color w:val="222222"/>
          <w:szCs w:val="22"/>
        </w:rPr>
        <w:t>Návrh řešení identifikovaných tržních selhání</w:t>
      </w:r>
    </w:p>
    <w:p w:rsidR="009D2CAE" w:rsidRPr="007C0CDA" w:rsidRDefault="009D2CAE" w:rsidP="009F5E79">
      <w:pPr>
        <w:pStyle w:val="Odstavecseseznamem"/>
        <w:rPr>
          <w:rFonts w:cs="Calibri"/>
          <w:color w:val="222222"/>
          <w:szCs w:val="22"/>
        </w:rPr>
      </w:pPr>
    </w:p>
    <w:p w:rsidR="009D2CAE" w:rsidRPr="007C0CDA" w:rsidRDefault="009D2CAE" w:rsidP="009F5E79">
      <w:pPr>
        <w:spacing w:after="240"/>
        <w:rPr>
          <w:rFonts w:cs="Calibri"/>
          <w:b/>
          <w:color w:val="222222"/>
          <w:szCs w:val="22"/>
        </w:rPr>
      </w:pPr>
      <w:r w:rsidRPr="007C0CDA">
        <w:rPr>
          <w:rFonts w:cs="Calibri"/>
          <w:b/>
          <w:color w:val="222222"/>
          <w:szCs w:val="22"/>
        </w:rPr>
        <w:t>b) Posouzení přidané hodnoty finančních nástrojů</w:t>
      </w:r>
    </w:p>
    <w:p w:rsidR="009D2CAE" w:rsidRPr="007C0CDA" w:rsidRDefault="009D2CAE" w:rsidP="00E37FC6">
      <w:pPr>
        <w:pStyle w:val="Odstavecseseznamem"/>
        <w:numPr>
          <w:ilvl w:val="0"/>
          <w:numId w:val="16"/>
        </w:numPr>
        <w:spacing w:after="240"/>
        <w:rPr>
          <w:rFonts w:cs="Calibri"/>
          <w:color w:val="222222"/>
          <w:szCs w:val="22"/>
        </w:rPr>
      </w:pPr>
      <w:r w:rsidRPr="002433DA">
        <w:rPr>
          <w:rFonts w:cs="Calibri"/>
          <w:color w:val="222222"/>
          <w:szCs w:val="22"/>
        </w:rPr>
        <w:t>Představení typových projektů</w:t>
      </w:r>
      <w:r w:rsidRPr="007C0CDA">
        <w:rPr>
          <w:rFonts w:cs="Calibri"/>
          <w:color w:val="222222"/>
          <w:szCs w:val="22"/>
        </w:rPr>
        <w:t>, zaměření intervencí FN včetně identifikace hlavních cílových skupin a typu příjemců</w:t>
      </w:r>
    </w:p>
    <w:p w:rsidR="009D2CAE" w:rsidRPr="007C0CDA" w:rsidRDefault="009D2CAE" w:rsidP="00E37FC6">
      <w:pPr>
        <w:pStyle w:val="Odstavecseseznamem"/>
        <w:numPr>
          <w:ilvl w:val="0"/>
          <w:numId w:val="16"/>
        </w:numPr>
        <w:spacing w:after="240"/>
        <w:rPr>
          <w:rFonts w:cs="Calibri"/>
          <w:color w:val="222222"/>
          <w:szCs w:val="22"/>
        </w:rPr>
      </w:pPr>
      <w:r w:rsidRPr="007C0CDA">
        <w:rPr>
          <w:rFonts w:cs="Calibri"/>
          <w:color w:val="222222"/>
          <w:szCs w:val="22"/>
        </w:rPr>
        <w:t>Přidaná hodnota FN ve vztahu k cílům OP PIK, příjemcům podpory i řídícímu orgánu</w:t>
      </w:r>
    </w:p>
    <w:p w:rsidR="009D2CAE" w:rsidRPr="002433DA" w:rsidRDefault="009D2CAE" w:rsidP="00E37FC6">
      <w:pPr>
        <w:pStyle w:val="Odstavecseseznamem"/>
        <w:numPr>
          <w:ilvl w:val="0"/>
          <w:numId w:val="16"/>
        </w:numPr>
        <w:spacing w:after="240"/>
        <w:rPr>
          <w:rFonts w:cs="Calibri"/>
          <w:color w:val="222222"/>
          <w:szCs w:val="22"/>
        </w:rPr>
      </w:pPr>
      <w:r w:rsidRPr="007C0CDA">
        <w:rPr>
          <w:rFonts w:cs="Calibri"/>
          <w:color w:val="222222"/>
          <w:szCs w:val="22"/>
        </w:rPr>
        <w:t>Srovnání přidané hodnoty FN s jinými formami podpory</w:t>
      </w:r>
    </w:p>
    <w:p w:rsidR="009D2CAE" w:rsidRPr="007C0CDA" w:rsidRDefault="009D2CAE" w:rsidP="002433DA">
      <w:pPr>
        <w:pStyle w:val="Odstavecseseznamem"/>
        <w:numPr>
          <w:ilvl w:val="0"/>
          <w:numId w:val="16"/>
        </w:numPr>
        <w:spacing w:after="240"/>
        <w:rPr>
          <w:rFonts w:cs="Calibri"/>
          <w:color w:val="222222"/>
          <w:szCs w:val="22"/>
        </w:rPr>
      </w:pPr>
      <w:r w:rsidRPr="007C0CDA">
        <w:rPr>
          <w:rFonts w:cs="Calibri"/>
          <w:color w:val="222222"/>
          <w:szCs w:val="22"/>
        </w:rPr>
        <w:t>Identifikace problémů a rizik při využití finančního nástroje</w:t>
      </w:r>
    </w:p>
    <w:p w:rsidR="009D2CAE" w:rsidRPr="007C0CDA" w:rsidRDefault="009D2CAE" w:rsidP="002433DA">
      <w:pPr>
        <w:pStyle w:val="Odstavecseseznamem"/>
        <w:numPr>
          <w:ilvl w:val="0"/>
          <w:numId w:val="16"/>
        </w:numPr>
        <w:spacing w:after="240"/>
        <w:rPr>
          <w:rFonts w:cs="Calibri"/>
          <w:color w:val="222222"/>
          <w:szCs w:val="22"/>
        </w:rPr>
      </w:pPr>
      <w:r w:rsidRPr="007C0CDA">
        <w:rPr>
          <w:rFonts w:cs="Calibri"/>
          <w:color w:val="222222"/>
          <w:szCs w:val="22"/>
        </w:rPr>
        <w:t>Posouzení narušení trhu vyplývající z implementace FN</w:t>
      </w:r>
    </w:p>
    <w:p w:rsidR="009D2CAE" w:rsidRPr="007C0CDA" w:rsidRDefault="009D2CAE" w:rsidP="002433DA">
      <w:pPr>
        <w:pStyle w:val="Odstavecseseznamem"/>
        <w:numPr>
          <w:ilvl w:val="0"/>
          <w:numId w:val="16"/>
        </w:numPr>
        <w:spacing w:after="240"/>
        <w:rPr>
          <w:rFonts w:cs="Calibri"/>
          <w:color w:val="222222"/>
          <w:szCs w:val="22"/>
        </w:rPr>
      </w:pPr>
      <w:r w:rsidRPr="007C0CDA">
        <w:rPr>
          <w:rFonts w:cs="Calibri"/>
          <w:color w:val="222222"/>
          <w:szCs w:val="22"/>
        </w:rPr>
        <w:t>Soulad s jinými formami veřejných intervenci zaměřených na stejné selhání trhu k omezení překryvů – zejména s ohledem na dotační podporu z OP PIK, ale i další komplementarity a synergie (včetně FN v unijních programech COSME, HORIZON 2020 atd.)</w:t>
      </w:r>
    </w:p>
    <w:p w:rsidR="009D2CAE" w:rsidRPr="002433DA" w:rsidRDefault="009D2CAE" w:rsidP="00071003">
      <w:pPr>
        <w:pStyle w:val="Odstavecseseznamem"/>
        <w:numPr>
          <w:ilvl w:val="0"/>
          <w:numId w:val="16"/>
        </w:numPr>
        <w:spacing w:after="240"/>
        <w:rPr>
          <w:rFonts w:cs="Calibri"/>
          <w:color w:val="222222"/>
          <w:szCs w:val="22"/>
        </w:rPr>
      </w:pPr>
      <w:r w:rsidRPr="007C0CDA">
        <w:rPr>
          <w:rFonts w:cs="Calibri"/>
          <w:color w:val="222222"/>
          <w:szCs w:val="22"/>
        </w:rPr>
        <w:t>Konsistence finančních alokací finančních nástrojů: (i) vyhodnocení souladu alokace rozpočtových zdrojů na jednotlivé finanční nástroje s cíli programu (ii) zhodnocení, zda alokace odpovídají vybraným formám podpory (iii) celkové posouzení a zhodnocení finančního plánu finančních nástrojů, (iv) posouzení absorpční kapacity finančních nástrojů (v) posouzení vhodných forem podpory v souladu s Obecným nařízením</w:t>
      </w:r>
    </w:p>
    <w:p w:rsidR="009D2CAE" w:rsidRPr="007C0CDA" w:rsidRDefault="009D2CAE" w:rsidP="002433DA">
      <w:pPr>
        <w:pStyle w:val="Odstavecseseznamem"/>
        <w:numPr>
          <w:ilvl w:val="0"/>
          <w:numId w:val="16"/>
        </w:numPr>
        <w:spacing w:after="240"/>
        <w:rPr>
          <w:rFonts w:cs="Calibri"/>
          <w:color w:val="222222"/>
          <w:szCs w:val="22"/>
        </w:rPr>
      </w:pPr>
      <w:r w:rsidRPr="002433DA">
        <w:rPr>
          <w:rFonts w:cs="Calibri"/>
          <w:color w:val="222222"/>
          <w:szCs w:val="22"/>
        </w:rPr>
        <w:t>Možné řešení veřejné podpory, včetně přiměřenosti zamýšleného zásahu na zjištěné potřeby trhu.</w:t>
      </w:r>
    </w:p>
    <w:p w:rsidR="009D2CAE" w:rsidRPr="007C0CDA" w:rsidRDefault="009D2CAE" w:rsidP="009F5E79">
      <w:pPr>
        <w:spacing w:after="240"/>
        <w:rPr>
          <w:rFonts w:cs="Calibri"/>
          <w:b/>
          <w:color w:val="222222"/>
          <w:szCs w:val="22"/>
        </w:rPr>
      </w:pPr>
      <w:r w:rsidRPr="007C0CDA">
        <w:rPr>
          <w:rFonts w:cs="Calibri"/>
          <w:b/>
          <w:color w:val="222222"/>
          <w:szCs w:val="22"/>
        </w:rPr>
        <w:t>c) Odhad dodatečných veřejných a soukromých zdrojů</w:t>
      </w:r>
    </w:p>
    <w:p w:rsidR="009D2CAE" w:rsidRPr="007C0CDA" w:rsidRDefault="009D2CAE" w:rsidP="002433DA">
      <w:pPr>
        <w:pStyle w:val="Odstavecseseznamem"/>
        <w:numPr>
          <w:ilvl w:val="0"/>
          <w:numId w:val="17"/>
        </w:numPr>
        <w:spacing w:after="240"/>
        <w:rPr>
          <w:rFonts w:cs="Calibri"/>
          <w:color w:val="222222"/>
          <w:szCs w:val="22"/>
        </w:rPr>
      </w:pPr>
      <w:r w:rsidRPr="007C0CDA">
        <w:rPr>
          <w:rFonts w:cs="Calibri"/>
          <w:color w:val="222222"/>
          <w:szCs w:val="22"/>
        </w:rPr>
        <w:t>Odhad dodatečných veřejných a soukromých zdrojů, které potenciálně daný FN přiláká.</w:t>
      </w:r>
    </w:p>
    <w:p w:rsidR="009D2CAE" w:rsidRPr="007C0CDA" w:rsidRDefault="009D2CAE" w:rsidP="002433DA">
      <w:pPr>
        <w:pStyle w:val="Odstavecseseznamem"/>
        <w:numPr>
          <w:ilvl w:val="0"/>
          <w:numId w:val="17"/>
        </w:numPr>
        <w:spacing w:after="240"/>
        <w:rPr>
          <w:rFonts w:cs="Calibri"/>
          <w:color w:val="222222"/>
          <w:szCs w:val="22"/>
        </w:rPr>
      </w:pPr>
      <w:r w:rsidRPr="007C0CDA">
        <w:rPr>
          <w:rFonts w:cs="Calibri"/>
          <w:color w:val="222222"/>
          <w:szCs w:val="22"/>
        </w:rPr>
        <w:t>Spolufinancování ze soukromých zdrojů až na úroveň konečného příjemce.</w:t>
      </w:r>
    </w:p>
    <w:p w:rsidR="009D2CAE" w:rsidRPr="007C0CDA" w:rsidRDefault="009D2CAE" w:rsidP="002433DA">
      <w:pPr>
        <w:pStyle w:val="Odstavecseseznamem"/>
        <w:numPr>
          <w:ilvl w:val="0"/>
          <w:numId w:val="17"/>
        </w:numPr>
        <w:spacing w:after="240"/>
        <w:rPr>
          <w:rFonts w:cs="Calibri"/>
          <w:color w:val="222222"/>
          <w:szCs w:val="22"/>
        </w:rPr>
      </w:pPr>
      <w:r w:rsidRPr="007C0CDA">
        <w:rPr>
          <w:rFonts w:cs="Calibri"/>
          <w:color w:val="222222"/>
          <w:szCs w:val="22"/>
        </w:rPr>
        <w:t>Identifikace klíčových hráčů (např. individuálních investorů, podniků, veřejných subjektů, institucí na finančním trhu a dalších subjektů) a odhad výše jejich finančních závazků na projekty v cílových tržních segmentech.</w:t>
      </w:r>
    </w:p>
    <w:p w:rsidR="009D2CAE" w:rsidRPr="007C0CDA" w:rsidRDefault="009D2CAE" w:rsidP="002433DA">
      <w:pPr>
        <w:pStyle w:val="Odstavecseseznamem"/>
        <w:numPr>
          <w:ilvl w:val="0"/>
          <w:numId w:val="17"/>
        </w:numPr>
        <w:spacing w:after="240"/>
        <w:rPr>
          <w:rFonts w:cs="Calibri"/>
          <w:color w:val="222222"/>
          <w:szCs w:val="22"/>
        </w:rPr>
      </w:pPr>
      <w:r w:rsidRPr="007C0CDA">
        <w:rPr>
          <w:rFonts w:cs="Calibri"/>
          <w:color w:val="222222"/>
          <w:szCs w:val="22"/>
        </w:rPr>
        <w:t>Očekávaný pákový efekt.</w:t>
      </w:r>
    </w:p>
    <w:p w:rsidR="009D2CAE" w:rsidRPr="007C0CDA" w:rsidRDefault="009D2CAE" w:rsidP="002433DA">
      <w:pPr>
        <w:pStyle w:val="Odstavecseseznamem"/>
        <w:numPr>
          <w:ilvl w:val="0"/>
          <w:numId w:val="17"/>
        </w:numPr>
        <w:spacing w:after="240"/>
        <w:rPr>
          <w:rFonts w:cs="Calibri"/>
          <w:color w:val="222222"/>
          <w:szCs w:val="22"/>
        </w:rPr>
      </w:pPr>
      <w:r w:rsidRPr="007C0CDA">
        <w:t>Posouzení potřeby a úroveň preferenčního odměňování pro soukromé investory, je-li to relevantní s ohledem na předcházející závěry.</w:t>
      </w:r>
    </w:p>
    <w:p w:rsidR="009D2CAE" w:rsidRPr="007C0CDA" w:rsidRDefault="009D2CAE" w:rsidP="00DF6E0B">
      <w:pPr>
        <w:pStyle w:val="Odstavecseseznamem"/>
        <w:spacing w:after="240"/>
        <w:ind w:left="360"/>
        <w:rPr>
          <w:rFonts w:cs="Calibri"/>
          <w:color w:val="222222"/>
          <w:szCs w:val="22"/>
        </w:rPr>
      </w:pPr>
    </w:p>
    <w:p w:rsidR="009D2CAE" w:rsidRPr="007C0CDA" w:rsidRDefault="009D2CAE" w:rsidP="00DF6E0B">
      <w:pPr>
        <w:pStyle w:val="Nadpis3"/>
        <w:rPr>
          <w:b w:val="0"/>
          <w:bCs w:val="0"/>
        </w:rPr>
      </w:pPr>
      <w:bookmarkStart w:id="146" w:name="_Toc416447612"/>
      <w:r w:rsidRPr="007C0CDA">
        <w:lastRenderedPageBreak/>
        <w:t>Návrh vhodné strategie</w:t>
      </w:r>
      <w:bookmarkEnd w:id="146"/>
    </w:p>
    <w:p w:rsidR="009D2CAE" w:rsidRPr="007C0CDA" w:rsidRDefault="009D2CAE" w:rsidP="009F5E79">
      <w:pPr>
        <w:spacing w:after="240"/>
        <w:rPr>
          <w:rFonts w:cs="Calibri"/>
          <w:color w:val="222222"/>
          <w:szCs w:val="22"/>
        </w:rPr>
      </w:pPr>
      <w:r w:rsidRPr="007C0CDA">
        <w:rPr>
          <w:rFonts w:cs="Calibri"/>
          <w:color w:val="222222"/>
          <w:szCs w:val="22"/>
        </w:rPr>
        <w:t>Výsledky analýzy prováděné v rámci bloku I. budou tvořit základní vstup pro blok II. za předpokladu, že analýza tržní situace podpoří závěr, že selhání trhu a nedostatečné investiční situace lze účinně řešit prostřednictvím finančních nástrojů. Blok II. navrhne vhodnou investiční strategii, navrhne postupy pro implementaci, monitorování, hodnocení a řízení FN, mj. na základě poznatků a zkušeností s implementací předchozích podpor. Navrhne vhodné ukazatele a představí ilustrativní očekávané výsledky FN na základě modelového fungování a milníky včetně jejich věcného nastavení a hodnot.</w:t>
      </w:r>
    </w:p>
    <w:p w:rsidR="009D2CAE" w:rsidRPr="007C0CDA" w:rsidRDefault="009D2CAE" w:rsidP="009F5E79">
      <w:pPr>
        <w:spacing w:after="240"/>
        <w:rPr>
          <w:rFonts w:cs="Calibri"/>
          <w:b/>
          <w:color w:val="222222"/>
          <w:szCs w:val="22"/>
        </w:rPr>
      </w:pPr>
      <w:r w:rsidRPr="007C0CDA">
        <w:rPr>
          <w:rFonts w:cs="Calibri"/>
          <w:b/>
          <w:color w:val="222222"/>
          <w:szCs w:val="22"/>
        </w:rPr>
        <w:t>a) Posouzení zkušeností získaných v minulosti</w:t>
      </w:r>
    </w:p>
    <w:p w:rsidR="009D2CAE" w:rsidRPr="007C0CDA" w:rsidRDefault="009D2CAE" w:rsidP="002433DA">
      <w:pPr>
        <w:pStyle w:val="Odstavecseseznamem"/>
        <w:numPr>
          <w:ilvl w:val="0"/>
          <w:numId w:val="20"/>
        </w:numPr>
        <w:spacing w:after="240"/>
        <w:rPr>
          <w:rFonts w:cs="Calibri"/>
          <w:color w:val="222222"/>
          <w:szCs w:val="22"/>
        </w:rPr>
      </w:pPr>
      <w:r w:rsidRPr="007C0CDA">
        <w:rPr>
          <w:rFonts w:cs="Calibri"/>
          <w:color w:val="222222"/>
          <w:szCs w:val="22"/>
        </w:rPr>
        <w:t>Závěry vyvozené z implementace podobných nástrojů v minulosti.</w:t>
      </w:r>
    </w:p>
    <w:p w:rsidR="009D2CAE" w:rsidRPr="007C0CDA" w:rsidRDefault="009D2CAE" w:rsidP="002433DA">
      <w:pPr>
        <w:pStyle w:val="Odstavecseseznamem"/>
        <w:numPr>
          <w:ilvl w:val="0"/>
          <w:numId w:val="20"/>
        </w:numPr>
        <w:spacing w:after="240"/>
        <w:rPr>
          <w:rFonts w:cs="Calibri"/>
          <w:color w:val="222222"/>
          <w:szCs w:val="22"/>
        </w:rPr>
      </w:pPr>
      <w:r w:rsidRPr="007C0CDA">
        <w:rPr>
          <w:rFonts w:cs="Calibri"/>
          <w:color w:val="222222"/>
          <w:szCs w:val="22"/>
        </w:rPr>
        <w:t>Přehled zahraničních zkušeností s obdobnými finančními nástroji</w:t>
      </w:r>
    </w:p>
    <w:p w:rsidR="009D2CAE" w:rsidRPr="007C0CDA" w:rsidRDefault="009D2CAE" w:rsidP="002433DA">
      <w:pPr>
        <w:pStyle w:val="Odstavecseseznamem"/>
        <w:numPr>
          <w:ilvl w:val="0"/>
          <w:numId w:val="20"/>
        </w:numPr>
        <w:spacing w:after="240"/>
        <w:rPr>
          <w:rFonts w:cs="Calibri"/>
          <w:color w:val="222222"/>
          <w:szCs w:val="22"/>
        </w:rPr>
      </w:pPr>
      <w:r w:rsidRPr="007C0CDA">
        <w:rPr>
          <w:rFonts w:cs="Calibri"/>
          <w:color w:val="222222"/>
          <w:szCs w:val="22"/>
        </w:rPr>
        <w:t xml:space="preserve">Aplikace těchto zkušeností na současné podmínky OP PIK (“lessons learnt“). </w:t>
      </w:r>
    </w:p>
    <w:p w:rsidR="009D2CAE" w:rsidRPr="007C0CDA" w:rsidRDefault="009D2CAE" w:rsidP="009F5E79">
      <w:pPr>
        <w:spacing w:after="240"/>
        <w:rPr>
          <w:rFonts w:cs="Calibri"/>
          <w:b/>
          <w:color w:val="222222"/>
          <w:szCs w:val="22"/>
        </w:rPr>
      </w:pPr>
      <w:r w:rsidRPr="007C0CDA">
        <w:rPr>
          <w:rFonts w:cs="Calibri"/>
          <w:b/>
          <w:color w:val="222222"/>
          <w:szCs w:val="22"/>
        </w:rPr>
        <w:t>b) Navrhovaná investiční strategie</w:t>
      </w:r>
    </w:p>
    <w:p w:rsidR="009D2CAE" w:rsidRPr="007C0CDA" w:rsidRDefault="009D2CAE" w:rsidP="002433DA">
      <w:pPr>
        <w:pStyle w:val="Odstavecseseznamem"/>
        <w:numPr>
          <w:ilvl w:val="0"/>
          <w:numId w:val="18"/>
        </w:numPr>
        <w:spacing w:after="240"/>
        <w:rPr>
          <w:rFonts w:cs="Calibri"/>
          <w:color w:val="222222"/>
          <w:szCs w:val="22"/>
        </w:rPr>
      </w:pPr>
      <w:r w:rsidRPr="007C0CDA">
        <w:rPr>
          <w:rFonts w:cs="Calibri"/>
          <w:color w:val="222222"/>
          <w:szCs w:val="22"/>
        </w:rPr>
        <w:t>Identifikace forem finančních nástrojů a výše rozpočtu (dluhové, kapitálové, záruční nebo jiné finanční nástroje) včetně případné kombinace s grantovou podporu.</w:t>
      </w:r>
    </w:p>
    <w:p w:rsidR="009D2CAE" w:rsidRPr="007C0CDA" w:rsidRDefault="009D2CAE" w:rsidP="002433DA">
      <w:pPr>
        <w:pStyle w:val="Odstavecseseznamem"/>
        <w:numPr>
          <w:ilvl w:val="0"/>
          <w:numId w:val="18"/>
        </w:numPr>
        <w:spacing w:after="240"/>
        <w:rPr>
          <w:rFonts w:cs="Calibri"/>
          <w:color w:val="222222"/>
          <w:szCs w:val="22"/>
        </w:rPr>
      </w:pPr>
      <w:r w:rsidRPr="007C0CDA">
        <w:rPr>
          <w:rFonts w:cs="Calibri"/>
          <w:color w:val="222222"/>
          <w:szCs w:val="22"/>
        </w:rPr>
        <w:t>Identifikace nejvhodnějších možností implementace s ohledem na potřeby identifikované v závěrech bloku I. a na základě posouzení dosavadních zkušeností.</w:t>
      </w:r>
    </w:p>
    <w:p w:rsidR="009D2CAE" w:rsidRPr="007C0CDA" w:rsidRDefault="009D2CAE" w:rsidP="002433DA">
      <w:pPr>
        <w:pStyle w:val="Odstavecseseznamem"/>
        <w:numPr>
          <w:ilvl w:val="0"/>
          <w:numId w:val="18"/>
        </w:numPr>
        <w:spacing w:after="240"/>
        <w:rPr>
          <w:rFonts w:cs="Calibri"/>
          <w:color w:val="222222"/>
          <w:szCs w:val="22"/>
        </w:rPr>
      </w:pPr>
      <w:r w:rsidRPr="007C0CDA">
        <w:rPr>
          <w:rFonts w:cs="Calibri"/>
          <w:color w:val="222222"/>
          <w:szCs w:val="22"/>
        </w:rPr>
        <w:t>Předpokládané zapojení subjektů v doporučované variantě implementace finančních nástrojů včetně dělby rizik (zahrne i očekávanou ztrátovost a naopak očekávanou dělbu výnosů) a vhodných nástrojů pro výpočet nákladů a poplatků spojených s řízením včetně odhadovaného rozmezí výše těchto nákladů a poplatků pro jednotlivé nástroje.</w:t>
      </w:r>
    </w:p>
    <w:p w:rsidR="009D2CAE" w:rsidRPr="007C0CDA" w:rsidRDefault="009D2CAE" w:rsidP="002433DA">
      <w:pPr>
        <w:pStyle w:val="Odstavecseseznamem"/>
        <w:numPr>
          <w:ilvl w:val="0"/>
          <w:numId w:val="18"/>
        </w:numPr>
        <w:spacing w:after="240"/>
        <w:rPr>
          <w:rFonts w:cs="Calibri"/>
          <w:color w:val="222222"/>
          <w:szCs w:val="22"/>
        </w:rPr>
      </w:pPr>
      <w:r w:rsidRPr="007C0CDA">
        <w:rPr>
          <w:rFonts w:cs="Calibri"/>
          <w:color w:val="222222"/>
          <w:szCs w:val="22"/>
        </w:rPr>
        <w:t>Způsob zajištění finančního a věcného monitoringu a evaluace provádění FN.</w:t>
      </w:r>
    </w:p>
    <w:p w:rsidR="009D2CAE" w:rsidRPr="007C0CDA" w:rsidRDefault="009D2CAE" w:rsidP="002433DA">
      <w:pPr>
        <w:pStyle w:val="Odstavecseseznamem"/>
        <w:numPr>
          <w:ilvl w:val="0"/>
          <w:numId w:val="18"/>
        </w:numPr>
        <w:spacing w:after="240"/>
        <w:rPr>
          <w:rFonts w:cs="Calibri"/>
          <w:color w:val="222222"/>
          <w:szCs w:val="22"/>
        </w:rPr>
      </w:pPr>
      <w:r w:rsidRPr="007C0CDA">
        <w:rPr>
          <w:rFonts w:cs="Calibri"/>
          <w:color w:val="222222"/>
          <w:szCs w:val="22"/>
        </w:rPr>
        <w:t>Pro každý finanční nástroj odhadované parametry finančních produktů zajišťující adekvátní reakci na potřeby trhu.</w:t>
      </w:r>
    </w:p>
    <w:p w:rsidR="009D2CAE" w:rsidRPr="007C0CDA" w:rsidRDefault="009D2CAE" w:rsidP="002433DA">
      <w:pPr>
        <w:pStyle w:val="Odstavecseseznamem"/>
        <w:numPr>
          <w:ilvl w:val="0"/>
          <w:numId w:val="18"/>
        </w:numPr>
        <w:spacing w:after="240"/>
        <w:rPr>
          <w:rFonts w:cs="Calibri"/>
          <w:color w:val="222222"/>
          <w:szCs w:val="22"/>
        </w:rPr>
      </w:pPr>
      <w:r w:rsidRPr="007C0CDA">
        <w:rPr>
          <w:rFonts w:cs="Calibri"/>
          <w:color w:val="222222"/>
          <w:szCs w:val="22"/>
        </w:rPr>
        <w:t>Kroky nezbytné k implementaci finančního nástroje včetně rámcového</w:t>
      </w:r>
      <w:r w:rsidRPr="002433DA">
        <w:rPr>
          <w:rFonts w:cs="Calibri"/>
          <w:color w:val="222222"/>
          <w:szCs w:val="22"/>
        </w:rPr>
        <w:t xml:space="preserve"> </w:t>
      </w:r>
      <w:r w:rsidRPr="007C0CDA">
        <w:rPr>
          <w:rFonts w:cs="Calibri"/>
          <w:color w:val="222222"/>
          <w:szCs w:val="22"/>
        </w:rPr>
        <w:t>časového harmonogramu.</w:t>
      </w:r>
    </w:p>
    <w:p w:rsidR="009D2CAE" w:rsidRPr="007C0CDA" w:rsidRDefault="009D2CAE" w:rsidP="002433DA">
      <w:pPr>
        <w:pStyle w:val="Odstavecseseznamem"/>
        <w:numPr>
          <w:ilvl w:val="0"/>
          <w:numId w:val="18"/>
        </w:numPr>
        <w:spacing w:after="240"/>
        <w:rPr>
          <w:rFonts w:cs="Calibri"/>
          <w:color w:val="222222"/>
          <w:szCs w:val="22"/>
        </w:rPr>
      </w:pPr>
      <w:r w:rsidRPr="007C0CDA">
        <w:rPr>
          <w:rFonts w:cs="Calibri"/>
          <w:color w:val="222222"/>
          <w:szCs w:val="22"/>
        </w:rPr>
        <w:t>Posouzení relevance a přínosů začlenění finančních nástrojů OP PIK do případného národního fondu fondů.</w:t>
      </w:r>
    </w:p>
    <w:p w:rsidR="009D2CAE" w:rsidRPr="007C0CDA" w:rsidRDefault="009D2CAE" w:rsidP="002433DA">
      <w:pPr>
        <w:pStyle w:val="Odstavecseseznamem"/>
        <w:numPr>
          <w:ilvl w:val="0"/>
          <w:numId w:val="18"/>
        </w:numPr>
        <w:spacing w:after="240"/>
        <w:rPr>
          <w:rFonts w:cs="Calibri"/>
          <w:color w:val="222222"/>
          <w:szCs w:val="22"/>
        </w:rPr>
      </w:pPr>
      <w:r w:rsidRPr="007C0CDA">
        <w:rPr>
          <w:rFonts w:cs="Calibri"/>
          <w:color w:val="222222"/>
          <w:szCs w:val="22"/>
        </w:rPr>
        <w:t>Plánovaná strategie ukončení finančního nástroje (uzavření životního cyklu).</w:t>
      </w:r>
    </w:p>
    <w:p w:rsidR="009D2CAE" w:rsidRPr="007C0CDA" w:rsidRDefault="009D2CAE" w:rsidP="002433DA">
      <w:pPr>
        <w:pStyle w:val="Odstavecseseznamem"/>
        <w:numPr>
          <w:ilvl w:val="0"/>
          <w:numId w:val="18"/>
        </w:numPr>
        <w:spacing w:after="240"/>
        <w:rPr>
          <w:rFonts w:cs="Calibri"/>
          <w:color w:val="222222"/>
          <w:szCs w:val="22"/>
        </w:rPr>
      </w:pPr>
      <w:r w:rsidRPr="007C0CDA">
        <w:rPr>
          <w:rFonts w:cs="Calibri"/>
          <w:color w:val="222222"/>
          <w:szCs w:val="22"/>
        </w:rPr>
        <w:t>Zajištění konzistence a koherence investiční strategie v návaznosti na závěry bloku I.: posouzení, zda navrhované FN jsou konsistentní s odpovídajícími tematickými cíli, prioritními osami, investičními prioritami a specifickými cíli, posouzení souladu navržené investiční strategie s ostatními relevantními národními strategickými dokumenty, ověření komplementarity a potenciálních synergií, posouzení celkové logiky, struktury a obsahu investiční strategie.</w:t>
      </w:r>
    </w:p>
    <w:p w:rsidR="009D2CAE" w:rsidRPr="007C0CDA" w:rsidRDefault="009D2CAE" w:rsidP="002433DA">
      <w:pPr>
        <w:pStyle w:val="Odstavecseseznamem"/>
        <w:numPr>
          <w:ilvl w:val="0"/>
          <w:numId w:val="18"/>
        </w:numPr>
        <w:spacing w:after="240"/>
        <w:rPr>
          <w:rFonts w:cs="Calibri"/>
          <w:color w:val="222222"/>
          <w:szCs w:val="22"/>
        </w:rPr>
      </w:pPr>
      <w:r w:rsidRPr="007C0CDA">
        <w:rPr>
          <w:rFonts w:cs="Calibri"/>
          <w:color w:val="222222"/>
          <w:szCs w:val="22"/>
        </w:rPr>
        <w:t>Horizontální principy a integrované přístupy: zhodnocení přiměřenosti plánovaných opatření k podpoře rovných příležitostí, opatření k předcházení diskriminace a opatření k podpoře udržitelného rozvoje.</w:t>
      </w:r>
    </w:p>
    <w:p w:rsidR="009D2CAE" w:rsidRPr="007C0CDA" w:rsidRDefault="009D2CAE" w:rsidP="002433DA">
      <w:pPr>
        <w:pStyle w:val="Odstavecseseznamem"/>
        <w:numPr>
          <w:ilvl w:val="0"/>
          <w:numId w:val="18"/>
        </w:numPr>
        <w:spacing w:after="240"/>
        <w:rPr>
          <w:rFonts w:cs="Calibri"/>
          <w:color w:val="222222"/>
          <w:szCs w:val="22"/>
        </w:rPr>
      </w:pPr>
      <w:r w:rsidRPr="007C0CDA">
        <w:rPr>
          <w:rFonts w:cs="Calibri"/>
          <w:color w:val="222222"/>
          <w:szCs w:val="22"/>
        </w:rPr>
        <w:t>Regionální dimenze a integrované přístupy: zhodnocení pojetí a způsobu zapracování regionální dimenze v investiční strategii včetně integrovaných přístupů, zhodnocení, jak a do jaké míry zohledňuje investiční strategie specifické regionální potřeby a regionální rozdíly, zhodnocení relevance zařazení navržených územních jednotek či funkčních území k podpoře poskytované v rámci programu, včetně regionálních aktérů,</w:t>
      </w:r>
    </w:p>
    <w:p w:rsidR="009D2CAE" w:rsidRPr="007C0CDA" w:rsidRDefault="009D2CAE" w:rsidP="002433DA">
      <w:pPr>
        <w:pStyle w:val="Odstavecseseznamem"/>
        <w:numPr>
          <w:ilvl w:val="0"/>
          <w:numId w:val="18"/>
        </w:numPr>
        <w:spacing w:after="240"/>
        <w:rPr>
          <w:rFonts w:cs="Calibri"/>
          <w:color w:val="222222"/>
          <w:szCs w:val="22"/>
        </w:rPr>
      </w:pPr>
      <w:r w:rsidRPr="007C0CDA">
        <w:rPr>
          <w:rFonts w:cs="Calibri"/>
          <w:color w:val="222222"/>
          <w:szCs w:val="22"/>
        </w:rPr>
        <w:t>Nástroje pro zohlednění principu partnerství při přípravě, řízení a monitorování FN podle zvolené investiční strategie.</w:t>
      </w:r>
    </w:p>
    <w:p w:rsidR="009D2CAE" w:rsidRPr="007C0CDA" w:rsidRDefault="009D2CAE" w:rsidP="002433DA">
      <w:pPr>
        <w:pStyle w:val="Odstavecseseznamem"/>
        <w:numPr>
          <w:ilvl w:val="0"/>
          <w:numId w:val="18"/>
        </w:numPr>
        <w:spacing w:after="240"/>
        <w:rPr>
          <w:rFonts w:cs="Calibri"/>
          <w:color w:val="222222"/>
          <w:szCs w:val="22"/>
        </w:rPr>
      </w:pPr>
      <w:r w:rsidRPr="007C0CDA">
        <w:rPr>
          <w:rFonts w:cs="Calibri"/>
          <w:color w:val="222222"/>
          <w:szCs w:val="22"/>
        </w:rPr>
        <w:t>Vyhodnocení adekvátnosti vyčleněných lidských zdrojů a administrativní kapacity pro řízení FN na straně ŘO.</w:t>
      </w:r>
    </w:p>
    <w:p w:rsidR="009D2CAE" w:rsidRPr="007C0CDA" w:rsidRDefault="009D2CAE" w:rsidP="009F5E79">
      <w:pPr>
        <w:spacing w:after="240"/>
        <w:rPr>
          <w:rFonts w:cs="Calibri"/>
          <w:b/>
          <w:color w:val="222222"/>
          <w:szCs w:val="22"/>
        </w:rPr>
      </w:pPr>
      <w:r w:rsidRPr="007C0CDA">
        <w:rPr>
          <w:rFonts w:cs="Calibri"/>
          <w:b/>
          <w:color w:val="222222"/>
          <w:szCs w:val="22"/>
        </w:rPr>
        <w:lastRenderedPageBreak/>
        <w:t>c) Očekávané výsledky</w:t>
      </w:r>
    </w:p>
    <w:p w:rsidR="009D2CAE" w:rsidRPr="007C0CDA" w:rsidRDefault="009D2CAE" w:rsidP="002433DA">
      <w:pPr>
        <w:pStyle w:val="Odstavecseseznamem"/>
        <w:numPr>
          <w:ilvl w:val="0"/>
          <w:numId w:val="19"/>
        </w:numPr>
        <w:spacing w:after="240"/>
        <w:rPr>
          <w:rFonts w:cs="Calibri"/>
          <w:color w:val="222222"/>
          <w:szCs w:val="22"/>
        </w:rPr>
      </w:pPr>
      <w:r w:rsidRPr="007C0CDA">
        <w:rPr>
          <w:rFonts w:cs="Calibri"/>
          <w:color w:val="222222"/>
          <w:szCs w:val="22"/>
        </w:rPr>
        <w:t>Specifikace očekávaných výsledků a výstupů FN.</w:t>
      </w:r>
    </w:p>
    <w:p w:rsidR="009D2CAE" w:rsidRPr="007C0CDA" w:rsidRDefault="009D2CAE" w:rsidP="002433DA">
      <w:pPr>
        <w:pStyle w:val="Odstavecseseznamem"/>
        <w:numPr>
          <w:ilvl w:val="0"/>
          <w:numId w:val="19"/>
        </w:numPr>
        <w:spacing w:after="240"/>
        <w:rPr>
          <w:rFonts w:cs="Calibri"/>
          <w:color w:val="222222"/>
          <w:szCs w:val="22"/>
        </w:rPr>
      </w:pPr>
      <w:r w:rsidRPr="007C0CDA">
        <w:rPr>
          <w:rFonts w:cs="Calibri"/>
          <w:color w:val="222222"/>
          <w:szCs w:val="22"/>
        </w:rPr>
        <w:t>Definice výchozích a cílových hodnot na základě konkrétního příspěvku FN k cílům prioritních osa specifických cílů OP PIK.</w:t>
      </w:r>
    </w:p>
    <w:p w:rsidR="009D2CAE" w:rsidRPr="007C0CDA" w:rsidRDefault="009D2CAE" w:rsidP="002433DA">
      <w:pPr>
        <w:pStyle w:val="Odstavecseseznamem"/>
        <w:numPr>
          <w:ilvl w:val="0"/>
          <w:numId w:val="19"/>
        </w:numPr>
        <w:spacing w:after="240"/>
        <w:rPr>
          <w:rFonts w:cs="Calibri"/>
          <w:color w:val="222222"/>
          <w:szCs w:val="22"/>
        </w:rPr>
      </w:pPr>
      <w:r w:rsidRPr="007C0CDA">
        <w:rPr>
          <w:rFonts w:cs="Calibri"/>
          <w:color w:val="222222"/>
          <w:szCs w:val="22"/>
        </w:rPr>
        <w:t>Přezkoumání předpokladu existence kauzální vazby mezi navrženými intervencemi, jejich výstupy a výsledky, identifikace a posouzení externích faktorů, které by mohly ovlivnit předpokládané výsledky, posouzení či doporučení, jaké předpoklady musí být splněny, aby navržená opatření vedla k požadovaným změnám.</w:t>
      </w:r>
    </w:p>
    <w:p w:rsidR="009D2CAE" w:rsidRPr="007C0CDA" w:rsidRDefault="009D2CAE" w:rsidP="002433DA">
      <w:pPr>
        <w:pStyle w:val="Odstavecseseznamem"/>
        <w:numPr>
          <w:ilvl w:val="0"/>
          <w:numId w:val="19"/>
        </w:numPr>
        <w:spacing w:after="240"/>
        <w:rPr>
          <w:rFonts w:cs="Calibri"/>
          <w:color w:val="222222"/>
          <w:szCs w:val="22"/>
        </w:rPr>
      </w:pPr>
      <w:r w:rsidRPr="007C0CDA">
        <w:rPr>
          <w:rFonts w:cs="Calibri"/>
          <w:color w:val="222222"/>
          <w:szCs w:val="22"/>
        </w:rPr>
        <w:t>Kvantifikace výchozích a cílových hodnot indikátorů: volba vhodných ukazatelů, doporučení nebo odkazy na zdroje a metody pro kvantifikaci hodnot indikátorů, kvantifikace cílových hodnot ukazatelů s ohledem na navrhované alokace, zaměření intervencí a formy podpory.</w:t>
      </w:r>
    </w:p>
    <w:p w:rsidR="009D2CAE" w:rsidRPr="007C0CDA" w:rsidRDefault="009D2CAE" w:rsidP="002433DA">
      <w:pPr>
        <w:pStyle w:val="Odstavecseseznamem"/>
        <w:numPr>
          <w:ilvl w:val="0"/>
          <w:numId w:val="19"/>
        </w:numPr>
        <w:spacing w:after="240"/>
        <w:rPr>
          <w:rFonts w:cs="Calibri"/>
          <w:color w:val="222222"/>
          <w:szCs w:val="22"/>
        </w:rPr>
      </w:pPr>
      <w:r w:rsidRPr="007C0CDA">
        <w:rPr>
          <w:rFonts w:cs="Calibri"/>
          <w:color w:val="222222"/>
          <w:szCs w:val="22"/>
        </w:rPr>
        <w:t>Vhodnost stanovených milníků: posouzení dostupnosti dat pro určení milníků, nadefinování relevantních milníků a jejich cílových hodnot.</w:t>
      </w:r>
    </w:p>
    <w:p w:rsidR="009D2CAE" w:rsidRPr="007C0CDA" w:rsidRDefault="009D2CAE" w:rsidP="009F5E79">
      <w:pPr>
        <w:spacing w:after="240"/>
        <w:rPr>
          <w:rFonts w:cs="Calibri"/>
          <w:b/>
          <w:color w:val="222222"/>
          <w:szCs w:val="22"/>
        </w:rPr>
      </w:pPr>
      <w:r w:rsidRPr="007C0CDA">
        <w:rPr>
          <w:rFonts w:cs="Calibri"/>
          <w:b/>
          <w:color w:val="222222"/>
          <w:szCs w:val="22"/>
        </w:rPr>
        <w:t>d) Přezkoumatelnost závěrů hodnocení</w:t>
      </w:r>
    </w:p>
    <w:p w:rsidR="009D2CAE" w:rsidRPr="007C0CDA" w:rsidRDefault="009D2CAE" w:rsidP="002433DA">
      <w:pPr>
        <w:pStyle w:val="Odstavecseseznamem"/>
        <w:numPr>
          <w:ilvl w:val="0"/>
          <w:numId w:val="21"/>
        </w:numPr>
        <w:spacing w:after="240"/>
        <w:rPr>
          <w:rFonts w:cs="Calibri"/>
          <w:color w:val="222222"/>
          <w:szCs w:val="22"/>
        </w:rPr>
      </w:pPr>
      <w:r w:rsidRPr="007C0CDA">
        <w:rPr>
          <w:rFonts w:cs="Calibri"/>
          <w:color w:val="222222"/>
          <w:szCs w:val="22"/>
        </w:rPr>
        <w:t>Identifikace důvodů pro provedení případné revize závěrů předběžného posouzení FN OP PIK v budoucnu.</w:t>
      </w:r>
    </w:p>
    <w:p w:rsidR="00F50BC7" w:rsidRDefault="009D2CAE">
      <w:pPr>
        <w:pStyle w:val="Odstavecseseznamem"/>
        <w:numPr>
          <w:ilvl w:val="0"/>
          <w:numId w:val="21"/>
        </w:numPr>
        <w:spacing w:after="240"/>
      </w:pPr>
      <w:r w:rsidRPr="007C0CDA">
        <w:t>Metodické procesy pro aktualizaci předběžného posouzení FN OP PIK .</w:t>
      </w:r>
    </w:p>
    <w:p w:rsidR="00F50BC7" w:rsidRDefault="00F50BC7" w:rsidP="002433DA">
      <w:r>
        <w:br w:type="page"/>
      </w:r>
    </w:p>
    <w:p w:rsidR="009D2CAE" w:rsidRPr="002433DA" w:rsidRDefault="009D2CAE" w:rsidP="002433DA">
      <w:pPr>
        <w:pStyle w:val="Odstavecseseznamem"/>
        <w:spacing w:after="240"/>
        <w:rPr>
          <w:rFonts w:cs="Calibri"/>
          <w:bCs/>
          <w:color w:val="222222"/>
          <w:szCs w:val="22"/>
        </w:rPr>
      </w:pPr>
    </w:p>
    <w:p w:rsidR="009D2CAE" w:rsidRPr="007C0CDA" w:rsidRDefault="009D2CAE" w:rsidP="002433DA">
      <w:pPr>
        <w:spacing w:after="240"/>
        <w:rPr>
          <w:rFonts w:cs="Calibri"/>
          <w:bCs/>
          <w:color w:val="222222"/>
          <w:szCs w:val="22"/>
        </w:rPr>
      </w:pPr>
    </w:p>
    <w:p w:rsidR="009D2CAE" w:rsidRPr="007C0CDA" w:rsidRDefault="009D2CAE" w:rsidP="00DF6E0B">
      <w:pPr>
        <w:pStyle w:val="Nadpis1"/>
      </w:pPr>
      <w:bookmarkStart w:id="147" w:name="_Toc416383631"/>
      <w:bookmarkStart w:id="148" w:name="_Toc416447613"/>
      <w:bookmarkStart w:id="149" w:name="_Toc416383632"/>
      <w:bookmarkStart w:id="150" w:name="_Toc416447614"/>
      <w:bookmarkStart w:id="151" w:name="_Toc416383633"/>
      <w:bookmarkStart w:id="152" w:name="_Toc416447615"/>
      <w:bookmarkStart w:id="153" w:name="_Toc416383634"/>
      <w:bookmarkStart w:id="154" w:name="_Toc416447616"/>
      <w:bookmarkStart w:id="155" w:name="_Toc416383635"/>
      <w:bookmarkStart w:id="156" w:name="_Toc416447617"/>
      <w:bookmarkStart w:id="157" w:name="_Toc416383636"/>
      <w:bookmarkStart w:id="158" w:name="_Toc416447618"/>
      <w:bookmarkStart w:id="159" w:name="_Toc416383637"/>
      <w:bookmarkStart w:id="160" w:name="_Toc416447619"/>
      <w:bookmarkStart w:id="161" w:name="_Toc416383638"/>
      <w:bookmarkStart w:id="162" w:name="_Toc416447620"/>
      <w:bookmarkStart w:id="163" w:name="_Toc416383639"/>
      <w:bookmarkStart w:id="164" w:name="_Toc416447621"/>
      <w:bookmarkStart w:id="165" w:name="_Toc416383640"/>
      <w:bookmarkStart w:id="166" w:name="_Toc416447622"/>
      <w:bookmarkStart w:id="167" w:name="_Toc416383641"/>
      <w:bookmarkStart w:id="168" w:name="_Toc416447623"/>
      <w:bookmarkStart w:id="169" w:name="_Toc416383642"/>
      <w:bookmarkStart w:id="170" w:name="_Toc416447624"/>
      <w:bookmarkStart w:id="171" w:name="_Toc416383643"/>
      <w:bookmarkStart w:id="172" w:name="_Toc416447625"/>
      <w:bookmarkStart w:id="173" w:name="_Toc416383644"/>
      <w:bookmarkStart w:id="174" w:name="_Toc416447626"/>
      <w:bookmarkStart w:id="175" w:name="_Toc416383645"/>
      <w:bookmarkStart w:id="176" w:name="_Toc416447627"/>
      <w:bookmarkStart w:id="177" w:name="_Toc416383646"/>
      <w:bookmarkStart w:id="178" w:name="_Toc416447628"/>
      <w:bookmarkStart w:id="179" w:name="_Toc416383647"/>
      <w:bookmarkStart w:id="180" w:name="_Toc416447629"/>
      <w:bookmarkStart w:id="181" w:name="_Toc413831152"/>
      <w:bookmarkStart w:id="182" w:name="_Toc416447630"/>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Pr="007C0CDA">
        <w:t>Blok I.: Analýza tržní situace</w:t>
      </w:r>
      <w:bookmarkEnd w:id="181"/>
      <w:bookmarkEnd w:id="182"/>
    </w:p>
    <w:p w:rsidR="009D2CAE" w:rsidRPr="007C0CDA" w:rsidRDefault="009D2CAE" w:rsidP="00EB7775">
      <w:bookmarkStart w:id="183" w:name="_Toc413824141"/>
      <w:bookmarkStart w:id="184" w:name="_Toc413831124"/>
      <w:bookmarkStart w:id="185" w:name="_Toc413831154"/>
      <w:bookmarkEnd w:id="183"/>
      <w:bookmarkEnd w:id="184"/>
      <w:bookmarkEnd w:id="185"/>
    </w:p>
    <w:p w:rsidR="009D2CAE" w:rsidRPr="007C0CDA" w:rsidRDefault="009D2CAE" w:rsidP="00EB7775">
      <w:r w:rsidRPr="007C0CDA">
        <w:t>Ve sledované kapitole je na základě podkladů Deloitte</w:t>
      </w:r>
      <w:r w:rsidRPr="002433DA">
        <w:t xml:space="preserve"> </w:t>
      </w:r>
      <w:r w:rsidRPr="007C0CDA">
        <w:t xml:space="preserve">Advisory, s.r.o. </w:t>
      </w:r>
      <w:r w:rsidRPr="007C0CDA">
        <w:rPr>
          <w:shd w:val="clear" w:color="auto" w:fill="FFFFFF"/>
        </w:rPr>
        <w:t xml:space="preserve">a dle metodiky Evropské komise(EK) zpracována </w:t>
      </w:r>
      <w:r w:rsidRPr="002433DA">
        <w:rPr>
          <w:shd w:val="clear" w:color="auto" w:fill="FFFFFF"/>
        </w:rPr>
        <w:t>an</w:t>
      </w:r>
      <w:r w:rsidRPr="007C0CDA">
        <w:rPr>
          <w:shd w:val="clear" w:color="auto" w:fill="FFFFFF"/>
        </w:rPr>
        <w:t>alýza tržních selhání a suboptimálních investičních situací u vybraných specifických cílů OP PIK, které byly vy</w:t>
      </w:r>
      <w:r w:rsidRPr="007C0CDA">
        <w:t>brány k další analýze na základě screeningu vhodnosti využití finančních nástrojů podle zaměření podporovaných aktivit.</w:t>
      </w:r>
    </w:p>
    <w:p w:rsidR="009D2CAE" w:rsidRPr="007C0CDA" w:rsidRDefault="009D2CAE" w:rsidP="00EB7775"/>
    <w:p w:rsidR="009D2CAE" w:rsidRPr="00197F96" w:rsidRDefault="009D2CAE" w:rsidP="002433DA">
      <w:pPr>
        <w:pStyle w:val="Nadpis2"/>
      </w:pPr>
      <w:bookmarkStart w:id="186" w:name="_Toc416383649"/>
      <w:bookmarkStart w:id="187" w:name="_Toc416447631"/>
      <w:bookmarkStart w:id="188" w:name="_Toc416383650"/>
      <w:bookmarkStart w:id="189" w:name="_Toc416447632"/>
      <w:bookmarkStart w:id="190" w:name="_Toc416383651"/>
      <w:bookmarkStart w:id="191" w:name="_Toc416447633"/>
      <w:bookmarkStart w:id="192" w:name="_Toc416383652"/>
      <w:bookmarkStart w:id="193" w:name="_Toc416447634"/>
      <w:bookmarkStart w:id="194" w:name="_Toc416383653"/>
      <w:bookmarkStart w:id="195" w:name="_Toc416447635"/>
      <w:bookmarkStart w:id="196" w:name="_Toc416383654"/>
      <w:bookmarkStart w:id="197" w:name="_Toc416447636"/>
      <w:bookmarkStart w:id="198" w:name="_Toc416383655"/>
      <w:bookmarkStart w:id="199" w:name="_Toc416447637"/>
      <w:bookmarkStart w:id="200" w:name="_Toc416383656"/>
      <w:bookmarkStart w:id="201" w:name="_Toc416447638"/>
      <w:bookmarkStart w:id="202" w:name="_Toc416383657"/>
      <w:bookmarkStart w:id="203" w:name="_Toc416447639"/>
      <w:bookmarkStart w:id="204" w:name="_Toc416383658"/>
      <w:bookmarkStart w:id="205" w:name="_Toc416447640"/>
      <w:bookmarkStart w:id="206" w:name="_Toc416383659"/>
      <w:bookmarkStart w:id="207" w:name="_Toc416447641"/>
      <w:bookmarkStart w:id="208" w:name="_Toc416383660"/>
      <w:bookmarkStart w:id="209" w:name="_Toc416447642"/>
      <w:bookmarkStart w:id="210" w:name="_Toc416383661"/>
      <w:bookmarkStart w:id="211" w:name="_Toc416447643"/>
      <w:bookmarkStart w:id="212" w:name="_Toc416383662"/>
      <w:bookmarkStart w:id="213" w:name="_Toc416447644"/>
      <w:bookmarkStart w:id="214" w:name="_Toc416383663"/>
      <w:bookmarkStart w:id="215" w:name="_Toc416447645"/>
      <w:bookmarkStart w:id="216" w:name="_Toc416383664"/>
      <w:bookmarkStart w:id="217" w:name="_Toc416447646"/>
      <w:bookmarkStart w:id="218" w:name="_Toc416383665"/>
      <w:bookmarkStart w:id="219" w:name="_Toc416447647"/>
      <w:bookmarkStart w:id="220" w:name="_Toc416383666"/>
      <w:bookmarkStart w:id="221" w:name="_Toc416447648"/>
      <w:bookmarkStart w:id="222" w:name="_Toc416383667"/>
      <w:bookmarkStart w:id="223" w:name="_Toc416447649"/>
      <w:bookmarkStart w:id="224" w:name="_Toc416383668"/>
      <w:bookmarkStart w:id="225" w:name="_Toc416447650"/>
      <w:bookmarkStart w:id="226" w:name="_Toc416383669"/>
      <w:bookmarkStart w:id="227" w:name="_Toc416447651"/>
      <w:bookmarkStart w:id="228" w:name="_Toc416383670"/>
      <w:bookmarkStart w:id="229" w:name="_Toc416447652"/>
      <w:bookmarkStart w:id="230" w:name="_Toc416383671"/>
      <w:bookmarkStart w:id="231" w:name="_Toc416447653"/>
      <w:bookmarkStart w:id="232" w:name="_Toc416383672"/>
      <w:bookmarkStart w:id="233" w:name="_Toc416447654"/>
      <w:bookmarkStart w:id="234" w:name="_Toc416383673"/>
      <w:bookmarkStart w:id="235" w:name="_Toc416447655"/>
      <w:bookmarkStart w:id="236" w:name="_Toc416383674"/>
      <w:bookmarkStart w:id="237" w:name="_Toc416447656"/>
      <w:bookmarkStart w:id="238" w:name="_Toc416383675"/>
      <w:bookmarkStart w:id="239" w:name="_Toc416447657"/>
      <w:bookmarkStart w:id="240" w:name="_Toc416383676"/>
      <w:bookmarkStart w:id="241" w:name="_Toc416447658"/>
      <w:bookmarkStart w:id="242" w:name="_Toc416383677"/>
      <w:bookmarkStart w:id="243" w:name="_Toc416447659"/>
      <w:bookmarkStart w:id="244" w:name="_Toc416383678"/>
      <w:bookmarkStart w:id="245" w:name="_Toc416447660"/>
      <w:bookmarkStart w:id="246" w:name="_Toc416383679"/>
      <w:bookmarkStart w:id="247" w:name="_Toc416447661"/>
      <w:bookmarkStart w:id="248" w:name="_Toc416383680"/>
      <w:bookmarkStart w:id="249" w:name="_Toc416447662"/>
      <w:bookmarkStart w:id="250" w:name="_Toc416383681"/>
      <w:bookmarkStart w:id="251" w:name="_Toc416447663"/>
      <w:bookmarkStart w:id="252" w:name="_Toc416447664"/>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r w:rsidRPr="00172EF4">
        <w:t xml:space="preserve">Specifický cíl 1.1 </w:t>
      </w:r>
      <w:r w:rsidRPr="0038688B">
        <w:t>–</w:t>
      </w:r>
      <w:r w:rsidRPr="00EB326E">
        <w:t xml:space="preserve"> Zvýšení inovační výkonnosti podniků</w:t>
      </w:r>
      <w:bookmarkEnd w:id="252"/>
    </w:p>
    <w:p w:rsidR="009D2CAE" w:rsidRPr="007C2066" w:rsidRDefault="009D2CAE" w:rsidP="002433DA">
      <w:pPr>
        <w:pStyle w:val="Nadpis3"/>
      </w:pPr>
      <w:bookmarkStart w:id="253" w:name="_Toc416447665"/>
      <w:r w:rsidRPr="00197F96">
        <w:t>Zaměření specifického cíle</w:t>
      </w:r>
      <w:bookmarkEnd w:id="253"/>
    </w:p>
    <w:p w:rsidR="009D2CAE" w:rsidRPr="007C0CDA" w:rsidRDefault="009D2CAE" w:rsidP="00B76B9F">
      <w:pPr>
        <w:pStyle w:val="Neslovannadpisy"/>
      </w:pPr>
      <w:r w:rsidRPr="007C0CDA">
        <w:t xml:space="preserve">Podporované aktivity: </w:t>
      </w:r>
    </w:p>
    <w:p w:rsidR="009D2CAE" w:rsidRPr="007C0CDA" w:rsidRDefault="009D2CAE" w:rsidP="002433DA">
      <w:pPr>
        <w:pStyle w:val="Odstavecseseznamem"/>
        <w:numPr>
          <w:ilvl w:val="0"/>
          <w:numId w:val="3"/>
        </w:numPr>
      </w:pPr>
      <w:r w:rsidRPr="007C0CDA">
        <w:t>Zakládání a rozvoj podnikových výzkumných a vývojových center ve vazbě na jasně definovanou, životaschopnou strategii firmy.</w:t>
      </w:r>
    </w:p>
    <w:p w:rsidR="009D2CAE" w:rsidRPr="007C0CDA" w:rsidRDefault="009D2CAE" w:rsidP="002433DA">
      <w:pPr>
        <w:pStyle w:val="Odstavecseseznamem"/>
        <w:numPr>
          <w:ilvl w:val="0"/>
          <w:numId w:val="3"/>
        </w:numPr>
      </w:pPr>
      <w:r w:rsidRPr="007C0CDA">
        <w:t>Zavádění inovací výrobků a služeb do výroby a jejich uvedení na trh (např. up-scaling, pilotní výrobní linky apod.).</w:t>
      </w:r>
    </w:p>
    <w:p w:rsidR="009D2CAE" w:rsidRPr="007C0CDA" w:rsidRDefault="009D2CAE" w:rsidP="002433DA">
      <w:pPr>
        <w:pStyle w:val="Odstavecseseznamem"/>
        <w:numPr>
          <w:ilvl w:val="0"/>
          <w:numId w:val="3"/>
        </w:numPr>
      </w:pPr>
      <w:r w:rsidRPr="007C0CDA">
        <w:t>Zvýšení efektivnosti výrobních procesů, zavádění procesních a marketingových inovací.</w:t>
      </w:r>
    </w:p>
    <w:p w:rsidR="009D2CAE" w:rsidRPr="007C0CDA" w:rsidRDefault="009D2CAE" w:rsidP="002433DA">
      <w:pPr>
        <w:pStyle w:val="Odstavecseseznamem"/>
        <w:numPr>
          <w:ilvl w:val="0"/>
          <w:numId w:val="3"/>
        </w:numPr>
      </w:pPr>
      <w:r w:rsidRPr="007C0CDA">
        <w:t>Ochrana duševního vlastnictví v podnicích.</w:t>
      </w:r>
    </w:p>
    <w:p w:rsidR="009D2CAE" w:rsidRPr="007C0CDA" w:rsidRDefault="009D2CAE" w:rsidP="002433DA">
      <w:pPr>
        <w:pStyle w:val="Odstavecseseznamem"/>
        <w:numPr>
          <w:ilvl w:val="0"/>
          <w:numId w:val="3"/>
        </w:numPr>
      </w:pPr>
      <w:r w:rsidRPr="007C0CDA">
        <w:t>Průmyslový výzkum a vývoj: realizace projektů aplikovaného výzkumu a experimentálního vývoje – realizovaných zejména ve spolupráci firem a výzkumných institucí, jejichž výsledky povedou následně k zavádění inovací vyšších řádů a k tvorbě produktů konkurenceschopných na světových trzích. Specifická pozornost bude věnována výzkumu v oblasti klíčových průřezových technologií (KETs).</w:t>
      </w:r>
    </w:p>
    <w:p w:rsidR="009D2CAE" w:rsidRPr="007C0CDA" w:rsidRDefault="009D2CAE" w:rsidP="002433DA">
      <w:pPr>
        <w:pStyle w:val="Odstavecseseznamem"/>
        <w:numPr>
          <w:ilvl w:val="0"/>
          <w:numId w:val="3"/>
        </w:numPr>
      </w:pPr>
      <w:r w:rsidRPr="007C0CDA">
        <w:t>Aktivity, kde inovační poptávku iniciuje veřejný sektor, jakožto významná část aplikační sféry, pomocí nástroje předkomerčního zadávání veřejných zakázek v inovacích („pre-commercial public procurement“, PCP</w:t>
      </w:r>
      <w:r w:rsidRPr="007C0CDA">
        <w:rPr>
          <w:rStyle w:val="Znakapoznpodarou"/>
        </w:rPr>
        <w:footnoteReference w:id="8"/>
      </w:r>
      <w:r w:rsidRPr="007C0CDA">
        <w:t>).</w:t>
      </w:r>
    </w:p>
    <w:p w:rsidR="009D2CAE" w:rsidRPr="007C0CDA" w:rsidRDefault="009D2CAE" w:rsidP="002433DA">
      <w:pPr>
        <w:ind w:left="360"/>
      </w:pPr>
    </w:p>
    <w:p w:rsidR="009D2CAE" w:rsidRPr="007C0CDA" w:rsidRDefault="009D2CAE" w:rsidP="007D1614">
      <w:pPr>
        <w:pStyle w:val="Neslovannadpisy"/>
      </w:pPr>
    </w:p>
    <w:p w:rsidR="009D2CAE" w:rsidRPr="007C0CDA" w:rsidRDefault="009D2CAE" w:rsidP="007D1614">
      <w:pPr>
        <w:pStyle w:val="Neslovannadpisy"/>
      </w:pPr>
      <w:r w:rsidRPr="007C0CDA">
        <w:t xml:space="preserve">Cílová skupina konečných příjemců: </w:t>
      </w:r>
    </w:p>
    <w:p w:rsidR="009D2CAE" w:rsidRPr="007C0CDA" w:rsidRDefault="009D2CAE" w:rsidP="007D1614">
      <w:r w:rsidRPr="007C0CDA">
        <w:t>Podnikatelské subjekty (zejména malé a střední, v odůvodněných případech velké podniky), organizace pro výzkum a šíření znalostí (tj. subjekty splňující definici výzkumné organizace dle Rámce pro státní podporu výzkumu, vývoje a inovací), orgány státní správy a samosprávy (včetně jejich svazků) a jim podřízené či jimi zřízené organizace (v případě PCP), dále zemědělští podnikatelé s výstupem projektu mimo seznam uvedený v Příloze I. Smlouvy o fungování EU v oblasti výzkumu a vývoje a inovací.</w:t>
      </w:r>
    </w:p>
    <w:p w:rsidR="009D2CAE" w:rsidRPr="007C0CDA" w:rsidRDefault="009D2CAE" w:rsidP="007D1614"/>
    <w:p w:rsidR="009D2CAE" w:rsidRPr="007C0CDA" w:rsidRDefault="009D2CAE" w:rsidP="007D1614">
      <w:pPr>
        <w:pStyle w:val="Neslovannadpisy"/>
      </w:pPr>
      <w:r w:rsidRPr="007C0CDA">
        <w:t xml:space="preserve">Cílové území: </w:t>
      </w:r>
    </w:p>
    <w:p w:rsidR="009D2CAE" w:rsidRPr="007C0CDA" w:rsidRDefault="009D2CAE" w:rsidP="007D1614">
      <w:r w:rsidRPr="007C0CDA">
        <w:t>Území České republiky, mimo území hl. města Prahy.</w:t>
      </w:r>
    </w:p>
    <w:p w:rsidR="009D2CAE" w:rsidRPr="007C0CDA" w:rsidRDefault="009D2CAE" w:rsidP="00E35C9D">
      <w:pPr>
        <w:pStyle w:val="Neslovannadpisy"/>
      </w:pPr>
    </w:p>
    <w:p w:rsidR="009D2CAE" w:rsidRPr="007C0CDA" w:rsidRDefault="009D2CAE" w:rsidP="00E35C9D">
      <w:pPr>
        <w:pStyle w:val="Neslovannadpisy"/>
      </w:pPr>
      <w:r w:rsidRPr="007C0CDA">
        <w:t>Výběr aktivit k posouzení vhodnosti finančního nástroje</w:t>
      </w:r>
    </w:p>
    <w:p w:rsidR="009D2CAE" w:rsidRPr="002433DA" w:rsidRDefault="009D2CAE" w:rsidP="00E35C9D">
      <w:r w:rsidRPr="002433DA">
        <w:lastRenderedPageBreak/>
        <w:t>Na základě vstupní analýzy byly pro bližší posouzení vybrány aktivity průmyslového výzkumu a vývoje a zavádění inovací výrobků, služeb, procesů a marketingu u skupiny konečných příjemců (podnikatelské subjekty).</w:t>
      </w:r>
    </w:p>
    <w:p w:rsidR="009D2CAE" w:rsidRPr="002433DA" w:rsidRDefault="009D2CAE" w:rsidP="00613E20"/>
    <w:p w:rsidR="009D2CAE" w:rsidRPr="007C0CDA" w:rsidRDefault="009D2CAE" w:rsidP="00613E20">
      <w:r w:rsidRPr="002433DA">
        <w:t xml:space="preserve">V rámci SC 1.1 by měly být podporovány především </w:t>
      </w:r>
      <w:r w:rsidRPr="002433DA">
        <w:rPr>
          <w:b/>
        </w:rPr>
        <w:t>existující podnikatelské subjekty a jejich projekty zaměřené na zavádění inovací a rozvoj výzkumných a vývojových aktivit</w:t>
      </w:r>
      <w:r w:rsidRPr="002433DA">
        <w:t>. Vzhledem k tomu, že se jedná o již existující podniky s určitou historií, disponují tyto podniky vlastními aktivy. Projekty, které by měly bý</w:t>
      </w:r>
      <w:r w:rsidRPr="007C0CDA">
        <w:t>t podpořeny v rámci tohoto SC, by měly podporovat další rozvoj a konkurenceschopnost firem díky investicím do vlastních aktivit výzkumu a vývoje (VaV) a/nebo zaváděním inovací (produktových, procesních, organizačních či marketingových). Jednotlivé aktivity se nicméně výrazně liší v míře rizika, návratnosti a cash-flow.</w:t>
      </w:r>
    </w:p>
    <w:p w:rsidR="009D2CAE" w:rsidRPr="007C0CDA" w:rsidRDefault="009D2CAE" w:rsidP="007D1614"/>
    <w:p w:rsidR="009D2CAE" w:rsidRPr="00B675D6" w:rsidRDefault="009D2CAE" w:rsidP="002433DA">
      <w:pPr>
        <w:pStyle w:val="Nadpis3"/>
      </w:pPr>
      <w:bookmarkStart w:id="254" w:name="_Toc416447666"/>
      <w:r w:rsidRPr="00B675D6">
        <w:t>Tržní analýza</w:t>
      </w:r>
      <w:bookmarkEnd w:id="254"/>
    </w:p>
    <w:p w:rsidR="009D2CAE" w:rsidRPr="007C0CDA" w:rsidRDefault="009D2CAE" w:rsidP="00C75AA6">
      <w:r w:rsidRPr="007C0CDA">
        <w:t>Hodnocení Innovation Union Scoreboard 2014 podle dat Eurostatu indikuje, že výdaje českých podniků na inovace dosahují 122 % průměru EU. Ve struktuře výdajů na inovace hrají v ČR dlouhodobě nejvýznamnější roli investice do pořízení strojů, zařízení a softwaru, které tvoří více než polovinu celkových výdajů. Naopak výdaje na podnikové VaV v ČR tvoří dle těchto dat jen 77 % průměru EU.</w:t>
      </w:r>
    </w:p>
    <w:p w:rsidR="009D2CAE" w:rsidRPr="007C0CDA" w:rsidRDefault="009D2CAE"/>
    <w:p w:rsidR="009D2CAE" w:rsidRPr="007C0CDA" w:rsidRDefault="009D2CAE">
      <w:r w:rsidRPr="002433DA">
        <w:rPr>
          <w:b/>
        </w:rPr>
        <w:t>To značí poměrně velkou difůzi technologií ze zahraničí a spíše adaptivní charakter českých inovací, kdy podniky v</w:t>
      </w:r>
      <w:r w:rsidRPr="007C0CDA">
        <w:rPr>
          <w:b/>
        </w:rPr>
        <w:t> </w:t>
      </w:r>
      <w:r w:rsidRPr="002433DA">
        <w:rPr>
          <w:b/>
        </w:rPr>
        <w:t>ČR přejímají vyspělé technologie a výrobní procesy a zavádějí je ve svých výrobách.Tyto výsledky zapadají do obecné kategorizace průmyslu ČR jako</w:t>
      </w:r>
      <w:r w:rsidRPr="007C0CDA">
        <w:rPr>
          <w:b/>
        </w:rPr>
        <w:t xml:space="preserve"> </w:t>
      </w:r>
      <w:r w:rsidRPr="002433DA">
        <w:rPr>
          <w:b/>
        </w:rPr>
        <w:t>inovačního následovníka s</w:t>
      </w:r>
      <w:r w:rsidRPr="007C0CDA">
        <w:rPr>
          <w:b/>
        </w:rPr>
        <w:t> </w:t>
      </w:r>
      <w:r w:rsidRPr="002433DA">
        <w:rPr>
          <w:b/>
        </w:rPr>
        <w:t>omezenou aktivitou firem v</w:t>
      </w:r>
      <w:r w:rsidRPr="007C0CDA">
        <w:rPr>
          <w:b/>
        </w:rPr>
        <w:t> </w:t>
      </w:r>
      <w:r w:rsidRPr="002433DA">
        <w:rPr>
          <w:b/>
        </w:rPr>
        <w:t>oblasti vlastního VaV.</w:t>
      </w:r>
      <w:r w:rsidRPr="007C0CDA">
        <w:t xml:space="preserve"> Určitý rozdíl ve struktuře nákladů na inovace je u podniků pod zahraniční kontrolou, které vynakládají výrazně vyšší objem prostředků na VaVaI za nákup externích služeb (zejména patrně od mateřských společností či podniků ve skupině).</w:t>
      </w:r>
    </w:p>
    <w:p w:rsidR="009D2CAE" w:rsidRPr="007C0CDA" w:rsidRDefault="009D2CAE"/>
    <w:p w:rsidR="009D2CAE" w:rsidRPr="007C0CDA" w:rsidRDefault="009D2CAE">
      <w:r w:rsidRPr="007C0CDA">
        <w:t>V celkovém hodnocení žebříčku Innovation Union 2014 je ČR zařazována do skupiny mírných inovátorů. Jedná se však o agregovaný index s širším spektrem parametrů.</w:t>
      </w:r>
    </w:p>
    <w:p w:rsidR="009D2CAE" w:rsidRPr="007C0CDA" w:rsidRDefault="009D2CAE"/>
    <w:p w:rsidR="009D2CAE" w:rsidRPr="007C0CDA" w:rsidRDefault="009D2CAE" w:rsidP="008B71D6">
      <w:r w:rsidRPr="002433DA">
        <w:rPr>
          <w:b/>
        </w:rPr>
        <w:t xml:space="preserve">V České republice </w:t>
      </w:r>
      <w:r w:rsidRPr="007C0CDA">
        <w:rPr>
          <w:b/>
        </w:rPr>
        <w:t xml:space="preserve">byl dle údajů ČSÚ v roce 2012 </w:t>
      </w:r>
      <w:r w:rsidRPr="002433DA">
        <w:rPr>
          <w:b/>
        </w:rPr>
        <w:t>VaV prováděn ve 2 311 podnicích na 2 334 pracovištích</w:t>
      </w:r>
      <w:r w:rsidRPr="007C0CDA">
        <w:t xml:space="preserve">, z nichž přibližně </w:t>
      </w:r>
      <w:r w:rsidRPr="002433DA">
        <w:rPr>
          <w:b/>
        </w:rPr>
        <w:t>polovina se věnuje VaV činnosti v posledních pěti letech soustavně</w:t>
      </w:r>
      <w:r w:rsidRPr="007C0CDA">
        <w:t xml:space="preserve">. Především u menších ekonomických subjektů je vyšší zastoupení podniků, jež neprováděly VaV po celé sledované období. Z výše uvedených 2 334 pracovišť VaV v podnikatelském sektoru pouze ve čtvrtině z nich bylo v roce 2012 za VaV utraceno více jak 10 mil. Kč a pouze ve třech ze sta více jak 100 mil. Kč. Naopak </w:t>
      </w:r>
      <w:r w:rsidRPr="002433DA">
        <w:rPr>
          <w:b/>
        </w:rPr>
        <w:t xml:space="preserve">téměř čtvrtina z těchto pracovišť uváděla, že za provedený VaV v roce 2012 utratila méně než milion korun a ve třech čtvrtinách pracovalo méně než 10 přepočtených osob ve </w:t>
      </w:r>
      <w:commentRangeStart w:id="255"/>
      <w:r w:rsidRPr="002433DA">
        <w:rPr>
          <w:b/>
        </w:rPr>
        <w:t>VaV</w:t>
      </w:r>
      <w:commentRangeEnd w:id="255"/>
      <w:r w:rsidRPr="007C0CDA">
        <w:rPr>
          <w:rStyle w:val="Odkaznakoment"/>
          <w:rFonts w:ascii="Arial" w:hAnsi="Arial"/>
          <w:b/>
          <w:lang w:eastAsia="en-US"/>
        </w:rPr>
        <w:commentReference w:id="255"/>
      </w:r>
      <w:r w:rsidRPr="007C0CDA">
        <w:t>.</w:t>
      </w:r>
    </w:p>
    <w:p w:rsidR="009D2CAE" w:rsidRPr="007C0CDA" w:rsidRDefault="009D2CAE" w:rsidP="008B71D6"/>
    <w:p w:rsidR="009D2CAE" w:rsidRPr="007C0CDA" w:rsidRDefault="009D2CAE" w:rsidP="008B71D6">
      <w:r w:rsidRPr="007C0CDA">
        <w:t>Pokud jde o vlastnictví sledovaných podniků, přibližně tři čtvrtiny tvoří soukromé domácí podniky (1 710), necelá čtvrtina (549) připadá na podniky pod zahraniční kontrolou a 2,5 % na veřejné podniky. Pokud jde o velikost sledovaných ekonomických subjektů provádějících VaV podnikatelském sektoru, ve třetině z nich jde o střední podniky s 50 až 249 zaměstnanci, tři z deseti se nacházejí mezi malými podniky s 10 až 49 zaměstnanci a necelá pětina pak připadá na mikropodniky (0–9 zaměstnanci) a na velké podniky s 250 a více zaměstnanci.</w:t>
      </w:r>
    </w:p>
    <w:p w:rsidR="009D2CAE" w:rsidRPr="007C0CDA" w:rsidRDefault="009D2CAE"/>
    <w:p w:rsidR="009D2CAE" w:rsidRPr="007C0CDA" w:rsidRDefault="002D1138" w:rsidP="00AC59E1">
      <w:pPr>
        <w:keepNext/>
      </w:pPr>
      <w:r>
        <w:rPr>
          <w:noProof/>
        </w:rPr>
        <w:lastRenderedPageBreak/>
        <w:drawing>
          <wp:inline distT="0" distB="0" distL="0" distR="0" wp14:anchorId="34FCA0A1" wp14:editId="5AAB184E">
            <wp:extent cx="5162550" cy="2276475"/>
            <wp:effectExtent l="0" t="0" r="0" b="9525"/>
            <wp:docPr id="8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2550" cy="2276475"/>
                    </a:xfrm>
                    <a:prstGeom prst="rect">
                      <a:avLst/>
                    </a:prstGeom>
                    <a:noFill/>
                    <a:ln>
                      <a:noFill/>
                    </a:ln>
                  </pic:spPr>
                </pic:pic>
              </a:graphicData>
            </a:graphic>
          </wp:inline>
        </w:drawing>
      </w:r>
    </w:p>
    <w:p w:rsidR="009D2CAE" w:rsidRPr="007C0CDA" w:rsidRDefault="009D2CAE" w:rsidP="00C75AA6">
      <w:pPr>
        <w:pStyle w:val="Titulek"/>
        <w:rPr>
          <w:noProof/>
        </w:rPr>
      </w:pPr>
      <w:r w:rsidRPr="007C0CDA">
        <w:t xml:space="preserve">Obrázek </w:t>
      </w:r>
      <w:r w:rsidRPr="00B675D6">
        <w:fldChar w:fldCharType="begin"/>
      </w:r>
      <w:r w:rsidRPr="007C0CDA">
        <w:instrText xml:space="preserve"> SEQ Obrázek \* ARABIC </w:instrText>
      </w:r>
      <w:r w:rsidRPr="002433DA">
        <w:fldChar w:fldCharType="separate"/>
      </w:r>
      <w:r w:rsidRPr="007C0CDA">
        <w:rPr>
          <w:noProof/>
        </w:rPr>
        <w:t>1</w:t>
      </w:r>
      <w:r w:rsidRPr="00B675D6">
        <w:fldChar w:fldCharType="end"/>
      </w:r>
      <w:r w:rsidRPr="007C0CDA">
        <w:t xml:space="preserve"> - Inovační</w:t>
      </w:r>
      <w:r w:rsidRPr="007C0CDA">
        <w:rPr>
          <w:noProof/>
        </w:rPr>
        <w:t xml:space="preserve"> výkonnost členských zemí EU,</w:t>
      </w:r>
    </w:p>
    <w:p w:rsidR="009D2CAE" w:rsidRPr="007C0CDA" w:rsidRDefault="009D2CAE" w:rsidP="002433DA">
      <w:pPr>
        <w:pStyle w:val="Titulek"/>
      </w:pPr>
      <w:r w:rsidRPr="007C0CDA">
        <w:rPr>
          <w:noProof/>
        </w:rPr>
        <w:t>Zdroj: Inovation Union Scoreboard 2014</w:t>
      </w:r>
    </w:p>
    <w:p w:rsidR="009D2CAE" w:rsidRPr="007C0CDA" w:rsidRDefault="009D2CAE"/>
    <w:p w:rsidR="009D2CAE" w:rsidRPr="007C0CDA" w:rsidRDefault="009D2CAE">
      <w:pPr>
        <w:pStyle w:val="Neslovannadpisy"/>
      </w:pPr>
      <w:r w:rsidRPr="007C0CDA">
        <w:t>Soukromé a veřejné zdroje financování</w:t>
      </w:r>
    </w:p>
    <w:p w:rsidR="009D2CAE" w:rsidRPr="002433DA" w:rsidRDefault="009D2CAE" w:rsidP="00EC2CC6">
      <w:r w:rsidRPr="007C0CDA">
        <w:t>Celkové výdaje na VaV zahrnující veškeré neinvestiční a investiční výdaje vynaložené ve sledovaném roce na VaV prováděný na území ČR činily v roce 2013 77,9 mld. Kč, což odpovídalo 1,91% podílu na HDP</w:t>
      </w:r>
      <w:r w:rsidRPr="007C0CDA">
        <w:rPr>
          <w:rStyle w:val="Znakapoznpodarou"/>
        </w:rPr>
        <w:footnoteReference w:id="9"/>
      </w:r>
      <w:r w:rsidRPr="007C0CDA">
        <w:t xml:space="preserve">. V obou případech jde o nejvyšší zaznamenané hodnoty za celé sledované období. Mezi lety 2010-2013 došlo ke značnému </w:t>
      </w:r>
      <w:r w:rsidRPr="002433DA">
        <w:t>nárůstu těchto výdajů, a to téměř o 25 mld. Kč.</w:t>
      </w:r>
      <w:r w:rsidRPr="002433DA">
        <w:rPr>
          <w:b/>
        </w:rPr>
        <w:t>Největším dílem se na nárůstu výdajů, který v posledním roce činil 5,5 mld. Kč, podílely domácí podnikatelské zdroje</w:t>
      </w:r>
      <w:r w:rsidRPr="002433DA">
        <w:t>.</w:t>
      </w:r>
      <w:r w:rsidRPr="002433DA">
        <w:rPr>
          <w:b/>
        </w:rPr>
        <w:t xml:space="preserve"> Meziročně vzrostly o 3 mld. Kč a s 29 mld. Kč</w:t>
      </w:r>
      <w:r w:rsidRPr="002433DA">
        <w:t>. V posledních pěti letech se nicméně celkové veřejné zdroje na financování VaV provedeného v ČR stále podílejí těsnou nadpoloviční většinou, a to především díky narůstajícím zdrojům z EU.Podíl aplikovaného výzkumu, resp. experimentálního vývoje se na celkových výdajích na VaV v roce 2013 pohyboval na úrovni 32, resp. 35 %. Zbytek připadal na základní výzkum. Výdaje na inovace nejsou ČSÚ evidovány.</w:t>
      </w:r>
    </w:p>
    <w:p w:rsidR="009D2CAE" w:rsidRPr="002433DA" w:rsidRDefault="009D2CAE" w:rsidP="00FF4517"/>
    <w:p w:rsidR="009D2CAE" w:rsidRPr="007C0CDA" w:rsidRDefault="009D2CAE" w:rsidP="00FF4517">
      <w:r w:rsidRPr="002433DA">
        <w:t>Na VaV se nejvíce peněz vynalo</w:t>
      </w:r>
      <w:r w:rsidRPr="007C0CDA">
        <w:t>žilo v podnikatelském sektoru (42,1 mld. Kč v roce 2013).</w:t>
      </w:r>
      <w:r w:rsidRPr="002433DA">
        <w:rPr>
          <w:b/>
        </w:rPr>
        <w:t xml:space="preserve">Na financování výzkumu v tomto sektoru se </w:t>
      </w:r>
      <w:r w:rsidRPr="007C0CDA">
        <w:rPr>
          <w:b/>
        </w:rPr>
        <w:t>podílejí</w:t>
      </w:r>
      <w:r w:rsidRPr="002433DA">
        <w:rPr>
          <w:b/>
        </w:rPr>
        <w:t xml:space="preserve"> především podniky svými vlastními zdroji </w:t>
      </w:r>
      <w:r w:rsidRPr="007C0CDA">
        <w:t>a dále pak účelová podpora státního rozpočtu a Evropské unie,</w:t>
      </w:r>
      <w:r w:rsidRPr="002433DA">
        <w:rPr>
          <w:b/>
        </w:rPr>
        <w:t xml:space="preserve"> především ze strukturálních fondů EU </w:t>
      </w:r>
      <w:r w:rsidRPr="007C0CDA">
        <w:rPr>
          <w:b/>
        </w:rPr>
        <w:t>(v minulém období OP PI).</w:t>
      </w:r>
    </w:p>
    <w:p w:rsidR="009D2CAE" w:rsidRPr="007C0CDA" w:rsidDel="00613E20" w:rsidRDefault="009D2CAE" w:rsidP="00FF4517"/>
    <w:p w:rsidR="009D2CAE" w:rsidRPr="007C0CDA" w:rsidRDefault="009D2CAE" w:rsidP="00EC2CC6">
      <w:r w:rsidRPr="007C0CDA">
        <w:t xml:space="preserve">Většinu peněz vynakládají podniky na vlastní výzkum, největší obnos tak očekávaně putuje do VaV v oblasti technických věd. </w:t>
      </w:r>
      <w:r w:rsidRPr="002433DA">
        <w:rPr>
          <w:b/>
        </w:rPr>
        <w:t>Technické vědy mají výrazný 73% podíl na podnikatelských zdrojích vynaložených na VaV</w:t>
      </w:r>
      <w:r w:rsidRPr="007C0CDA">
        <w:t>.Velmi málo prostředků naopak ve srovnání s dalšími zeměmi OECD vynakládají české podniky na spolupráci s vysokými školami a pracovišti vládního sektoru. Z podnikatelských zdrojů putovaly v roce 2013 do VaV v těchto dvou sektorech necelé 2,5 mld. Kč, což tvořilo pouhých 6 % podnikatelských zdrojů vynaložených na VaV provedený na území ČR</w:t>
      </w:r>
      <w:r w:rsidRPr="007C0CDA">
        <w:rPr>
          <w:rStyle w:val="Znakapoznpodarou"/>
        </w:rPr>
        <w:footnoteReference w:id="10"/>
      </w:r>
      <w:r w:rsidRPr="007C0CDA">
        <w:t>.Většinu toho tvořily licenční poplatky AVČR.</w:t>
      </w:r>
    </w:p>
    <w:p w:rsidR="009D2CAE" w:rsidRPr="007C0CDA" w:rsidRDefault="009D2CAE" w:rsidP="00EC2CC6"/>
    <w:p w:rsidR="009D2CAE" w:rsidRPr="007C0CDA" w:rsidRDefault="009D2CAE" w:rsidP="00EC2CC6">
      <w:r w:rsidRPr="007C0CDA">
        <w:t>Nejvíce peněz z podnikatelských zdrojů se vynakládá na VaV ve zpracovatelském průmyslu, v roce 2013 to bylo 22,4 mld. Kč. Z ostatních odvětví ekonomické činnosti byly z podnikatelských zdrojů značné částky vynaloženy na VaV v informačních a komunikačních činnostech (4,9 mld. Kč) a v odvětví výzkumu a vývoje (3,8 mld. Kč).</w:t>
      </w:r>
    </w:p>
    <w:p w:rsidR="009D2CAE" w:rsidRPr="007C0CDA" w:rsidRDefault="009D2CAE" w:rsidP="00EC2CC6"/>
    <w:p w:rsidR="009D2CAE" w:rsidRPr="007C0CDA" w:rsidRDefault="002D1138">
      <w:pPr>
        <w:keepNext/>
      </w:pPr>
      <w:r>
        <w:rPr>
          <w:noProof/>
        </w:rPr>
        <w:lastRenderedPageBreak/>
        <w:drawing>
          <wp:inline distT="0" distB="0" distL="0" distR="0" wp14:anchorId="70669CFE" wp14:editId="2BA1A314">
            <wp:extent cx="5734050" cy="1685925"/>
            <wp:effectExtent l="0" t="0" r="0" b="9525"/>
            <wp:docPr id="83"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1685925"/>
                    </a:xfrm>
                    <a:prstGeom prst="rect">
                      <a:avLst/>
                    </a:prstGeom>
                    <a:noFill/>
                    <a:ln>
                      <a:noFill/>
                    </a:ln>
                  </pic:spPr>
                </pic:pic>
              </a:graphicData>
            </a:graphic>
          </wp:inline>
        </w:drawing>
      </w:r>
    </w:p>
    <w:p w:rsidR="009D2CAE" w:rsidRPr="007C0CDA" w:rsidRDefault="009D2CAE" w:rsidP="002433DA">
      <w:pPr>
        <w:pStyle w:val="Titulek"/>
      </w:pPr>
      <w:r w:rsidRPr="007C0CDA">
        <w:t xml:space="preserve">Graf </w:t>
      </w:r>
      <w:r w:rsidRPr="00B675D6">
        <w:fldChar w:fldCharType="begin"/>
      </w:r>
      <w:r w:rsidRPr="007C0CDA">
        <w:instrText xml:space="preserve"> SEQ Graf_č._1: \* ARABIC </w:instrText>
      </w:r>
      <w:r w:rsidRPr="002433DA">
        <w:fldChar w:fldCharType="separate"/>
      </w:r>
      <w:r w:rsidRPr="007C0CDA">
        <w:rPr>
          <w:noProof/>
        </w:rPr>
        <w:t>1</w:t>
      </w:r>
      <w:r w:rsidRPr="00B675D6">
        <w:fldChar w:fldCharType="end"/>
      </w:r>
      <w:r w:rsidRPr="007C0CDA">
        <w:t>: Výdaje na VaV financované z podnikatelských zdrojů podle sektorů provádění VaV (mld.  Kč)</w:t>
      </w:r>
    </w:p>
    <w:p w:rsidR="009D2CAE" w:rsidRPr="007C0CDA" w:rsidRDefault="009D2CAE" w:rsidP="002433DA">
      <w:pPr>
        <w:pStyle w:val="Titulek"/>
      </w:pPr>
      <w:r w:rsidRPr="007C0CDA">
        <w:t>Zdroj: ČSÚ</w:t>
      </w:r>
    </w:p>
    <w:p w:rsidR="009D2CAE" w:rsidRPr="007C0CDA" w:rsidRDefault="009D2CAE" w:rsidP="00B10B1D"/>
    <w:p w:rsidR="009D2CAE" w:rsidRPr="007C0CDA" w:rsidRDefault="009D2CAE" w:rsidP="00C4648F">
      <w:r w:rsidRPr="007C0CDA">
        <w:t>V cílovém segmentu SC 1.1 průmyslového výzkumu a vývoje se tedy na financování významně podílí jak soukromé, tak z velké části i veřejné zdroje, které jsou poskytovány téměř výlučně formou nenávratných dotací.</w:t>
      </w:r>
      <w:r w:rsidRPr="002433DA">
        <w:rPr>
          <w:b/>
        </w:rPr>
        <w:t>Financování inovací není v</w:t>
      </w:r>
      <w:r w:rsidRPr="007C0CDA">
        <w:rPr>
          <w:b/>
        </w:rPr>
        <w:t> </w:t>
      </w:r>
      <w:r w:rsidRPr="002433DA">
        <w:rPr>
          <w:b/>
        </w:rPr>
        <w:t xml:space="preserve">přehledech ČSÚ sledováno, i zde jsou však zapojeny obě výše zmíněné složky </w:t>
      </w:r>
      <w:r w:rsidRPr="007C0CDA">
        <w:rPr>
          <w:b/>
        </w:rPr>
        <w:t>–</w:t>
      </w:r>
      <w:r w:rsidRPr="002433DA">
        <w:rPr>
          <w:b/>
        </w:rPr>
        <w:t xml:space="preserve"> soukromý sektor i veřejné zdroje (v tomto případě především evropské z</w:t>
      </w:r>
      <w:r w:rsidRPr="007C0CDA">
        <w:rPr>
          <w:b/>
        </w:rPr>
        <w:t> </w:t>
      </w:r>
      <w:r w:rsidRPr="002433DA">
        <w:rPr>
          <w:b/>
        </w:rPr>
        <w:t xml:space="preserve">OP PI </w:t>
      </w:r>
      <w:r w:rsidRPr="007C0CDA">
        <w:rPr>
          <w:b/>
        </w:rPr>
        <w:t>–</w:t>
      </w:r>
      <w:r w:rsidRPr="002433DA">
        <w:rPr>
          <w:b/>
        </w:rPr>
        <w:t xml:space="preserve"> viz dále).</w:t>
      </w:r>
    </w:p>
    <w:p w:rsidR="009D2CAE" w:rsidRPr="007C0CDA" w:rsidRDefault="009D2CAE" w:rsidP="00C4648F"/>
    <w:p w:rsidR="009D2CAE" w:rsidRPr="009D2CAE" w:rsidRDefault="009D2CAE">
      <w:pPr>
        <w:rPr>
          <w:b/>
        </w:rPr>
      </w:pPr>
      <w:r w:rsidRPr="009D2CAE">
        <w:t>U soukromých podnikatelských zdrojů se dá předpokládat vysoký podíl externího bankovního financování, byť se jedná o projekty značně rizikové a tedy s</w:t>
      </w:r>
      <w:r w:rsidRPr="007C0CDA">
        <w:t> </w:t>
      </w:r>
      <w:r w:rsidRPr="009D2CAE">
        <w:t>potřebou vysokého zajištění.Soukromé finanční instituce v Česku realizovaly v</w:t>
      </w:r>
      <w:r w:rsidRPr="007C0CDA">
        <w:t> </w:t>
      </w:r>
      <w:r w:rsidRPr="009D2CAE">
        <w:t xml:space="preserve">období 2007-2013 inovační úvěry prostřednictvím tzv. </w:t>
      </w:r>
      <w:r w:rsidRPr="009D2CAE">
        <w:rPr>
          <w:b/>
        </w:rPr>
        <w:t xml:space="preserve">Risk Sharing Instrument (RSI) Evropského investičního fondu (EIF) </w:t>
      </w:r>
      <w:r w:rsidRPr="009D2CAE">
        <w:t>v</w:t>
      </w:r>
      <w:r w:rsidRPr="007C0CDA">
        <w:t> </w:t>
      </w:r>
      <w:r w:rsidRPr="009D2CAE">
        <w:t xml:space="preserve">rámci 7. rámcového programu pro výzkum a technologický rozvoj. </w:t>
      </w:r>
      <w:r w:rsidRPr="009D2CAE">
        <w:rPr>
          <w:b/>
        </w:rPr>
        <w:t>Nabízeným bankovním produktem byly zvýhodněné</w:t>
      </w:r>
      <w:r w:rsidRPr="002433DA">
        <w:rPr>
          <w:b/>
        </w:rPr>
        <w:t xml:space="preserve"> úvěr</w:t>
      </w:r>
      <w:r w:rsidRPr="009D2CAE">
        <w:rPr>
          <w:b/>
        </w:rPr>
        <w:t>y na inovační projekty, případně i VaV inovativních podniků i soukromých VO</w:t>
      </w:r>
      <w:r w:rsidRPr="002433DA">
        <w:rPr>
          <w:b/>
        </w:rPr>
        <w:t xml:space="preserve"> se zajištěním od EIF</w:t>
      </w:r>
      <w:r w:rsidRPr="009D2CAE">
        <w:t xml:space="preserve">. Tyto úvěry nabízely v ČR čtyři banky </w:t>
      </w:r>
      <w:r w:rsidRPr="007C0CDA">
        <w:t>–</w:t>
      </w:r>
      <w:r w:rsidRPr="009D2CAE">
        <w:t xml:space="preserve"> UniCredit Bank, Česká spořitelna, Komerční banka a GE Money Bank.</w:t>
      </w:r>
    </w:p>
    <w:p w:rsidR="009D2CAE" w:rsidRPr="009D2CAE" w:rsidRDefault="009D2CAE">
      <w:pPr>
        <w:rPr>
          <w:b/>
        </w:rPr>
      </w:pPr>
    </w:p>
    <w:p w:rsidR="009D2CAE" w:rsidRPr="009D2CAE" w:rsidRDefault="009D2CAE">
      <w:pPr>
        <w:rPr>
          <w:b/>
        </w:rPr>
      </w:pPr>
      <w:r w:rsidRPr="009D2CAE">
        <w:t xml:space="preserve">Nástupcem nástroje RSI pro období 2014-2020 je </w:t>
      </w:r>
      <w:r w:rsidRPr="009D2CAE">
        <w:rPr>
          <w:b/>
        </w:rPr>
        <w:t>InnovFin SME Guarantee Facility</w:t>
      </w:r>
      <w:r w:rsidRPr="009D2CAE">
        <w:t xml:space="preserve"> EIF z</w:t>
      </w:r>
      <w:r w:rsidRPr="007C0CDA">
        <w:t> </w:t>
      </w:r>
      <w:r w:rsidRPr="009D2CAE">
        <w:t>evropského programu HORIZONT 2020. Na výzkumné a inovační projekty je vyčleněno na evropské úrovni24</w:t>
      </w:r>
      <w:r w:rsidRPr="007C0CDA">
        <w:t> </w:t>
      </w:r>
      <w:r w:rsidRPr="009D2CAE">
        <w:t>mld. EUR v</w:t>
      </w:r>
      <w:r w:rsidRPr="007C0CDA">
        <w:t> </w:t>
      </w:r>
      <w:r w:rsidRPr="009D2CAE">
        <w:t>zárukách i přímých úvěrech, což je více jak dvojnásobek prostředků v</w:t>
      </w:r>
      <w:r w:rsidRPr="007C0CDA">
        <w:t> </w:t>
      </w:r>
      <w:r w:rsidRPr="009D2CAE">
        <w:t>RSI. Tímto způsobem se dá očekávat významný přesah opět i do českého bankovního sektoru. V</w:t>
      </w:r>
      <w:r w:rsidRPr="007C0CDA">
        <w:t> </w:t>
      </w:r>
      <w:r w:rsidRPr="009D2CAE">
        <w:t>roce 2015 uzavřel EIF smlouvy o poskytování zaručených úvěrů s</w:t>
      </w:r>
      <w:r w:rsidRPr="007C0CDA">
        <w:t> </w:t>
      </w:r>
      <w:r w:rsidRPr="009D2CAE">
        <w:t>Českou spořitelnou a Komerční bankou.</w:t>
      </w:r>
    </w:p>
    <w:p w:rsidR="009D2CAE" w:rsidRPr="009D2CAE" w:rsidRDefault="009D2CAE">
      <w:pPr>
        <w:rPr>
          <w:b/>
        </w:rPr>
      </w:pPr>
    </w:p>
    <w:p w:rsidR="009D2CAE" w:rsidRPr="009D2CAE" w:rsidRDefault="009D2CAE">
      <w:pPr>
        <w:rPr>
          <w:b/>
        </w:rPr>
      </w:pPr>
      <w:r w:rsidRPr="009D2CAE">
        <w:t>Česká spořitelna kromě toho nabízí též inovační úvěry prostřednictvím programu INOSTART, zaměřeného na inovační podniky do 3 let.</w:t>
      </w:r>
    </w:p>
    <w:p w:rsidR="009D2CAE" w:rsidRPr="007C0CDA" w:rsidRDefault="009D2CAE" w:rsidP="00A21A86">
      <w:pPr>
        <w:pStyle w:val="Neslovannadpisy"/>
      </w:pPr>
    </w:p>
    <w:p w:rsidR="009D2CAE" w:rsidRPr="002433DA" w:rsidRDefault="009D2CAE">
      <w:pPr>
        <w:rPr>
          <w:b/>
        </w:rPr>
      </w:pPr>
      <w:r w:rsidRPr="002433DA">
        <w:rPr>
          <w:b/>
        </w:rPr>
        <w:t>Programy veřejné podpory</w:t>
      </w:r>
    </w:p>
    <w:p w:rsidR="009D2CAE" w:rsidRPr="007C0CDA" w:rsidRDefault="009D2CAE" w:rsidP="00101728">
      <w:r w:rsidRPr="007C0CDA">
        <w:t>Programy veřejné podpory výzkumu, vývoje a inovací (VaVaI) z národních a evropských zdrojů tvořily významný podíl celkové nabídky zdrojů dostupných podnikům na jejich VaVaI aktivity, oslovily též valnou část poptávky –velká část podniků s výzkumnými a inovačními aktivitami recipuje dotační programy a uchází se o jejich podporu. Níže jsou detailněji uvedeny statistiky ke dvěma hlavním programům, které dotačně financovaly v minulém období analyzované oblasti SC 1.1 – průmyslový VaV a inovace soukromých podniků – a programu Inostart, který reprezentuje poptávku po podpoře návratného financování inovací.</w:t>
      </w:r>
    </w:p>
    <w:p w:rsidR="009D2CAE" w:rsidRPr="007C0CDA" w:rsidRDefault="009D2CAE" w:rsidP="00101728"/>
    <w:p w:rsidR="009D2CAE" w:rsidRPr="007C0CDA" w:rsidRDefault="009D2CAE" w:rsidP="00101728">
      <w:r w:rsidRPr="007C0CDA">
        <w:rPr>
          <w:b/>
        </w:rPr>
        <w:t xml:space="preserve">OPPI Inovace – </w:t>
      </w:r>
      <w:r w:rsidRPr="007C0CDA">
        <w:t xml:space="preserve">Cílem programu bylo zvýšení inovačního potenciálu podnikatelského sektoru prostřednictvím dotací na realizaci inovačních projektů podniků (zejména MSP) a na projekty veřejných výzkumných institucí, vysokých škol, fyzických osob a MSP směřující k ochraně práv průmyslového vlastnictví.V oblasti inovačních projektů podniků bylo do konce roku 2014 přijato MPO 4335registračních žádostí o celkových uznatelných nákladech158 mld. Kč a 65,4 mld. Kč požadované </w:t>
      </w:r>
      <w:r w:rsidRPr="007C0CDA">
        <w:lastRenderedPageBreak/>
        <w:t>dotace. Podpořeno bylo 1643 projektů (38 %)v objemu 51 mld. uznatelných nákladů a požadovanou dotací 22,3 mld. Kč.</w:t>
      </w:r>
    </w:p>
    <w:p w:rsidR="009D2CAE" w:rsidRPr="007C0CDA" w:rsidRDefault="009D2CAE" w:rsidP="00101728"/>
    <w:p w:rsidR="009D2CAE" w:rsidRPr="002433DA" w:rsidRDefault="009D2CAE" w:rsidP="00101728">
      <w:r w:rsidRPr="007C0CDA">
        <w:rPr>
          <w:b/>
        </w:rPr>
        <w:t>TIP</w:t>
      </w:r>
      <w:r w:rsidRPr="007C0CDA">
        <w:t xml:space="preserve"> - Cílem programu bylo poskytovat dotační podporu z prostředků státního rozpočtu České republiky výzkumným a vývojovým projektům pro aplikaci v průmyslu. Příjemci byly podniky i výzkumné instituce. V letech 2009-2012 proběhly 4 veřejné soutěže, z 3029 projektů odpovídalo kritériím 86,7 % a podpořeno 28,7 %. Celkové uznatelné náklady projektů podpořených v programu budou za celou dobu jejich řešení činit cca 21,5 mld. Kč. Na jejich řešení byla poskytnuta podpora v celkovém objemu cca 12,5 mld. Kč (z toho 9 mld. Kč bylo poskytnuto do konce roku 2012), průměrná dosažená míra podpory činila 58 %. Lze tak odvodit hrubou neuspokojenou poptávku odmítnutých žadatelů ve výši 43 mld. způsobilých nákladů, avšak s přihlédnutím k tomu, že některé neúspěšné projekty byly podány v následné výzvě, případně podniky podávaly více žádostí naráz s reálnou uskutečnitelností pouze jednoho. Hodnota neuspokojené poptávky tak bude ve skutečnosti znatelně nižší.</w:t>
      </w:r>
      <w:r w:rsidRPr="002433DA">
        <w:t>Podniky i VO</w:t>
      </w:r>
    </w:p>
    <w:p w:rsidR="009D2CAE" w:rsidRPr="007C0CDA" w:rsidRDefault="009D2CAE" w:rsidP="00101728"/>
    <w:p w:rsidR="009D2CAE" w:rsidRPr="007C0CDA" w:rsidRDefault="009D2CAE" w:rsidP="00101728">
      <w:r w:rsidRPr="007C0CDA">
        <w:rPr>
          <w:b/>
        </w:rPr>
        <w:t>Inostart</w:t>
      </w:r>
      <w:r w:rsidRPr="007C0CDA">
        <w:t xml:space="preserve"> - MPO ve spolupráci s  ČMZRB a Českou spořitelnou realizuje od roku 2012 finanční nástroj na podporu inovativních podnikatelských záměrů program INOSTART ze zdrojů Programu švýcarsko-české spolupráce. Cílem programu INOSTART je podpora projektů začínajících inovativních MSP (do 3 let) z celé České republiky. Česká spořitelna vysoutěžená v rámci programu jako finanční zprostředkovatel zajišťuje odborné poradenské služby a poskytování zvýhodněných úvěrů zaručených ČMZRB. Podpora probíhá ve formě záru</w:t>
      </w:r>
      <w:r w:rsidRPr="002433DA">
        <w:t xml:space="preserve">ky za 60 % jistiny úvěru v rozmezí 0,5 – 15 mil. Kč a částečně dotovaných nákladů na poradenské služby. Celková alokace činí 10 mil. CHF (cca 250 mil. Kč) Po vyhlášení v roce 2012 a pilotním spuštění v roce 2013 v Olomouckém a Moravskoslezském kraji (MSK a OK), kde byly poskytnuty první dva úvěry v souhrnné výši 8 mil. Kč, byla působnost programu rozšířena na celou ČR kvůli nedostatečné absorpční kapacitě.  Velký zájem žadatelů v OK a MSK většinou ztroskotal na požadavku inovací vyšších řádů. </w:t>
      </w:r>
      <w:r w:rsidRPr="002433DA">
        <w:rPr>
          <w:b/>
        </w:rPr>
        <w:t>K 31.12. 2014 byly poskytnuty záruky v celkové výši 52 mil. Kč za úvěry ve výši  87mil. Kč</w:t>
      </w:r>
      <w:r w:rsidR="00F81A36" w:rsidRPr="002433DA">
        <w:rPr>
          <w:b/>
        </w:rPr>
        <w:t xml:space="preserve"> </w:t>
      </w:r>
      <w:r w:rsidRPr="002433DA">
        <w:t>(podáno 39 žádostí, podepsáno 16 úvěrových smluv, dalších 8 schválených žádostí v jedn</w:t>
      </w:r>
      <w:r w:rsidRPr="007C0CDA">
        <w:t>ání). Program potrvá do roku 2016</w:t>
      </w:r>
    </w:p>
    <w:p w:rsidR="009D2CAE" w:rsidRPr="007C0CDA" w:rsidRDefault="009D2CAE" w:rsidP="00101728"/>
    <w:p w:rsidR="009D2CAE" w:rsidRPr="002433DA" w:rsidRDefault="009D2CAE" w:rsidP="000858D8">
      <w:r w:rsidRPr="002433DA">
        <w:rPr>
          <w:b/>
        </w:rPr>
        <w:t>Dosavadní podpora aktivit zahrnutých do SC 1.1 (zvýrazněno v</w:t>
      </w:r>
      <w:r w:rsidRPr="007C0CDA">
        <w:rPr>
          <w:b/>
        </w:rPr>
        <w:t> </w:t>
      </w:r>
      <w:r w:rsidRPr="002433DA">
        <w:rPr>
          <w:b/>
        </w:rPr>
        <w:t>tabulce výše) byla zaměřena na dotační podporu prostřednictvím OPPI a dotačních programů na podporu aplikovaného a průmyslového výzkumu a spolupráce firem s výzkumnými institucemi (VI)</w:t>
      </w:r>
      <w:r w:rsidRPr="002433DA">
        <w:t>. Na národní úrovni se jednalo zejména o národní programy v</w:t>
      </w:r>
      <w:r w:rsidRPr="007C0CDA">
        <w:t> </w:t>
      </w:r>
      <w:r w:rsidRPr="002433DA">
        <w:t>současnosti vyhlašované TAČR a MPO, podporu v</w:t>
      </w:r>
      <w:r w:rsidRPr="007C0CDA">
        <w:t> </w:t>
      </w:r>
      <w:r w:rsidRPr="002433DA">
        <w:t>této oblasti nabízel také evropský 7. rámcový program pro výzkum a technologický rozvoj, v</w:t>
      </w:r>
      <w:r w:rsidRPr="007C0CDA">
        <w:t> </w:t>
      </w:r>
      <w:r w:rsidRPr="002433DA">
        <w:t>současnosti na něj navazuje program HORIZONT 2020.</w:t>
      </w:r>
    </w:p>
    <w:p w:rsidR="009D2CAE" w:rsidRPr="002433DA" w:rsidRDefault="009D2CAE" w:rsidP="000858D8"/>
    <w:p w:rsidR="009D2CAE" w:rsidRPr="007C0CDA" w:rsidRDefault="009D2CAE" w:rsidP="00312A2F"/>
    <w:p w:rsidR="009D2CAE" w:rsidRPr="007C0CDA" w:rsidRDefault="009D2CAE" w:rsidP="00312A2F"/>
    <w:p w:rsidR="009D2CAE" w:rsidRPr="002433DA" w:rsidRDefault="009D2CAE" w:rsidP="00312A2F">
      <w:r w:rsidRPr="002433DA">
        <w:rPr>
          <w:b/>
        </w:rPr>
        <w:t xml:space="preserve">OPPI Potenciál </w:t>
      </w:r>
      <w:r w:rsidRPr="007C0CDA">
        <w:rPr>
          <w:b/>
        </w:rPr>
        <w:t>–</w:t>
      </w:r>
      <w:r w:rsidRPr="002433DA">
        <w:rPr>
          <w:b/>
        </w:rPr>
        <w:t xml:space="preserve"> </w:t>
      </w:r>
      <w:r w:rsidRPr="002433DA">
        <w:t>Cílem programu bylo podpořit budování a rozšiřování vlastních podnikových kapacit pro výzkum a inovace. Do konce roku 2014 přijalo MPO 1822 registračních žádostí o celkových nákladech 74 mld. Kč a 32,2 mld. Kč požadované dotace. Podpořeno bylo 656 projektů v</w:t>
      </w:r>
      <w:r w:rsidRPr="007C0CDA">
        <w:t> </w:t>
      </w:r>
      <w:r w:rsidRPr="002433DA">
        <w:t>objemu 18</w:t>
      </w:r>
      <w:r w:rsidRPr="007C0CDA">
        <w:t> </w:t>
      </w:r>
      <w:r w:rsidRPr="002433DA">
        <w:t>mld. Kč způsobilých výdajů a požadovanou dotací 8,7 mld. Kč.</w:t>
      </w:r>
    </w:p>
    <w:p w:rsidR="009D2CAE" w:rsidRPr="007C0CDA" w:rsidRDefault="009D2CAE" w:rsidP="001C3828">
      <w:pPr>
        <w:rPr>
          <w:b/>
        </w:rPr>
      </w:pPr>
    </w:p>
    <w:p w:rsidR="009D2CAE" w:rsidRPr="007C0CDA" w:rsidRDefault="009D2CAE" w:rsidP="00B92348"/>
    <w:p w:rsidR="009D2CAE" w:rsidRPr="002433DA" w:rsidRDefault="009D2CAE" w:rsidP="000858D8">
      <w:r w:rsidRPr="002433DA">
        <w:t>.</w:t>
      </w:r>
    </w:p>
    <w:p w:rsidR="009D2CAE" w:rsidRPr="002433DA" w:rsidRDefault="009D2CAE" w:rsidP="000858D8"/>
    <w:p w:rsidR="009D2CAE" w:rsidRPr="002433DA" w:rsidRDefault="009D2CAE" w:rsidP="00C4648F">
      <w:r w:rsidRPr="002433DA">
        <w:t>Soukromé finanční instituce v Česku realizovaly v</w:t>
      </w:r>
      <w:r w:rsidRPr="007C0CDA">
        <w:t> </w:t>
      </w:r>
      <w:r w:rsidRPr="002433DA">
        <w:t xml:space="preserve">období 2007-2013 podporu prostřednictvím tzv. </w:t>
      </w:r>
      <w:r w:rsidRPr="002433DA">
        <w:rPr>
          <w:b/>
        </w:rPr>
        <w:t xml:space="preserve">Risk Sharing Instrument Evropského investičního fondu </w:t>
      </w:r>
      <w:r w:rsidRPr="002433DA">
        <w:t>v</w:t>
      </w:r>
      <w:r w:rsidRPr="007C0CDA">
        <w:t> </w:t>
      </w:r>
      <w:r w:rsidRPr="002433DA">
        <w:t>rámci</w:t>
      </w:r>
      <w:r w:rsidRPr="002433DA">
        <w:rPr>
          <w:b/>
        </w:rPr>
        <w:t xml:space="preserve"> 7. rámcového programu pro výzkum a technologický rozvoj. </w:t>
      </w:r>
      <w:r w:rsidRPr="002433DA">
        <w:t xml:space="preserve">Nabízely podporu na inovativní aktivity MSP prostřednictvím úvěrů se zajištěním od EIF. Tyto úvěry nabízely v ČR čtyři banky </w:t>
      </w:r>
      <w:r w:rsidRPr="007C0CDA">
        <w:t>–</w:t>
      </w:r>
      <w:r w:rsidRPr="002433DA">
        <w:t xml:space="preserve"> UniCredit Bank, Česká spořitelna, Komerční banka a GE Money Bank. Nástupcem tohoto nástroje pro období 2014-2020 je </w:t>
      </w:r>
      <w:r w:rsidRPr="002433DA">
        <w:rPr>
          <w:b/>
        </w:rPr>
        <w:t>InnovFin SME Guarantee Facility</w:t>
      </w:r>
      <w:r w:rsidRPr="002433DA">
        <w:t xml:space="preserve"> EIF z</w:t>
      </w:r>
      <w:r w:rsidRPr="007C0CDA">
        <w:t> </w:t>
      </w:r>
      <w:r w:rsidRPr="002433DA">
        <w:t>evropského programu HORIZONT 2020.</w:t>
      </w:r>
    </w:p>
    <w:p w:rsidR="009D2CAE" w:rsidRPr="002433DA" w:rsidRDefault="009D2CAE" w:rsidP="00C4648F"/>
    <w:p w:rsidR="009D2CAE" w:rsidRPr="007C0CDA" w:rsidRDefault="002D1138" w:rsidP="00C4648F">
      <w:r>
        <w:rPr>
          <w:noProof/>
        </w:rPr>
        <mc:AlternateContent>
          <mc:Choice Requires="wps">
            <w:drawing>
              <wp:inline distT="0" distB="0" distL="0" distR="0" wp14:anchorId="14C69877" wp14:editId="21D3B6BE">
                <wp:extent cx="5805805" cy="1932305"/>
                <wp:effectExtent l="19050" t="19050" r="13970" b="20320"/>
                <wp:docPr id="90" name="Obdélní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805" cy="1932305"/>
                        </a:xfrm>
                        <a:prstGeom prst="rect">
                          <a:avLst/>
                        </a:prstGeom>
                        <a:solidFill>
                          <a:srgbClr val="4F81BD"/>
                        </a:solidFill>
                        <a:ln w="25400">
                          <a:solidFill>
                            <a:srgbClr val="243F60"/>
                          </a:solidFill>
                          <a:miter lim="800000"/>
                          <a:headEnd/>
                          <a:tailEnd/>
                        </a:ln>
                      </wps:spPr>
                      <wps:txbx>
                        <w:txbxContent>
                          <w:p w:rsidR="002E3AE9" w:rsidRPr="00DF6E0B" w:rsidRDefault="002E3AE9" w:rsidP="00C4648F">
                            <w:pPr>
                              <w:rPr>
                                <w:b/>
                                <w:color w:val="FFFFFF"/>
                              </w:rPr>
                            </w:pPr>
                            <w:r w:rsidRPr="00DF6E0B">
                              <w:rPr>
                                <w:b/>
                                <w:color w:val="FFFFFF"/>
                              </w:rPr>
                              <w:t>Stávající využívaná dotační podpora v ČR</w:t>
                            </w:r>
                          </w:p>
                          <w:p w:rsidR="002E3AE9" w:rsidRDefault="002E3AE9" w:rsidP="002433DA">
                            <w:pPr>
                              <w:pStyle w:val="Odstavecseseznamem"/>
                              <w:numPr>
                                <w:ilvl w:val="0"/>
                                <w:numId w:val="4"/>
                              </w:numPr>
                              <w:spacing w:after="120"/>
                              <w:rPr>
                                <w:color w:val="FFFFFF"/>
                              </w:rPr>
                            </w:pPr>
                            <w:r w:rsidRPr="00DF6E0B">
                              <w:rPr>
                                <w:color w:val="FFFFFF"/>
                              </w:rPr>
                              <w:t>Program Inovace (OPPI)</w:t>
                            </w:r>
                          </w:p>
                          <w:p w:rsidR="002E3AE9" w:rsidRDefault="002E3AE9" w:rsidP="002433DA">
                            <w:pPr>
                              <w:pStyle w:val="Odstavecseseznamem"/>
                              <w:numPr>
                                <w:ilvl w:val="0"/>
                                <w:numId w:val="4"/>
                              </w:numPr>
                              <w:overflowPunct/>
                              <w:autoSpaceDE/>
                              <w:autoSpaceDN/>
                              <w:adjustRightInd/>
                              <w:spacing w:after="120" w:line="240" w:lineRule="atLeast"/>
                              <w:textAlignment w:val="auto"/>
                              <w:rPr>
                                <w:color w:val="FFFFFF"/>
                                <w:szCs w:val="24"/>
                              </w:rPr>
                            </w:pPr>
                            <w:r w:rsidRPr="00DF6E0B">
                              <w:rPr>
                                <w:color w:val="FFFFFF"/>
                                <w:szCs w:val="24"/>
                              </w:rPr>
                              <w:t>Program Potenciál (OPPI)</w:t>
                            </w:r>
                          </w:p>
                          <w:p w:rsidR="002E3AE9" w:rsidRDefault="002E3AE9" w:rsidP="002433DA">
                            <w:pPr>
                              <w:pStyle w:val="Odstavecseseznamem"/>
                              <w:numPr>
                                <w:ilvl w:val="0"/>
                                <w:numId w:val="4"/>
                              </w:numPr>
                              <w:overflowPunct/>
                              <w:autoSpaceDE/>
                              <w:autoSpaceDN/>
                              <w:adjustRightInd/>
                              <w:spacing w:after="120" w:line="240" w:lineRule="atLeast"/>
                              <w:textAlignment w:val="auto"/>
                              <w:rPr>
                                <w:color w:val="FFFFFF"/>
                                <w:szCs w:val="24"/>
                              </w:rPr>
                            </w:pPr>
                            <w:r w:rsidRPr="00DF6E0B">
                              <w:rPr>
                                <w:color w:val="FFFFFF"/>
                                <w:szCs w:val="24"/>
                              </w:rPr>
                              <w:t>Dotační podpora prostřednictvím výzkumných programů TAČR</w:t>
                            </w:r>
                            <w:r>
                              <w:rPr>
                                <w:color w:val="FFFFFF"/>
                                <w:szCs w:val="24"/>
                              </w:rPr>
                              <w:t xml:space="preserve"> (Alfa, Epsilon a další)</w:t>
                            </w:r>
                          </w:p>
                          <w:p w:rsidR="002E3AE9" w:rsidRDefault="002E3AE9" w:rsidP="002433DA">
                            <w:pPr>
                              <w:pStyle w:val="Odstavecseseznamem"/>
                              <w:numPr>
                                <w:ilvl w:val="0"/>
                                <w:numId w:val="4"/>
                              </w:numPr>
                              <w:overflowPunct/>
                              <w:autoSpaceDE/>
                              <w:autoSpaceDN/>
                              <w:adjustRightInd/>
                              <w:spacing w:after="120" w:line="240" w:lineRule="atLeast"/>
                              <w:textAlignment w:val="auto"/>
                              <w:rPr>
                                <w:color w:val="FFFFFF"/>
                                <w:szCs w:val="24"/>
                              </w:rPr>
                            </w:pPr>
                            <w:r w:rsidRPr="00135141">
                              <w:rPr>
                                <w:color w:val="FFFFFF"/>
                                <w:szCs w:val="24"/>
                              </w:rPr>
                              <w:t>Program TIP Program CIP</w:t>
                            </w:r>
                          </w:p>
                          <w:p w:rsidR="002E3AE9" w:rsidRPr="00DF6E0B" w:rsidRDefault="002E3AE9" w:rsidP="00C4648F">
                            <w:pPr>
                              <w:rPr>
                                <w:b/>
                                <w:color w:val="FFFFFF"/>
                              </w:rPr>
                            </w:pPr>
                            <w:r w:rsidRPr="00DF6E0B">
                              <w:rPr>
                                <w:b/>
                                <w:color w:val="FFFFFF"/>
                              </w:rPr>
                              <w:t>Stávající návratné financování dostupné v ČR</w:t>
                            </w:r>
                          </w:p>
                          <w:p w:rsidR="002E3AE9" w:rsidRDefault="002E3AE9" w:rsidP="002433DA">
                            <w:pPr>
                              <w:pStyle w:val="Odstavecseseznamem"/>
                              <w:numPr>
                                <w:ilvl w:val="0"/>
                                <w:numId w:val="5"/>
                              </w:numPr>
                              <w:overflowPunct/>
                              <w:autoSpaceDE/>
                              <w:autoSpaceDN/>
                              <w:adjustRightInd/>
                              <w:spacing w:after="120" w:line="240" w:lineRule="atLeast"/>
                              <w:textAlignment w:val="auto"/>
                              <w:rPr>
                                <w:color w:val="FFFFFF"/>
                                <w:szCs w:val="24"/>
                              </w:rPr>
                            </w:pPr>
                            <w:r w:rsidRPr="00DF6E0B">
                              <w:rPr>
                                <w:color w:val="FFFFFF"/>
                                <w:szCs w:val="24"/>
                              </w:rPr>
                              <w:t xml:space="preserve">Risk Sharing Instrument EIF realizovaný ve spolupráci s bankami v ČR (KB, ČS, </w:t>
                            </w:r>
                          </w:p>
                          <w:p w:rsidR="002E3AE9" w:rsidRPr="00DF6E0B" w:rsidRDefault="002E3AE9" w:rsidP="00C4648F">
                            <w:pPr>
                              <w:pStyle w:val="Odstavecseseznamem"/>
                              <w:overflowPunct/>
                              <w:autoSpaceDE/>
                              <w:autoSpaceDN/>
                              <w:adjustRightInd/>
                              <w:spacing w:after="120" w:line="240" w:lineRule="atLeast"/>
                              <w:ind w:left="1080"/>
                              <w:textAlignment w:val="auto"/>
                              <w:rPr>
                                <w:color w:val="FFFFFF"/>
                                <w:szCs w:val="24"/>
                              </w:rPr>
                            </w:pPr>
                            <w:r w:rsidRPr="00DF6E0B">
                              <w:rPr>
                                <w:color w:val="FFFFFF"/>
                                <w:szCs w:val="24"/>
                              </w:rPr>
                              <w:t>GE Money Bank)</w:t>
                            </w:r>
                          </w:p>
                          <w:p w:rsidR="002E3AE9" w:rsidRDefault="002E3AE9" w:rsidP="00C4648F">
                            <w:pPr>
                              <w:jc w:val="center"/>
                            </w:pPr>
                          </w:p>
                        </w:txbxContent>
                      </wps:txbx>
                      <wps:bodyPr rot="0" vert="horz" wrap="square" lIns="91440" tIns="45720" rIns="91440" bIns="45720" anchor="ctr" anchorCtr="0" upright="1">
                        <a:noAutofit/>
                      </wps:bodyPr>
                    </wps:wsp>
                  </a:graphicData>
                </a:graphic>
              </wp:inline>
            </w:drawing>
          </mc:Choice>
          <mc:Fallback>
            <w:pict>
              <v:rect id="Obdélník 10" o:spid="_x0000_s1026" style="width:457.15pt;height:152.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" fillcolor="#4f81bd" strokecolor="#243f60" strokeweight="2pt">
                <v:textbox>
                  <w:txbxContent>
                    <w:p w:rsidR="002E3AE9" w:rsidRPr="00DF6E0B" w:rsidRDefault="002E3AE9" w:rsidP="00C4648F">
                      <w:pPr>
                        <w:rPr>
                          <w:b/>
                          <w:color w:val="FFFFFF"/>
                        </w:rPr>
                      </w:pPr>
                      <w:r w:rsidRPr="00DF6E0B">
                        <w:rPr>
                          <w:b/>
                          <w:color w:val="FFFFFF"/>
                        </w:rPr>
                        <w:t>Stávající využívaná dotační podpora v ČR</w:t>
                      </w:r>
                    </w:p>
                    <w:p w:rsidR="002E3AE9" w:rsidRDefault="002E3AE9" w:rsidP="002433DA">
                      <w:pPr>
                        <w:pStyle w:val="Odstavecseseznamem"/>
                        <w:numPr>
                          <w:ilvl w:val="0"/>
                          <w:numId w:val="4"/>
                        </w:numPr>
                        <w:spacing w:after="120"/>
                        <w:rPr>
                          <w:color w:val="FFFFFF"/>
                        </w:rPr>
                      </w:pPr>
                      <w:r w:rsidRPr="00DF6E0B">
                        <w:rPr>
                          <w:color w:val="FFFFFF"/>
                        </w:rPr>
                        <w:t>Program Inovace (OPPI)</w:t>
                      </w:r>
                    </w:p>
                    <w:p w:rsidR="002E3AE9" w:rsidRDefault="002E3AE9" w:rsidP="002433DA">
                      <w:pPr>
                        <w:pStyle w:val="Odstavecseseznamem"/>
                        <w:numPr>
                          <w:ilvl w:val="0"/>
                          <w:numId w:val="4"/>
                        </w:numPr>
                        <w:overflowPunct/>
                        <w:autoSpaceDE/>
                        <w:autoSpaceDN/>
                        <w:adjustRightInd/>
                        <w:spacing w:after="120" w:line="240" w:lineRule="atLeast"/>
                        <w:textAlignment w:val="auto"/>
                        <w:rPr>
                          <w:color w:val="FFFFFF"/>
                          <w:szCs w:val="24"/>
                        </w:rPr>
                      </w:pPr>
                      <w:r w:rsidRPr="00DF6E0B">
                        <w:rPr>
                          <w:color w:val="FFFFFF"/>
                          <w:szCs w:val="24"/>
                        </w:rPr>
                        <w:t>Program Potenciál (OPPI)</w:t>
                      </w:r>
                    </w:p>
                    <w:p w:rsidR="002E3AE9" w:rsidRDefault="002E3AE9" w:rsidP="002433DA">
                      <w:pPr>
                        <w:pStyle w:val="Odstavecseseznamem"/>
                        <w:numPr>
                          <w:ilvl w:val="0"/>
                          <w:numId w:val="4"/>
                        </w:numPr>
                        <w:overflowPunct/>
                        <w:autoSpaceDE/>
                        <w:autoSpaceDN/>
                        <w:adjustRightInd/>
                        <w:spacing w:after="120" w:line="240" w:lineRule="atLeast"/>
                        <w:textAlignment w:val="auto"/>
                        <w:rPr>
                          <w:color w:val="FFFFFF"/>
                          <w:szCs w:val="24"/>
                        </w:rPr>
                      </w:pPr>
                      <w:r w:rsidRPr="00DF6E0B">
                        <w:rPr>
                          <w:color w:val="FFFFFF"/>
                          <w:szCs w:val="24"/>
                        </w:rPr>
                        <w:t>Dotační podpora prostřednictvím výzkumných programů TAČR</w:t>
                      </w:r>
                      <w:r>
                        <w:rPr>
                          <w:color w:val="FFFFFF"/>
                          <w:szCs w:val="24"/>
                        </w:rPr>
                        <w:t xml:space="preserve"> (Alfa, Epsilon a další)</w:t>
                      </w:r>
                    </w:p>
                    <w:p w:rsidR="002E3AE9" w:rsidRDefault="002E3AE9" w:rsidP="002433DA">
                      <w:pPr>
                        <w:pStyle w:val="Odstavecseseznamem"/>
                        <w:numPr>
                          <w:ilvl w:val="0"/>
                          <w:numId w:val="4"/>
                        </w:numPr>
                        <w:overflowPunct/>
                        <w:autoSpaceDE/>
                        <w:autoSpaceDN/>
                        <w:adjustRightInd/>
                        <w:spacing w:after="120" w:line="240" w:lineRule="atLeast"/>
                        <w:textAlignment w:val="auto"/>
                        <w:rPr>
                          <w:color w:val="FFFFFF"/>
                          <w:szCs w:val="24"/>
                        </w:rPr>
                      </w:pPr>
                      <w:r w:rsidRPr="00135141">
                        <w:rPr>
                          <w:color w:val="FFFFFF"/>
                          <w:szCs w:val="24"/>
                        </w:rPr>
                        <w:t>Program TIP Program CIP</w:t>
                      </w:r>
                    </w:p>
                    <w:p w:rsidR="002E3AE9" w:rsidRPr="00DF6E0B" w:rsidRDefault="002E3AE9" w:rsidP="00C4648F">
                      <w:pPr>
                        <w:rPr>
                          <w:b/>
                          <w:color w:val="FFFFFF"/>
                        </w:rPr>
                      </w:pPr>
                      <w:r w:rsidRPr="00DF6E0B">
                        <w:rPr>
                          <w:b/>
                          <w:color w:val="FFFFFF"/>
                        </w:rPr>
                        <w:t>Stávající návratné financování dostupné v ČR</w:t>
                      </w:r>
                    </w:p>
                    <w:p w:rsidR="002E3AE9" w:rsidRDefault="002E3AE9" w:rsidP="002433DA">
                      <w:pPr>
                        <w:pStyle w:val="Odstavecseseznamem"/>
                        <w:numPr>
                          <w:ilvl w:val="0"/>
                          <w:numId w:val="5"/>
                        </w:numPr>
                        <w:overflowPunct/>
                        <w:autoSpaceDE/>
                        <w:autoSpaceDN/>
                        <w:adjustRightInd/>
                        <w:spacing w:after="120" w:line="240" w:lineRule="atLeast"/>
                        <w:textAlignment w:val="auto"/>
                        <w:rPr>
                          <w:color w:val="FFFFFF"/>
                          <w:szCs w:val="24"/>
                        </w:rPr>
                      </w:pPr>
                      <w:r w:rsidRPr="00DF6E0B">
                        <w:rPr>
                          <w:color w:val="FFFFFF"/>
                          <w:szCs w:val="24"/>
                        </w:rPr>
                        <w:t xml:space="preserve">Risk Sharing Instrument EIF realizovaný ve spolupráci s bankami v ČR (KB, ČS, </w:t>
                      </w:r>
                    </w:p>
                    <w:p w:rsidR="002E3AE9" w:rsidRPr="00DF6E0B" w:rsidRDefault="002E3AE9" w:rsidP="00C4648F">
                      <w:pPr>
                        <w:pStyle w:val="Odstavecseseznamem"/>
                        <w:overflowPunct/>
                        <w:autoSpaceDE/>
                        <w:autoSpaceDN/>
                        <w:adjustRightInd/>
                        <w:spacing w:after="120" w:line="240" w:lineRule="atLeast"/>
                        <w:ind w:left="1080"/>
                        <w:textAlignment w:val="auto"/>
                        <w:rPr>
                          <w:color w:val="FFFFFF"/>
                          <w:szCs w:val="24"/>
                        </w:rPr>
                      </w:pPr>
                      <w:r w:rsidRPr="00DF6E0B">
                        <w:rPr>
                          <w:color w:val="FFFFFF"/>
                          <w:szCs w:val="24"/>
                        </w:rPr>
                        <w:t>GE Money Bank)</w:t>
                      </w:r>
                    </w:p>
                    <w:p w:rsidR="002E3AE9" w:rsidRDefault="002E3AE9" w:rsidP="00C4648F">
                      <w:pPr>
                        <w:jc w:val="center"/>
                      </w:pPr>
                    </w:p>
                  </w:txbxContent>
                </v:textbox>
                <w10:anchorlock/>
              </v:rect>
            </w:pict>
          </mc:Fallback>
        </mc:AlternateContent>
      </w:r>
    </w:p>
    <w:p w:rsidR="009D2CAE" w:rsidRPr="007C0CDA" w:rsidRDefault="009D2CAE" w:rsidP="000A0F88"/>
    <w:p w:rsidR="009D2CAE" w:rsidRPr="00B675D6" w:rsidRDefault="009D2CAE" w:rsidP="002433DA">
      <w:pPr>
        <w:pStyle w:val="Nadpis3"/>
      </w:pPr>
      <w:bookmarkStart w:id="256" w:name="_Toc416447667"/>
      <w:r w:rsidRPr="00B675D6">
        <w:t>Vyčíslení potenciální absorpční kapacity</w:t>
      </w:r>
      <w:bookmarkEnd w:id="256"/>
    </w:p>
    <w:p w:rsidR="009D2CAE" w:rsidRPr="007C0CDA" w:rsidRDefault="009D2CAE">
      <w:r w:rsidRPr="007C0CDA">
        <w:t>Absorpční kapacitu investic do průmyslového VaVaI v podnikatelském sektoru lze předpovědět pouze velmi omezeně, především na základě minulých výdajů na VaV a dosavadní poptávky po podpoře v minulém období, která reprezentovala pravděpodobně významnou část celkové poptávky.Stanoven je modelový předpoklad, že 80 % projektů aplikovaného průmyslového VaV podniků žádalo o podporu v programu TIP a 60 % projektů podnikových inovací vyšších řádů žádalo v programu Inovace (vzhledem k rozdílné míře nákladnosti a komerční realizovatelnosti obou oblastí) a naopak překryv mezi jednotlivými výzvami obou programů umenšil počet unikátních projektů o 20 %. Obecný trend růstu podnikových výdajů na VaVaI a současný mírný růst ekonomiky by měly přispět k dalšímu rozvoji VaVaI aktivit v novém programovém období.</w:t>
      </w:r>
    </w:p>
    <w:p w:rsidR="009D2CAE" w:rsidRPr="007C0CDA" w:rsidRDefault="009D2CAE"/>
    <w:p w:rsidR="009D2CAE" w:rsidRPr="007C0CDA" w:rsidRDefault="009D2CAE">
      <w:r w:rsidRPr="007C0CDA">
        <w:t>V novém období lze tedy tímto způsobem předpokládat projekty v</w:t>
      </w:r>
      <w:r w:rsidR="00B675D6">
        <w:t> </w:t>
      </w:r>
      <w:r w:rsidRPr="007C0CDA">
        <w:t>hodnotě</w:t>
      </w:r>
      <w:r w:rsidR="00B675D6">
        <w:t xml:space="preserve"> </w:t>
      </w:r>
      <w:r w:rsidRPr="007C0CDA">
        <w:t>80-120 mld. Kč v oblasti podnikových inovací vyšších řádů a</w:t>
      </w:r>
      <w:r w:rsidR="00B675D6">
        <w:t xml:space="preserve"> </w:t>
      </w:r>
      <w:r w:rsidRPr="007C0CDA">
        <w:t>170-250 mld. Kč v oblasti aplikovaného průmyslového VaV podniků (i za účasti výzkumných organizací). Je však třeba jedním dechem dodat, že takto vyčíslená investiční kapacita vychází z předpokladu užití dotací</w:t>
      </w:r>
      <w:r w:rsidR="00B675D6">
        <w:t xml:space="preserve"> v míře minulého období</w:t>
      </w:r>
      <w:r w:rsidRPr="007C0CDA">
        <w:t xml:space="preserve">, které výrazným způsobem aktivity firem stimulují. V případě užití </w:t>
      </w:r>
      <w:r w:rsidR="00B675D6">
        <w:t xml:space="preserve">pouze podpory </w:t>
      </w:r>
      <w:r w:rsidRPr="007C0CDA">
        <w:t>finanční</w:t>
      </w:r>
      <w:r w:rsidR="00B675D6">
        <w:t>m</w:t>
      </w:r>
      <w:r w:rsidRPr="007C0CDA">
        <w:t xml:space="preserve"> nástroje</w:t>
      </w:r>
      <w:r w:rsidR="00B675D6">
        <w:t>m</w:t>
      </w:r>
      <w:r w:rsidRPr="007C0CDA">
        <w:t xml:space="preserve"> se dá v této oblasti předpokládat výrazné snížení.</w:t>
      </w:r>
    </w:p>
    <w:p w:rsidR="009D2CAE" w:rsidRPr="007C0CDA" w:rsidRDefault="009D2CAE"/>
    <w:p w:rsidR="009D2CAE" w:rsidRPr="007C0CDA" w:rsidRDefault="009D2CAE">
      <w:r w:rsidRPr="007C0CDA">
        <w:t>Jak ukazují i zkušenosti z programu Inostart</w:t>
      </w:r>
      <w:r w:rsidR="00B675D6">
        <w:t xml:space="preserve"> (ač specificky zaměřeného na podniky do 3 let existence)</w:t>
      </w:r>
      <w:r w:rsidRPr="007C0CDA">
        <w:t>, projektů výrazně inovačního charakteru, které se ucházejí o měkčí podporu formou finančních nástrojů, nemusí být mnoho. To samé platí ještě více u projektů průmyslového VaV, kde jsou riziko, návratnost a náklady projektů umístěny</w:t>
      </w:r>
      <w:r w:rsidR="00B675D6">
        <w:t xml:space="preserve"> zpravidla</w:t>
      </w:r>
      <w:r w:rsidRPr="007C0CDA">
        <w:t xml:space="preserve"> ještě o řád výše.</w:t>
      </w:r>
    </w:p>
    <w:p w:rsidR="009D2CAE" w:rsidRPr="007C0CDA" w:rsidRDefault="009D2CAE"/>
    <w:p w:rsidR="009D2CAE" w:rsidRPr="007C0CDA" w:rsidRDefault="009D2CAE" w:rsidP="000A0F88"/>
    <w:p w:rsidR="009D2CAE" w:rsidRPr="00B675D6" w:rsidRDefault="009D2CAE" w:rsidP="002433DA">
      <w:pPr>
        <w:pStyle w:val="Nadpis3"/>
      </w:pPr>
      <w:bookmarkStart w:id="257" w:name="_Toc416447668"/>
      <w:r w:rsidRPr="00B675D6">
        <w:t>Analýza tržních selhání a suboptimální investiční situace</w:t>
      </w:r>
      <w:bookmarkEnd w:id="257"/>
    </w:p>
    <w:p w:rsidR="009D2CAE" w:rsidRPr="007C0CDA" w:rsidRDefault="009D2CAE" w:rsidP="00461E71"/>
    <w:p w:rsidR="009D2CAE" w:rsidRPr="002433DA" w:rsidRDefault="009D2CAE" w:rsidP="00461E71">
      <w:r w:rsidRPr="007C0CDA">
        <w:t xml:space="preserve">Výše uvedené statistiky Innovation Union ukazují na poměrně vysoké inovační aktivity českých podniků z hlediska pořizování strojů a zařízení, živené i veřejnou podporou.Aktivity podniků v oblasti VaV jsou ve srovnání výrazně nižší, přestože i zde je dotační podpora poměrně masivní. Data </w:t>
      </w:r>
      <w:r w:rsidRPr="002433DA">
        <w:t xml:space="preserve">mezinárodního srovnání Globální index konkurenceschopnosti Světového ekonomického fóra ukazují na </w:t>
      </w:r>
      <w:r w:rsidRPr="002433DA">
        <w:rPr>
          <w:b/>
        </w:rPr>
        <w:t>dopos</w:t>
      </w:r>
      <w:r w:rsidRPr="007C0CDA">
        <w:rPr>
          <w:b/>
        </w:rPr>
        <w:t xml:space="preserve">ud </w:t>
      </w:r>
      <w:r w:rsidRPr="002433DA">
        <w:rPr>
          <w:b/>
        </w:rPr>
        <w:t>nízké postavení českých MSP v</w:t>
      </w:r>
      <w:r w:rsidRPr="007C0CDA">
        <w:rPr>
          <w:b/>
        </w:rPr>
        <w:t> </w:t>
      </w:r>
      <w:r w:rsidRPr="002433DA">
        <w:rPr>
          <w:b/>
        </w:rPr>
        <w:t>mezinárodních hodnotových řetězcích</w:t>
      </w:r>
      <w:r w:rsidRPr="007C0CDA">
        <w:t>. S tím jsou spojené i nižší aktivity v oblasti inovací vyšších řádů a VaV, které jde nad rámec zefektivňování stávající výroby. Skutečně výzkumně aktivní a průkopnické firmy zde jsou, nicméně je jich relativně málo.</w:t>
      </w:r>
    </w:p>
    <w:p w:rsidR="009D2CAE" w:rsidRPr="002433DA" w:rsidRDefault="009D2CAE" w:rsidP="00461E71"/>
    <w:p w:rsidR="009D2CAE" w:rsidRPr="002433DA" w:rsidRDefault="009D2CAE" w:rsidP="00461E71">
      <w:pPr>
        <w:rPr>
          <w:color w:val="FF0000"/>
        </w:rPr>
      </w:pPr>
      <w:r w:rsidRPr="007C0CDA">
        <w:rPr>
          <w:b/>
        </w:rPr>
        <w:lastRenderedPageBreak/>
        <w:t xml:space="preserve">Tyto závěry potvrzuje i poptávka podniků po službách VO, která je nadále velmi omezená </w:t>
      </w:r>
      <w:r w:rsidRPr="002433DA">
        <w:t>a i u aktivních firem je z</w:t>
      </w:r>
      <w:r w:rsidRPr="007C0CDA">
        <w:t> </w:t>
      </w:r>
      <w:r w:rsidRPr="002433DA">
        <w:t>velké části je</w:t>
      </w:r>
      <w:r w:rsidRPr="007C0CDA">
        <w:t xml:space="preserve"> orientována na krátkodobé technické činnosti rutinnějšího charakteru (měření, testování), případně na projekty s podporou veřejných peněz – jak vyplývá i z provedeného dotazníku MPO mezi firmami a VO v roce 2014. Nejčastěji se nejedná o strategický výzkum, ale spíše o dílčí testování některých inovativních prvků a nápravu nedostatků současného technologického řešení, např. změna vlastností při různých teplotách atd.</w:t>
      </w:r>
    </w:p>
    <w:p w:rsidR="009D2CAE" w:rsidRPr="007C0CDA" w:rsidRDefault="009D2CAE" w:rsidP="00461E71"/>
    <w:p w:rsidR="009D2CAE" w:rsidRPr="007C0CDA" w:rsidRDefault="009D2CAE" w:rsidP="008E2F3F">
      <w:r w:rsidRPr="007C0CDA">
        <w:rPr>
          <w:b/>
        </w:rPr>
        <w:t>Přirozenou bariérou průmyslového výzkumu a vývoje i pokročilých inovací v podnikatelském sektoru je veliká finanční náročnost, obtížná ocenitelnost a celkově rizika s ním spojená</w:t>
      </w:r>
      <w:r w:rsidRPr="007C0CDA">
        <w:t>. Nedostatečné rozpočty na VaVaI aktivity firmy v ČR neřeší poolingem, jako například v Německu, kde některé konkurenční podniky řeší výzkumné problémy společně a vytvářejí tak koncentrovanou poptávku po výzkumných službách.</w:t>
      </w:r>
    </w:p>
    <w:p w:rsidR="009D2CAE" w:rsidRPr="007C0CDA" w:rsidRDefault="009D2CAE" w:rsidP="008E2F3F"/>
    <w:p w:rsidR="009D2CAE" w:rsidRPr="007C0CDA" w:rsidRDefault="009D2CAE" w:rsidP="00CA0217">
      <w:r w:rsidRPr="007C0CDA">
        <w:t>Podniky, které podnikají v odvětvích vysoce citlivých na technologický náskok oproti konkurenci, musí nicméně od samého začátku s kontinuálními výdaji na další výzkum a vývoj počítat. Nehledě na dotační nabídku jsou tedy nuceni k těmto investicím, které činí s jednoznačně ziskovým záměrem, a tvoří odpovídající fondy a rezervy na jeho financování.Ostatní podniky se k vlastnímu výzkumu a inovacím uchylují zejména v případě, kdy inovativní konkurence vytváří tlak na jejich postavení na trhu, případně v momentě, kdy ucítí příležitost k zásadnímu posílení své pozice na trhu a k zaplnění mezery, která byla dosud vyplňovaná např. pouze zahraničními importy. Typické inovace míří k nákupu technologií, které podniku umožní vhodné doplnění výrobního sortimentu, případně výrazné zefektivnění výrobního procesu. Takové aktivity mají výrazně předvídatelnější výhled, než projekty výzkumu a vývoje, byť i s nimi se pojí řada nejistot a podnikatelských rizik.</w:t>
      </w:r>
    </w:p>
    <w:p w:rsidR="009D2CAE" w:rsidRPr="007C0CDA" w:rsidRDefault="009D2CAE" w:rsidP="00CA0217"/>
    <w:p w:rsidR="009D2CAE" w:rsidRPr="002433DA" w:rsidRDefault="009D2CAE" w:rsidP="00CA0217">
      <w:pPr>
        <w:rPr>
          <w:b/>
        </w:rPr>
      </w:pPr>
      <w:r w:rsidRPr="007C0CDA">
        <w:t xml:space="preserve">V tomto případě každopádně hovoříme většinou o stabilizovaných podnicích, které principiálně nebudou mít zájem o kapitálový vstup, a rovněž by neměly mít zásadní problém s přístupem k bankovnímu financování, k čemuž ovšem musí poskytnout odpovídající krytí dalšími aktivy. </w:t>
      </w:r>
      <w:r w:rsidRPr="002433DA">
        <w:rPr>
          <w:b/>
        </w:rPr>
        <w:t xml:space="preserve">Riziko inovačních projektu je pro banky </w:t>
      </w:r>
      <w:r w:rsidRPr="007C0CDA">
        <w:rPr>
          <w:b/>
        </w:rPr>
        <w:t xml:space="preserve">jako tradiční poskytovatele financování pro investice </w:t>
      </w:r>
      <w:r w:rsidRPr="002433DA">
        <w:rPr>
          <w:b/>
        </w:rPr>
        <w:t>podnik</w:t>
      </w:r>
      <w:r w:rsidRPr="007C0CDA">
        <w:rPr>
          <w:b/>
        </w:rPr>
        <w:t>ů</w:t>
      </w:r>
      <w:r w:rsidRPr="002433DA">
        <w:rPr>
          <w:b/>
        </w:rPr>
        <w:t xml:space="preserve"> </w:t>
      </w:r>
      <w:r w:rsidRPr="007C0CDA">
        <w:rPr>
          <w:b/>
        </w:rPr>
        <w:t xml:space="preserve">značně </w:t>
      </w:r>
      <w:r w:rsidRPr="002433DA">
        <w:rPr>
          <w:b/>
        </w:rPr>
        <w:t>vysoké a omezuje úvěrovatelnost projektů. V</w:t>
      </w:r>
      <w:r w:rsidRPr="007C0CDA">
        <w:rPr>
          <w:b/>
        </w:rPr>
        <w:t> </w:t>
      </w:r>
      <w:r w:rsidRPr="002433DA">
        <w:rPr>
          <w:b/>
        </w:rPr>
        <w:t>případě průmyslového VaV je toto riziko a ocenitelnost ještě složitější a projektové investiční financování přes komerční banky je zde prakticky neprůchozí.</w:t>
      </w:r>
    </w:p>
    <w:p w:rsidR="009D2CAE" w:rsidRPr="007C0CDA" w:rsidRDefault="009D2CAE" w:rsidP="00CA0217"/>
    <w:p w:rsidR="009D2CAE" w:rsidRPr="007C0CDA" w:rsidRDefault="009D2CAE" w:rsidP="00CA0217">
      <w:r w:rsidRPr="002433DA">
        <w:rPr>
          <w:b/>
        </w:rPr>
        <w:t>Zpřístupnění financování formou záručního nástroje je tedy vhodné primárně pro inovační projekty, kde výrazně sníží bankám rizika z</w:t>
      </w:r>
      <w:r w:rsidRPr="007C0CDA">
        <w:rPr>
          <w:b/>
        </w:rPr>
        <w:t> </w:t>
      </w:r>
      <w:r w:rsidRPr="002433DA">
        <w:rPr>
          <w:b/>
        </w:rPr>
        <w:t>úvěrování a rozšíří portfolio úvěrovatelných projektů.</w:t>
      </w:r>
      <w:r w:rsidRPr="002433DA">
        <w:t xml:space="preserve">Povědomí o dostupnosti financí by pak měla podniky motivovat k tomu, aby se </w:t>
      </w:r>
      <w:r w:rsidRPr="007C0CDA">
        <w:t>inovacím</w:t>
      </w:r>
      <w:r w:rsidRPr="002433DA">
        <w:t xml:space="preserve"> věnovaly kontinuálně a nečekaly na bezprostřední ohrožení tržních pozic.</w:t>
      </w:r>
    </w:p>
    <w:p w:rsidR="009D2CAE" w:rsidRPr="007C0CDA" w:rsidRDefault="009D2CAE" w:rsidP="00CA0217"/>
    <w:p w:rsidR="009D2CAE" w:rsidRPr="007C0CDA" w:rsidRDefault="009D2CAE" w:rsidP="00CA0217">
      <w:r w:rsidRPr="007C0CDA">
        <w:t xml:space="preserve">Hloubkové šetření realizované mezi 138 firmami provádějícími VaV v rámci projektu INKA TAČR </w:t>
      </w:r>
      <w:r w:rsidR="003803E4">
        <w:t>svými dosavadními výsledky indikuje</w:t>
      </w:r>
      <w:r w:rsidRPr="007C0CDA">
        <w:t xml:space="preserve">, že </w:t>
      </w:r>
      <w:r w:rsidRPr="002433DA">
        <w:rPr>
          <w:b/>
        </w:rPr>
        <w:t>samotná dostupnost financování není jedinou překážkou správně fungujícímu systému VaV aktivit</w:t>
      </w:r>
      <w:r w:rsidRPr="007C0CDA">
        <w:t xml:space="preserve">. Zdaleka největší bariéru vytváří </w:t>
      </w:r>
      <w:r w:rsidRPr="002433DA">
        <w:rPr>
          <w:b/>
        </w:rPr>
        <w:t>nedostatek kvalitních lidských zdrojů</w:t>
      </w:r>
      <w:r w:rsidRPr="007C0CDA">
        <w:t xml:space="preserve"> v technických či přírodovědeckých profesích, což je do značné míry problém i současného českého školství a jeho propojenosti s podnikovou praxí.</w:t>
      </w:r>
    </w:p>
    <w:p w:rsidR="009D2CAE" w:rsidRPr="007C0CDA" w:rsidRDefault="009D2CAE" w:rsidP="00CA0217"/>
    <w:p w:rsidR="009D2CAE" w:rsidRPr="007C0CDA" w:rsidRDefault="009D2CAE" w:rsidP="00CA0217">
      <w:r w:rsidRPr="007C0CDA">
        <w:t>Na druhou stranu lze důvodně předpokládat, že zvýšení kapitálové vybavenosti českého sektoru VaVaI a zvýšení mezinárodního povědomí o něm v důsledku medializace komerčně úspěšných projektů jej zatraktivní v očích výzkumných pracovníků, odborníků i nových studentů a přispěje alespoň částečně k řešení i tohoto problému.</w:t>
      </w:r>
    </w:p>
    <w:p w:rsidR="009D2CAE" w:rsidRPr="007C0CDA" w:rsidRDefault="009D2CAE" w:rsidP="00CA0217"/>
    <w:p w:rsidR="009D2CAE" w:rsidRPr="007C0CDA" w:rsidRDefault="002D1138" w:rsidP="00CA0217">
      <w:pPr>
        <w:keepNext/>
      </w:pPr>
      <w:r>
        <w:rPr>
          <w:noProof/>
        </w:rPr>
        <w:lastRenderedPageBreak/>
        <w:drawing>
          <wp:inline distT="0" distB="0" distL="0" distR="0" wp14:anchorId="41E42780" wp14:editId="68CC4180">
            <wp:extent cx="5762625" cy="2990850"/>
            <wp:effectExtent l="0" t="0" r="9525" b="0"/>
            <wp:docPr id="82"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2990850"/>
                    </a:xfrm>
                    <a:prstGeom prst="rect">
                      <a:avLst/>
                    </a:prstGeom>
                    <a:noFill/>
                    <a:ln>
                      <a:noFill/>
                    </a:ln>
                  </pic:spPr>
                </pic:pic>
              </a:graphicData>
            </a:graphic>
          </wp:inline>
        </w:drawing>
      </w:r>
    </w:p>
    <w:p w:rsidR="009D2CAE" w:rsidRPr="007C0CDA" w:rsidRDefault="009D2CAE" w:rsidP="00DF6E0B">
      <w:pPr>
        <w:pStyle w:val="Titulek"/>
      </w:pPr>
      <w:r w:rsidRPr="007C0CDA">
        <w:t xml:space="preserve">Graf </w:t>
      </w:r>
      <w:r w:rsidRPr="00B675D6">
        <w:fldChar w:fldCharType="begin"/>
      </w:r>
      <w:r w:rsidRPr="007C0CDA">
        <w:instrText xml:space="preserve"> SEQ Graf \* ARABIC </w:instrText>
      </w:r>
      <w:r w:rsidRPr="002433DA">
        <w:fldChar w:fldCharType="separate"/>
      </w:r>
      <w:r w:rsidRPr="007C0CDA">
        <w:rPr>
          <w:noProof/>
        </w:rPr>
        <w:t>1</w:t>
      </w:r>
      <w:r w:rsidRPr="00B675D6">
        <w:fldChar w:fldCharType="end"/>
      </w:r>
      <w:r w:rsidRPr="007C0CDA">
        <w:t xml:space="preserve"> - Bariéry VaV</w:t>
      </w:r>
    </w:p>
    <w:p w:rsidR="009D2CAE" w:rsidRPr="007C0CDA" w:rsidRDefault="009D2CAE" w:rsidP="00DF6E0B">
      <w:pPr>
        <w:pStyle w:val="Titulek"/>
      </w:pPr>
      <w:r w:rsidRPr="007C0CDA">
        <w:t>(Zdroj: Šetření INKA – předběžné výstupy)</w:t>
      </w:r>
    </w:p>
    <w:p w:rsidR="009D2CAE" w:rsidRPr="007C0CDA" w:rsidRDefault="009D2CAE" w:rsidP="00CA0217">
      <w:pPr>
        <w:rPr>
          <w:lang w:eastAsia="en-US"/>
        </w:rPr>
      </w:pPr>
    </w:p>
    <w:p w:rsidR="009D2CAE" w:rsidRPr="007C0CDA" w:rsidRDefault="009D2CAE" w:rsidP="007E49E5">
      <w:pPr>
        <w:spacing w:line="300" w:lineRule="exact"/>
      </w:pPr>
      <w:r w:rsidRPr="007C0CDA">
        <w:t>Systémové potíže s prosazováním VaVaI aktivit vytváří i zmíněná nedostatečná spolupráce podniků s výzkumnými organizacemi (VO). Nedochází zde tak ve větší míře k potřebné synergii, která by snižovala náklady podniků na výzkum částečným outsourcováním a využitím odborných kapacit VO.Je tedy třeba nadále kultivovat prostředí ke vzájemné spolupráci a v případě společných projektů VaV VO a podniků je na místě dotační podpora, která může k této spolupráci tvořit impuls. Bez efektivní spolupráce na obou stranách ale sama o sobě nemůže stačit.</w:t>
      </w:r>
    </w:p>
    <w:p w:rsidR="009D2CAE" w:rsidRPr="007C0CDA" w:rsidRDefault="009D2CAE" w:rsidP="007E49E5">
      <w:pPr>
        <w:spacing w:line="300" w:lineRule="exact"/>
      </w:pPr>
    </w:p>
    <w:p w:rsidR="009D2CAE" w:rsidRPr="0038688B" w:rsidRDefault="009D2CAE" w:rsidP="002433DA">
      <w:pPr>
        <w:pStyle w:val="Nadpis3"/>
      </w:pPr>
      <w:bookmarkStart w:id="258" w:name="_Toc416383687"/>
      <w:bookmarkStart w:id="259" w:name="_Toc416447669"/>
      <w:bookmarkStart w:id="260" w:name="_Toc416383688"/>
      <w:bookmarkStart w:id="261" w:name="_Toc416447670"/>
      <w:bookmarkStart w:id="262" w:name="_Toc416383689"/>
      <w:bookmarkStart w:id="263" w:name="_Toc416447671"/>
      <w:bookmarkStart w:id="264" w:name="_Toc416383690"/>
      <w:bookmarkStart w:id="265" w:name="_Toc416447672"/>
      <w:bookmarkStart w:id="266" w:name="_Toc416383691"/>
      <w:bookmarkStart w:id="267" w:name="_Toc416447673"/>
      <w:bookmarkStart w:id="268" w:name="_Toc416383692"/>
      <w:bookmarkStart w:id="269" w:name="_Toc416447674"/>
      <w:bookmarkStart w:id="270" w:name="_Toc416447675"/>
      <w:bookmarkEnd w:id="258"/>
      <w:bookmarkEnd w:id="259"/>
      <w:bookmarkEnd w:id="260"/>
      <w:bookmarkEnd w:id="261"/>
      <w:bookmarkEnd w:id="262"/>
      <w:bookmarkEnd w:id="263"/>
      <w:bookmarkEnd w:id="264"/>
      <w:bookmarkEnd w:id="265"/>
      <w:bookmarkEnd w:id="266"/>
      <w:bookmarkEnd w:id="267"/>
      <w:bookmarkEnd w:id="268"/>
      <w:bookmarkEnd w:id="269"/>
      <w:r w:rsidRPr="00172EF4">
        <w:t>Návrh opatření</w:t>
      </w:r>
      <w:bookmarkEnd w:id="270"/>
    </w:p>
    <w:p w:rsidR="009D2CAE" w:rsidRPr="007C0CDA" w:rsidRDefault="009D2CAE" w:rsidP="00EC52E6">
      <w:r w:rsidRPr="007C0CDA">
        <w:t>V případě průmyslového VaVaI v podnikatelském sektoru se jedná o investice, u kterých by měly být podniky schopny vyhodnotit jejich potenciální ekonomický přínos a činit je s jednoznačně ziskovým záměrem, k posílení vlastní konkurenceschopnosti. Z tohoto ohledu jsou tedy tyto aktivity potenciálně vhodné pro použití finančního nástroje.</w:t>
      </w:r>
    </w:p>
    <w:p w:rsidR="009D2CAE" w:rsidRPr="007C0CDA" w:rsidRDefault="009D2CAE" w:rsidP="00EC52E6"/>
    <w:p w:rsidR="009D2CAE" w:rsidRPr="007C0CDA" w:rsidRDefault="009D2CAE" w:rsidP="00EC52E6">
      <w:pPr>
        <w:rPr>
          <w:color w:val="FF0000"/>
        </w:rPr>
      </w:pPr>
      <w:r w:rsidRPr="007C0CDA">
        <w:t>Reálně se však ukazují výrazné bariéry, které se s užitím klasického zvýhodněného financování pojí. V oblasti průmyslového VaV jsou tyto aktivity příliš rizikové a bez jasné perspektivy výsledku a změřitelné hodnoty. Úvěrování bankou je samozřejmě možné, ale na bázi úvěrovatelnosti podniku samotného a poskytnutých zást</w:t>
      </w:r>
      <w:r w:rsidRPr="002433DA">
        <w:t>av. Při obecně slabé aktivitě podniků v oblasti VaV jeví jako účelnější spíše podpora dotační, která vytváří silnější impulsy a částečně vynahrazuje riziko. Dalším argumentem pro ni je žádaný výsledek vyšší spolupráce firem s veřejnými výzkumnými institucemi, které nejsou k využívání úvěrů způsobilé.Využívání finančních nástrojů v oblasti firemních aktivit není vyloučené, pro potenciální poptávku je zde alternativa evropských nástrojů HORIZONTINNOVFIN</w:t>
      </w:r>
      <w:r w:rsidR="00854519" w:rsidRPr="002433DA">
        <w:t>, které doplňují dotační podporu</w:t>
      </w:r>
      <w:r w:rsidRPr="002433DA">
        <w:t>.</w:t>
      </w:r>
    </w:p>
    <w:p w:rsidR="009D2CAE" w:rsidRPr="007C0CDA" w:rsidRDefault="009D2CAE" w:rsidP="00EC52E6"/>
    <w:p w:rsidR="009D2CAE" w:rsidRPr="007C0CDA" w:rsidRDefault="009D2CAE" w:rsidP="00EC52E6">
      <w:r w:rsidRPr="007C0CDA">
        <w:t>Vhodnější oblastí pro aplikaci finančních nástrojů se jeví inovace, které jsou více spjaty s generováním předvídatelných příjmů, jsou obecně o něco méně rizikové a nástroj ve formě záruky může u některých projektů výrazně usnadnit přístup k tržnímu financování, což platí zejména pro MSP.</w:t>
      </w:r>
    </w:p>
    <w:p w:rsidR="009D2CAE" w:rsidRPr="007C0CDA" w:rsidRDefault="009D2CAE" w:rsidP="00EC52E6"/>
    <w:p w:rsidR="009D2CAE" w:rsidRPr="007C0CDA" w:rsidRDefault="007C2066" w:rsidP="002433DA">
      <w:pPr>
        <w:pStyle w:val="Nadpis3"/>
      </w:pPr>
      <w:bookmarkStart w:id="271" w:name="_Toc416447676"/>
      <w:r>
        <w:lastRenderedPageBreak/>
        <w:t>Posouzení přidané hodnoty</w:t>
      </w:r>
      <w:r w:rsidR="009D2CAE" w:rsidRPr="007C0CDA">
        <w:t xml:space="preserve"> finančních nástrojů</w:t>
      </w:r>
      <w:bookmarkEnd w:id="271"/>
    </w:p>
    <w:p w:rsidR="009D2CAE" w:rsidRPr="007C0CDA" w:rsidRDefault="009D2CAE" w:rsidP="00CD4580">
      <w:r w:rsidRPr="007C0CDA">
        <w:t>V rámci tabulek níže je uveden přehled přidané hodnoty, problémů a rizik z pohledu konečného příjemce a ŘO (tabulka č. 2) a z pohledu celkového dopadu na absorpční kapacitu a dosažení cílů SC 1.1, se zohledněním dopadů na tržní prostředí. Porovnány jsou zvažované nástroje formou záruk, zvýhodněných úvěrů a dotace.</w:t>
      </w:r>
    </w:p>
    <w:p w:rsidR="009D2CAE" w:rsidRPr="007C0CDA" w:rsidRDefault="009D2CAE" w:rsidP="00CD4580"/>
    <w:tbl>
      <w:tblPr>
        <w:tblpPr w:leftFromText="141" w:rightFromText="141" w:vertAnchor="text" w:horzAnchor="margin" w:tblpY="-23"/>
        <w:tblW w:w="8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0"/>
        <w:gridCol w:w="960"/>
        <w:gridCol w:w="2414"/>
        <w:gridCol w:w="2330"/>
        <w:gridCol w:w="2330"/>
      </w:tblGrid>
      <w:tr w:rsidR="009D2CAE" w:rsidRPr="007C0CDA" w:rsidTr="003B0EE7">
        <w:trPr>
          <w:trHeight w:val="315"/>
        </w:trPr>
        <w:tc>
          <w:tcPr>
            <w:tcW w:w="960" w:type="dxa"/>
            <w:shd w:val="clear" w:color="auto" w:fill="365F91"/>
            <w:noWrap/>
          </w:tcPr>
          <w:p w:rsidR="009D2CAE" w:rsidRPr="002433DA" w:rsidRDefault="009D2CAE" w:rsidP="00CD4580">
            <w:pPr>
              <w:jc w:val="left"/>
              <w:rPr>
                <w:rFonts w:ascii="Times New Roman" w:hAnsi="Times New Roman"/>
                <w:sz w:val="24"/>
                <w:szCs w:val="24"/>
              </w:rPr>
            </w:pPr>
          </w:p>
        </w:tc>
        <w:tc>
          <w:tcPr>
            <w:tcW w:w="960" w:type="dxa"/>
            <w:shd w:val="clear" w:color="auto" w:fill="365F91"/>
            <w:noWrap/>
          </w:tcPr>
          <w:p w:rsidR="009D2CAE" w:rsidRPr="007C0CDA" w:rsidRDefault="009D2CAE" w:rsidP="00CD4580">
            <w:pPr>
              <w:jc w:val="left"/>
              <w:rPr>
                <w:rFonts w:ascii="Times New Roman" w:hAnsi="Times New Roman"/>
                <w:color w:val="000000"/>
                <w:sz w:val="24"/>
                <w:szCs w:val="24"/>
              </w:rPr>
            </w:pPr>
            <w:r w:rsidRPr="007C0CDA">
              <w:rPr>
                <w:rFonts w:ascii="Times New Roman" w:hAnsi="Times New Roman"/>
                <w:color w:val="000000"/>
                <w:sz w:val="24"/>
                <w:szCs w:val="24"/>
              </w:rPr>
              <w:t> </w:t>
            </w:r>
          </w:p>
        </w:tc>
        <w:tc>
          <w:tcPr>
            <w:tcW w:w="4744" w:type="dxa"/>
            <w:gridSpan w:val="2"/>
            <w:shd w:val="clear" w:color="auto" w:fill="365F91"/>
            <w:noWrap/>
          </w:tcPr>
          <w:p w:rsidR="009D2CAE" w:rsidRPr="002433DA" w:rsidRDefault="009D2CAE" w:rsidP="00CD4580">
            <w:pPr>
              <w:jc w:val="center"/>
              <w:rPr>
                <w:b/>
                <w:bCs/>
                <w:color w:val="FFFFFF"/>
                <w:sz w:val="24"/>
                <w:szCs w:val="24"/>
              </w:rPr>
            </w:pPr>
            <w:r w:rsidRPr="002433DA">
              <w:rPr>
                <w:b/>
                <w:bCs/>
                <w:color w:val="FFFFFF"/>
                <w:sz w:val="24"/>
                <w:szCs w:val="24"/>
              </w:rPr>
              <w:t>Finanční nástroj</w:t>
            </w:r>
          </w:p>
        </w:tc>
        <w:tc>
          <w:tcPr>
            <w:tcW w:w="2330" w:type="dxa"/>
            <w:shd w:val="clear" w:color="auto" w:fill="365F91"/>
          </w:tcPr>
          <w:p w:rsidR="009D2CAE" w:rsidRPr="002433DA" w:rsidRDefault="009D2CAE" w:rsidP="00CD4580">
            <w:pPr>
              <w:jc w:val="center"/>
              <w:rPr>
                <w:b/>
                <w:bCs/>
                <w:color w:val="FFFFFF"/>
                <w:sz w:val="24"/>
                <w:szCs w:val="24"/>
              </w:rPr>
            </w:pPr>
            <w:r w:rsidRPr="002433DA">
              <w:rPr>
                <w:b/>
                <w:bCs/>
                <w:color w:val="FFFFFF"/>
                <w:sz w:val="24"/>
                <w:szCs w:val="24"/>
              </w:rPr>
              <w:t>Dotace</w:t>
            </w:r>
          </w:p>
        </w:tc>
      </w:tr>
      <w:tr w:rsidR="009D2CAE" w:rsidRPr="007C0CDA" w:rsidTr="003B0EE7">
        <w:trPr>
          <w:trHeight w:val="315"/>
        </w:trPr>
        <w:tc>
          <w:tcPr>
            <w:tcW w:w="960" w:type="dxa"/>
            <w:shd w:val="clear" w:color="auto" w:fill="365F91"/>
            <w:noWrap/>
          </w:tcPr>
          <w:p w:rsidR="009D2CAE" w:rsidRPr="002433DA" w:rsidRDefault="009D2CAE" w:rsidP="00CD4580">
            <w:pPr>
              <w:jc w:val="center"/>
              <w:rPr>
                <w:b/>
                <w:bCs/>
                <w:color w:val="000000"/>
                <w:sz w:val="24"/>
                <w:szCs w:val="24"/>
              </w:rPr>
            </w:pPr>
          </w:p>
        </w:tc>
        <w:tc>
          <w:tcPr>
            <w:tcW w:w="960" w:type="dxa"/>
            <w:shd w:val="clear" w:color="auto" w:fill="365F91"/>
            <w:noWrap/>
          </w:tcPr>
          <w:p w:rsidR="009D2CAE" w:rsidRPr="007C0CDA" w:rsidRDefault="009D2CAE" w:rsidP="00CD4580">
            <w:pPr>
              <w:jc w:val="left"/>
              <w:rPr>
                <w:color w:val="000000"/>
                <w:sz w:val="24"/>
                <w:szCs w:val="24"/>
              </w:rPr>
            </w:pPr>
            <w:r w:rsidRPr="007C0CDA">
              <w:rPr>
                <w:color w:val="000000"/>
                <w:sz w:val="24"/>
                <w:szCs w:val="24"/>
              </w:rPr>
              <w:t> </w:t>
            </w:r>
          </w:p>
        </w:tc>
        <w:tc>
          <w:tcPr>
            <w:tcW w:w="2414" w:type="dxa"/>
            <w:shd w:val="clear" w:color="auto" w:fill="365F91"/>
          </w:tcPr>
          <w:p w:rsidR="009D2CAE" w:rsidRPr="002433DA" w:rsidRDefault="009D2CAE" w:rsidP="00CD4580">
            <w:pPr>
              <w:jc w:val="center"/>
              <w:rPr>
                <w:b/>
                <w:bCs/>
                <w:color w:val="FFFFFF"/>
                <w:sz w:val="24"/>
                <w:szCs w:val="24"/>
              </w:rPr>
            </w:pPr>
            <w:r w:rsidRPr="007C0CDA">
              <w:rPr>
                <w:b/>
                <w:bCs/>
                <w:color w:val="FFFFFF"/>
                <w:sz w:val="24"/>
                <w:szCs w:val="24"/>
              </w:rPr>
              <w:t>Záruční nástroj</w:t>
            </w:r>
          </w:p>
        </w:tc>
        <w:tc>
          <w:tcPr>
            <w:tcW w:w="2330" w:type="dxa"/>
            <w:shd w:val="clear" w:color="auto" w:fill="365F91"/>
          </w:tcPr>
          <w:p w:rsidR="009D2CAE" w:rsidRPr="002433DA" w:rsidRDefault="009D2CAE" w:rsidP="00CD4580">
            <w:pPr>
              <w:jc w:val="center"/>
              <w:rPr>
                <w:b/>
                <w:bCs/>
                <w:color w:val="FFFFFF"/>
                <w:sz w:val="24"/>
                <w:szCs w:val="24"/>
              </w:rPr>
            </w:pPr>
            <w:r w:rsidRPr="002433DA">
              <w:rPr>
                <w:b/>
                <w:bCs/>
                <w:color w:val="FFFFFF"/>
                <w:sz w:val="24"/>
                <w:szCs w:val="24"/>
              </w:rPr>
              <w:t>Zvýhodněný úvěr</w:t>
            </w:r>
          </w:p>
        </w:tc>
        <w:tc>
          <w:tcPr>
            <w:tcW w:w="2330" w:type="dxa"/>
            <w:shd w:val="clear" w:color="auto" w:fill="365F91"/>
          </w:tcPr>
          <w:p w:rsidR="009D2CAE" w:rsidRPr="002433DA" w:rsidRDefault="009D2CAE" w:rsidP="00CD4580">
            <w:pPr>
              <w:jc w:val="center"/>
              <w:rPr>
                <w:b/>
                <w:bCs/>
                <w:color w:val="FFFFFF"/>
                <w:sz w:val="24"/>
                <w:szCs w:val="24"/>
              </w:rPr>
            </w:pPr>
          </w:p>
        </w:tc>
      </w:tr>
      <w:tr w:rsidR="009D2CAE" w:rsidRPr="007C0CDA" w:rsidTr="003B0EE7">
        <w:trPr>
          <w:trHeight w:val="720"/>
        </w:trPr>
        <w:tc>
          <w:tcPr>
            <w:tcW w:w="960" w:type="dxa"/>
            <w:vMerge w:val="restart"/>
            <w:shd w:val="clear" w:color="auto" w:fill="8DB3E2"/>
            <w:noWrap/>
            <w:textDirection w:val="btLr"/>
          </w:tcPr>
          <w:p w:rsidR="009D2CAE" w:rsidRPr="002433DA" w:rsidRDefault="009D2CAE" w:rsidP="00A1267B">
            <w:pPr>
              <w:jc w:val="center"/>
              <w:rPr>
                <w:b/>
                <w:bCs/>
                <w:color w:val="FFFFFF"/>
                <w:sz w:val="24"/>
                <w:szCs w:val="24"/>
              </w:rPr>
            </w:pPr>
            <w:r w:rsidRPr="007C0CDA">
              <w:rPr>
                <w:b/>
                <w:bCs/>
                <w:color w:val="FFFFFF"/>
                <w:sz w:val="24"/>
                <w:szCs w:val="24"/>
              </w:rPr>
              <w:t>P</w:t>
            </w:r>
            <w:r w:rsidRPr="002433DA">
              <w:rPr>
                <w:b/>
                <w:bCs/>
                <w:color w:val="FFFFFF"/>
                <w:sz w:val="24"/>
                <w:szCs w:val="24"/>
              </w:rPr>
              <w:t>řidaná hodnota veřejné podpory</w:t>
            </w:r>
            <w:r w:rsidRPr="007C0CDA">
              <w:rPr>
                <w:b/>
                <w:bCs/>
                <w:color w:val="FFFFFF"/>
                <w:sz w:val="24"/>
                <w:szCs w:val="24"/>
              </w:rPr>
              <w:t xml:space="preserve"> pro příjemce a ŘO</w:t>
            </w:r>
          </w:p>
        </w:tc>
        <w:tc>
          <w:tcPr>
            <w:tcW w:w="960" w:type="dxa"/>
            <w:vMerge w:val="restart"/>
            <w:shd w:val="clear" w:color="auto" w:fill="8DB3E2"/>
            <w:noWrap/>
            <w:textDirection w:val="btLr"/>
          </w:tcPr>
          <w:p w:rsidR="009D2CAE" w:rsidRPr="002433DA" w:rsidRDefault="009D2CAE" w:rsidP="00CD4580">
            <w:pPr>
              <w:jc w:val="center"/>
              <w:rPr>
                <w:b/>
                <w:bCs/>
                <w:color w:val="FFFFFF"/>
                <w:sz w:val="24"/>
                <w:szCs w:val="24"/>
              </w:rPr>
            </w:pPr>
            <w:r w:rsidRPr="002433DA">
              <w:rPr>
                <w:b/>
                <w:bCs/>
                <w:color w:val="FFFFFF"/>
                <w:sz w:val="24"/>
                <w:szCs w:val="24"/>
              </w:rPr>
              <w:t>Konečný příjemce</w:t>
            </w:r>
          </w:p>
        </w:tc>
        <w:tc>
          <w:tcPr>
            <w:tcW w:w="2414" w:type="dxa"/>
            <w:shd w:val="clear" w:color="auto" w:fill="8DB3E2"/>
          </w:tcPr>
          <w:p w:rsidR="009D2CAE" w:rsidRPr="002433DA" w:rsidRDefault="009D2CAE" w:rsidP="00CD4580">
            <w:pPr>
              <w:jc w:val="center"/>
              <w:rPr>
                <w:b/>
                <w:color w:val="FFFFFF"/>
                <w:sz w:val="20"/>
              </w:rPr>
            </w:pPr>
            <w:r w:rsidRPr="002433DA">
              <w:rPr>
                <w:b/>
                <w:color w:val="FFFFFF"/>
                <w:sz w:val="20"/>
              </w:rPr>
              <w:t xml:space="preserve">Zpřístupnění </w:t>
            </w:r>
            <w:r w:rsidRPr="007C0CDA">
              <w:rPr>
                <w:b/>
                <w:color w:val="FFFFFF"/>
                <w:sz w:val="20"/>
              </w:rPr>
              <w:t xml:space="preserve">jinak </w:t>
            </w:r>
            <w:r w:rsidRPr="002433DA">
              <w:rPr>
                <w:b/>
                <w:color w:val="FFFFFF"/>
                <w:sz w:val="20"/>
              </w:rPr>
              <w:t>nedosažitelného financování</w:t>
            </w:r>
          </w:p>
        </w:tc>
        <w:tc>
          <w:tcPr>
            <w:tcW w:w="2330" w:type="dxa"/>
            <w:shd w:val="clear" w:color="auto" w:fill="8DB3E2"/>
          </w:tcPr>
          <w:p w:rsidR="009D2CAE" w:rsidRPr="002433DA" w:rsidRDefault="009D2CAE" w:rsidP="00A1267B">
            <w:pPr>
              <w:jc w:val="center"/>
              <w:rPr>
                <w:b/>
                <w:color w:val="FFFFFF"/>
                <w:sz w:val="20"/>
              </w:rPr>
            </w:pPr>
            <w:r w:rsidRPr="002433DA">
              <w:rPr>
                <w:b/>
                <w:color w:val="FFFFFF"/>
                <w:sz w:val="20"/>
              </w:rPr>
              <w:t>Zpřístupnění vyšší míry externího financování</w:t>
            </w:r>
          </w:p>
        </w:tc>
        <w:tc>
          <w:tcPr>
            <w:tcW w:w="2330" w:type="dxa"/>
            <w:shd w:val="clear" w:color="auto" w:fill="8DB3E2"/>
          </w:tcPr>
          <w:p w:rsidR="009D2CAE" w:rsidRPr="002433DA" w:rsidRDefault="009D2CAE" w:rsidP="00CD4580">
            <w:pPr>
              <w:jc w:val="center"/>
              <w:rPr>
                <w:b/>
                <w:color w:val="FFFFFF"/>
                <w:sz w:val="20"/>
              </w:rPr>
            </w:pPr>
            <w:r w:rsidRPr="002433DA">
              <w:rPr>
                <w:b/>
                <w:color w:val="FFFFFF"/>
                <w:sz w:val="20"/>
              </w:rPr>
              <w:t>Nevratný příspěvek na projekt</w:t>
            </w:r>
          </w:p>
        </w:tc>
      </w:tr>
      <w:tr w:rsidR="009D2CAE" w:rsidRPr="007C0CDA" w:rsidTr="003B0EE7">
        <w:trPr>
          <w:trHeight w:val="480"/>
        </w:trPr>
        <w:tc>
          <w:tcPr>
            <w:tcW w:w="960" w:type="dxa"/>
            <w:vMerge/>
            <w:shd w:val="clear" w:color="auto" w:fill="8DB3E2"/>
          </w:tcPr>
          <w:p w:rsidR="009D2CAE" w:rsidRPr="002433DA" w:rsidRDefault="009D2CAE" w:rsidP="00CD4580">
            <w:pPr>
              <w:jc w:val="left"/>
              <w:rPr>
                <w:b/>
                <w:bCs/>
                <w:color w:val="FFFFFF"/>
                <w:sz w:val="24"/>
                <w:szCs w:val="24"/>
              </w:rPr>
            </w:pPr>
          </w:p>
        </w:tc>
        <w:tc>
          <w:tcPr>
            <w:tcW w:w="960" w:type="dxa"/>
            <w:vMerge/>
            <w:shd w:val="clear" w:color="auto" w:fill="8DB3E2"/>
          </w:tcPr>
          <w:p w:rsidR="009D2CAE" w:rsidRPr="002433DA" w:rsidRDefault="009D2CAE" w:rsidP="00CD4580">
            <w:pPr>
              <w:jc w:val="left"/>
              <w:rPr>
                <w:b/>
                <w:bCs/>
                <w:color w:val="FFFFFF"/>
                <w:sz w:val="24"/>
                <w:szCs w:val="24"/>
              </w:rPr>
            </w:pPr>
          </w:p>
        </w:tc>
        <w:tc>
          <w:tcPr>
            <w:tcW w:w="2414" w:type="dxa"/>
            <w:shd w:val="clear" w:color="auto" w:fill="8DB3E2"/>
          </w:tcPr>
          <w:p w:rsidR="009D2CAE" w:rsidRPr="002433DA" w:rsidRDefault="009D2CAE" w:rsidP="00A1267B">
            <w:pPr>
              <w:jc w:val="center"/>
              <w:rPr>
                <w:b/>
                <w:color w:val="FFFFFF"/>
                <w:sz w:val="20"/>
              </w:rPr>
            </w:pPr>
            <w:r w:rsidRPr="002433DA">
              <w:rPr>
                <w:b/>
                <w:color w:val="FFFFFF"/>
                <w:sz w:val="20"/>
              </w:rPr>
              <w:t>Částečné snížení úrokové sazby snížením rizikové přirážky</w:t>
            </w:r>
          </w:p>
        </w:tc>
        <w:tc>
          <w:tcPr>
            <w:tcW w:w="2330" w:type="dxa"/>
            <w:shd w:val="clear" w:color="auto" w:fill="8DB3E2"/>
          </w:tcPr>
          <w:p w:rsidR="009D2CAE" w:rsidRPr="002433DA" w:rsidRDefault="009D2CAE" w:rsidP="00CD4580">
            <w:pPr>
              <w:jc w:val="center"/>
              <w:rPr>
                <w:b/>
                <w:color w:val="FFFFFF"/>
                <w:sz w:val="20"/>
              </w:rPr>
            </w:pPr>
            <w:r w:rsidRPr="002433DA">
              <w:rPr>
                <w:b/>
                <w:color w:val="FFFFFF"/>
                <w:sz w:val="20"/>
              </w:rPr>
              <w:t>Snížení úrokové sazby</w:t>
            </w:r>
          </w:p>
        </w:tc>
        <w:tc>
          <w:tcPr>
            <w:tcW w:w="2330" w:type="dxa"/>
            <w:shd w:val="clear" w:color="auto" w:fill="8DB3E2"/>
          </w:tcPr>
          <w:p w:rsidR="009D2CAE" w:rsidRPr="002433DA" w:rsidRDefault="009D2CAE" w:rsidP="002F7B85">
            <w:pPr>
              <w:jc w:val="center"/>
              <w:rPr>
                <w:b/>
                <w:color w:val="FFFFFF"/>
                <w:sz w:val="20"/>
              </w:rPr>
            </w:pPr>
            <w:r w:rsidRPr="002433DA">
              <w:rPr>
                <w:b/>
                <w:color w:val="FFFFFF"/>
                <w:sz w:val="20"/>
              </w:rPr>
              <w:t>Vysoce snížená doba návratnosti</w:t>
            </w:r>
            <w:r w:rsidRPr="007C0CDA">
              <w:rPr>
                <w:b/>
                <w:color w:val="FFFFFF"/>
                <w:sz w:val="20"/>
              </w:rPr>
              <w:t xml:space="preserve"> </w:t>
            </w:r>
          </w:p>
        </w:tc>
      </w:tr>
      <w:tr w:rsidR="009D2CAE" w:rsidRPr="007C0CDA" w:rsidTr="003B0EE7">
        <w:trPr>
          <w:trHeight w:val="720"/>
        </w:trPr>
        <w:tc>
          <w:tcPr>
            <w:tcW w:w="960" w:type="dxa"/>
            <w:vMerge/>
            <w:shd w:val="clear" w:color="auto" w:fill="8DB3E2"/>
          </w:tcPr>
          <w:p w:rsidR="009D2CAE" w:rsidRPr="002433DA" w:rsidRDefault="009D2CAE" w:rsidP="00CD4580">
            <w:pPr>
              <w:jc w:val="left"/>
              <w:rPr>
                <w:b/>
                <w:bCs/>
                <w:color w:val="FFFFFF"/>
                <w:sz w:val="24"/>
                <w:szCs w:val="24"/>
              </w:rPr>
            </w:pPr>
          </w:p>
        </w:tc>
        <w:tc>
          <w:tcPr>
            <w:tcW w:w="960" w:type="dxa"/>
            <w:vMerge/>
            <w:shd w:val="clear" w:color="auto" w:fill="8DB3E2"/>
          </w:tcPr>
          <w:p w:rsidR="009D2CAE" w:rsidRPr="002433DA" w:rsidRDefault="009D2CAE" w:rsidP="00CD4580">
            <w:pPr>
              <w:jc w:val="left"/>
              <w:rPr>
                <w:b/>
                <w:bCs/>
                <w:color w:val="FFFFFF"/>
                <w:sz w:val="24"/>
                <w:szCs w:val="24"/>
              </w:rPr>
            </w:pPr>
          </w:p>
        </w:tc>
        <w:tc>
          <w:tcPr>
            <w:tcW w:w="2414" w:type="dxa"/>
            <w:shd w:val="clear" w:color="auto" w:fill="8DB3E2"/>
          </w:tcPr>
          <w:p w:rsidR="009D2CAE" w:rsidRPr="002433DA" w:rsidRDefault="009D2CAE" w:rsidP="00A1267B">
            <w:pPr>
              <w:jc w:val="center"/>
              <w:rPr>
                <w:b/>
                <w:color w:val="FFFFFF"/>
                <w:sz w:val="20"/>
              </w:rPr>
            </w:pPr>
            <w:r w:rsidRPr="002433DA">
              <w:rPr>
                <w:b/>
                <w:color w:val="FFFFFF"/>
                <w:sz w:val="20"/>
              </w:rPr>
              <w:t>Snížení nároků na zástavu podniku</w:t>
            </w:r>
          </w:p>
        </w:tc>
        <w:tc>
          <w:tcPr>
            <w:tcW w:w="2330" w:type="dxa"/>
            <w:shd w:val="clear" w:color="auto" w:fill="8DB3E2"/>
          </w:tcPr>
          <w:p w:rsidR="009D2CAE" w:rsidRPr="002433DA" w:rsidRDefault="009D2CAE" w:rsidP="00CD4580">
            <w:pPr>
              <w:jc w:val="center"/>
              <w:rPr>
                <w:b/>
                <w:color w:val="FFFFFF"/>
                <w:sz w:val="20"/>
              </w:rPr>
            </w:pPr>
            <w:r w:rsidRPr="002433DA">
              <w:rPr>
                <w:b/>
                <w:color w:val="FFFFFF"/>
                <w:sz w:val="20"/>
              </w:rPr>
              <w:t>Delší doba splatnosti</w:t>
            </w:r>
          </w:p>
        </w:tc>
        <w:tc>
          <w:tcPr>
            <w:tcW w:w="2330" w:type="dxa"/>
            <w:shd w:val="clear" w:color="auto" w:fill="8DB3E2"/>
          </w:tcPr>
          <w:p w:rsidR="009D2CAE" w:rsidRPr="002433DA" w:rsidRDefault="009D2CAE" w:rsidP="00CD4580">
            <w:pPr>
              <w:jc w:val="center"/>
              <w:rPr>
                <w:b/>
                <w:color w:val="FFFFFF"/>
                <w:sz w:val="20"/>
              </w:rPr>
            </w:pPr>
            <w:r w:rsidRPr="002433DA">
              <w:rPr>
                <w:b/>
                <w:color w:val="FFFFFF"/>
                <w:sz w:val="20"/>
              </w:rPr>
              <w:t>Snazší opatření úvěru na zbytek nákladů projektu</w:t>
            </w:r>
          </w:p>
        </w:tc>
      </w:tr>
      <w:tr w:rsidR="009D2CAE" w:rsidRPr="007C0CDA" w:rsidTr="003B0EE7">
        <w:trPr>
          <w:trHeight w:val="478"/>
        </w:trPr>
        <w:tc>
          <w:tcPr>
            <w:tcW w:w="960" w:type="dxa"/>
            <w:vMerge/>
            <w:shd w:val="clear" w:color="auto" w:fill="8DB3E2"/>
          </w:tcPr>
          <w:p w:rsidR="009D2CAE" w:rsidRPr="002433DA" w:rsidRDefault="009D2CAE" w:rsidP="00CD4580">
            <w:pPr>
              <w:jc w:val="left"/>
              <w:rPr>
                <w:b/>
                <w:bCs/>
                <w:color w:val="FFFFFF"/>
                <w:sz w:val="24"/>
                <w:szCs w:val="24"/>
              </w:rPr>
            </w:pPr>
          </w:p>
        </w:tc>
        <w:tc>
          <w:tcPr>
            <w:tcW w:w="960" w:type="dxa"/>
            <w:vMerge/>
            <w:shd w:val="clear" w:color="auto" w:fill="8DB3E2"/>
          </w:tcPr>
          <w:p w:rsidR="009D2CAE" w:rsidRPr="002433DA" w:rsidRDefault="009D2CAE" w:rsidP="00CD4580">
            <w:pPr>
              <w:jc w:val="left"/>
              <w:rPr>
                <w:b/>
                <w:bCs/>
                <w:color w:val="FFFFFF"/>
                <w:sz w:val="24"/>
                <w:szCs w:val="24"/>
              </w:rPr>
            </w:pPr>
          </w:p>
        </w:tc>
        <w:tc>
          <w:tcPr>
            <w:tcW w:w="2414" w:type="dxa"/>
            <w:shd w:val="clear" w:color="auto" w:fill="8DB3E2"/>
            <w:noWrap/>
          </w:tcPr>
          <w:p w:rsidR="009D2CAE" w:rsidRPr="002433DA" w:rsidRDefault="009D2CAE" w:rsidP="00CD4580">
            <w:pPr>
              <w:jc w:val="center"/>
              <w:rPr>
                <w:b/>
                <w:color w:val="FFFFFF"/>
                <w:sz w:val="20"/>
              </w:rPr>
            </w:pPr>
          </w:p>
        </w:tc>
        <w:tc>
          <w:tcPr>
            <w:tcW w:w="2330" w:type="dxa"/>
            <w:shd w:val="clear" w:color="auto" w:fill="8DB3E2"/>
          </w:tcPr>
          <w:p w:rsidR="009D2CAE" w:rsidRPr="002433DA" w:rsidRDefault="009D2CAE" w:rsidP="00CD4580">
            <w:pPr>
              <w:jc w:val="center"/>
              <w:rPr>
                <w:b/>
                <w:color w:val="FFFFFF"/>
                <w:sz w:val="20"/>
              </w:rPr>
            </w:pPr>
            <w:r w:rsidRPr="002433DA">
              <w:rPr>
                <w:b/>
                <w:color w:val="FFFFFF"/>
                <w:sz w:val="20"/>
              </w:rPr>
              <w:t>Snížená doba návratnosti</w:t>
            </w:r>
          </w:p>
        </w:tc>
        <w:tc>
          <w:tcPr>
            <w:tcW w:w="2330" w:type="dxa"/>
            <w:shd w:val="clear" w:color="auto" w:fill="8DB3E2"/>
          </w:tcPr>
          <w:p w:rsidR="009D2CAE" w:rsidRPr="002433DA" w:rsidRDefault="009D2CAE" w:rsidP="00CD4580">
            <w:pPr>
              <w:jc w:val="center"/>
              <w:rPr>
                <w:b/>
                <w:color w:val="FFFFFF"/>
                <w:sz w:val="20"/>
              </w:rPr>
            </w:pPr>
          </w:p>
        </w:tc>
      </w:tr>
      <w:tr w:rsidR="009D2CAE" w:rsidRPr="007C0CDA" w:rsidTr="003B0EE7">
        <w:trPr>
          <w:trHeight w:val="680"/>
        </w:trPr>
        <w:tc>
          <w:tcPr>
            <w:tcW w:w="960" w:type="dxa"/>
            <w:vMerge/>
            <w:shd w:val="clear" w:color="auto" w:fill="8DB3E2"/>
          </w:tcPr>
          <w:p w:rsidR="009D2CAE" w:rsidRPr="002433DA" w:rsidRDefault="009D2CAE" w:rsidP="00CD4580">
            <w:pPr>
              <w:jc w:val="left"/>
              <w:rPr>
                <w:b/>
                <w:bCs/>
                <w:color w:val="FFFFFF"/>
                <w:sz w:val="24"/>
                <w:szCs w:val="24"/>
              </w:rPr>
            </w:pPr>
          </w:p>
        </w:tc>
        <w:tc>
          <w:tcPr>
            <w:tcW w:w="960" w:type="dxa"/>
            <w:vMerge/>
            <w:shd w:val="clear" w:color="auto" w:fill="8DB3E2"/>
          </w:tcPr>
          <w:p w:rsidR="009D2CAE" w:rsidRPr="002433DA" w:rsidRDefault="009D2CAE" w:rsidP="00CD4580">
            <w:pPr>
              <w:jc w:val="left"/>
              <w:rPr>
                <w:b/>
                <w:bCs/>
                <w:color w:val="FFFFFF"/>
                <w:sz w:val="24"/>
                <w:szCs w:val="24"/>
              </w:rPr>
            </w:pPr>
          </w:p>
        </w:tc>
        <w:tc>
          <w:tcPr>
            <w:tcW w:w="2414" w:type="dxa"/>
            <w:shd w:val="clear" w:color="auto" w:fill="8DB3E2"/>
          </w:tcPr>
          <w:p w:rsidR="009D2CAE" w:rsidRPr="002433DA" w:rsidRDefault="009D2CAE" w:rsidP="00CD4580">
            <w:pPr>
              <w:jc w:val="center"/>
              <w:rPr>
                <w:b/>
                <w:color w:val="FFFFFF"/>
                <w:sz w:val="20"/>
              </w:rPr>
            </w:pPr>
            <w:r w:rsidRPr="007C0CDA">
              <w:rPr>
                <w:b/>
                <w:color w:val="FFFFFF"/>
                <w:sz w:val="20"/>
              </w:rPr>
              <w:t>Platba v předstihu v podobě úvěru</w:t>
            </w:r>
          </w:p>
        </w:tc>
        <w:tc>
          <w:tcPr>
            <w:tcW w:w="2330" w:type="dxa"/>
            <w:shd w:val="clear" w:color="auto" w:fill="8DB3E2"/>
          </w:tcPr>
          <w:p w:rsidR="009D2CAE" w:rsidRPr="002433DA" w:rsidRDefault="009D2CAE" w:rsidP="00CD4580">
            <w:pPr>
              <w:jc w:val="center"/>
              <w:rPr>
                <w:b/>
                <w:color w:val="FFFFFF"/>
                <w:sz w:val="20"/>
              </w:rPr>
            </w:pPr>
            <w:r w:rsidRPr="002433DA">
              <w:rPr>
                <w:b/>
                <w:color w:val="FFFFFF"/>
                <w:sz w:val="20"/>
              </w:rPr>
              <w:t>Platba v</w:t>
            </w:r>
            <w:r w:rsidRPr="007C0CDA">
              <w:rPr>
                <w:b/>
                <w:color w:val="FFFFFF"/>
                <w:sz w:val="20"/>
              </w:rPr>
              <w:t> </w:t>
            </w:r>
            <w:r w:rsidRPr="002433DA">
              <w:rPr>
                <w:b/>
                <w:color w:val="FFFFFF"/>
                <w:sz w:val="20"/>
              </w:rPr>
              <w:t>předstihu v</w:t>
            </w:r>
            <w:r w:rsidRPr="007C0CDA">
              <w:rPr>
                <w:b/>
                <w:color w:val="FFFFFF"/>
                <w:sz w:val="20"/>
              </w:rPr>
              <w:t> </w:t>
            </w:r>
            <w:r w:rsidRPr="002433DA">
              <w:rPr>
                <w:b/>
                <w:color w:val="FFFFFF"/>
                <w:sz w:val="20"/>
              </w:rPr>
              <w:t>podobě úvěru</w:t>
            </w:r>
          </w:p>
        </w:tc>
        <w:tc>
          <w:tcPr>
            <w:tcW w:w="2330" w:type="dxa"/>
            <w:shd w:val="clear" w:color="auto" w:fill="8DB3E2"/>
          </w:tcPr>
          <w:p w:rsidR="009D2CAE" w:rsidRPr="002433DA" w:rsidRDefault="009D2CAE" w:rsidP="00CD4580">
            <w:pPr>
              <w:jc w:val="center"/>
              <w:rPr>
                <w:b/>
                <w:color w:val="FFFFFF"/>
                <w:sz w:val="20"/>
              </w:rPr>
            </w:pPr>
          </w:p>
        </w:tc>
      </w:tr>
      <w:tr w:rsidR="009D2CAE" w:rsidRPr="007C0CDA" w:rsidTr="003B0EE7">
        <w:trPr>
          <w:trHeight w:val="690"/>
        </w:trPr>
        <w:tc>
          <w:tcPr>
            <w:tcW w:w="960" w:type="dxa"/>
            <w:vMerge/>
            <w:shd w:val="clear" w:color="auto" w:fill="8DB3E2"/>
          </w:tcPr>
          <w:p w:rsidR="009D2CAE" w:rsidRPr="002433DA" w:rsidRDefault="009D2CAE" w:rsidP="008E5A5F">
            <w:pPr>
              <w:jc w:val="left"/>
              <w:rPr>
                <w:b/>
                <w:bCs/>
                <w:color w:val="FFFFFF"/>
                <w:sz w:val="24"/>
                <w:szCs w:val="24"/>
              </w:rPr>
            </w:pPr>
          </w:p>
        </w:tc>
        <w:tc>
          <w:tcPr>
            <w:tcW w:w="960" w:type="dxa"/>
            <w:vMerge/>
            <w:shd w:val="clear" w:color="auto" w:fill="8DB3E2"/>
          </w:tcPr>
          <w:p w:rsidR="009D2CAE" w:rsidRPr="002433DA" w:rsidRDefault="009D2CAE" w:rsidP="008E5A5F">
            <w:pPr>
              <w:jc w:val="left"/>
              <w:rPr>
                <w:b/>
                <w:bCs/>
                <w:color w:val="FFFFFF"/>
                <w:sz w:val="24"/>
                <w:szCs w:val="24"/>
              </w:rPr>
            </w:pPr>
          </w:p>
        </w:tc>
        <w:tc>
          <w:tcPr>
            <w:tcW w:w="2414" w:type="dxa"/>
            <w:shd w:val="clear" w:color="auto" w:fill="8DB3E2"/>
          </w:tcPr>
          <w:p w:rsidR="009D2CAE" w:rsidRPr="002433DA" w:rsidRDefault="009D2CAE" w:rsidP="008E5A5F">
            <w:pPr>
              <w:jc w:val="center"/>
              <w:rPr>
                <w:b/>
                <w:color w:val="FFFFFF"/>
                <w:sz w:val="20"/>
              </w:rPr>
            </w:pPr>
            <w:r w:rsidRPr="002433DA">
              <w:rPr>
                <w:b/>
                <w:color w:val="FFFFFF"/>
                <w:sz w:val="20"/>
              </w:rPr>
              <w:t>Nižší administrativní náročnost</w:t>
            </w:r>
          </w:p>
        </w:tc>
        <w:tc>
          <w:tcPr>
            <w:tcW w:w="2330" w:type="dxa"/>
            <w:shd w:val="clear" w:color="auto" w:fill="8DB3E2"/>
          </w:tcPr>
          <w:p w:rsidR="009D2CAE" w:rsidRPr="002433DA" w:rsidRDefault="009D2CAE" w:rsidP="002433DA">
            <w:pPr>
              <w:jc w:val="center"/>
              <w:rPr>
                <w:b/>
                <w:color w:val="FFFFFF"/>
                <w:sz w:val="20"/>
              </w:rPr>
            </w:pPr>
            <w:r w:rsidRPr="002433DA">
              <w:rPr>
                <w:b/>
                <w:color w:val="FFFFFF"/>
                <w:sz w:val="20"/>
              </w:rPr>
              <w:t>Nižší administrativní náročnost</w:t>
            </w:r>
          </w:p>
        </w:tc>
        <w:tc>
          <w:tcPr>
            <w:tcW w:w="2330" w:type="dxa"/>
            <w:shd w:val="clear" w:color="auto" w:fill="8DB3E2"/>
          </w:tcPr>
          <w:p w:rsidR="009D2CAE" w:rsidRPr="002433DA" w:rsidRDefault="009D2CAE" w:rsidP="008E5A5F">
            <w:pPr>
              <w:jc w:val="left"/>
              <w:rPr>
                <w:rFonts w:ascii="Times New Roman" w:hAnsi="Times New Roman"/>
                <w:b/>
                <w:color w:val="FFFFFF"/>
                <w:sz w:val="20"/>
              </w:rPr>
            </w:pPr>
          </w:p>
        </w:tc>
      </w:tr>
      <w:tr w:rsidR="009D2CAE" w:rsidRPr="007C0CDA" w:rsidTr="003B0EE7">
        <w:trPr>
          <w:trHeight w:val="735"/>
        </w:trPr>
        <w:tc>
          <w:tcPr>
            <w:tcW w:w="960" w:type="dxa"/>
            <w:vMerge/>
            <w:shd w:val="clear" w:color="auto" w:fill="8DB3E2"/>
          </w:tcPr>
          <w:p w:rsidR="009D2CAE" w:rsidRPr="002433DA" w:rsidRDefault="009D2CAE" w:rsidP="008E5A5F">
            <w:pPr>
              <w:jc w:val="left"/>
              <w:rPr>
                <w:b/>
                <w:bCs/>
                <w:color w:val="FFFFFF"/>
                <w:sz w:val="24"/>
                <w:szCs w:val="24"/>
              </w:rPr>
            </w:pPr>
          </w:p>
        </w:tc>
        <w:tc>
          <w:tcPr>
            <w:tcW w:w="960" w:type="dxa"/>
            <w:vMerge w:val="restart"/>
            <w:shd w:val="clear" w:color="auto" w:fill="8DB3E2"/>
            <w:noWrap/>
            <w:textDirection w:val="btLr"/>
          </w:tcPr>
          <w:p w:rsidR="009D2CAE" w:rsidRPr="002433DA" w:rsidRDefault="009D2CAE" w:rsidP="008E5A5F">
            <w:pPr>
              <w:jc w:val="center"/>
              <w:rPr>
                <w:b/>
                <w:bCs/>
                <w:color w:val="FFFFFF"/>
                <w:sz w:val="24"/>
                <w:szCs w:val="24"/>
              </w:rPr>
            </w:pPr>
            <w:r w:rsidRPr="002433DA">
              <w:rPr>
                <w:b/>
                <w:bCs/>
                <w:color w:val="FFFFFF"/>
                <w:sz w:val="24"/>
                <w:szCs w:val="24"/>
              </w:rPr>
              <w:t>ŘO</w:t>
            </w:r>
          </w:p>
        </w:tc>
        <w:tc>
          <w:tcPr>
            <w:tcW w:w="2414" w:type="dxa"/>
            <w:shd w:val="clear" w:color="auto" w:fill="8DB3E2"/>
          </w:tcPr>
          <w:p w:rsidR="009D2CAE" w:rsidRPr="002433DA" w:rsidRDefault="009D2CAE" w:rsidP="00A1267B">
            <w:pPr>
              <w:jc w:val="center"/>
              <w:rPr>
                <w:b/>
                <w:color w:val="FFFFFF"/>
                <w:sz w:val="20"/>
              </w:rPr>
            </w:pPr>
            <w:r w:rsidRPr="002433DA">
              <w:rPr>
                <w:b/>
                <w:color w:val="FFFFFF"/>
                <w:sz w:val="20"/>
              </w:rPr>
              <w:t>Vysoký pákový efekt a širší objem podpořených projektů a investic</w:t>
            </w:r>
          </w:p>
        </w:tc>
        <w:tc>
          <w:tcPr>
            <w:tcW w:w="2330" w:type="dxa"/>
            <w:shd w:val="clear" w:color="auto" w:fill="8DB3E2"/>
          </w:tcPr>
          <w:p w:rsidR="009D2CAE" w:rsidRPr="002433DA" w:rsidRDefault="009D2CAE" w:rsidP="00C767FC">
            <w:pPr>
              <w:jc w:val="center"/>
              <w:rPr>
                <w:b/>
                <w:color w:val="FFFFFF"/>
                <w:sz w:val="20"/>
              </w:rPr>
            </w:pPr>
            <w:r w:rsidRPr="002433DA">
              <w:rPr>
                <w:b/>
                <w:color w:val="FFFFFF"/>
                <w:sz w:val="20"/>
              </w:rPr>
              <w:t>Vysoký revolvingový efekt a podpoření projektů v</w:t>
            </w:r>
            <w:r w:rsidRPr="007C0CDA">
              <w:rPr>
                <w:b/>
                <w:color w:val="FFFFFF"/>
                <w:sz w:val="20"/>
              </w:rPr>
              <w:t> </w:t>
            </w:r>
            <w:r w:rsidRPr="002433DA">
              <w:rPr>
                <w:b/>
                <w:color w:val="FFFFFF"/>
                <w:sz w:val="20"/>
              </w:rPr>
              <w:t>dalších cyklech</w:t>
            </w:r>
          </w:p>
        </w:tc>
        <w:tc>
          <w:tcPr>
            <w:tcW w:w="2330" w:type="dxa"/>
            <w:shd w:val="clear" w:color="auto" w:fill="8DB3E2"/>
          </w:tcPr>
          <w:p w:rsidR="009D2CAE" w:rsidRPr="002433DA" w:rsidRDefault="009D2CAE" w:rsidP="008E5A5F">
            <w:pPr>
              <w:jc w:val="center"/>
              <w:rPr>
                <w:b/>
                <w:color w:val="FFFFFF"/>
                <w:sz w:val="20"/>
              </w:rPr>
            </w:pPr>
            <w:r w:rsidRPr="007C0CDA">
              <w:rPr>
                <w:b/>
                <w:color w:val="FFFFFF"/>
                <w:sz w:val="20"/>
              </w:rPr>
              <w:t>Motivační efekt aktivizující investice v soukromém sektoru</w:t>
            </w:r>
          </w:p>
        </w:tc>
      </w:tr>
      <w:tr w:rsidR="009D2CAE" w:rsidRPr="007C0CDA" w:rsidTr="003B0EE7">
        <w:trPr>
          <w:trHeight w:val="735"/>
        </w:trPr>
        <w:tc>
          <w:tcPr>
            <w:tcW w:w="960" w:type="dxa"/>
            <w:vMerge/>
            <w:shd w:val="clear" w:color="auto" w:fill="8DB3E2"/>
          </w:tcPr>
          <w:p w:rsidR="009D2CAE" w:rsidRPr="002433DA" w:rsidRDefault="009D2CAE" w:rsidP="008E5A5F">
            <w:pPr>
              <w:jc w:val="left"/>
              <w:rPr>
                <w:b/>
                <w:bCs/>
                <w:color w:val="FFFFFF"/>
                <w:sz w:val="18"/>
                <w:szCs w:val="18"/>
              </w:rPr>
            </w:pPr>
          </w:p>
        </w:tc>
        <w:tc>
          <w:tcPr>
            <w:tcW w:w="960" w:type="dxa"/>
            <w:vMerge/>
            <w:shd w:val="clear" w:color="auto" w:fill="8DB3E2"/>
            <w:noWrap/>
            <w:textDirection w:val="btLr"/>
          </w:tcPr>
          <w:p w:rsidR="009D2CAE" w:rsidRPr="002433DA" w:rsidRDefault="009D2CAE" w:rsidP="008E5A5F">
            <w:pPr>
              <w:jc w:val="center"/>
              <w:rPr>
                <w:b/>
                <w:bCs/>
                <w:color w:val="FFFFFF"/>
                <w:sz w:val="18"/>
                <w:szCs w:val="18"/>
              </w:rPr>
            </w:pPr>
          </w:p>
        </w:tc>
        <w:tc>
          <w:tcPr>
            <w:tcW w:w="2414" w:type="dxa"/>
            <w:shd w:val="clear" w:color="auto" w:fill="8DB3E2"/>
          </w:tcPr>
          <w:p w:rsidR="009D2CAE" w:rsidRPr="002433DA" w:rsidRDefault="009D2CAE" w:rsidP="00A1267B">
            <w:pPr>
              <w:jc w:val="center"/>
              <w:rPr>
                <w:b/>
                <w:color w:val="FFFFFF"/>
                <w:sz w:val="20"/>
              </w:rPr>
            </w:pPr>
            <w:r w:rsidRPr="002433DA">
              <w:rPr>
                <w:b/>
                <w:color w:val="FFFFFF"/>
                <w:sz w:val="20"/>
              </w:rPr>
              <w:t>Možnost revolvingu v</w:t>
            </w:r>
            <w:r w:rsidRPr="007C0CDA">
              <w:rPr>
                <w:b/>
                <w:color w:val="FFFFFF"/>
                <w:sz w:val="20"/>
              </w:rPr>
              <w:t> </w:t>
            </w:r>
            <w:r w:rsidRPr="002433DA">
              <w:rPr>
                <w:b/>
                <w:color w:val="FFFFFF"/>
                <w:sz w:val="20"/>
              </w:rPr>
              <w:t>závislosti na rizikové strategii</w:t>
            </w:r>
          </w:p>
        </w:tc>
        <w:tc>
          <w:tcPr>
            <w:tcW w:w="2330" w:type="dxa"/>
            <w:shd w:val="clear" w:color="auto" w:fill="8DB3E2"/>
          </w:tcPr>
          <w:p w:rsidR="009D2CAE" w:rsidRPr="002433DA" w:rsidRDefault="009D2CAE" w:rsidP="008E5A5F">
            <w:pPr>
              <w:jc w:val="center"/>
              <w:rPr>
                <w:b/>
                <w:color w:val="FFFFFF"/>
                <w:sz w:val="20"/>
              </w:rPr>
            </w:pPr>
            <w:r w:rsidRPr="002433DA">
              <w:rPr>
                <w:b/>
                <w:color w:val="FFFFFF"/>
                <w:sz w:val="20"/>
              </w:rPr>
              <w:t>Predikovatelné splátky</w:t>
            </w:r>
          </w:p>
        </w:tc>
        <w:tc>
          <w:tcPr>
            <w:tcW w:w="2330" w:type="dxa"/>
            <w:shd w:val="clear" w:color="auto" w:fill="8DB3E2"/>
          </w:tcPr>
          <w:p w:rsidR="009D2CAE" w:rsidRPr="002433DA" w:rsidRDefault="009D2CAE" w:rsidP="008E5A5F">
            <w:pPr>
              <w:jc w:val="center"/>
              <w:rPr>
                <w:b/>
                <w:color w:val="FFFFFF"/>
                <w:sz w:val="20"/>
              </w:rPr>
            </w:pPr>
            <w:r w:rsidRPr="007C0CDA">
              <w:rPr>
                <w:b/>
                <w:color w:val="FFFFFF"/>
                <w:sz w:val="20"/>
              </w:rPr>
              <w:t>Vysoká absorpční kapacita</w:t>
            </w:r>
          </w:p>
        </w:tc>
      </w:tr>
      <w:tr w:rsidR="009D2CAE" w:rsidRPr="007C0CDA" w:rsidTr="003B0EE7">
        <w:trPr>
          <w:trHeight w:val="311"/>
        </w:trPr>
        <w:tc>
          <w:tcPr>
            <w:tcW w:w="960" w:type="dxa"/>
            <w:vMerge/>
            <w:shd w:val="clear" w:color="auto" w:fill="8DB3E2"/>
          </w:tcPr>
          <w:p w:rsidR="009D2CAE" w:rsidRPr="002433DA" w:rsidRDefault="009D2CAE" w:rsidP="008E5A5F">
            <w:pPr>
              <w:jc w:val="left"/>
              <w:rPr>
                <w:b/>
                <w:bCs/>
                <w:color w:val="FFFFFF"/>
                <w:sz w:val="18"/>
                <w:szCs w:val="18"/>
              </w:rPr>
            </w:pPr>
          </w:p>
        </w:tc>
        <w:tc>
          <w:tcPr>
            <w:tcW w:w="960" w:type="dxa"/>
            <w:vMerge/>
            <w:shd w:val="clear" w:color="auto" w:fill="8DB3E2"/>
            <w:noWrap/>
            <w:textDirection w:val="btLr"/>
          </w:tcPr>
          <w:p w:rsidR="009D2CAE" w:rsidRPr="002433DA" w:rsidRDefault="009D2CAE" w:rsidP="008E5A5F">
            <w:pPr>
              <w:jc w:val="center"/>
              <w:rPr>
                <w:b/>
                <w:bCs/>
                <w:color w:val="FFFFFF"/>
                <w:sz w:val="18"/>
                <w:szCs w:val="18"/>
              </w:rPr>
            </w:pPr>
          </w:p>
        </w:tc>
        <w:tc>
          <w:tcPr>
            <w:tcW w:w="2414" w:type="dxa"/>
            <w:shd w:val="clear" w:color="auto" w:fill="8DB3E2"/>
          </w:tcPr>
          <w:p w:rsidR="009D2CAE" w:rsidRPr="002433DA" w:rsidRDefault="009D2CAE" w:rsidP="008E5A5F">
            <w:pPr>
              <w:jc w:val="center"/>
              <w:rPr>
                <w:b/>
                <w:color w:val="FFFFFF"/>
                <w:sz w:val="20"/>
              </w:rPr>
            </w:pPr>
            <w:r w:rsidRPr="002433DA">
              <w:rPr>
                <w:b/>
                <w:color w:val="FFFFFF"/>
                <w:sz w:val="20"/>
              </w:rPr>
              <w:t>Rychlé čerpání</w:t>
            </w:r>
            <w:r w:rsidRPr="007C0CDA">
              <w:rPr>
                <w:b/>
                <w:color w:val="FFFFFF"/>
                <w:sz w:val="20"/>
              </w:rPr>
              <w:t xml:space="preserve"> a nižší administrativní náročnost</w:t>
            </w:r>
          </w:p>
        </w:tc>
        <w:tc>
          <w:tcPr>
            <w:tcW w:w="2330" w:type="dxa"/>
            <w:shd w:val="clear" w:color="auto" w:fill="8DB3E2"/>
          </w:tcPr>
          <w:p w:rsidR="009D2CAE" w:rsidRPr="002433DA" w:rsidRDefault="009D2CAE" w:rsidP="008E5A5F">
            <w:pPr>
              <w:jc w:val="center"/>
              <w:rPr>
                <w:b/>
                <w:color w:val="FFFFFF"/>
                <w:sz w:val="20"/>
              </w:rPr>
            </w:pPr>
            <w:r w:rsidRPr="002433DA">
              <w:rPr>
                <w:b/>
                <w:color w:val="FFFFFF"/>
                <w:sz w:val="20"/>
              </w:rPr>
              <w:t xml:space="preserve">Rychlé </w:t>
            </w:r>
            <w:r w:rsidRPr="007C0CDA">
              <w:rPr>
                <w:b/>
                <w:color w:val="FFFFFF"/>
                <w:sz w:val="20"/>
              </w:rPr>
              <w:t>čerpání a nižší administrativní náročnost</w:t>
            </w:r>
          </w:p>
        </w:tc>
        <w:tc>
          <w:tcPr>
            <w:tcW w:w="2330" w:type="dxa"/>
            <w:shd w:val="clear" w:color="auto" w:fill="8DB3E2"/>
          </w:tcPr>
          <w:p w:rsidR="009D2CAE" w:rsidRPr="002433DA" w:rsidRDefault="009D2CAE" w:rsidP="008E5A5F">
            <w:pPr>
              <w:jc w:val="center"/>
              <w:rPr>
                <w:b/>
                <w:color w:val="FFFFFF"/>
                <w:sz w:val="20"/>
              </w:rPr>
            </w:pPr>
          </w:p>
        </w:tc>
      </w:tr>
      <w:tr w:rsidR="009D2CAE" w:rsidRPr="007C0CDA" w:rsidTr="002433DA">
        <w:trPr>
          <w:trHeight w:val="735"/>
        </w:trPr>
        <w:tc>
          <w:tcPr>
            <w:tcW w:w="960" w:type="dxa"/>
            <w:vMerge w:val="restart"/>
            <w:shd w:val="clear" w:color="auto" w:fill="FF0000"/>
            <w:textDirection w:val="btLr"/>
          </w:tcPr>
          <w:p w:rsidR="009D2CAE" w:rsidRPr="002433DA" w:rsidRDefault="009D2CAE" w:rsidP="002433DA">
            <w:pPr>
              <w:ind w:left="113" w:right="113"/>
              <w:jc w:val="center"/>
              <w:rPr>
                <w:b/>
                <w:bCs/>
                <w:color w:val="FFFFFF"/>
                <w:sz w:val="24"/>
                <w:szCs w:val="24"/>
              </w:rPr>
            </w:pPr>
            <w:r w:rsidRPr="002433DA">
              <w:rPr>
                <w:b/>
                <w:bCs/>
                <w:color w:val="FFFFFF"/>
                <w:sz w:val="24"/>
                <w:szCs w:val="24"/>
              </w:rPr>
              <w:t>Nevýhody a rizika</w:t>
            </w:r>
          </w:p>
        </w:tc>
        <w:tc>
          <w:tcPr>
            <w:tcW w:w="960" w:type="dxa"/>
            <w:vMerge w:val="restart"/>
            <w:shd w:val="clear" w:color="auto" w:fill="FF0000"/>
            <w:noWrap/>
            <w:textDirection w:val="btLr"/>
          </w:tcPr>
          <w:p w:rsidR="009D2CAE" w:rsidRPr="002433DA" w:rsidRDefault="009D2CAE" w:rsidP="008E5A5F">
            <w:pPr>
              <w:jc w:val="center"/>
              <w:rPr>
                <w:b/>
                <w:bCs/>
                <w:color w:val="FFFFFF"/>
                <w:sz w:val="24"/>
                <w:szCs w:val="24"/>
              </w:rPr>
            </w:pPr>
            <w:r w:rsidRPr="007C0CDA">
              <w:rPr>
                <w:b/>
                <w:bCs/>
                <w:color w:val="FFFFFF"/>
                <w:sz w:val="24"/>
                <w:szCs w:val="24"/>
              </w:rPr>
              <w:t>Konečný příjemce</w:t>
            </w:r>
          </w:p>
        </w:tc>
        <w:tc>
          <w:tcPr>
            <w:tcW w:w="2414" w:type="dxa"/>
            <w:shd w:val="clear" w:color="auto" w:fill="FF0000"/>
          </w:tcPr>
          <w:p w:rsidR="009D2CAE" w:rsidRPr="002433DA" w:rsidRDefault="009D2CAE" w:rsidP="00A1267B">
            <w:pPr>
              <w:jc w:val="center"/>
              <w:rPr>
                <w:b/>
                <w:color w:val="FFFFFF"/>
                <w:sz w:val="20"/>
              </w:rPr>
            </w:pPr>
            <w:r w:rsidRPr="007C0CDA">
              <w:rPr>
                <w:b/>
                <w:color w:val="FFFFFF"/>
                <w:sz w:val="20"/>
              </w:rPr>
              <w:t>Malý efekt na návratnost projektu</w:t>
            </w:r>
          </w:p>
        </w:tc>
        <w:tc>
          <w:tcPr>
            <w:tcW w:w="2330" w:type="dxa"/>
            <w:shd w:val="clear" w:color="auto" w:fill="FF0000"/>
          </w:tcPr>
          <w:p w:rsidR="009D2CAE" w:rsidRPr="002433DA" w:rsidRDefault="009D2CAE" w:rsidP="00C767FC">
            <w:pPr>
              <w:jc w:val="center"/>
              <w:rPr>
                <w:b/>
                <w:color w:val="FFFFFF"/>
                <w:sz w:val="20"/>
              </w:rPr>
            </w:pPr>
            <w:r w:rsidRPr="007C0CDA">
              <w:rPr>
                <w:b/>
                <w:color w:val="FFFFFF"/>
                <w:sz w:val="20"/>
              </w:rPr>
              <w:t>Nižší efekt na návratnost projektu v porovnání s dotací</w:t>
            </w:r>
          </w:p>
        </w:tc>
        <w:tc>
          <w:tcPr>
            <w:tcW w:w="2330" w:type="dxa"/>
            <w:shd w:val="clear" w:color="auto" w:fill="FF0000"/>
          </w:tcPr>
          <w:p w:rsidR="009D2CAE" w:rsidRPr="002433DA" w:rsidRDefault="009D2CAE" w:rsidP="001B1EEC">
            <w:pPr>
              <w:jc w:val="center"/>
              <w:rPr>
                <w:b/>
                <w:color w:val="FFFFFF"/>
                <w:sz w:val="20"/>
              </w:rPr>
            </w:pPr>
            <w:r w:rsidRPr="007C0CDA">
              <w:rPr>
                <w:b/>
                <w:color w:val="FFFFFF"/>
                <w:sz w:val="20"/>
              </w:rPr>
              <w:t>Vysoká a</w:t>
            </w:r>
            <w:r w:rsidRPr="002433DA">
              <w:rPr>
                <w:b/>
                <w:color w:val="FFFFFF"/>
                <w:sz w:val="20"/>
              </w:rPr>
              <w:t>dministrativní náročnost</w:t>
            </w:r>
          </w:p>
        </w:tc>
      </w:tr>
      <w:tr w:rsidR="009D2CAE" w:rsidRPr="007C0CDA" w:rsidTr="002433DA">
        <w:trPr>
          <w:trHeight w:val="735"/>
        </w:trPr>
        <w:tc>
          <w:tcPr>
            <w:tcW w:w="960" w:type="dxa"/>
            <w:vMerge/>
            <w:shd w:val="clear" w:color="auto" w:fill="FF0000"/>
          </w:tcPr>
          <w:p w:rsidR="009D2CAE" w:rsidRPr="002433DA" w:rsidRDefault="009D2CAE" w:rsidP="008E5A5F">
            <w:pPr>
              <w:jc w:val="left"/>
              <w:rPr>
                <w:b/>
                <w:bCs/>
                <w:color w:val="000000"/>
                <w:sz w:val="24"/>
                <w:szCs w:val="24"/>
              </w:rPr>
            </w:pPr>
          </w:p>
        </w:tc>
        <w:tc>
          <w:tcPr>
            <w:tcW w:w="960" w:type="dxa"/>
            <w:vMerge/>
            <w:shd w:val="clear" w:color="auto" w:fill="FF0000"/>
            <w:noWrap/>
            <w:textDirection w:val="btLr"/>
          </w:tcPr>
          <w:p w:rsidR="009D2CAE" w:rsidRPr="002433DA" w:rsidRDefault="009D2CAE" w:rsidP="008E5A5F">
            <w:pPr>
              <w:jc w:val="center"/>
              <w:rPr>
                <w:b/>
                <w:bCs/>
                <w:color w:val="000000"/>
                <w:sz w:val="24"/>
                <w:szCs w:val="24"/>
              </w:rPr>
            </w:pPr>
          </w:p>
        </w:tc>
        <w:tc>
          <w:tcPr>
            <w:tcW w:w="2414" w:type="dxa"/>
            <w:shd w:val="clear" w:color="auto" w:fill="FF0000"/>
          </w:tcPr>
          <w:p w:rsidR="009D2CAE" w:rsidRPr="002433DA" w:rsidRDefault="009D2CAE" w:rsidP="008E5A5F">
            <w:pPr>
              <w:jc w:val="center"/>
              <w:rPr>
                <w:b/>
                <w:color w:val="FFFFFF"/>
                <w:sz w:val="20"/>
              </w:rPr>
            </w:pPr>
          </w:p>
        </w:tc>
        <w:tc>
          <w:tcPr>
            <w:tcW w:w="2330" w:type="dxa"/>
            <w:shd w:val="clear" w:color="auto" w:fill="FF0000"/>
          </w:tcPr>
          <w:p w:rsidR="009D2CAE" w:rsidRPr="002433DA" w:rsidRDefault="009D2CAE" w:rsidP="008E5A5F">
            <w:pPr>
              <w:jc w:val="center"/>
              <w:rPr>
                <w:b/>
                <w:color w:val="FFFFFF"/>
                <w:sz w:val="20"/>
              </w:rPr>
            </w:pPr>
            <w:r w:rsidRPr="007C0CDA">
              <w:rPr>
                <w:b/>
                <w:color w:val="FFFFFF"/>
                <w:sz w:val="20"/>
              </w:rPr>
              <w:t>Nižší efekt zpřístupnění financování pro velmi rizikové projekty</w:t>
            </w:r>
          </w:p>
        </w:tc>
        <w:tc>
          <w:tcPr>
            <w:tcW w:w="2330" w:type="dxa"/>
            <w:shd w:val="clear" w:color="auto" w:fill="FF0000"/>
          </w:tcPr>
          <w:p w:rsidR="009D2CAE" w:rsidRPr="002433DA" w:rsidRDefault="009D2CAE" w:rsidP="008E5A5F">
            <w:pPr>
              <w:jc w:val="center"/>
              <w:rPr>
                <w:b/>
                <w:color w:val="FFFFFF"/>
                <w:sz w:val="20"/>
              </w:rPr>
            </w:pPr>
            <w:r w:rsidRPr="007C0CDA">
              <w:rPr>
                <w:b/>
                <w:color w:val="FFFFFF"/>
                <w:sz w:val="20"/>
              </w:rPr>
              <w:t>Regulovaná výběrová řízení na dodavatele – vyšší náklady</w:t>
            </w:r>
          </w:p>
        </w:tc>
      </w:tr>
      <w:tr w:rsidR="009D2CAE" w:rsidRPr="007C0CDA" w:rsidTr="002433DA">
        <w:trPr>
          <w:trHeight w:val="456"/>
        </w:trPr>
        <w:tc>
          <w:tcPr>
            <w:tcW w:w="960" w:type="dxa"/>
            <w:vMerge/>
            <w:shd w:val="clear" w:color="auto" w:fill="FF0000"/>
          </w:tcPr>
          <w:p w:rsidR="009D2CAE" w:rsidRPr="002433DA" w:rsidRDefault="009D2CAE" w:rsidP="00593485">
            <w:pPr>
              <w:jc w:val="left"/>
              <w:rPr>
                <w:b/>
                <w:bCs/>
                <w:color w:val="000000"/>
                <w:sz w:val="24"/>
                <w:szCs w:val="24"/>
              </w:rPr>
            </w:pPr>
          </w:p>
        </w:tc>
        <w:tc>
          <w:tcPr>
            <w:tcW w:w="960" w:type="dxa"/>
            <w:vMerge/>
            <w:shd w:val="clear" w:color="auto" w:fill="FF0000"/>
            <w:noWrap/>
            <w:textDirection w:val="btLr"/>
          </w:tcPr>
          <w:p w:rsidR="009D2CAE" w:rsidRPr="002433DA" w:rsidRDefault="009D2CAE" w:rsidP="00593485">
            <w:pPr>
              <w:jc w:val="center"/>
              <w:rPr>
                <w:b/>
                <w:bCs/>
                <w:color w:val="000000"/>
                <w:sz w:val="24"/>
                <w:szCs w:val="24"/>
              </w:rPr>
            </w:pPr>
          </w:p>
        </w:tc>
        <w:tc>
          <w:tcPr>
            <w:tcW w:w="2414" w:type="dxa"/>
            <w:shd w:val="clear" w:color="auto" w:fill="FF0000"/>
          </w:tcPr>
          <w:p w:rsidR="009D2CAE" w:rsidRPr="002433DA" w:rsidRDefault="009D2CAE" w:rsidP="00593485">
            <w:pPr>
              <w:jc w:val="center"/>
              <w:rPr>
                <w:b/>
                <w:color w:val="FFFFFF"/>
                <w:sz w:val="20"/>
              </w:rPr>
            </w:pPr>
          </w:p>
        </w:tc>
        <w:tc>
          <w:tcPr>
            <w:tcW w:w="2330" w:type="dxa"/>
            <w:shd w:val="clear" w:color="auto" w:fill="FF0000"/>
          </w:tcPr>
          <w:p w:rsidR="009D2CAE" w:rsidRPr="002433DA" w:rsidRDefault="009D2CAE" w:rsidP="00593485">
            <w:pPr>
              <w:jc w:val="center"/>
              <w:rPr>
                <w:b/>
                <w:color w:val="FFFFFF"/>
                <w:sz w:val="20"/>
              </w:rPr>
            </w:pPr>
          </w:p>
        </w:tc>
        <w:tc>
          <w:tcPr>
            <w:tcW w:w="2330" w:type="dxa"/>
            <w:shd w:val="clear" w:color="auto" w:fill="FF0000"/>
          </w:tcPr>
          <w:p w:rsidR="009D2CAE" w:rsidRPr="002433DA" w:rsidRDefault="009D2CAE" w:rsidP="00183F1E">
            <w:pPr>
              <w:jc w:val="center"/>
              <w:rPr>
                <w:b/>
                <w:color w:val="FFFFFF"/>
                <w:sz w:val="20"/>
              </w:rPr>
            </w:pPr>
            <w:r w:rsidRPr="007C0CDA">
              <w:rPr>
                <w:b/>
                <w:color w:val="FFFFFF"/>
                <w:sz w:val="20"/>
              </w:rPr>
              <w:t xml:space="preserve">Nutnost předfinancování – </w:t>
            </w:r>
            <w:r w:rsidR="00DC19EB" w:rsidRPr="007C0CDA">
              <w:rPr>
                <w:b/>
                <w:color w:val="FFFFFF"/>
                <w:sz w:val="20"/>
              </w:rPr>
              <w:t xml:space="preserve"> </w:t>
            </w:r>
            <w:r w:rsidR="00DC19EB">
              <w:rPr>
                <w:b/>
                <w:color w:val="FFFFFF"/>
                <w:sz w:val="20"/>
              </w:rPr>
              <w:t>p</w:t>
            </w:r>
            <w:r w:rsidR="00DC19EB" w:rsidRPr="007C0CDA">
              <w:rPr>
                <w:b/>
                <w:color w:val="FFFFFF"/>
                <w:sz w:val="20"/>
              </w:rPr>
              <w:t>latba ex post  po dokončení realizace projektu nebo etapy</w:t>
            </w:r>
          </w:p>
        </w:tc>
      </w:tr>
      <w:tr w:rsidR="009D2CAE" w:rsidRPr="007C0CDA" w:rsidTr="002433DA">
        <w:trPr>
          <w:trHeight w:val="735"/>
        </w:trPr>
        <w:tc>
          <w:tcPr>
            <w:tcW w:w="960" w:type="dxa"/>
            <w:vMerge/>
            <w:shd w:val="clear" w:color="auto" w:fill="FF0000"/>
          </w:tcPr>
          <w:p w:rsidR="009D2CAE" w:rsidRPr="002433DA" w:rsidRDefault="009D2CAE" w:rsidP="00593485">
            <w:pPr>
              <w:jc w:val="left"/>
              <w:rPr>
                <w:b/>
                <w:bCs/>
                <w:color w:val="000000"/>
                <w:sz w:val="24"/>
                <w:szCs w:val="24"/>
              </w:rPr>
            </w:pPr>
          </w:p>
        </w:tc>
        <w:tc>
          <w:tcPr>
            <w:tcW w:w="960" w:type="dxa"/>
            <w:vMerge/>
            <w:shd w:val="clear" w:color="auto" w:fill="FF0000"/>
            <w:noWrap/>
            <w:textDirection w:val="btLr"/>
          </w:tcPr>
          <w:p w:rsidR="009D2CAE" w:rsidRPr="002433DA" w:rsidRDefault="009D2CAE" w:rsidP="00593485">
            <w:pPr>
              <w:jc w:val="center"/>
              <w:rPr>
                <w:b/>
                <w:bCs/>
                <w:color w:val="000000"/>
                <w:sz w:val="24"/>
                <w:szCs w:val="24"/>
              </w:rPr>
            </w:pPr>
          </w:p>
        </w:tc>
        <w:tc>
          <w:tcPr>
            <w:tcW w:w="2414" w:type="dxa"/>
            <w:shd w:val="clear" w:color="auto" w:fill="FF0000"/>
          </w:tcPr>
          <w:p w:rsidR="009D2CAE" w:rsidRPr="002433DA" w:rsidRDefault="009D2CAE" w:rsidP="00593485">
            <w:pPr>
              <w:jc w:val="center"/>
              <w:rPr>
                <w:b/>
                <w:color w:val="FFFFFF"/>
                <w:sz w:val="20"/>
              </w:rPr>
            </w:pPr>
          </w:p>
        </w:tc>
        <w:tc>
          <w:tcPr>
            <w:tcW w:w="2330" w:type="dxa"/>
            <w:shd w:val="clear" w:color="auto" w:fill="FF0000"/>
          </w:tcPr>
          <w:p w:rsidR="009D2CAE" w:rsidRPr="002433DA" w:rsidRDefault="009D2CAE" w:rsidP="00593485">
            <w:pPr>
              <w:jc w:val="center"/>
              <w:rPr>
                <w:b/>
                <w:color w:val="FFFFFF"/>
                <w:sz w:val="20"/>
              </w:rPr>
            </w:pPr>
          </w:p>
        </w:tc>
        <w:tc>
          <w:tcPr>
            <w:tcW w:w="2330" w:type="dxa"/>
            <w:shd w:val="clear" w:color="auto" w:fill="FF0000"/>
          </w:tcPr>
          <w:p w:rsidR="009D2CAE" w:rsidRPr="002433DA" w:rsidRDefault="009D2CAE" w:rsidP="00593485">
            <w:pPr>
              <w:jc w:val="center"/>
              <w:rPr>
                <w:b/>
                <w:color w:val="FFFFFF"/>
                <w:sz w:val="20"/>
              </w:rPr>
            </w:pPr>
            <w:r w:rsidRPr="007C0CDA">
              <w:rPr>
                <w:b/>
                <w:color w:val="FFFFFF"/>
                <w:sz w:val="20"/>
              </w:rPr>
              <w:t>Riziko dodatečného odebrání dotace z důvodu chyb v projektu</w:t>
            </w:r>
          </w:p>
        </w:tc>
      </w:tr>
      <w:tr w:rsidR="009D2CAE" w:rsidRPr="007C0CDA" w:rsidTr="002433DA">
        <w:trPr>
          <w:trHeight w:val="735"/>
        </w:trPr>
        <w:tc>
          <w:tcPr>
            <w:tcW w:w="960" w:type="dxa"/>
            <w:vMerge/>
            <w:shd w:val="clear" w:color="auto" w:fill="FF0000"/>
          </w:tcPr>
          <w:p w:rsidR="009D2CAE" w:rsidRPr="002433DA" w:rsidRDefault="009D2CAE" w:rsidP="00A84116">
            <w:pPr>
              <w:jc w:val="left"/>
              <w:rPr>
                <w:b/>
                <w:bCs/>
                <w:color w:val="000000"/>
                <w:sz w:val="24"/>
                <w:szCs w:val="24"/>
              </w:rPr>
            </w:pPr>
          </w:p>
        </w:tc>
        <w:tc>
          <w:tcPr>
            <w:tcW w:w="960" w:type="dxa"/>
            <w:vMerge w:val="restart"/>
            <w:shd w:val="clear" w:color="auto" w:fill="FF0000"/>
            <w:noWrap/>
            <w:textDirection w:val="btLr"/>
          </w:tcPr>
          <w:p w:rsidR="009D2CAE" w:rsidRPr="002433DA" w:rsidRDefault="009D2CAE" w:rsidP="00A84116">
            <w:pPr>
              <w:jc w:val="center"/>
              <w:rPr>
                <w:b/>
                <w:bCs/>
                <w:color w:val="FFFFFF"/>
                <w:sz w:val="24"/>
                <w:szCs w:val="24"/>
              </w:rPr>
            </w:pPr>
            <w:r w:rsidRPr="002433DA">
              <w:rPr>
                <w:b/>
                <w:bCs/>
                <w:color w:val="FFFFFF"/>
                <w:sz w:val="24"/>
                <w:szCs w:val="24"/>
              </w:rPr>
              <w:t>ŘO</w:t>
            </w:r>
          </w:p>
        </w:tc>
        <w:tc>
          <w:tcPr>
            <w:tcW w:w="2414" w:type="dxa"/>
            <w:shd w:val="clear" w:color="auto" w:fill="FF0000"/>
          </w:tcPr>
          <w:p w:rsidR="009D2CAE" w:rsidRPr="007C0CDA" w:rsidRDefault="009D2CAE" w:rsidP="00A84116">
            <w:pPr>
              <w:jc w:val="center"/>
              <w:rPr>
                <w:b/>
                <w:color w:val="FFFFFF"/>
                <w:sz w:val="20"/>
              </w:rPr>
            </w:pPr>
            <w:r w:rsidRPr="007C0CDA">
              <w:rPr>
                <w:b/>
                <w:color w:val="FFFFFF"/>
                <w:sz w:val="20"/>
              </w:rPr>
              <w:t>Snížení absorpční kapacity v porovnání s dotací</w:t>
            </w:r>
          </w:p>
        </w:tc>
        <w:tc>
          <w:tcPr>
            <w:tcW w:w="2330" w:type="dxa"/>
            <w:shd w:val="clear" w:color="auto" w:fill="FF0000"/>
          </w:tcPr>
          <w:p w:rsidR="009D2CAE" w:rsidRPr="007C0CDA" w:rsidRDefault="009D2CAE" w:rsidP="00A84116">
            <w:pPr>
              <w:jc w:val="center"/>
              <w:rPr>
                <w:b/>
                <w:color w:val="FFFFFF"/>
                <w:sz w:val="20"/>
              </w:rPr>
            </w:pPr>
            <w:r w:rsidRPr="007C0CDA">
              <w:rPr>
                <w:b/>
                <w:color w:val="FFFFFF"/>
                <w:sz w:val="20"/>
              </w:rPr>
              <w:t>Snížení absorpční kapacity v porovnání s dotací</w:t>
            </w:r>
          </w:p>
        </w:tc>
        <w:tc>
          <w:tcPr>
            <w:tcW w:w="2330" w:type="dxa"/>
            <w:shd w:val="clear" w:color="auto" w:fill="FF0000"/>
          </w:tcPr>
          <w:p w:rsidR="009D2CAE" w:rsidRPr="007C0CDA" w:rsidRDefault="009D2CAE" w:rsidP="00A84116">
            <w:pPr>
              <w:jc w:val="center"/>
              <w:rPr>
                <w:b/>
                <w:color w:val="FFFFFF"/>
                <w:sz w:val="20"/>
              </w:rPr>
            </w:pPr>
            <w:r w:rsidRPr="007C0CDA">
              <w:rPr>
                <w:b/>
                <w:color w:val="FFFFFF"/>
                <w:sz w:val="20"/>
              </w:rPr>
              <w:t>Nenávratné výdaje</w:t>
            </w:r>
          </w:p>
        </w:tc>
      </w:tr>
      <w:tr w:rsidR="009D2CAE" w:rsidRPr="007C0CDA" w:rsidTr="002433DA">
        <w:trPr>
          <w:trHeight w:val="566"/>
        </w:trPr>
        <w:tc>
          <w:tcPr>
            <w:tcW w:w="960" w:type="dxa"/>
            <w:vMerge/>
            <w:shd w:val="clear" w:color="auto" w:fill="FF0000"/>
          </w:tcPr>
          <w:p w:rsidR="009D2CAE" w:rsidRPr="007C0CDA" w:rsidRDefault="009D2CAE" w:rsidP="00A84116">
            <w:pPr>
              <w:jc w:val="left"/>
              <w:rPr>
                <w:b/>
                <w:bCs/>
                <w:color w:val="000000"/>
                <w:sz w:val="18"/>
                <w:szCs w:val="18"/>
              </w:rPr>
            </w:pPr>
          </w:p>
        </w:tc>
        <w:tc>
          <w:tcPr>
            <w:tcW w:w="960" w:type="dxa"/>
            <w:vMerge/>
            <w:shd w:val="clear" w:color="auto" w:fill="FF0000"/>
            <w:noWrap/>
            <w:textDirection w:val="btLr"/>
          </w:tcPr>
          <w:p w:rsidR="009D2CAE" w:rsidRPr="007C0CDA" w:rsidRDefault="009D2CAE" w:rsidP="00A84116">
            <w:pPr>
              <w:jc w:val="center"/>
              <w:rPr>
                <w:b/>
                <w:bCs/>
                <w:color w:val="000000"/>
                <w:sz w:val="18"/>
                <w:szCs w:val="18"/>
              </w:rPr>
            </w:pPr>
          </w:p>
        </w:tc>
        <w:tc>
          <w:tcPr>
            <w:tcW w:w="2414" w:type="dxa"/>
            <w:shd w:val="clear" w:color="auto" w:fill="FF0000"/>
          </w:tcPr>
          <w:p w:rsidR="009D2CAE" w:rsidRPr="007C0CDA" w:rsidRDefault="009D2CAE" w:rsidP="00C767FC">
            <w:pPr>
              <w:jc w:val="center"/>
              <w:rPr>
                <w:b/>
                <w:color w:val="FFFFFF"/>
                <w:sz w:val="20"/>
              </w:rPr>
            </w:pPr>
            <w:r w:rsidRPr="007C0CDA">
              <w:rPr>
                <w:b/>
                <w:color w:val="FFFFFF"/>
                <w:sz w:val="20"/>
              </w:rPr>
              <w:t>Velmi nízký revolvingový efekt</w:t>
            </w:r>
          </w:p>
        </w:tc>
        <w:tc>
          <w:tcPr>
            <w:tcW w:w="2330" w:type="dxa"/>
            <w:shd w:val="clear" w:color="auto" w:fill="FF0000"/>
          </w:tcPr>
          <w:p w:rsidR="009D2CAE" w:rsidRPr="007C0CDA" w:rsidRDefault="009D2CAE" w:rsidP="00A84116">
            <w:pPr>
              <w:jc w:val="center"/>
              <w:rPr>
                <w:b/>
                <w:color w:val="FFFFFF"/>
                <w:sz w:val="20"/>
              </w:rPr>
            </w:pPr>
            <w:r w:rsidRPr="007C0CDA">
              <w:rPr>
                <w:b/>
                <w:color w:val="FFFFFF"/>
                <w:sz w:val="20"/>
              </w:rPr>
              <w:t>Nižší pákový efekt</w:t>
            </w:r>
          </w:p>
        </w:tc>
        <w:tc>
          <w:tcPr>
            <w:tcW w:w="2330" w:type="dxa"/>
            <w:shd w:val="clear" w:color="auto" w:fill="FF0000"/>
          </w:tcPr>
          <w:p w:rsidR="009D2CAE" w:rsidRPr="007C0CDA" w:rsidRDefault="009D2CAE" w:rsidP="00A84116">
            <w:pPr>
              <w:jc w:val="center"/>
              <w:rPr>
                <w:b/>
                <w:color w:val="FFFFFF"/>
                <w:sz w:val="20"/>
              </w:rPr>
            </w:pPr>
            <w:r w:rsidRPr="007C0CDA">
              <w:rPr>
                <w:b/>
                <w:color w:val="FFFFFF"/>
                <w:sz w:val="20"/>
              </w:rPr>
              <w:t>Nižší počet podpořených projektů</w:t>
            </w:r>
          </w:p>
        </w:tc>
      </w:tr>
      <w:tr w:rsidR="009D2CAE" w:rsidRPr="007C0CDA" w:rsidTr="002433DA">
        <w:trPr>
          <w:trHeight w:val="264"/>
        </w:trPr>
        <w:tc>
          <w:tcPr>
            <w:tcW w:w="960" w:type="dxa"/>
            <w:vMerge/>
            <w:shd w:val="clear" w:color="auto" w:fill="FF0000"/>
          </w:tcPr>
          <w:p w:rsidR="009D2CAE" w:rsidRPr="007C0CDA" w:rsidRDefault="009D2CAE" w:rsidP="00A84116">
            <w:pPr>
              <w:jc w:val="left"/>
              <w:rPr>
                <w:b/>
                <w:bCs/>
                <w:color w:val="000000"/>
                <w:sz w:val="18"/>
                <w:szCs w:val="18"/>
              </w:rPr>
            </w:pPr>
          </w:p>
        </w:tc>
        <w:tc>
          <w:tcPr>
            <w:tcW w:w="960" w:type="dxa"/>
            <w:vMerge/>
            <w:shd w:val="clear" w:color="auto" w:fill="FF0000"/>
            <w:noWrap/>
            <w:textDirection w:val="btLr"/>
          </w:tcPr>
          <w:p w:rsidR="009D2CAE" w:rsidRPr="007C0CDA" w:rsidRDefault="009D2CAE" w:rsidP="00A84116">
            <w:pPr>
              <w:jc w:val="center"/>
              <w:rPr>
                <w:b/>
                <w:bCs/>
                <w:color w:val="000000"/>
                <w:sz w:val="18"/>
                <w:szCs w:val="18"/>
              </w:rPr>
            </w:pPr>
          </w:p>
        </w:tc>
        <w:tc>
          <w:tcPr>
            <w:tcW w:w="2414" w:type="dxa"/>
            <w:shd w:val="clear" w:color="auto" w:fill="FF0000"/>
          </w:tcPr>
          <w:p w:rsidR="009D2CAE" w:rsidRPr="007C0CDA" w:rsidRDefault="009D2CAE" w:rsidP="00A84116">
            <w:pPr>
              <w:jc w:val="center"/>
              <w:rPr>
                <w:b/>
                <w:color w:val="FFFFFF"/>
                <w:sz w:val="20"/>
              </w:rPr>
            </w:pPr>
          </w:p>
        </w:tc>
        <w:tc>
          <w:tcPr>
            <w:tcW w:w="2330" w:type="dxa"/>
            <w:shd w:val="clear" w:color="auto" w:fill="FF0000"/>
          </w:tcPr>
          <w:p w:rsidR="009D2CAE" w:rsidRPr="007C0CDA" w:rsidRDefault="009D2CAE" w:rsidP="00A84116">
            <w:pPr>
              <w:jc w:val="center"/>
              <w:rPr>
                <w:b/>
                <w:color w:val="FFFFFF"/>
                <w:sz w:val="20"/>
              </w:rPr>
            </w:pPr>
          </w:p>
        </w:tc>
        <w:tc>
          <w:tcPr>
            <w:tcW w:w="2330" w:type="dxa"/>
            <w:shd w:val="clear" w:color="auto" w:fill="FF0000"/>
          </w:tcPr>
          <w:p w:rsidR="009D2CAE" w:rsidRPr="007C0CDA" w:rsidRDefault="009D2CAE">
            <w:pPr>
              <w:keepNext/>
              <w:jc w:val="center"/>
              <w:rPr>
                <w:b/>
                <w:color w:val="FFFFFF"/>
                <w:sz w:val="20"/>
              </w:rPr>
            </w:pPr>
            <w:r w:rsidRPr="007C0CDA">
              <w:rPr>
                <w:b/>
                <w:color w:val="FFFFFF"/>
                <w:sz w:val="20"/>
              </w:rPr>
              <w:t>Pomalejší čerpání</w:t>
            </w:r>
          </w:p>
        </w:tc>
      </w:tr>
    </w:tbl>
    <w:p w:rsidR="009D2CAE" w:rsidRPr="007C0CDA" w:rsidRDefault="009D2CAE" w:rsidP="002433DA">
      <w:pPr>
        <w:pStyle w:val="Titulek"/>
        <w:framePr w:hSpace="141" w:wrap="around" w:vAnchor="text" w:hAnchor="margin" w:y="-23"/>
      </w:pPr>
      <w:r w:rsidRPr="007C0CDA">
        <w:t xml:space="preserve">Tabulka </w:t>
      </w:r>
      <w:r w:rsidRPr="00854519">
        <w:fldChar w:fldCharType="begin"/>
      </w:r>
      <w:r w:rsidRPr="007C0CDA">
        <w:instrText xml:space="preserve"> SEQ Tabulka \* ARABIC </w:instrText>
      </w:r>
      <w:r w:rsidRPr="002433DA">
        <w:fldChar w:fldCharType="separate"/>
      </w:r>
      <w:r w:rsidRPr="007C0CDA">
        <w:rPr>
          <w:noProof/>
        </w:rPr>
        <w:t>1</w:t>
      </w:r>
      <w:r w:rsidRPr="00854519">
        <w:fldChar w:fldCharType="end"/>
      </w:r>
      <w:r w:rsidRPr="007C0CDA">
        <w:t xml:space="preserve">:  </w:t>
      </w:r>
    </w:p>
    <w:p w:rsidR="009D2CAE" w:rsidRPr="007C0CDA" w:rsidRDefault="009D2CAE" w:rsidP="002433DA">
      <w:pPr>
        <w:pStyle w:val="Titulek"/>
      </w:pPr>
      <w:r w:rsidRPr="007C0CDA">
        <w:t>Přidaná hodnota, nevýhody a rizika vybraných forem podpory pro příjemce a ŘO</w:t>
      </w:r>
    </w:p>
    <w:p w:rsidR="009D2CAE" w:rsidRPr="007C0CDA" w:rsidRDefault="009D2CAE" w:rsidP="00CD4580"/>
    <w:p w:rsidR="009D2CAE" w:rsidRPr="007C0CDA" w:rsidRDefault="009D2CAE" w:rsidP="00CD4580"/>
    <w:p w:rsidR="009D2CAE" w:rsidRPr="007C0CDA" w:rsidRDefault="009D2CAE" w:rsidP="00CD4580"/>
    <w:p w:rsidR="009D2CAE" w:rsidRPr="007C0CDA" w:rsidRDefault="009D2CAE" w:rsidP="00CD4580"/>
    <w:tbl>
      <w:tblPr>
        <w:tblW w:w="8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A0" w:firstRow="1" w:lastRow="0" w:firstColumn="1" w:lastColumn="0" w:noHBand="0" w:noVBand="0"/>
      </w:tblPr>
      <w:tblGrid>
        <w:gridCol w:w="1729"/>
        <w:gridCol w:w="2694"/>
        <w:gridCol w:w="2126"/>
        <w:gridCol w:w="2126"/>
      </w:tblGrid>
      <w:tr w:rsidR="009D2CAE" w:rsidRPr="007C0CDA" w:rsidTr="00B03681">
        <w:tc>
          <w:tcPr>
            <w:tcW w:w="1729" w:type="dxa"/>
            <w:shd w:val="clear" w:color="auto" w:fill="548DD4"/>
            <w:vAlign w:val="center"/>
          </w:tcPr>
          <w:p w:rsidR="009D2CAE" w:rsidRPr="007C0CDA" w:rsidRDefault="009D2CAE" w:rsidP="00B03681">
            <w:pPr>
              <w:pStyle w:val="Highlight2"/>
              <w:jc w:val="center"/>
              <w:rPr>
                <w:rFonts w:ascii="Calibri" w:hAnsi="Calibri" w:cs="Calibri"/>
                <w:color w:val="FFFFFF"/>
                <w:sz w:val="22"/>
                <w:szCs w:val="22"/>
              </w:rPr>
            </w:pPr>
            <w:r w:rsidRPr="007C0CDA">
              <w:rPr>
                <w:rFonts w:ascii="Calibri" w:hAnsi="Calibri" w:cs="Calibri"/>
                <w:color w:val="FFFFFF"/>
                <w:sz w:val="22"/>
                <w:szCs w:val="22"/>
                <w:lang w:eastAsia="cs-CZ"/>
              </w:rPr>
              <w:t xml:space="preserve">Tržní selhání a suboptimální </w:t>
            </w:r>
            <w:r w:rsidRPr="007C0CDA">
              <w:rPr>
                <w:rFonts w:ascii="Calibri" w:hAnsi="Calibri" w:cs="Calibri"/>
                <w:color w:val="FFFFFF"/>
                <w:sz w:val="22"/>
                <w:szCs w:val="22"/>
                <w:lang w:eastAsia="cs-CZ"/>
              </w:rPr>
              <w:lastRenderedPageBreak/>
              <w:t>investiční situace</w:t>
            </w:r>
          </w:p>
        </w:tc>
        <w:tc>
          <w:tcPr>
            <w:tcW w:w="2694" w:type="dxa"/>
            <w:shd w:val="clear" w:color="auto" w:fill="548DD4"/>
            <w:vAlign w:val="center"/>
          </w:tcPr>
          <w:p w:rsidR="009D2CAE" w:rsidRPr="007C0CDA" w:rsidRDefault="009D2CAE" w:rsidP="00B03681">
            <w:pPr>
              <w:pStyle w:val="Highlight2"/>
              <w:jc w:val="center"/>
              <w:rPr>
                <w:rFonts w:ascii="Calibri" w:hAnsi="Calibri" w:cs="Calibri"/>
                <w:bCs/>
                <w:color w:val="FFFFFF"/>
                <w:sz w:val="22"/>
                <w:szCs w:val="22"/>
                <w:lang w:eastAsia="cs-CZ"/>
              </w:rPr>
            </w:pPr>
            <w:r w:rsidRPr="007C0CDA">
              <w:rPr>
                <w:rFonts w:ascii="Calibri" w:hAnsi="Calibri" w:cs="Calibri"/>
                <w:bCs/>
                <w:color w:val="FFFFFF"/>
                <w:sz w:val="22"/>
                <w:szCs w:val="22"/>
                <w:lang w:eastAsia="cs-CZ"/>
              </w:rPr>
              <w:lastRenderedPageBreak/>
              <w:t>Záruční nástroj</w:t>
            </w:r>
          </w:p>
        </w:tc>
        <w:tc>
          <w:tcPr>
            <w:tcW w:w="2126" w:type="dxa"/>
            <w:shd w:val="clear" w:color="auto" w:fill="548DD4"/>
            <w:vAlign w:val="center"/>
          </w:tcPr>
          <w:p w:rsidR="009D2CAE" w:rsidRPr="007C0CDA" w:rsidRDefault="009D2CAE" w:rsidP="00B03681">
            <w:pPr>
              <w:pStyle w:val="Highlight2"/>
              <w:jc w:val="center"/>
              <w:rPr>
                <w:rFonts w:ascii="Calibri" w:hAnsi="Calibri" w:cs="Calibri"/>
                <w:color w:val="FFFFFF"/>
                <w:sz w:val="22"/>
                <w:szCs w:val="22"/>
              </w:rPr>
            </w:pPr>
            <w:r w:rsidRPr="007C0CDA">
              <w:rPr>
                <w:rFonts w:ascii="Calibri" w:hAnsi="Calibri" w:cs="Calibri"/>
                <w:bCs/>
                <w:color w:val="FFFFFF"/>
                <w:sz w:val="22"/>
                <w:szCs w:val="22"/>
                <w:lang w:eastAsia="cs-CZ"/>
              </w:rPr>
              <w:t>Zvýhodněný úvěr</w:t>
            </w:r>
          </w:p>
        </w:tc>
        <w:tc>
          <w:tcPr>
            <w:tcW w:w="2126" w:type="dxa"/>
            <w:shd w:val="clear" w:color="auto" w:fill="548DD4"/>
            <w:vAlign w:val="center"/>
          </w:tcPr>
          <w:p w:rsidR="009D2CAE" w:rsidRPr="007C0CDA" w:rsidRDefault="009D2CAE" w:rsidP="00B03681">
            <w:pPr>
              <w:pStyle w:val="Highlight2"/>
              <w:jc w:val="center"/>
              <w:rPr>
                <w:rFonts w:ascii="Calibri" w:hAnsi="Calibri" w:cs="Calibri"/>
                <w:bCs/>
                <w:color w:val="FFFFFF"/>
                <w:sz w:val="22"/>
                <w:szCs w:val="22"/>
                <w:lang w:eastAsia="cs-CZ"/>
              </w:rPr>
            </w:pPr>
            <w:r w:rsidRPr="007C0CDA">
              <w:rPr>
                <w:rFonts w:ascii="Calibri" w:hAnsi="Calibri" w:cs="Calibri"/>
                <w:bCs/>
                <w:color w:val="FFFFFF"/>
                <w:sz w:val="22"/>
                <w:szCs w:val="22"/>
                <w:lang w:eastAsia="cs-CZ"/>
              </w:rPr>
              <w:t>Dotace</w:t>
            </w:r>
          </w:p>
        </w:tc>
      </w:tr>
      <w:tr w:rsidR="009D2CAE" w:rsidRPr="007C0CDA" w:rsidTr="00B03681">
        <w:trPr>
          <w:trHeight w:val="793"/>
        </w:trPr>
        <w:tc>
          <w:tcPr>
            <w:tcW w:w="1729" w:type="dxa"/>
            <w:shd w:val="clear" w:color="auto" w:fill="FFFFFF"/>
            <w:vAlign w:val="center"/>
          </w:tcPr>
          <w:p w:rsidR="009D2CAE" w:rsidRPr="007C0CDA" w:rsidRDefault="009D2CAE" w:rsidP="00B03681">
            <w:pPr>
              <w:pStyle w:val="Highlight2"/>
              <w:jc w:val="left"/>
              <w:rPr>
                <w:rFonts w:ascii="Calibri" w:hAnsi="Calibri" w:cs="Calibri"/>
              </w:rPr>
            </w:pPr>
            <w:r w:rsidRPr="007C0CDA">
              <w:rPr>
                <w:rFonts w:ascii="Calibri" w:hAnsi="Calibri" w:cs="Calibri"/>
                <w:bCs/>
                <w:color w:val="000000"/>
                <w:lang w:eastAsia="cs-CZ"/>
              </w:rPr>
              <w:lastRenderedPageBreak/>
              <w:t xml:space="preserve">Vysoké požadavky na zajištění </w:t>
            </w:r>
          </w:p>
        </w:tc>
        <w:tc>
          <w:tcPr>
            <w:tcW w:w="2694" w:type="dxa"/>
            <w:shd w:val="clear" w:color="auto" w:fill="FFFFFF"/>
            <w:vAlign w:val="center"/>
          </w:tcPr>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Řeší problém zajištění až do výše záruky, zpřístupňuje financování projektům s menšími možnostmi vlastního zajištění</w:t>
            </w:r>
          </w:p>
        </w:tc>
        <w:tc>
          <w:tcPr>
            <w:tcW w:w="2126" w:type="dxa"/>
            <w:shd w:val="clear" w:color="auto" w:fill="FFFFFF"/>
            <w:vAlign w:val="center"/>
          </w:tcPr>
          <w:p w:rsidR="009D2CAE" w:rsidRPr="007C0CDA" w:rsidRDefault="009D2CAE" w:rsidP="00B03681">
            <w:pPr>
              <w:pStyle w:val="Highlight2"/>
              <w:jc w:val="center"/>
              <w:rPr>
                <w:rFonts w:ascii="Calibri" w:hAnsi="Calibri" w:cs="Calibri"/>
                <w:b w:val="0"/>
              </w:rPr>
            </w:pPr>
            <w:r w:rsidRPr="007C0CDA">
              <w:rPr>
                <w:rFonts w:ascii="Calibri" w:hAnsi="Calibri" w:cs="Calibri"/>
                <w:b w:val="0"/>
                <w:color w:val="000000"/>
                <w:lang w:eastAsia="cs-CZ"/>
              </w:rPr>
              <w:t>Nutnost zajištění úvěru zůstává, možnost užití zástavy na komerční i zvýhodněný úvěr</w:t>
            </w:r>
          </w:p>
        </w:tc>
        <w:tc>
          <w:tcPr>
            <w:tcW w:w="2126" w:type="dxa"/>
            <w:shd w:val="clear" w:color="auto" w:fill="FFFFFF"/>
            <w:vAlign w:val="center"/>
          </w:tcPr>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Neřeší přímo zajištění, dotuje část investice,problém zajištění v případě úvěru na předfinancování a spoluúčast zůstává</w:t>
            </w:r>
          </w:p>
        </w:tc>
      </w:tr>
      <w:tr w:rsidR="009D2CAE" w:rsidRPr="007C0CDA" w:rsidTr="002433DA">
        <w:tblPrEx>
          <w:tblCellMar>
            <w:top w:w="0" w:type="dxa"/>
            <w:left w:w="108" w:type="dxa"/>
            <w:bottom w:w="0" w:type="dxa"/>
            <w:right w:w="108" w:type="dxa"/>
          </w:tblCellMar>
        </w:tblPrEx>
        <w:trPr>
          <w:trHeight w:val="1521"/>
        </w:trPr>
        <w:tc>
          <w:tcPr>
            <w:tcW w:w="1729" w:type="dxa"/>
          </w:tcPr>
          <w:p w:rsidR="009D2CAE" w:rsidRPr="007C0CDA" w:rsidRDefault="009D2CAE" w:rsidP="00B03681">
            <w:pPr>
              <w:pStyle w:val="Highlight2"/>
              <w:jc w:val="left"/>
              <w:rPr>
                <w:rFonts w:ascii="Calibri" w:hAnsi="Calibri" w:cs="Calibri"/>
                <w:bCs/>
                <w:color w:val="000000"/>
                <w:lang w:eastAsia="cs-CZ"/>
              </w:rPr>
            </w:pPr>
            <w:r w:rsidRPr="007C0CDA">
              <w:rPr>
                <w:rFonts w:ascii="Calibri" w:hAnsi="Calibri" w:cs="Calibri"/>
                <w:bCs/>
                <w:color w:val="000000"/>
                <w:lang w:eastAsia="cs-CZ"/>
              </w:rPr>
              <w:t>Riziko</w:t>
            </w:r>
          </w:p>
        </w:tc>
        <w:tc>
          <w:tcPr>
            <w:tcW w:w="2694" w:type="dxa"/>
          </w:tcPr>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Rozděluje riziko mezi příjemce, banku a FN. Likvidnější zástava, výrazné snížení rizika pro úvěrující instituci</w:t>
            </w:r>
          </w:p>
          <w:p w:rsidR="009D2CAE" w:rsidRPr="007C0CDA" w:rsidRDefault="009D2CAE" w:rsidP="00B03681">
            <w:pPr>
              <w:pStyle w:val="Highlight2"/>
              <w:jc w:val="center"/>
              <w:rPr>
                <w:rFonts w:ascii="Calibri" w:hAnsi="Calibri" w:cs="Calibri"/>
                <w:b w:val="0"/>
                <w:color w:val="000000"/>
                <w:lang w:eastAsia="cs-CZ"/>
              </w:rPr>
            </w:pPr>
          </w:p>
          <w:p w:rsidR="009D2CAE" w:rsidRPr="007C0CDA" w:rsidRDefault="009D2CAE" w:rsidP="00B03681">
            <w:pPr>
              <w:pStyle w:val="Highlight2"/>
              <w:jc w:val="center"/>
              <w:rPr>
                <w:rFonts w:ascii="Calibri" w:hAnsi="Calibri" w:cs="Calibri"/>
                <w:b w:val="0"/>
                <w:color w:val="000000"/>
                <w:lang w:eastAsia="cs-CZ"/>
              </w:rPr>
            </w:pPr>
          </w:p>
        </w:tc>
        <w:tc>
          <w:tcPr>
            <w:tcW w:w="2126" w:type="dxa"/>
          </w:tcPr>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Rozděluje riziko mezi příjemce, banku a FN.</w:t>
            </w:r>
          </w:p>
          <w:p w:rsidR="009D2CAE" w:rsidRPr="007C0CDA" w:rsidRDefault="009D2CAE" w:rsidP="00B03681">
            <w:pPr>
              <w:pStyle w:val="Highlight2"/>
              <w:jc w:val="center"/>
              <w:rPr>
                <w:rFonts w:ascii="Calibri" w:hAnsi="Calibri" w:cs="Calibri"/>
                <w:b w:val="0"/>
                <w:color w:val="000000"/>
                <w:lang w:eastAsia="cs-CZ"/>
              </w:rPr>
            </w:pPr>
          </w:p>
        </w:tc>
        <w:tc>
          <w:tcPr>
            <w:tcW w:w="2126" w:type="dxa"/>
          </w:tcPr>
          <w:p w:rsidR="009D2CAE" w:rsidRPr="002433DA" w:rsidRDefault="009D2CAE" w:rsidP="002433DA">
            <w:pPr>
              <w:jc w:val="center"/>
              <w:rPr>
                <w:sz w:val="20"/>
              </w:rPr>
            </w:pPr>
            <w:r w:rsidRPr="002433DA">
              <w:rPr>
                <w:sz w:val="20"/>
              </w:rPr>
              <w:t>Zlepšením ekonomických parametrů projektu snižuje riziko defaultu. Zlepšená úvěrovatelnost dotovaných projektů</w:t>
            </w:r>
          </w:p>
          <w:p w:rsidR="009D2CAE" w:rsidRPr="002433DA" w:rsidRDefault="009D2CAE" w:rsidP="002433DA">
            <w:pPr>
              <w:jc w:val="center"/>
              <w:rPr>
                <w:sz w:val="20"/>
              </w:rPr>
            </w:pPr>
            <w:r w:rsidRPr="002433DA">
              <w:rPr>
                <w:sz w:val="20"/>
              </w:rPr>
              <w:t>Příjemce přebírá riziko jen do výše spoluúčasti způsobilých a nezpůsobilých nákladů.</w:t>
            </w:r>
          </w:p>
          <w:p w:rsidR="009D2CAE" w:rsidRPr="002433DA" w:rsidRDefault="009D2CAE" w:rsidP="002433DA">
            <w:pPr>
              <w:jc w:val="center"/>
              <w:rPr>
                <w:sz w:val="20"/>
              </w:rPr>
            </w:pPr>
            <w:r w:rsidRPr="002433DA">
              <w:rPr>
                <w:sz w:val="20"/>
              </w:rPr>
              <w:t>Avšak nedochází k podpoře rizikovějších projektů z důvodu minimalizace selhání projektu.</w:t>
            </w:r>
          </w:p>
          <w:p w:rsidR="009D2CAE" w:rsidRPr="002433DA" w:rsidRDefault="009D2CAE" w:rsidP="002433DA">
            <w:pPr>
              <w:jc w:val="center"/>
              <w:rPr>
                <w:sz w:val="20"/>
              </w:rPr>
            </w:pPr>
          </w:p>
          <w:p w:rsidR="009D2CAE" w:rsidRPr="002433DA" w:rsidRDefault="009D2CAE" w:rsidP="002433DA">
            <w:pPr>
              <w:jc w:val="center"/>
              <w:rPr>
                <w:sz w:val="20"/>
              </w:rPr>
            </w:pPr>
            <w:r w:rsidRPr="002433DA">
              <w:rPr>
                <w:sz w:val="20"/>
              </w:rPr>
              <w:t>Efekt limitován rizikem odebrání dotace</w:t>
            </w:r>
          </w:p>
          <w:p w:rsidR="009D2CAE" w:rsidRPr="007C0CDA" w:rsidRDefault="009D2CAE" w:rsidP="00B03681">
            <w:pPr>
              <w:pStyle w:val="Highlight2"/>
              <w:jc w:val="center"/>
              <w:rPr>
                <w:rFonts w:ascii="Calibri" w:hAnsi="Calibri" w:cs="Calibri"/>
                <w:b w:val="0"/>
                <w:color w:val="000000"/>
                <w:lang w:eastAsia="cs-CZ"/>
              </w:rPr>
            </w:pPr>
            <w:r w:rsidRPr="007C0CDA">
              <w:rPr>
                <w:rFonts w:cs="Calibri"/>
                <w:b w:val="0"/>
                <w:color w:val="000000"/>
              </w:rPr>
              <w:t xml:space="preserve"> </w:t>
            </w:r>
          </w:p>
        </w:tc>
      </w:tr>
      <w:tr w:rsidR="009D2CAE" w:rsidRPr="007C0CDA" w:rsidTr="002433DA">
        <w:tblPrEx>
          <w:tblCellMar>
            <w:top w:w="0" w:type="dxa"/>
            <w:left w:w="108" w:type="dxa"/>
            <w:bottom w:w="0" w:type="dxa"/>
            <w:right w:w="108" w:type="dxa"/>
          </w:tblCellMar>
        </w:tblPrEx>
        <w:tc>
          <w:tcPr>
            <w:tcW w:w="1729" w:type="dxa"/>
          </w:tcPr>
          <w:p w:rsidR="009D2CAE" w:rsidRPr="007C0CDA" w:rsidRDefault="009D2CAE" w:rsidP="00B03681">
            <w:pPr>
              <w:pStyle w:val="Highlight2"/>
              <w:jc w:val="left"/>
              <w:rPr>
                <w:rFonts w:ascii="Calibri" w:hAnsi="Calibri" w:cs="Calibri"/>
                <w:color w:val="auto"/>
                <w:szCs w:val="20"/>
              </w:rPr>
            </w:pPr>
            <w:r w:rsidRPr="007C0CDA">
              <w:rPr>
                <w:rFonts w:ascii="Calibri" w:hAnsi="Calibri" w:cs="Calibri"/>
                <w:color w:val="auto"/>
                <w:szCs w:val="20"/>
              </w:rPr>
              <w:t>Náklady projektu a návratnost</w:t>
            </w:r>
          </w:p>
        </w:tc>
        <w:tc>
          <w:tcPr>
            <w:tcW w:w="2694" w:type="dxa"/>
          </w:tcPr>
          <w:p w:rsidR="009D2CAE" w:rsidRPr="007C0CDA" w:rsidRDefault="009D2CAE" w:rsidP="00B03681">
            <w:pPr>
              <w:pStyle w:val="Highlight2"/>
              <w:jc w:val="center"/>
              <w:rPr>
                <w:rFonts w:ascii="Calibri" w:hAnsi="Calibri" w:cs="Calibri"/>
                <w:b w:val="0"/>
                <w:color w:val="auto"/>
                <w:szCs w:val="20"/>
              </w:rPr>
            </w:pPr>
            <w:r w:rsidRPr="007C0CDA">
              <w:rPr>
                <w:rFonts w:ascii="Calibri" w:hAnsi="Calibri" w:cs="Calibri"/>
                <w:b w:val="0"/>
                <w:color w:val="auto"/>
                <w:szCs w:val="20"/>
              </w:rPr>
              <w:t>Nemá velký vliv na snížení nákladů projektu a jeho návratnost</w:t>
            </w:r>
          </w:p>
        </w:tc>
        <w:tc>
          <w:tcPr>
            <w:tcW w:w="2126" w:type="dxa"/>
          </w:tcPr>
          <w:p w:rsidR="009D2CAE" w:rsidRPr="007C0CDA" w:rsidRDefault="009D2CAE" w:rsidP="002F7B85">
            <w:pPr>
              <w:pStyle w:val="Highlight2"/>
              <w:jc w:val="center"/>
              <w:rPr>
                <w:rFonts w:ascii="Calibri" w:hAnsi="Calibri" w:cs="Calibri"/>
                <w:b w:val="0"/>
                <w:color w:val="auto"/>
                <w:szCs w:val="20"/>
              </w:rPr>
            </w:pPr>
            <w:r w:rsidRPr="007C0CDA">
              <w:rPr>
                <w:rFonts w:ascii="Calibri" w:hAnsi="Calibri" w:cs="Calibri"/>
                <w:b w:val="0"/>
                <w:color w:val="auto"/>
                <w:szCs w:val="20"/>
              </w:rPr>
              <w:t>Částečně snižuje úrokové náklady a počáteční náklady na přípravu, radikálně však nemění parametry návratnosti</w:t>
            </w:r>
          </w:p>
        </w:tc>
        <w:tc>
          <w:tcPr>
            <w:tcW w:w="2126" w:type="dxa"/>
          </w:tcPr>
          <w:p w:rsidR="009D2CAE" w:rsidRPr="007C0CDA" w:rsidRDefault="009D2CAE" w:rsidP="002433DA">
            <w:pPr>
              <w:pStyle w:val="Highlight2"/>
              <w:jc w:val="center"/>
              <w:rPr>
                <w:rFonts w:ascii="Calibri" w:hAnsi="Calibri" w:cs="Calibri"/>
                <w:b w:val="0"/>
                <w:color w:val="auto"/>
                <w:szCs w:val="20"/>
              </w:rPr>
            </w:pPr>
            <w:r w:rsidRPr="007C0CDA">
              <w:rPr>
                <w:rFonts w:ascii="Calibri" w:hAnsi="Calibri" w:cs="Calibri"/>
                <w:b w:val="0"/>
                <w:color w:val="auto"/>
                <w:szCs w:val="20"/>
              </w:rPr>
              <w:t xml:space="preserve">Výrazně snižuje náklady pro žadatele a tedy výrazně </w:t>
            </w:r>
            <w:r w:rsidR="00D507F4">
              <w:rPr>
                <w:rFonts w:ascii="Calibri" w:hAnsi="Calibri" w:cs="Calibri"/>
                <w:b w:val="0"/>
                <w:color w:val="auto"/>
                <w:szCs w:val="20"/>
              </w:rPr>
              <w:t>vy</w:t>
            </w:r>
            <w:r w:rsidRPr="007C0CDA">
              <w:rPr>
                <w:rFonts w:ascii="Calibri" w:hAnsi="Calibri" w:cs="Calibri"/>
                <w:b w:val="0"/>
                <w:color w:val="auto"/>
                <w:szCs w:val="20"/>
              </w:rPr>
              <w:t>lepšuje návratnost projektu.</w:t>
            </w:r>
          </w:p>
        </w:tc>
      </w:tr>
      <w:tr w:rsidR="009D2CAE" w:rsidRPr="007C0CDA" w:rsidTr="002433DA">
        <w:tblPrEx>
          <w:tblCellMar>
            <w:top w:w="0" w:type="dxa"/>
            <w:left w:w="108" w:type="dxa"/>
            <w:bottom w:w="0" w:type="dxa"/>
            <w:right w:w="108" w:type="dxa"/>
          </w:tblCellMar>
        </w:tblPrEx>
        <w:tc>
          <w:tcPr>
            <w:tcW w:w="1729" w:type="dxa"/>
          </w:tcPr>
          <w:p w:rsidR="009D2CAE" w:rsidRPr="007C0CDA" w:rsidRDefault="009D2CAE" w:rsidP="00B03681">
            <w:pPr>
              <w:pStyle w:val="Highlight2"/>
              <w:jc w:val="left"/>
              <w:rPr>
                <w:rFonts w:ascii="Calibri" w:hAnsi="Calibri" w:cs="Calibri"/>
              </w:rPr>
            </w:pPr>
            <w:r w:rsidRPr="007C0CDA">
              <w:rPr>
                <w:rFonts w:ascii="Calibri" w:hAnsi="Calibri" w:cs="Calibri"/>
                <w:bCs/>
                <w:color w:val="000000"/>
                <w:lang w:eastAsia="cs-CZ"/>
              </w:rPr>
              <w:t>Administrativní zátěž</w:t>
            </w:r>
          </w:p>
        </w:tc>
        <w:tc>
          <w:tcPr>
            <w:tcW w:w="2694" w:type="dxa"/>
          </w:tcPr>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Jednodušší administrace, bez rizika odebrání podpory z důvodu technických chyb</w:t>
            </w:r>
          </w:p>
          <w:p w:rsidR="009D2CAE" w:rsidRPr="007C0CDA" w:rsidRDefault="009D2CAE" w:rsidP="00B03681">
            <w:pPr>
              <w:pStyle w:val="Highlight2"/>
              <w:jc w:val="center"/>
              <w:rPr>
                <w:rFonts w:ascii="Calibri" w:hAnsi="Calibri" w:cs="Calibri"/>
                <w:b w:val="0"/>
                <w:color w:val="000000"/>
                <w:lang w:eastAsia="cs-CZ"/>
              </w:rPr>
            </w:pPr>
          </w:p>
        </w:tc>
        <w:tc>
          <w:tcPr>
            <w:tcW w:w="2126" w:type="dxa"/>
          </w:tcPr>
          <w:p w:rsidR="009D2CAE" w:rsidRPr="007C0CDA" w:rsidRDefault="009D2CAE" w:rsidP="00B03681">
            <w:pPr>
              <w:pStyle w:val="Highlight2"/>
              <w:jc w:val="center"/>
              <w:rPr>
                <w:rFonts w:ascii="Calibri" w:hAnsi="Calibri" w:cs="Calibri"/>
                <w:b w:val="0"/>
              </w:rPr>
            </w:pPr>
            <w:r w:rsidRPr="007C0CDA">
              <w:rPr>
                <w:rFonts w:ascii="Calibri" w:hAnsi="Calibri" w:cs="Calibri"/>
                <w:b w:val="0"/>
                <w:color w:val="000000"/>
                <w:lang w:eastAsia="cs-CZ"/>
              </w:rPr>
              <w:t>Jednodušší administrace, bez rizika odebrání podpory z důvodu technických chyb</w:t>
            </w:r>
          </w:p>
        </w:tc>
        <w:tc>
          <w:tcPr>
            <w:tcW w:w="2126" w:type="dxa"/>
          </w:tcPr>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Vysoká administrativní zátěž omezuje příjemce, zvyšuje náklady a přináší riziko odebrání dotace, což omezuje absorpční kapacitu podpory</w:t>
            </w:r>
          </w:p>
        </w:tc>
      </w:tr>
      <w:tr w:rsidR="009D2CAE" w:rsidRPr="007C0CDA" w:rsidTr="00B03681">
        <w:trPr>
          <w:trHeight w:val="1474"/>
        </w:trPr>
        <w:tc>
          <w:tcPr>
            <w:tcW w:w="1729" w:type="dxa"/>
            <w:shd w:val="clear" w:color="auto" w:fill="FFFFFF"/>
            <w:vAlign w:val="center"/>
          </w:tcPr>
          <w:p w:rsidR="009D2CAE" w:rsidRPr="007C0CDA" w:rsidRDefault="009D2CAE" w:rsidP="00B03681">
            <w:pPr>
              <w:rPr>
                <w:sz w:val="19"/>
              </w:rPr>
            </w:pPr>
            <w:r w:rsidRPr="007C0CDA">
              <w:rPr>
                <w:b/>
                <w:sz w:val="20"/>
              </w:rPr>
              <w:t>Celkový efekt na Investiční aktivitu a absorpci v SC</w:t>
            </w:r>
          </w:p>
        </w:tc>
        <w:tc>
          <w:tcPr>
            <w:tcW w:w="2694" w:type="dxa"/>
            <w:shd w:val="clear" w:color="auto" w:fill="FFFFFF"/>
            <w:vAlign w:val="center"/>
          </w:tcPr>
          <w:p w:rsidR="009D2CAE" w:rsidRPr="007C0CDA" w:rsidRDefault="009D2CAE" w:rsidP="00B03681">
            <w:pPr>
              <w:pStyle w:val="Highlight2"/>
              <w:jc w:val="center"/>
              <w:rPr>
                <w:rFonts w:ascii="Calibri" w:hAnsi="Calibri" w:cs="Calibri"/>
                <w:b w:val="0"/>
                <w:bCs/>
                <w:color w:val="000000"/>
                <w:lang w:eastAsia="cs-CZ"/>
              </w:rPr>
            </w:pPr>
            <w:r w:rsidRPr="007C0CDA">
              <w:rPr>
                <w:rFonts w:ascii="Calibri" w:hAnsi="Calibri" w:cs="Calibri"/>
                <w:b w:val="0"/>
                <w:bCs/>
                <w:color w:val="000000"/>
                <w:lang w:eastAsia="cs-CZ"/>
              </w:rPr>
              <w:t>Pozitivní efekt zpřístupnění externího financování a snížení míry ručení</w:t>
            </w:r>
          </w:p>
          <w:p w:rsidR="009D2CAE" w:rsidRPr="007C0CDA" w:rsidRDefault="009D2CAE" w:rsidP="00B03681">
            <w:pPr>
              <w:pStyle w:val="Highlight2"/>
              <w:jc w:val="center"/>
              <w:rPr>
                <w:rFonts w:ascii="Calibri" w:hAnsi="Calibri" w:cs="Calibri"/>
                <w:b w:val="0"/>
                <w:bCs/>
                <w:color w:val="000000"/>
                <w:lang w:eastAsia="cs-CZ"/>
              </w:rPr>
            </w:pPr>
            <w:r w:rsidRPr="007C0CDA">
              <w:rPr>
                <w:rFonts w:ascii="Calibri" w:hAnsi="Calibri" w:cs="Calibri"/>
                <w:b w:val="0"/>
                <w:bCs/>
                <w:color w:val="000000"/>
                <w:lang w:eastAsia="cs-CZ"/>
              </w:rPr>
              <w:t>– zvýšení absorpční kapacity pro menší a rizikovější subjekty s ekonomicky racionálními projekty, vysoký pákový efekt</w:t>
            </w:r>
          </w:p>
        </w:tc>
        <w:tc>
          <w:tcPr>
            <w:tcW w:w="2126" w:type="dxa"/>
            <w:shd w:val="clear" w:color="auto" w:fill="FFFFFF"/>
            <w:vAlign w:val="center"/>
          </w:tcPr>
          <w:p w:rsidR="009D2CAE" w:rsidRPr="007C0CDA" w:rsidRDefault="009D2CAE" w:rsidP="002433DA">
            <w:pPr>
              <w:jc w:val="center"/>
              <w:rPr>
                <w:sz w:val="19"/>
              </w:rPr>
            </w:pPr>
            <w:r w:rsidRPr="007C0CDA">
              <w:rPr>
                <w:sz w:val="20"/>
              </w:rPr>
              <w:t>Mírné zkrácení doby návratnosti, přístup k vyššímu externímu financování, příspěvek na projektovou přípravu</w:t>
            </w:r>
          </w:p>
          <w:p w:rsidR="009D2CAE" w:rsidRPr="007C0CDA" w:rsidRDefault="009D2CAE" w:rsidP="002433DA">
            <w:pPr>
              <w:jc w:val="center"/>
              <w:rPr>
                <w:b/>
                <w:sz w:val="19"/>
              </w:rPr>
            </w:pPr>
            <w:r w:rsidRPr="007C0CDA">
              <w:rPr>
                <w:rFonts w:cs="Calibri"/>
                <w:bCs/>
                <w:color w:val="000000"/>
                <w:sz w:val="20"/>
              </w:rPr>
              <w:t>– částečné zvýšení absorpční kapacity pro menší subjekty a projekty na hranici tržní návratnosti, avšak pouze omezená schopnost snížení nákladů projektu. Díky revolvingu možnost podpoření více projektů</w:t>
            </w:r>
          </w:p>
        </w:tc>
        <w:tc>
          <w:tcPr>
            <w:tcW w:w="2126" w:type="dxa"/>
            <w:shd w:val="clear" w:color="auto" w:fill="FFFFFF"/>
            <w:vAlign w:val="center"/>
          </w:tcPr>
          <w:p w:rsidR="009D2CAE" w:rsidRPr="007C0CDA" w:rsidRDefault="009D2CAE" w:rsidP="002433DA">
            <w:pPr>
              <w:jc w:val="center"/>
              <w:rPr>
                <w:color w:val="000000"/>
                <w:sz w:val="19"/>
              </w:rPr>
            </w:pPr>
            <w:r w:rsidRPr="007C0CDA">
              <w:rPr>
                <w:color w:val="000000"/>
                <w:sz w:val="20"/>
              </w:rPr>
              <w:t>Výrazný efekt na nákladovost a návratnost projektu výrazně zvyšuje absorpci i pro tržně nerealizovatelné projekty. Částečné omezení kvůli administrativní složitosti.</w:t>
            </w:r>
          </w:p>
          <w:p w:rsidR="009D2CAE" w:rsidRPr="007C0CDA" w:rsidRDefault="009D2CAE" w:rsidP="002433DA">
            <w:pPr>
              <w:jc w:val="center"/>
              <w:rPr>
                <w:color w:val="000000"/>
                <w:sz w:val="19"/>
              </w:rPr>
            </w:pPr>
            <w:r w:rsidRPr="007C0CDA">
              <w:rPr>
                <w:color w:val="000000"/>
                <w:sz w:val="20"/>
              </w:rPr>
              <w:t>Omezení dané nedostatkem disponibilních zdrojů na plošnou podporu</w:t>
            </w:r>
          </w:p>
          <w:p w:rsidR="009D2CAE" w:rsidRPr="007C0CDA" w:rsidRDefault="009D2CAE" w:rsidP="00B03681">
            <w:pPr>
              <w:rPr>
                <w:b/>
                <w:color w:val="000000"/>
                <w:sz w:val="19"/>
              </w:rPr>
            </w:pPr>
          </w:p>
        </w:tc>
      </w:tr>
      <w:tr w:rsidR="009D2CAE" w:rsidRPr="007C0CDA" w:rsidTr="002433DA">
        <w:tblPrEx>
          <w:tblCellMar>
            <w:top w:w="0" w:type="dxa"/>
            <w:left w:w="108" w:type="dxa"/>
            <w:bottom w:w="0" w:type="dxa"/>
            <w:right w:w="108" w:type="dxa"/>
          </w:tblCellMar>
        </w:tblPrEx>
        <w:tc>
          <w:tcPr>
            <w:tcW w:w="1729" w:type="dxa"/>
          </w:tcPr>
          <w:p w:rsidR="009D2CAE" w:rsidRPr="007C0CDA" w:rsidRDefault="009D2CAE" w:rsidP="00B03681">
            <w:pPr>
              <w:pStyle w:val="Highlight2"/>
              <w:jc w:val="left"/>
              <w:rPr>
                <w:rFonts w:ascii="Calibri" w:hAnsi="Calibri" w:cs="Calibri"/>
                <w:bCs/>
                <w:color w:val="000000"/>
                <w:lang w:eastAsia="cs-CZ"/>
              </w:rPr>
            </w:pPr>
            <w:r w:rsidRPr="007C0CDA">
              <w:rPr>
                <w:rFonts w:ascii="Calibri" w:hAnsi="Calibri" w:cs="Calibri"/>
                <w:bCs/>
                <w:color w:val="000000"/>
                <w:lang w:eastAsia="cs-CZ"/>
              </w:rPr>
              <w:lastRenderedPageBreak/>
              <w:t>Efekt na narušení tržního prostředí</w:t>
            </w:r>
          </w:p>
        </w:tc>
        <w:tc>
          <w:tcPr>
            <w:tcW w:w="2694" w:type="dxa"/>
          </w:tcPr>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Minimální vliv na tržní prostředí, zvyšují konkurenci odstraněním finanční bariéry pro menší subjekty</w:t>
            </w:r>
          </w:p>
        </w:tc>
        <w:tc>
          <w:tcPr>
            <w:tcW w:w="2126" w:type="dxa"/>
          </w:tcPr>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Malý vliv na tržní prostředí, návratná podpora motivuje ekonomicky efektivní počínání subjektů</w:t>
            </w:r>
          </w:p>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Doplnění soukromého finančního trhu</w:t>
            </w:r>
          </w:p>
        </w:tc>
        <w:tc>
          <w:tcPr>
            <w:tcW w:w="2126" w:type="dxa"/>
          </w:tcPr>
          <w:p w:rsidR="009D2CAE" w:rsidRPr="007C0CDA" w:rsidRDefault="009D2CAE" w:rsidP="00B03681">
            <w:pPr>
              <w:pStyle w:val="Highlight2"/>
              <w:jc w:val="center"/>
              <w:rPr>
                <w:rFonts w:ascii="Calibri" w:hAnsi="Calibri" w:cs="Calibri"/>
                <w:b w:val="0"/>
                <w:bCs/>
                <w:color w:val="000000"/>
                <w:lang w:eastAsia="cs-CZ"/>
              </w:rPr>
            </w:pPr>
            <w:r w:rsidRPr="007C0CDA">
              <w:rPr>
                <w:rFonts w:ascii="Calibri" w:hAnsi="Calibri" w:cs="Calibri"/>
                <w:b w:val="0"/>
                <w:bCs/>
                <w:color w:val="000000"/>
                <w:lang w:eastAsia="cs-CZ"/>
              </w:rPr>
              <w:t>Výrazné finanční zvýhodnění pro příjemce, omezená spoluúčast vytváří nižší tlak na ekonomické výsledky projektu</w:t>
            </w:r>
          </w:p>
          <w:p w:rsidR="009D2CAE" w:rsidRPr="007C0CDA" w:rsidRDefault="009D2CAE" w:rsidP="00B03681">
            <w:pPr>
              <w:pStyle w:val="Highlight2"/>
              <w:jc w:val="center"/>
              <w:rPr>
                <w:rFonts w:ascii="Calibri" w:hAnsi="Calibri" w:cs="Calibri"/>
                <w:b w:val="0"/>
                <w:bCs/>
                <w:color w:val="000000"/>
                <w:lang w:eastAsia="cs-CZ"/>
              </w:rPr>
            </w:pPr>
            <w:r w:rsidRPr="007C0CDA">
              <w:rPr>
                <w:rFonts w:ascii="Calibri" w:hAnsi="Calibri" w:cs="Calibri"/>
                <w:b w:val="0"/>
                <w:bCs/>
                <w:color w:val="000000"/>
                <w:lang w:eastAsia="cs-CZ"/>
              </w:rPr>
              <w:t>Podpoření i méně kvalitních projektů bez potenciálu dlouhodobé udržitelnosti a ziskovosti – omezení efektivnosti trhu</w:t>
            </w:r>
          </w:p>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bCs/>
                <w:color w:val="000000"/>
                <w:lang w:eastAsia="cs-CZ"/>
              </w:rPr>
              <w:t>Částečné vytlačení soukromých prostředků</w:t>
            </w:r>
          </w:p>
        </w:tc>
      </w:tr>
    </w:tbl>
    <w:p w:rsidR="009D2CAE" w:rsidRPr="007C0CDA" w:rsidRDefault="009D2CAE" w:rsidP="002433DA">
      <w:pPr>
        <w:pStyle w:val="Titulek"/>
      </w:pPr>
      <w:r w:rsidRPr="007C0CDA">
        <w:t xml:space="preserve">Tabulka </w:t>
      </w:r>
      <w:r w:rsidRPr="00854519">
        <w:fldChar w:fldCharType="begin"/>
      </w:r>
      <w:r w:rsidRPr="007C0CDA">
        <w:instrText xml:space="preserve"> SEQ Tabulka \* ARABIC </w:instrText>
      </w:r>
      <w:r w:rsidRPr="002433DA">
        <w:fldChar w:fldCharType="separate"/>
      </w:r>
      <w:r w:rsidRPr="007C0CDA">
        <w:rPr>
          <w:noProof/>
        </w:rPr>
        <w:t>2</w:t>
      </w:r>
      <w:r w:rsidRPr="00854519">
        <w:fldChar w:fldCharType="end"/>
      </w:r>
      <w:r w:rsidRPr="007C0CDA">
        <w:t xml:space="preserve"> – Přidaná hodnota podpory pro cíle SC 1.1 OP PIK a vliv na tržní prostředí</w:t>
      </w:r>
    </w:p>
    <w:p w:rsidR="009D2CAE" w:rsidRPr="007C0CDA" w:rsidRDefault="009D2CAE" w:rsidP="00CD4580">
      <w:pPr>
        <w:pStyle w:val="Highlight3"/>
      </w:pPr>
    </w:p>
    <w:p w:rsidR="009D2CAE" w:rsidRPr="007C0CDA" w:rsidRDefault="009D2CAE" w:rsidP="00CD4580">
      <w:r w:rsidRPr="007C0CDA">
        <w:t>Na základě tohoto porovnání docházíme k názoru, že v rámci cílů SC 1.1 a identifikovaných bariér inovační aktivity podniků – riziko, náklady projektu, nejistota výsledku a obtížný přístup k externímu financování – se jako vhodné nástroje jeví primárně záruky a dotace. Záruky řeší problém omezeného přístupu k úvěrovému financování z hlediska velkého rizika a nedostačující zástavy a mohou podpořit jinak tržně životaschopné projekty. Dotace umožní inovační aktivity, které svou návratností, rizikem a náklady přesahují hranici tržní realizovatelnosti a mají vyšší motivační efekt na změnu inovační politiky podniků – i přes negativní dopady na nákladově efektivní vynaložení alokace a tržní fungování podniků.</w:t>
      </w:r>
    </w:p>
    <w:p w:rsidR="009D2CAE" w:rsidRPr="007C0CDA" w:rsidRDefault="009D2CAE" w:rsidP="00EC52E6"/>
    <w:p w:rsidR="009D2CAE" w:rsidRPr="007C0CDA" w:rsidRDefault="009D2CAE">
      <w:pPr>
        <w:pStyle w:val="Neslovannadpisy"/>
      </w:pPr>
      <w:r w:rsidRPr="007C0CDA">
        <w:t>Veřejná podpora</w:t>
      </w:r>
    </w:p>
    <w:p w:rsidR="009D2CAE" w:rsidRPr="007C0CDA" w:rsidRDefault="009D2CAE" w:rsidP="00EC52E6">
      <w:r w:rsidRPr="007C0CDA">
        <w:t>Záruky za investiční úvěry pro inovační projekty lze řešit poskytnutím podpory de minimis nebo podpory podle Obecného nařízení o blokových výjimkách</w:t>
      </w:r>
      <w:r w:rsidRPr="007C0CDA">
        <w:rPr>
          <w:rStyle w:val="Znakapoznpodarou"/>
        </w:rPr>
        <w:footnoteReference w:id="11"/>
      </w:r>
      <w:r w:rsidRPr="007C0CDA">
        <w:t>.</w:t>
      </w:r>
    </w:p>
    <w:p w:rsidR="009D2CAE" w:rsidRPr="007C0CDA" w:rsidRDefault="009D2CAE" w:rsidP="00EC52E6"/>
    <w:p w:rsidR="009D2CAE" w:rsidRPr="007C0CDA" w:rsidRDefault="009D2CAE">
      <w:pPr>
        <w:pStyle w:val="Neslovannadpisy"/>
      </w:pPr>
      <w:r w:rsidRPr="007C0CDA">
        <w:t>Komplementarity a synergie</w:t>
      </w:r>
    </w:p>
    <w:p w:rsidR="009D2CAE" w:rsidRPr="007C0CDA" w:rsidRDefault="009D2CAE" w:rsidP="00EC52E6">
      <w:r w:rsidRPr="007C0CDA">
        <w:t xml:space="preserve">Veřejná podpora v rámci OP PIK bude fungovat komplementárně s nástroji evropského rámcového programu HORIZONT 2020. Záruční nástroj InnovFin, který bude poskytován také prostřednictvím českých bank, bude moci být kombinován s dotační podporou i finančními nástroji OP PIK, použitelný bude na projekty inovací i podnikového VaV. </w:t>
      </w:r>
    </w:p>
    <w:p w:rsidR="009D2CAE" w:rsidRPr="007C0CDA" w:rsidRDefault="009D2CAE" w:rsidP="00EC52E6"/>
    <w:p w:rsidR="009D2CAE" w:rsidRPr="007C0CDA" w:rsidRDefault="009D2CAE" w:rsidP="00EC52E6">
      <w:r w:rsidRPr="007C0CDA">
        <w:t>V detailním nastavení finančních produktů záručního nástroje bude proto potřeba řešit návaznost na InnovFin z hlediska odladění parametrů podmínek pro konečné příjemce. Detailní nastavení finančních produktů není součástí předběžného posouzení finančních nástrojů.</w:t>
      </w:r>
    </w:p>
    <w:p w:rsidR="009D2CAE" w:rsidRPr="007C0CDA" w:rsidRDefault="009D2CAE" w:rsidP="00EC52E6"/>
    <w:p w:rsidR="009D2CAE" w:rsidRPr="007C0CDA" w:rsidRDefault="009D2CAE" w:rsidP="00EC52E6">
      <w:r w:rsidRPr="007C0CDA">
        <w:t>Kromě možnosti financování z ESIF bude vhodné uvážit financování nástroje na podporu investic do inovací prostřednictvím Investičního plánu pro Evropu nebo propojení obou zdrojů (poskytnutí protizáruky z Evropského fondu pro strategické investice).</w:t>
      </w:r>
    </w:p>
    <w:p w:rsidR="009D2CAE" w:rsidRPr="007C0CDA" w:rsidRDefault="009D2CAE" w:rsidP="00EC52E6"/>
    <w:p w:rsidR="009D2CAE" w:rsidRPr="007C0CDA" w:rsidRDefault="009D2CAE" w:rsidP="002433DA">
      <w:pPr>
        <w:pStyle w:val="Vtneslovannadpis"/>
      </w:pPr>
      <w:r w:rsidRPr="007C0CDA">
        <w:lastRenderedPageBreak/>
        <w:br w:type="page"/>
      </w:r>
    </w:p>
    <w:p w:rsidR="009D2CAE" w:rsidRPr="00172EF4" w:rsidRDefault="009D2CAE" w:rsidP="002433DA">
      <w:pPr>
        <w:pStyle w:val="Nadpis2"/>
      </w:pPr>
      <w:bookmarkStart w:id="272" w:name="_Toc416447677"/>
      <w:r w:rsidRPr="00B675D6">
        <w:lastRenderedPageBreak/>
        <w:t xml:space="preserve">Specifický cíl 1.2 </w:t>
      </w:r>
      <w:r w:rsidRPr="00854519">
        <w:t>– Zvýšit intenzitu a účinnost spolupráce ve výzkumu, vývoji a inovacích</w:t>
      </w:r>
      <w:bookmarkEnd w:id="272"/>
    </w:p>
    <w:p w:rsidR="009D2CAE" w:rsidRPr="007C0CDA" w:rsidRDefault="009D2CAE" w:rsidP="002413B6">
      <w:pPr>
        <w:pStyle w:val="Nadpis3"/>
      </w:pPr>
      <w:bookmarkStart w:id="273" w:name="_Toc416447678"/>
      <w:r w:rsidRPr="007C0CDA">
        <w:t>Zaměření specifického cíle</w:t>
      </w:r>
      <w:bookmarkEnd w:id="273"/>
    </w:p>
    <w:p w:rsidR="009D2CAE" w:rsidRPr="007C0CDA" w:rsidRDefault="009D2CAE" w:rsidP="00B46E74">
      <w:pPr>
        <w:pStyle w:val="Neslovannadpisy"/>
      </w:pPr>
      <w:r w:rsidRPr="007C0CDA">
        <w:t xml:space="preserve">Podporované aktivity: </w:t>
      </w:r>
    </w:p>
    <w:p w:rsidR="009D2CAE" w:rsidRPr="007C0CDA" w:rsidRDefault="009D2CAE" w:rsidP="002433DA">
      <w:pPr>
        <w:pStyle w:val="Odstavecseseznamem"/>
        <w:numPr>
          <w:ilvl w:val="0"/>
          <w:numId w:val="6"/>
        </w:numPr>
      </w:pPr>
      <w:r w:rsidRPr="007C0CDA">
        <w:t>Tvorba nových a rozšiřování a zvyšování kvality současných služeb podpůrné infrastruktury, tj. vědecko-technických parků, podnikatelských inovačních center, podnikatelských inkubátorů</w:t>
      </w:r>
    </w:p>
    <w:p w:rsidR="009D2CAE" w:rsidRPr="007C0CDA" w:rsidRDefault="009D2CAE" w:rsidP="002433DA">
      <w:pPr>
        <w:pStyle w:val="Odstavecseseznamem"/>
        <w:numPr>
          <w:ilvl w:val="0"/>
          <w:numId w:val="6"/>
        </w:numPr>
      </w:pPr>
      <w:r w:rsidRPr="007C0CDA">
        <w:t>Rozvoj sítí spolupráce, vč. klastrů a technologických platforem (zejména kolektivní výzkum, založený na potřebách většího počtu MSP i větších firem, rozvoj mezisektorové spolupráce a internacionalizace)</w:t>
      </w:r>
    </w:p>
    <w:p w:rsidR="009D2CAE" w:rsidRPr="007C0CDA" w:rsidRDefault="009D2CAE" w:rsidP="002433DA">
      <w:pPr>
        <w:pStyle w:val="Odstavecseseznamem"/>
        <w:numPr>
          <w:ilvl w:val="0"/>
          <w:numId w:val="6"/>
        </w:numPr>
      </w:pPr>
      <w:r w:rsidRPr="007C0CDA">
        <w:t xml:space="preserve">Vytváření partnerství pro znalostní transfer mezi podniky a univerzitami </w:t>
      </w:r>
    </w:p>
    <w:p w:rsidR="009D2CAE" w:rsidRPr="007C0CDA" w:rsidRDefault="009D2CAE" w:rsidP="002433DA">
      <w:pPr>
        <w:pStyle w:val="Odstavecseseznamem"/>
        <w:numPr>
          <w:ilvl w:val="0"/>
          <w:numId w:val="6"/>
        </w:numPr>
      </w:pPr>
      <w:r w:rsidRPr="007C0CDA">
        <w:t>Rozvoj komunikace a sdílení poznatků mezi podnikovou a výzkumnou sférou</w:t>
      </w:r>
    </w:p>
    <w:p w:rsidR="009D2CAE" w:rsidRPr="007C0CDA" w:rsidRDefault="009D2CAE" w:rsidP="002433DA">
      <w:pPr>
        <w:pStyle w:val="Odstavecseseznamem"/>
        <w:numPr>
          <w:ilvl w:val="0"/>
          <w:numId w:val="6"/>
        </w:numPr>
      </w:pPr>
      <w:r w:rsidRPr="007C0CDA">
        <w:t>Rozšiřování/výstavba sdílené infrastruktury pro průmyslový výzkum</w:t>
      </w:r>
    </w:p>
    <w:p w:rsidR="009D2CAE" w:rsidRPr="007C0CDA" w:rsidRDefault="009D2CAE" w:rsidP="002433DA">
      <w:pPr>
        <w:pStyle w:val="Odstavecseseznamem"/>
        <w:numPr>
          <w:ilvl w:val="0"/>
          <w:numId w:val="6"/>
        </w:numPr>
      </w:pPr>
      <w:r w:rsidRPr="007C0CDA">
        <w:t>Aktivity vedoucí ke komercializaci výsledků výzkumu pomocí aktivit ověření proveditelnosti („proof-of-concept“)</w:t>
      </w:r>
    </w:p>
    <w:p w:rsidR="009D2CAE" w:rsidRPr="007C0CDA" w:rsidRDefault="009D2CAE" w:rsidP="00664618">
      <w:pPr>
        <w:pStyle w:val="Neslovannadpisy"/>
      </w:pPr>
    </w:p>
    <w:p w:rsidR="009D2CAE" w:rsidRPr="007C0CDA" w:rsidRDefault="009D2CAE" w:rsidP="00664618">
      <w:pPr>
        <w:pStyle w:val="Neslovannadpisy"/>
      </w:pPr>
      <w:r w:rsidRPr="007C0CDA">
        <w:t xml:space="preserve">Cílová skupina konečných příjemců: </w:t>
      </w:r>
    </w:p>
    <w:p w:rsidR="009D2CAE" w:rsidRPr="007C0CDA" w:rsidRDefault="009D2CAE" w:rsidP="007D1614">
      <w:r w:rsidRPr="007C0CDA">
        <w:t>Podnikatelské subjekty, podnikatelská seskupení, orgány státní správy a samosprávy (včetně jejich svazků), jim podřízené či jimi zřízené organizace, organizace pro výzkum a šíření znalostí (tj. subjekty splňující definici výzkumné organizace dle Rámce pro státní podporu Výzkumu, vývoje a inovací), neziskové organizace</w:t>
      </w:r>
    </w:p>
    <w:p w:rsidR="009D2CAE" w:rsidRPr="007C0CDA" w:rsidRDefault="009D2CAE" w:rsidP="007D1614"/>
    <w:p w:rsidR="009D2CAE" w:rsidRPr="007C0CDA" w:rsidRDefault="009D2CAE" w:rsidP="00664618">
      <w:pPr>
        <w:pStyle w:val="Neslovannadpisy"/>
      </w:pPr>
      <w:r w:rsidRPr="007C0CDA">
        <w:t xml:space="preserve">Cílové území: </w:t>
      </w:r>
    </w:p>
    <w:p w:rsidR="009D2CAE" w:rsidRPr="007C0CDA" w:rsidRDefault="009D2CAE" w:rsidP="00664618">
      <w:r w:rsidRPr="007C0CDA">
        <w:t>Území České republiky, mimo území hl. města Prahy.</w:t>
      </w:r>
    </w:p>
    <w:p w:rsidR="009D2CAE" w:rsidRPr="007C0CDA" w:rsidRDefault="009D2CAE" w:rsidP="00953BAD">
      <w:pPr>
        <w:pStyle w:val="Vtneslovannadpis"/>
      </w:pPr>
    </w:p>
    <w:p w:rsidR="009D2CAE" w:rsidRPr="007C0CDA" w:rsidRDefault="009D2CAE" w:rsidP="00B750DF">
      <w:pPr>
        <w:pStyle w:val="Neslovannadpisy"/>
      </w:pPr>
      <w:r w:rsidRPr="007C0CDA">
        <w:t>Výběr aktivit k posouzení vhodnosti finančního nástroje</w:t>
      </w:r>
    </w:p>
    <w:p w:rsidR="009D2CAE" w:rsidRPr="007C0CDA" w:rsidRDefault="009D2CAE" w:rsidP="00B750DF">
      <w:r w:rsidRPr="007C0CDA">
        <w:t>Na základě screeningu a vstupní analýzy byla pro bližší posouzení vybrána zejména aktivita proof-of-concept/pre-seed s ohledem na její cíl komercionalizace výsledků VaV a propojení s rizikovým kapitálem.</w:t>
      </w:r>
    </w:p>
    <w:p w:rsidR="009D2CAE" w:rsidRPr="007C0CDA" w:rsidRDefault="009D2CAE" w:rsidP="00B750DF"/>
    <w:p w:rsidR="009D2CAE" w:rsidRPr="007C0CDA" w:rsidRDefault="009D2CAE" w:rsidP="00B750DF">
      <w:r w:rsidRPr="007C0CDA">
        <w:t>Aktivity v oblastech infrastruktury, spolupráce a znalostního transferu ve VaVaI nepovažujeme vzhledem k jejich omezenému bezprostředně ziskovému potenciálu, způsobu financování a komerčnímu riziku v současné době za vhodné k širší aplikaci finančních nástrojů.</w:t>
      </w:r>
    </w:p>
    <w:p w:rsidR="009D2CAE" w:rsidRPr="007C0CDA" w:rsidRDefault="009D2CAE" w:rsidP="00B750DF"/>
    <w:p w:rsidR="009D2CAE" w:rsidRPr="00854519" w:rsidRDefault="009D2CAE" w:rsidP="002433DA">
      <w:pPr>
        <w:pStyle w:val="Nadpis3"/>
      </w:pPr>
      <w:bookmarkStart w:id="274" w:name="_Toc416383697"/>
      <w:bookmarkStart w:id="275" w:name="_Toc416447679"/>
      <w:bookmarkStart w:id="276" w:name="_Toc416447680"/>
      <w:bookmarkEnd w:id="274"/>
      <w:bookmarkEnd w:id="275"/>
      <w:r w:rsidRPr="00854519">
        <w:t>Tržní analýza</w:t>
      </w:r>
      <w:bookmarkEnd w:id="276"/>
    </w:p>
    <w:p w:rsidR="009D2CAE" w:rsidRPr="007C0CDA" w:rsidRDefault="009D2CAE" w:rsidP="0050029A">
      <w:r w:rsidRPr="007C0CDA">
        <w:t>Sledovaná oblast komercionalizace výsledků VaV bude analyzována zejména z pohledu výzkumných organizací (VO). Výzkumná pracoviště v rámci výrobních podniků realizují komercionalizaci svých výsledků z definice svého podnikání. Tento problém je tedy otázkou především veřejných institucí – vysokých škol, Akademie věd a dalších výzkumných pracovišť ve vládním sektoru.</w:t>
      </w:r>
    </w:p>
    <w:p w:rsidR="009D2CAE" w:rsidRPr="007C0CDA" w:rsidRDefault="009D2CAE" w:rsidP="0050029A"/>
    <w:p w:rsidR="009D2CAE" w:rsidRPr="007C0CDA" w:rsidRDefault="009D2CAE" w:rsidP="0050029A">
      <w:r w:rsidRPr="007C0CDA">
        <w:t xml:space="preserve">Komercionalizace výsledků VaV je v podmínkách českých VO stále poměrně okrajovou disciplínou výzkumných aktivit. K jejímu posilování v českém prostředí došlo v rámci některých aktivit v minulém období, zejména podpory vzniku center pro transfer technologií (CTT) při jednotlivých výzkumných pracovištích a organizacích, které se těmto aktivitám mají systematicky věnovat.Zájem o další rozvoj </w:t>
      </w:r>
      <w:r w:rsidRPr="007C0CDA">
        <w:lastRenderedPageBreak/>
        <w:t>těchto aktivit je u některých úspěšných pracovišť velký, jak dokládají řízené rozhovory se stakeholdery v této oblasti v rámci zpracovávání předběžného posouzení.</w:t>
      </w:r>
    </w:p>
    <w:p w:rsidR="009D2CAE" w:rsidRPr="007C0CDA" w:rsidRDefault="009D2CAE" w:rsidP="0050029A"/>
    <w:p w:rsidR="009D2CAE" w:rsidRPr="007C0CDA" w:rsidRDefault="009D2CAE">
      <w:pPr>
        <w:pStyle w:val="Neslovannadpisy"/>
      </w:pPr>
      <w:r w:rsidRPr="007C0CDA">
        <w:t>Soukromé a veřejné zdroje financování</w:t>
      </w:r>
    </w:p>
    <w:p w:rsidR="009D2CAE" w:rsidRPr="007C0CDA" w:rsidRDefault="009D2CAE" w:rsidP="0050029A">
      <w:r w:rsidRPr="007C0CDA">
        <w:t>Výdaje na VaV prochází v ČR poměrně dynamickým vývojem díky prostředkům ze strukturálních fondů EU v minulém období. Výdaje na VaV ve vysokoškolském sektoru se podle ČSÚ od roku 2010 zdvojnásobily na 21 mld. Kč v roce 2013, ve vládním sektoru rostou výrazně nižším tempem, ve srovnání s rokem 2008 zde však bylo v roce 2013 vydáno o 3 mld. Kč více, celkem 14 mld. Kč</w:t>
      </w:r>
      <w:r w:rsidRPr="007C0CDA">
        <w:rPr>
          <w:rStyle w:val="Znakapoznpodarou"/>
        </w:rPr>
        <w:footnoteReference w:id="12"/>
      </w:r>
      <w:r w:rsidRPr="007C0CDA">
        <w:t>.</w:t>
      </w:r>
    </w:p>
    <w:p w:rsidR="009D2CAE" w:rsidRPr="007C0CDA" w:rsidRDefault="009D2CAE" w:rsidP="0050029A"/>
    <w:p w:rsidR="009D2CAE" w:rsidRPr="007C0CDA" w:rsidRDefault="009D2CAE" w:rsidP="00D4234A">
      <w:r w:rsidRPr="007C0CDA">
        <w:t>Růst těchto prostředků vytváří určitý potenciál k vyšším výsledkům VaV, které by byly uplatnitelné v praxi, byť zde nelze očekávat žádnou přímou úměru – zejména u základního výzkumu a v oblasti společenských věd.</w:t>
      </w:r>
    </w:p>
    <w:p w:rsidR="009D2CAE" w:rsidRPr="007C0CDA" w:rsidRDefault="009D2CAE" w:rsidP="00D4234A"/>
    <w:p w:rsidR="009D2CAE" w:rsidRPr="007C0CDA" w:rsidRDefault="009D2CAE" w:rsidP="00D4234A">
      <w:r w:rsidRPr="007C0CDA">
        <w:t>Na podporu komercionalizačních aktivit šlo v minulém období vzhledem k jejich omezenému rozsahu řádově méně peněz než je udávaný celkový rozpočet VaV aktivit. Pomineme-li podporu zakládání institucionální infrastruktury (Centra transferu a technologií apod.), byly na tyto aktivity zaměřeny dva programy Ministerstva školství, mládeže a tělovýchovy (MŠMT), resp.Technologické agentury ČR(TAČR).</w:t>
      </w:r>
    </w:p>
    <w:p w:rsidR="009D2CAE" w:rsidRPr="007C0CDA" w:rsidRDefault="009D2CAE" w:rsidP="00D4234A"/>
    <w:p w:rsidR="009D2CAE" w:rsidRDefault="009D2CAE" w:rsidP="00F61ECD">
      <w:r w:rsidRPr="007C0CDA">
        <w:rPr>
          <w:b/>
        </w:rPr>
        <w:t xml:space="preserve">MŠMT </w:t>
      </w:r>
      <w:r w:rsidRPr="002433DA">
        <w:rPr>
          <w:b/>
        </w:rPr>
        <w:t xml:space="preserve">Pre-seed </w:t>
      </w:r>
      <w:r w:rsidRPr="007C0CDA">
        <w:rPr>
          <w:b/>
        </w:rPr>
        <w:t xml:space="preserve">– výzvy 6.3 a 7.3 OP </w:t>
      </w:r>
      <w:r w:rsidRPr="002433DA">
        <w:rPr>
          <w:b/>
        </w:rPr>
        <w:t>VaV</w:t>
      </w:r>
      <w:r w:rsidRPr="007C0CDA">
        <w:rPr>
          <w:b/>
        </w:rPr>
        <w:t>p</w:t>
      </w:r>
      <w:r w:rsidRPr="002433DA">
        <w:rPr>
          <w:b/>
        </w:rPr>
        <w:t>I</w:t>
      </w:r>
      <w:r w:rsidRPr="007C0CDA">
        <w:t xml:space="preserve">– V rámci těchto výzev byly podpořeny konkrétní projekty v oblasti Proof-of-concept (POC) a fázi přípravy komercionalizace. Dotačně podpořeny byly projekty vysokých škol a výzkumných organizací. </w:t>
      </w:r>
      <w:r w:rsidRPr="007C0CDA">
        <w:rPr>
          <w:b/>
        </w:rPr>
        <w:t>Celková alokace v těchto výzvách za roky 2012-2013 byla 980 mil. Kč</w:t>
      </w:r>
      <w:r w:rsidRPr="007C0CDA">
        <w:t>.</w:t>
      </w:r>
      <w:r w:rsidR="00F7209F">
        <w:t xml:space="preserve"> Poptávka po podpoře výrazně převyšovala nabídku, viz statistiky obou výzev.</w:t>
      </w:r>
      <w:r w:rsidRPr="007C0CDA">
        <w:t xml:space="preserve"> Tyto aktivity nebudou mír v rámci nového operačního programu MŠMT přímé pokračování.</w:t>
      </w:r>
    </w:p>
    <w:p w:rsidR="00416378" w:rsidRDefault="00416378" w:rsidP="00F61ECD"/>
    <w:p w:rsidR="00416378" w:rsidRDefault="00416378" w:rsidP="00416378">
      <w:pPr>
        <w:rPr>
          <w:color w:val="000000"/>
          <w:szCs w:val="22"/>
        </w:rPr>
      </w:pPr>
      <w:r>
        <w:t xml:space="preserve">V rámci výzvy 6.3 bylo zaregistrováno 29 projektových žádostí s celkovou požadovanou výší dotace 1 271 294 374 Kč. Procesem hodnocení do fáze realizace postoupilo 9 projektů. </w:t>
      </w:r>
      <w:r>
        <w:rPr>
          <w:color w:val="000000"/>
          <w:szCs w:val="22"/>
        </w:rPr>
        <w:t xml:space="preserve">Výše způsobilých nákladů jednotlivých projektových žádostí se pohybovala mezi 6 405 136 a 59 932 593. průměrná výše způsobilých výdajů na projekt byla 43 837 737 Kč. Výše způsobilých nákladů jednotlivých projektů v realizaci se pohybovala mezi </w:t>
      </w:r>
      <w:r w:rsidRPr="00D50C0A">
        <w:rPr>
          <w:color w:val="000000"/>
          <w:szCs w:val="22"/>
        </w:rPr>
        <w:t>15</w:t>
      </w:r>
      <w:r>
        <w:rPr>
          <w:color w:val="000000"/>
          <w:szCs w:val="22"/>
        </w:rPr>
        <w:t xml:space="preserve"> </w:t>
      </w:r>
      <w:r w:rsidRPr="00D50C0A">
        <w:rPr>
          <w:color w:val="000000"/>
          <w:szCs w:val="22"/>
        </w:rPr>
        <w:t>327</w:t>
      </w:r>
      <w:r>
        <w:rPr>
          <w:color w:val="000000"/>
          <w:szCs w:val="22"/>
        </w:rPr>
        <w:t xml:space="preserve"> </w:t>
      </w:r>
      <w:r w:rsidRPr="00D50C0A">
        <w:rPr>
          <w:color w:val="000000"/>
          <w:szCs w:val="22"/>
        </w:rPr>
        <w:t>432</w:t>
      </w:r>
      <w:r>
        <w:rPr>
          <w:color w:val="000000"/>
          <w:szCs w:val="22"/>
        </w:rPr>
        <w:t xml:space="preserve"> a </w:t>
      </w:r>
      <w:r w:rsidRPr="00D50C0A">
        <w:rPr>
          <w:color w:val="000000"/>
          <w:szCs w:val="22"/>
        </w:rPr>
        <w:t>41</w:t>
      </w:r>
      <w:r>
        <w:rPr>
          <w:color w:val="000000"/>
          <w:szCs w:val="22"/>
        </w:rPr>
        <w:t xml:space="preserve"> </w:t>
      </w:r>
      <w:r w:rsidRPr="00D50C0A">
        <w:rPr>
          <w:color w:val="000000"/>
          <w:szCs w:val="22"/>
        </w:rPr>
        <w:t>047</w:t>
      </w:r>
      <w:r>
        <w:rPr>
          <w:color w:val="000000"/>
          <w:szCs w:val="22"/>
        </w:rPr>
        <w:t> </w:t>
      </w:r>
      <w:r w:rsidRPr="00D50C0A">
        <w:rPr>
          <w:color w:val="000000"/>
          <w:szCs w:val="22"/>
        </w:rPr>
        <w:t>533</w:t>
      </w:r>
      <w:r>
        <w:rPr>
          <w:color w:val="000000"/>
          <w:szCs w:val="22"/>
        </w:rPr>
        <w:t xml:space="preserve"> Kč. průměrná výše způsobilých výdajů na projekt byla 30 588 215 Kč.</w:t>
      </w:r>
    </w:p>
    <w:p w:rsidR="00416378" w:rsidRDefault="00416378" w:rsidP="00416378">
      <w:pPr>
        <w:rPr>
          <w:color w:val="000000"/>
          <w:szCs w:val="22"/>
        </w:rPr>
      </w:pPr>
    </w:p>
    <w:p w:rsidR="00416378" w:rsidRPr="007C0CDA" w:rsidRDefault="00416378" w:rsidP="00416378">
      <w:r>
        <w:rPr>
          <w:color w:val="000000"/>
          <w:szCs w:val="22"/>
        </w:rPr>
        <w:t xml:space="preserve">V rámci výzvy 7.3 bylo zaregistrováno 36 projektových žádostí </w:t>
      </w:r>
      <w:r>
        <w:t>s celkovou požadovanou výší dotace 1 349 361 895 Kč.</w:t>
      </w:r>
      <w:r>
        <w:rPr>
          <w:color w:val="000000"/>
          <w:szCs w:val="22"/>
        </w:rPr>
        <w:t xml:space="preserve"> </w:t>
      </w:r>
      <w:r>
        <w:t xml:space="preserve">Procesem hodnocení do fáze realizace postoupilo 22 projektů, procesem hodnocení do fáze realizace postoupilo 9 projektů. </w:t>
      </w:r>
      <w:r>
        <w:rPr>
          <w:color w:val="000000"/>
          <w:szCs w:val="22"/>
        </w:rPr>
        <w:t>Alokace výzvy 7.3 byla 600 mil. Kč. Byly přijaty projektové žádosti v celkové výši způsobilých výdajů 1 349 361 985 Kč. Procesem hodnocení spěšně prošly žádosti ve finanční výši 829 478 782 Kč.  Po redukci výše způsobilých výdajů pro fázi Příprava komercializace byla celková částka finančních prostředků v RoPD připadající na způsobilé výdaje za schválených 22 projektů ve výši 562 391 722 Kč.  Výše způsobilých nákladů jednotlivých projektových žádostí se pohybovala mezi 8 093 060 a 49 992 831 Kč. Průměrná výše způsobilých výdajů na projekt byla 37 482 274 Kč.</w:t>
      </w:r>
    </w:p>
    <w:p w:rsidR="009D2CAE" w:rsidRPr="007C0CDA" w:rsidRDefault="009D2CAE" w:rsidP="00F61ECD"/>
    <w:p w:rsidR="009D2CAE" w:rsidRPr="007C0CDA" w:rsidRDefault="009D2CAE" w:rsidP="00F61ECD">
      <w:r w:rsidRPr="002433DA">
        <w:rPr>
          <w:b/>
        </w:rPr>
        <w:t>TAČR GAMA</w:t>
      </w:r>
      <w:r w:rsidRPr="007C0CDA">
        <w:t>–Národní program TAČR je zaměřen na podporu ověření výsledků výzkumu a vývoje z hlediska jejich praktického uplatnění a na přípravu jejich následného komerčního využití. Podpora v první veřejné soutěži byla poskytnutá na bázi výběru výzkumných institucí, nikoli konkrétních projektů. Výzkumné instituce byly vybrány na základě nastavení jejich vnitřních hodnotících procesů (ustavení rad pro komercionalizaci) s následnou svobodou alokace přidělené podpory na vnitřní projekty. Tímto způsobem mělo být především přispěno k nastavení institucionálního prostředí pro komercionalizační aktivity.</w:t>
      </w:r>
    </w:p>
    <w:p w:rsidR="009D2CAE" w:rsidRPr="007C0CDA" w:rsidRDefault="009D2CAE" w:rsidP="00F61ECD"/>
    <w:p w:rsidR="009D2CAE" w:rsidRPr="007C0CDA" w:rsidRDefault="009D2CAE" w:rsidP="00F61ECD">
      <w:r w:rsidRPr="007C0CDA">
        <w:lastRenderedPageBreak/>
        <w:t xml:space="preserve">Program GAMA byl spuštěn v roce 2013, zatím proběhla první veřejná soutěž pro výzkumné instituce. Celková alokace pro roky 2014-2019 2 770 mil. Kč. </w:t>
      </w:r>
      <w:r w:rsidRPr="002433DA">
        <w:rPr>
          <w:b/>
        </w:rPr>
        <w:t>V</w:t>
      </w:r>
      <w:r w:rsidRPr="007C0CDA">
        <w:rPr>
          <w:b/>
        </w:rPr>
        <w:t> </w:t>
      </w:r>
      <w:r w:rsidRPr="002433DA">
        <w:rPr>
          <w:b/>
        </w:rPr>
        <w:t>první veřejné soutěži bylo podpořeno 10 projektů výzkumných institucí z</w:t>
      </w:r>
      <w:r w:rsidRPr="007C0CDA">
        <w:rPr>
          <w:b/>
        </w:rPr>
        <w:t> </w:t>
      </w:r>
      <w:r w:rsidRPr="002433DA">
        <w:rPr>
          <w:b/>
        </w:rPr>
        <w:t>31 podaných o úhrnné výši dotace 194 mil. Kč</w:t>
      </w:r>
      <w:r w:rsidRPr="007C0CDA">
        <w:t xml:space="preserve"> (v průměru 19,4 mil. Kč na projekt při maximální výši 21 mil. Kč). Z 21 nepodpořených projektů bylo 6 doporučeno, avšak odmítnuto z důvodu nedostatku disponibilních prostředků.</w:t>
      </w:r>
    </w:p>
    <w:p w:rsidR="009D2CAE" w:rsidRPr="007C0CDA" w:rsidRDefault="009D2CAE" w:rsidP="00953BAD"/>
    <w:p w:rsidR="009D2CAE" w:rsidRPr="007C0CDA" w:rsidRDefault="009D2CAE" w:rsidP="00207007">
      <w:r w:rsidRPr="007C0CDA">
        <w:t>Soukromé financování v této oblasti nehraje v ČR větší úlohu. Podniky se zaměřují na výzkumné aktivity ve své režii. Existuje poměrně slabá poptávka po výsledcích VaV veřejného sektoru ve formě nehmotného vlastnictví. Z výdajů vynaložených na veřejných vysokých školách byla pouhá 2 % (400 mil.) financována ze soukromých zdrojů. Pro oblast komercionalizace je důležitý také rizikový kapitál určený pro rozvoj spin-off společností. V této oblasti je však aktivita soukromých investorů v ČR velmi slabá (viz tržní selhání SC 2.1)</w:t>
      </w:r>
    </w:p>
    <w:p w:rsidR="009D2CAE" w:rsidRPr="007C0CDA" w:rsidRDefault="009D2CAE" w:rsidP="00953BAD"/>
    <w:p w:rsidR="009D2CAE" w:rsidRPr="007C0CDA" w:rsidRDefault="009D2CAE">
      <w:pPr>
        <w:pStyle w:val="Neslovannadpisy"/>
      </w:pPr>
      <w:r w:rsidRPr="007C0CDA">
        <w:t>Komercionalizační aktivity</w:t>
      </w:r>
    </w:p>
    <w:p w:rsidR="009D2CAE" w:rsidRPr="007C0CDA" w:rsidRDefault="009D2CAE" w:rsidP="00207007">
      <w:r w:rsidRPr="007C0CDA">
        <w:t>Komercionalizace výsledků VaV je v podmínkách českých VO stále poměrně okrajovou disciplínou výzkumných aktivit. K jejímu posilování v českém prostředí došlo v rámci některých aktivit v minulém období, zejména podpory vzniku center pro transfer technologií (CTT) při jednotlivých výzkumných pracovištích a organizacích, které se těmto aktivitám mají systematicky věnovat. Zájem o další rozvoj těchto aktivit je u některých úspěšných pracovišť veliký, jak dokládají řízené rozhovory se stakeholdery v této oblasti v rámci zpracovávání předběžného posouzení.</w:t>
      </w:r>
    </w:p>
    <w:p w:rsidR="009D2CAE" w:rsidRPr="007C0CDA" w:rsidRDefault="009D2CAE" w:rsidP="00D12A61">
      <w:pPr>
        <w:pStyle w:val="Neslovannadpisy"/>
      </w:pPr>
    </w:p>
    <w:p w:rsidR="009D2CAE" w:rsidRPr="007C0CDA" w:rsidRDefault="009D2CAE" w:rsidP="00D5069D">
      <w:r w:rsidRPr="002433DA">
        <w:t xml:space="preserve">Rozsah komercionalizovatelných projektů a poptávku po pre-seed financování lze </w:t>
      </w:r>
      <w:r w:rsidRPr="007C0CDA">
        <w:t xml:space="preserve">částečně odvozovat i od výsledků výzkumné aktivity v podobě požadovaných a přiznaných patentů a užitných vzorů – byť se jedná jen o jeden z možných výstupů a samotná podpora ochrany duševního vlastnictví není předmětem SC 1.2. Výstupy veřejného výzkumu v podobě udělených patentů zaznamenaly v posledních letech poměrně rychlý nárůst. Zatímco ještě v roce 2008 bylo vysokým školám a veřejným výzkumným institucím uděleno nebo validováno Úřadem průmyslového vlastnictví ČR jen 47 patentů pro území ČR, v roce 2011 to již bylo 144 udělených patentů a v roce 2012 dokonce 190. </w:t>
      </w:r>
      <w:r w:rsidRPr="007C0CDA">
        <w:rPr>
          <w:b/>
        </w:rPr>
        <w:t>Enormně rychle rostly patenty udělené pro ČR vysokým školám, konkrétně z 19 v roce 2008 na 142 v roce 2012</w:t>
      </w:r>
      <w:r w:rsidRPr="007C0CDA">
        <w:t>. Nutno říci, že nárůst patentní aktivity ve veřejném výzkumu v posledních letech je především důsledkem současně platné metodiky hodnocení výsledků vědy a výzkumu. Reálné komercionalizační příležitosti jsou tedy až druhotnou záležitostí.</w:t>
      </w:r>
    </w:p>
    <w:p w:rsidR="009D2CAE" w:rsidRPr="007C0CDA" w:rsidRDefault="009D2CAE" w:rsidP="00D12A61"/>
    <w:p w:rsidR="009D2CAE" w:rsidRPr="007C0CDA" w:rsidRDefault="009D2CAE" w:rsidP="00D12A61">
      <w:r w:rsidRPr="007C0CDA">
        <w:t xml:space="preserve">Stále zaostává patentová aktivita českých subjektů v zahraničí a na evropské úrovni, která je podmínkou pro komercionalizaci na mezinárodní úrovni. Žebříček Innovation Union Scoreboard udává, že ČR je v tomto ohledu na 42 % průměru EU. Zatímco v EU bylo v roce 2012 podáno v průměru 129 přihlášek vynálezů u Evropského patentového úřadu na jeden milion obyvatel v ČR to bylo pouze 13 přihlášek. </w:t>
      </w:r>
    </w:p>
    <w:p w:rsidR="009D2CAE" w:rsidRPr="007C0CDA" w:rsidDel="00D12A61" w:rsidRDefault="009D2CAE" w:rsidP="00953BAD">
      <w:pPr>
        <w:pStyle w:val="Neslovannadpisy"/>
      </w:pPr>
    </w:p>
    <w:p w:rsidR="009D2CAE" w:rsidRPr="007C0CDA" w:rsidRDefault="009D2CAE" w:rsidP="00F47219">
      <w:pPr>
        <w:pStyle w:val="Neslovannadpisy"/>
      </w:pPr>
      <w:r w:rsidRPr="007C0CDA">
        <w:t>Odhad absorpční kapacity navrhovaných finančních nástrojů</w:t>
      </w:r>
    </w:p>
    <w:p w:rsidR="009D2CAE" w:rsidRDefault="009D2CAE" w:rsidP="002A5076">
      <w:r w:rsidRPr="007C0CDA">
        <w:t>Rozhovory vedené v rámci zpracování Předběžného posouzení se zástupci VO a profesních asociací ukazují velkou poptávku minimálně části komercionalizačních pracovišť veřejných VO po nových zdrojích financování, které by byly odlišné od stávajících dotací a více by vyhovovaly flexibilním potřebám projektů. Přerozdělování finančních prostředků v rámci VO a výsledný nedostatek prostředků na komercionalizaci a fungování zřízených infrastruktur (CTT) vytváří poptávku po dodatečných zdrojích určených specificky na projekty pre-seed a POC aktivit. S ohledem na pozitivní reakce stakeholderů na rámcový návrh FN v oblasti pre-seed odhadujeme, že zájem v první fázi bude dostatečný pro realizování pilotního projektu Pre-seed fondu. Po vytvoření fungující spolupráce a realizaci prvních úspěšných projektů lze očekávat plošný zájem ze strany veřejných VO.</w:t>
      </w:r>
      <w:r w:rsidR="00DE6914">
        <w:t xml:space="preserve"> </w:t>
      </w:r>
      <w:r w:rsidRPr="007C0CDA">
        <w:t xml:space="preserve">Poptávku po </w:t>
      </w:r>
      <w:r w:rsidRPr="007C0CDA">
        <w:lastRenderedPageBreak/>
        <w:t>financování tohoto druhu projektů dokládá též vysoký počet neuspokojených žádostí v programech GAMA a pre-seed OPVaVpI.</w:t>
      </w:r>
    </w:p>
    <w:p w:rsidR="00DE6914" w:rsidRPr="007C0CDA" w:rsidRDefault="00DE6914" w:rsidP="002A5076"/>
    <w:p w:rsidR="009D2CAE" w:rsidRPr="00854519" w:rsidRDefault="009D2CAE" w:rsidP="002433DA">
      <w:pPr>
        <w:pStyle w:val="Nadpis3"/>
      </w:pPr>
      <w:bookmarkStart w:id="277" w:name="_Toc416447682"/>
      <w:bookmarkStart w:id="278" w:name="_Toc416447689"/>
      <w:bookmarkStart w:id="279" w:name="_Toc416447690"/>
      <w:bookmarkEnd w:id="277"/>
      <w:bookmarkEnd w:id="278"/>
      <w:r w:rsidRPr="00B675D6">
        <w:t>Analýza tržních selhání a suboptimální investiční situace</w:t>
      </w:r>
      <w:bookmarkEnd w:id="279"/>
    </w:p>
    <w:p w:rsidR="009D2CAE" w:rsidRPr="007C0CDA" w:rsidRDefault="009D2CAE" w:rsidP="007C6E8B">
      <w:r w:rsidRPr="007C0CDA">
        <w:t xml:space="preserve">V oblasti komercionalizace výsledků VaV vysokých škol a veřejných VO pozorujeme </w:t>
      </w:r>
      <w:r w:rsidRPr="002433DA">
        <w:rPr>
          <w:b/>
        </w:rPr>
        <w:t>výrazné tržní selhání ve fázi pre-seed/proof-of-concept</w:t>
      </w:r>
      <w:r w:rsidRPr="007C0CDA">
        <w:t xml:space="preserve"> – tedy v momentě, kdy mají být prakticky hotové výsledky VaV převedeny do funkčních prototypů, má být ověřena jejich komercionalizovatelnost, resp.komerční využití na trhu a přistupuje se k samotnému vytvoření a realizování plánu komerčního využití, přípravy pro investora, založení spin-off, potažmo odprodeji licence apod.</w:t>
      </w:r>
    </w:p>
    <w:p w:rsidR="009D2CAE" w:rsidRPr="007C0CDA" w:rsidRDefault="009D2CAE" w:rsidP="007C6E8B"/>
    <w:p w:rsidR="009D2CAE" w:rsidRPr="007C0CDA" w:rsidRDefault="009D2CAE" w:rsidP="00EE6B30">
      <w:r w:rsidRPr="007C0CDA">
        <w:t xml:space="preserve">Tato fáze je extrémně důležitá, protože </w:t>
      </w:r>
      <w:r w:rsidRPr="002433DA">
        <w:rPr>
          <w:b/>
        </w:rPr>
        <w:t>přemosťuje výsledky VaV na veřejných institucích a využití na</w:t>
      </w:r>
      <w:r w:rsidRPr="007C0CDA">
        <w:rPr>
          <w:b/>
        </w:rPr>
        <w:t> </w:t>
      </w:r>
      <w:r w:rsidRPr="002433DA">
        <w:rPr>
          <w:b/>
        </w:rPr>
        <w:t>komerčním trhu, jež přináší finanční výsledky</w:t>
      </w:r>
      <w:r w:rsidRPr="007C0CDA">
        <w:t>. Právě v tomto ohledu se doposavad příliš nedařilo nadějné výsledky VaV dotahovat do konce, mimo rámec klasického zaměření VO.V současné době sice existuje zvýšená aktivita některých pracovišť v tomto směru, i v návaznosti na fungování CTT a některé programy podpory, často však stojí na aktivitě individuálních jedinců. Realizace projektů je celkově nadále nedostatečná a brání jí řada bariér.</w:t>
      </w:r>
    </w:p>
    <w:p w:rsidR="009D2CAE" w:rsidRPr="007C0CDA" w:rsidRDefault="009D2CAE" w:rsidP="00EE6B30"/>
    <w:p w:rsidR="009D2CAE" w:rsidRPr="007C0CDA" w:rsidRDefault="009D2CAE" w:rsidP="00EE6B30">
      <w:r w:rsidRPr="007C0CDA">
        <w:t xml:space="preserve">Perspektivní projekty narážejí na problémy v několika směrech. Tím základním je, že </w:t>
      </w:r>
      <w:r w:rsidRPr="002433DA">
        <w:rPr>
          <w:b/>
        </w:rPr>
        <w:t>vysoké</w:t>
      </w:r>
      <w:r w:rsidRPr="007C0CDA">
        <w:rPr>
          <w:b/>
        </w:rPr>
        <w:t xml:space="preserve"> </w:t>
      </w:r>
      <w:r w:rsidRPr="002433DA">
        <w:rPr>
          <w:b/>
        </w:rPr>
        <w:t>školy a veřejné VO</w:t>
      </w:r>
      <w:r w:rsidRPr="007C0CDA">
        <w:rPr>
          <w:b/>
        </w:rPr>
        <w:t xml:space="preserve"> </w:t>
      </w:r>
      <w:r w:rsidRPr="002433DA">
        <w:rPr>
          <w:b/>
        </w:rPr>
        <w:t>nejsou primárně organizace, které by byly nastaveny na zhodnocování svých výsledků</w:t>
      </w:r>
      <w:r w:rsidRPr="007C0CDA">
        <w:rPr>
          <w:b/>
        </w:rPr>
        <w:t xml:space="preserve"> </w:t>
      </w:r>
      <w:r w:rsidRPr="002433DA">
        <w:rPr>
          <w:b/>
        </w:rPr>
        <w:t>a tržní působení</w:t>
      </w:r>
      <w:r w:rsidRPr="007C0CDA">
        <w:t>. Základním smyslem těchto institucí je výzkum a vývoj a drtivou část zdrojů získávají z veřejných prostředků v rámci jeho hodnocení. To samé platí pro jednotlivé výzkumné pracovníky, jejichž zájem často končí dokončením výzkumu a už nepokračuje do oblasti jeho komercionalizaci, na což ani nemají tito úzce profilovaní specialisté odbornost a podnikatelské dovednosti. VO nejsou ochotny podstupovat riziko investováním vlastního kapitálu, v rámci přerozdělování financí na VO a vysokých školách jsou tedy tyto aktivity upozaděny.</w:t>
      </w:r>
    </w:p>
    <w:p w:rsidR="009D2CAE" w:rsidRPr="007C0CDA" w:rsidRDefault="009D2CAE" w:rsidP="00EE6B30"/>
    <w:p w:rsidR="009D2CAE" w:rsidRPr="007C0CDA" w:rsidRDefault="009D2CAE" w:rsidP="00EE6B30">
      <w:r w:rsidRPr="002433DA">
        <w:rPr>
          <w:b/>
        </w:rPr>
        <w:t>Pro veřejné VO je charakteristická řada institucionálních bariér, které znesnadňují změny</w:t>
      </w:r>
      <w:r w:rsidRPr="007C0CDA">
        <w:t>.Sítě osobních kontaktů a vazeb a zdeformování systému jejich fungování aktuálním nastavením hodnocení a odměňování výsledků VaV jsou jedny z nich.Vysoké školy a veřejné VO jsou navíc výrazně autonomními institucemi, i na úrovni fakulty či ústavu, čili není snadné tento systém centrálně změnit.</w:t>
      </w:r>
    </w:p>
    <w:p w:rsidR="009D2CAE" w:rsidRPr="007C0CDA" w:rsidRDefault="009D2CAE" w:rsidP="00EE6B30"/>
    <w:p w:rsidR="009D2CAE" w:rsidRPr="007C0CDA" w:rsidRDefault="009D2CAE" w:rsidP="00EE6B30">
      <w:r w:rsidRPr="007C0CDA">
        <w:t>Příkladem deformačního působení nevhodně nastavených procesů je i zmíněný rozvoj podávání patentů na vysokých školách. Podání patentu je jedním z nastavených kritérií hodnocení výsledků VaV, nehodnotí se však již jeho následná komerční úspěšnost. Ve výsledku jsou tak často podávány předčasné,často ekonomicky nevyužitelné patenty. Při abstrahování od licenčních příjmů Ústavu organické chemie a biochemie Akademie věd ČR, který má v tomto ohledu výjimečné postavení, získaly vysoké školy a veřejné výzkumné instituce v roce 2012 necelých 19 mil. Kč z licenčních poplatků za poskytnuté právo využívat vynálezy či technická řešení chráněná patentem nebo užitným vzorem, přičemž pouze 1,2 mil. Kč pocházelo z nových smluv.</w:t>
      </w:r>
    </w:p>
    <w:p w:rsidR="009D2CAE" w:rsidRPr="007C0CDA" w:rsidRDefault="009D2CAE" w:rsidP="00EE6B30"/>
    <w:p w:rsidR="009D2CAE" w:rsidRPr="007C0CDA" w:rsidRDefault="009D2CAE" w:rsidP="004A3C7A">
      <w:r w:rsidRPr="002433DA">
        <w:rPr>
          <w:b/>
        </w:rPr>
        <w:t xml:space="preserve">Klíčové je tedy správné </w:t>
      </w:r>
      <w:r w:rsidRPr="007C0CDA">
        <w:rPr>
          <w:b/>
        </w:rPr>
        <w:t xml:space="preserve">nastavení procesů a motivačních prvků, </w:t>
      </w:r>
      <w:r w:rsidRPr="002433DA">
        <w:rPr>
          <w:b/>
        </w:rPr>
        <w:t>identifikování potenciálně úspěšných projektů a zapojení odborníků s</w:t>
      </w:r>
      <w:r w:rsidRPr="007C0CDA">
        <w:rPr>
          <w:b/>
        </w:rPr>
        <w:t> </w:t>
      </w:r>
      <w:r w:rsidRPr="002433DA">
        <w:rPr>
          <w:b/>
        </w:rPr>
        <w:t>ekonomickým a podnikatelským know-how v</w:t>
      </w:r>
      <w:r w:rsidRPr="007C0CDA">
        <w:rPr>
          <w:b/>
        </w:rPr>
        <w:t> </w:t>
      </w:r>
      <w:r w:rsidRPr="002433DA">
        <w:rPr>
          <w:b/>
        </w:rPr>
        <w:t>této rané fázi</w:t>
      </w:r>
      <w:r w:rsidRPr="007C0CDA">
        <w:t xml:space="preserve"> – např. na úrovni CTT nebo přímo soukromého investora. V tomto ohledu je však problém jak u nedostatečných kapacit CTT a dostatku zdrojů VO, tak se zapojením soukromého kapitálu.</w:t>
      </w:r>
    </w:p>
    <w:p w:rsidR="009D2CAE" w:rsidRPr="007C0CDA" w:rsidRDefault="009D2CAE" w:rsidP="004A3C7A"/>
    <w:p w:rsidR="009D2CAE" w:rsidRPr="007C0CDA" w:rsidRDefault="009D2CAE" w:rsidP="008F662D">
      <w:r w:rsidRPr="007C0CDA">
        <w:t xml:space="preserve">Základem suboptimální investiční situace v oblasti financování komercionalizace výsledků VaV veřejných VO ve fázi pre-seed je </w:t>
      </w:r>
      <w:r w:rsidRPr="007C0CDA">
        <w:rPr>
          <w:b/>
        </w:rPr>
        <w:t>velké riziko, náklady i informační bariéra pro potenciální soukromé investory</w:t>
      </w:r>
      <w:r w:rsidRPr="007C0CDA">
        <w:t xml:space="preserve">. Perspektivní výzkumníci se ne vždy obklopí osobami kompetentními ke komercializaci </w:t>
      </w:r>
      <w:r w:rsidRPr="007C0CDA">
        <w:lastRenderedPageBreak/>
        <w:t>výstupu. Výsledkem může být v některých případech nedostatečná připravenost záměrů</w:t>
      </w:r>
      <w:r w:rsidRPr="002433DA">
        <w:t>, schopnost prezentovat zájem investorům</w:t>
      </w:r>
      <w:r w:rsidRPr="007C0CDA">
        <w:t xml:space="preserve"> </w:t>
      </w:r>
      <w:r w:rsidRPr="002433DA">
        <w:t>či</w:t>
      </w:r>
      <w:r w:rsidRPr="007C0CDA">
        <w:t xml:space="preserve"> oboustranná informační asymetrie, kdy </w:t>
      </w:r>
      <w:r w:rsidR="00190C45">
        <w:t>autoři</w:t>
      </w:r>
      <w:r w:rsidRPr="007C0CDA">
        <w:t xml:space="preserve"> projektů nemají dostatečné informace o dostupnosti financování a potenciální investoři jsou nedůvěřiví vůči projektům, jejichž nosná činnost leží mimo hranice jejich chápání. Z podobných důvodů se k dotažení a realizaci nemusí dostat ani jinak velmi nadějné projekty. Podstatná míra rizika je navíc v této oblasti inherentně přítomna i u kvalitně zpracovaných projektů s potenciálem.</w:t>
      </w:r>
      <w:r w:rsidRPr="002433DA">
        <w:rPr>
          <w:b/>
        </w:rPr>
        <w:t>Potřeba financování tak</w:t>
      </w:r>
      <w:r w:rsidRPr="007C0CDA">
        <w:rPr>
          <w:b/>
        </w:rPr>
        <w:t xml:space="preserve"> prakticky nemůže být pokryta soukromými zdroji alokovanými na tržním principu.</w:t>
      </w:r>
      <w:r w:rsidRPr="007C0CDA">
        <w:t>V řadě odvětví (např. biochemie, medicína a další) je tato fáze též příliš dlouhá. Míra rizika ve fázi pre-seed dalece překračuje obvykle akceptovatelné hodnoty pro investory v českém prostředí.I v řadě vyspělých zemí je proto řešena zapojením veřejné intervence.</w:t>
      </w:r>
    </w:p>
    <w:p w:rsidR="009D2CAE" w:rsidRPr="007C0CDA" w:rsidRDefault="00724F18" w:rsidP="007C6E8B">
      <w:pPr>
        <w:keepNext/>
      </w:pPr>
      <w:r w:rsidRPr="00442D50">
        <w:rPr>
          <w:noProof/>
        </w:rPr>
        <w:drawing>
          <wp:inline distT="0" distB="0" distL="0" distR="0" wp14:anchorId="3BDD688F" wp14:editId="38010EBD">
            <wp:extent cx="5760720" cy="3608918"/>
            <wp:effectExtent l="0" t="0" r="0" b="0"/>
            <wp:docPr id="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608918"/>
                    </a:xfrm>
                    <a:prstGeom prst="rect">
                      <a:avLst/>
                    </a:prstGeom>
                    <a:noFill/>
                    <a:ln>
                      <a:noFill/>
                    </a:ln>
                  </pic:spPr>
                </pic:pic>
              </a:graphicData>
            </a:graphic>
          </wp:inline>
        </w:drawing>
      </w:r>
    </w:p>
    <w:p w:rsidR="009D2CAE" w:rsidRPr="007C0CDA" w:rsidRDefault="009D2CAE" w:rsidP="00DF6E0B">
      <w:pPr>
        <w:pStyle w:val="Titulek"/>
      </w:pPr>
      <w:r w:rsidRPr="007C0CDA">
        <w:t xml:space="preserve">Graf </w:t>
      </w:r>
      <w:r w:rsidRPr="00854519">
        <w:fldChar w:fldCharType="begin"/>
      </w:r>
      <w:r w:rsidRPr="007C0CDA">
        <w:instrText xml:space="preserve"> SEQ Graf \* ARABIC </w:instrText>
      </w:r>
      <w:r w:rsidRPr="002433DA">
        <w:fldChar w:fldCharType="separate"/>
      </w:r>
      <w:r w:rsidRPr="007C0CDA">
        <w:rPr>
          <w:noProof/>
        </w:rPr>
        <w:t>2</w:t>
      </w:r>
      <w:r w:rsidRPr="00854519">
        <w:fldChar w:fldCharType="end"/>
      </w:r>
      <w:r w:rsidRPr="007C0CDA">
        <w:t xml:space="preserve"> - Životní cyklus firmy</w:t>
      </w:r>
    </w:p>
    <w:p w:rsidR="009D2CAE" w:rsidRPr="00EB326E" w:rsidRDefault="009D2CAE" w:rsidP="002433DA">
      <w:pPr>
        <w:pStyle w:val="Nadpis3"/>
      </w:pPr>
      <w:bookmarkStart w:id="280" w:name="_Toc416383700"/>
      <w:bookmarkStart w:id="281" w:name="_Toc416447691"/>
      <w:bookmarkStart w:id="282" w:name="_Toc416383701"/>
      <w:bookmarkStart w:id="283" w:name="_Toc416447692"/>
      <w:bookmarkStart w:id="284" w:name="_Toc416383702"/>
      <w:bookmarkStart w:id="285" w:name="_Toc416447693"/>
      <w:bookmarkStart w:id="286" w:name="_Toc416383703"/>
      <w:bookmarkStart w:id="287" w:name="_Toc416447694"/>
      <w:bookmarkStart w:id="288" w:name="_Toc416383704"/>
      <w:bookmarkStart w:id="289" w:name="_Toc416447695"/>
      <w:bookmarkStart w:id="290" w:name="_Toc416383705"/>
      <w:bookmarkStart w:id="291" w:name="_Toc416447696"/>
      <w:bookmarkStart w:id="292" w:name="_Toc416383706"/>
      <w:bookmarkStart w:id="293" w:name="_Toc416447697"/>
      <w:bookmarkStart w:id="294" w:name="_Toc416383707"/>
      <w:bookmarkStart w:id="295" w:name="_Toc416447698"/>
      <w:bookmarkStart w:id="296" w:name="_Toc416383708"/>
      <w:bookmarkStart w:id="297" w:name="_Toc416447699"/>
      <w:bookmarkStart w:id="298" w:name="_Toc416383709"/>
      <w:bookmarkStart w:id="299" w:name="_Toc416447700"/>
      <w:bookmarkStart w:id="300" w:name="_Toc416383710"/>
      <w:bookmarkStart w:id="301" w:name="_Toc416447701"/>
      <w:bookmarkStart w:id="302" w:name="_Toc416383711"/>
      <w:bookmarkStart w:id="303" w:name="_Toc416447702"/>
      <w:bookmarkStart w:id="304" w:name="_Toc416383712"/>
      <w:bookmarkStart w:id="305" w:name="_Toc416447703"/>
      <w:bookmarkStart w:id="306" w:name="_Toc416383713"/>
      <w:bookmarkStart w:id="307" w:name="_Toc416447704"/>
      <w:bookmarkStart w:id="308" w:name="_Toc416383714"/>
      <w:bookmarkStart w:id="309" w:name="_Toc416447705"/>
      <w:bookmarkStart w:id="310" w:name="_Toc416383715"/>
      <w:bookmarkStart w:id="311" w:name="_Toc416447706"/>
      <w:bookmarkStart w:id="312" w:name="_Toc416383716"/>
      <w:bookmarkStart w:id="313" w:name="_Toc416447707"/>
      <w:bookmarkStart w:id="314" w:name="_Toc416447708"/>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r w:rsidRPr="0038688B">
        <w:t>Návrh opatření</w:t>
      </w:r>
      <w:bookmarkEnd w:id="314"/>
    </w:p>
    <w:p w:rsidR="009D2CAE" w:rsidRPr="007C0CDA" w:rsidRDefault="009D2CAE" w:rsidP="00261EC0">
      <w:r w:rsidRPr="007C0CDA">
        <w:t xml:space="preserve">Pro překlenutí propasti mezi výsledky VaV a trhem je </w:t>
      </w:r>
      <w:r w:rsidR="002F4F33">
        <w:t xml:space="preserve">v rámci komercionalizačních aktivit (marketingové studie, prototypy, testování, ověřování, certifikace, příprava založení spin-off aj.) </w:t>
      </w:r>
      <w:r w:rsidRPr="007C0CDA">
        <w:t>nezbytné použít takovou formu podpory, která na jedné straně přinese projektům nutné finanční prostředky bez zbytečných průtahů a tehdy, kdy jsou potřeba, na straně druhé pak bude motivovat vysoké školy a veřejné VO k nastavení odpovídajících procesů a výběru skutečně nadějných projektů, stejně jako k jejich dotažení do reálného výstupu. Významným elementem je přechod na trh, nalezení vhodného investora či partnerské společnosti a navázání partnerství výzkumníků s lidmi s ekonomickým a podnikatelským zázemím. Z těchto všech důvodů se nám jeví jako nejvhodnější alternativou forma nástroje kapitálových vstupů.</w:t>
      </w:r>
    </w:p>
    <w:p w:rsidR="009D2CAE" w:rsidRPr="007C0CDA" w:rsidRDefault="009D2CAE" w:rsidP="00261EC0"/>
    <w:p w:rsidR="009D2CAE" w:rsidRPr="007C0CDA" w:rsidRDefault="009D2CAE" w:rsidP="0081062D">
      <w:r w:rsidRPr="007C0CDA">
        <w:t xml:space="preserve">Prostředky plynoucí z fondu založeného v rámci OP PIK do fondů zřízených jednotlivými vysokými školami či veřejnými VO budou investovány do nadějných projektů. Vklad </w:t>
      </w:r>
      <w:r w:rsidR="00190C45">
        <w:t xml:space="preserve">veřejné </w:t>
      </w:r>
      <w:r w:rsidRPr="007C0CDA">
        <w:t xml:space="preserve">VO bude naopak převážně ve formě nehmotné. Povaha tohoto vztahu bude vyvíjet tlak na správce jednotlivých fondů VO jednat s péčí řádného hospodáře, přičemž bude mít řídící orgán detailní přehled nejen o činnosti jednotlivých fondů, ale z pozice podílníka též o hospodaření jednotlivých investičních cílů. Exit v dohledném investičním horizontu zajistí přísun zhodnocených zdrojů k reinvestování.Perspektivní </w:t>
      </w:r>
      <w:r w:rsidRPr="007C0CDA">
        <w:lastRenderedPageBreak/>
        <w:t>projekty budou sdružovány ve fondech VO, do nichž bude potřebnou likviditu dodávat fond fondů zřízený MPO financovaný z ESIF fondů.</w:t>
      </w:r>
    </w:p>
    <w:p w:rsidR="009D2CAE" w:rsidRPr="007C0CDA" w:rsidRDefault="009D2CAE" w:rsidP="0081062D"/>
    <w:p w:rsidR="009D2CAE" w:rsidRPr="007C0CDA" w:rsidRDefault="009D2CAE" w:rsidP="00331B25">
      <w:r w:rsidRPr="007C0CDA">
        <w:t>Zamýšlená struktura přepokládá podílnictví výzkumných organizací prostřednictvím nepeněžních vkladů do základního kapitálu v podobě duševního vlastnictví. Takto bude respektován regulatorní požadavek na zapojení národních zdrojů do finančních nástrojů.</w:t>
      </w:r>
    </w:p>
    <w:p w:rsidR="009D2CAE" w:rsidRPr="007C0CDA" w:rsidDel="00331B25" w:rsidRDefault="009D2CAE" w:rsidP="00261EC0">
      <w:pPr>
        <w:rPr>
          <w:b/>
        </w:rPr>
      </w:pPr>
    </w:p>
    <w:p w:rsidR="009D2CAE" w:rsidRPr="007C0CDA" w:rsidRDefault="009D2CAE" w:rsidP="00261EC0">
      <w:r w:rsidRPr="007C0CDA">
        <w:t>Následníkem navrhovaného pre-seed fondu by měl být fond zaměřený na early stage investice zřízený rovněž v gesci MPO v rámci SC 2.1. Tento fond bude vytvářet jednu z možností exitu projektů z pre-seed fondu.</w:t>
      </w:r>
    </w:p>
    <w:p w:rsidR="009D2CAE" w:rsidRPr="007C0CDA" w:rsidRDefault="009D2CAE" w:rsidP="00261EC0"/>
    <w:p w:rsidR="009D2CAE" w:rsidRPr="007C0CDA" w:rsidRDefault="009D2CAE" w:rsidP="002433DA">
      <w:pPr>
        <w:pStyle w:val="Nadpis3"/>
      </w:pPr>
      <w:bookmarkStart w:id="315" w:name="_Toc416447709"/>
      <w:r w:rsidRPr="007C0CDA">
        <w:t>Posouzení přidané hodnoty finančních nástrojů</w:t>
      </w:r>
      <w:bookmarkEnd w:id="315"/>
    </w:p>
    <w:p w:rsidR="009D2CAE" w:rsidRPr="007C0CDA" w:rsidRDefault="009D2CAE">
      <w:r w:rsidRPr="007C0CDA">
        <w:t>V rámci tabulek níže je uveden přehled přidané hodnoty, problémů a rizik z pohledu konečného příjemce a ŘO (tabulka č. 2) a z pohledu celkového dopadu na absorpční kapacitu a dosažení cílů SC 1.2, se zohledněním dopadů na tržní prostředí. Porovnány jsou zvažované nástroje formou kapitálových vstupů a dotací.</w:t>
      </w:r>
    </w:p>
    <w:tbl>
      <w:tblPr>
        <w:tblpPr w:leftFromText="141" w:rightFromText="141" w:vertAnchor="text" w:horzAnchor="page" w:tblpX="1986" w:tblpY="138"/>
        <w:tblW w:w="7867" w:type="dxa"/>
        <w:tblBorders>
          <w:insideH w:val="single" w:sz="4" w:space="0" w:color="auto"/>
          <w:insideV w:val="single" w:sz="4" w:space="0" w:color="auto"/>
        </w:tblBorders>
        <w:shd w:val="clear" w:color="auto" w:fill="FF0000"/>
        <w:tblLook w:val="00A0" w:firstRow="1" w:lastRow="0" w:firstColumn="1" w:lastColumn="0" w:noHBand="0" w:noVBand="0"/>
      </w:tblPr>
      <w:tblGrid>
        <w:gridCol w:w="960"/>
        <w:gridCol w:w="960"/>
        <w:gridCol w:w="3395"/>
        <w:gridCol w:w="2552"/>
      </w:tblGrid>
      <w:tr w:rsidR="009D2CAE" w:rsidRPr="007C0CDA" w:rsidTr="002433DA">
        <w:trPr>
          <w:trHeight w:val="315"/>
        </w:trPr>
        <w:tc>
          <w:tcPr>
            <w:tcW w:w="960" w:type="dxa"/>
            <w:shd w:val="clear" w:color="auto" w:fill="4F81BD" w:themeFill="accent1"/>
            <w:noWrap/>
          </w:tcPr>
          <w:p w:rsidR="009D2CAE" w:rsidRPr="007C0CDA" w:rsidRDefault="009D2CAE" w:rsidP="00115303">
            <w:pPr>
              <w:jc w:val="left"/>
              <w:rPr>
                <w:rFonts w:ascii="Times New Roman" w:hAnsi="Times New Roman"/>
                <w:sz w:val="24"/>
                <w:szCs w:val="24"/>
              </w:rPr>
            </w:pPr>
          </w:p>
        </w:tc>
        <w:tc>
          <w:tcPr>
            <w:tcW w:w="960" w:type="dxa"/>
            <w:shd w:val="clear" w:color="auto" w:fill="4F81BD" w:themeFill="accent1"/>
            <w:noWrap/>
          </w:tcPr>
          <w:p w:rsidR="009D2CAE" w:rsidRPr="007C0CDA" w:rsidRDefault="009D2CAE" w:rsidP="00115303">
            <w:pPr>
              <w:jc w:val="left"/>
              <w:rPr>
                <w:rFonts w:ascii="Times New Roman" w:hAnsi="Times New Roman"/>
                <w:color w:val="000000"/>
                <w:sz w:val="24"/>
                <w:szCs w:val="24"/>
              </w:rPr>
            </w:pPr>
            <w:r w:rsidRPr="007C0CDA">
              <w:rPr>
                <w:rFonts w:ascii="Times New Roman" w:hAnsi="Times New Roman"/>
                <w:color w:val="000000"/>
                <w:sz w:val="24"/>
                <w:szCs w:val="24"/>
              </w:rPr>
              <w:t> </w:t>
            </w:r>
          </w:p>
        </w:tc>
        <w:tc>
          <w:tcPr>
            <w:tcW w:w="3395" w:type="dxa"/>
            <w:shd w:val="clear" w:color="auto" w:fill="4F81BD" w:themeFill="accent1"/>
            <w:noWrap/>
          </w:tcPr>
          <w:p w:rsidR="009D2CAE" w:rsidRPr="007C0CDA" w:rsidRDefault="009D2CAE" w:rsidP="00115303">
            <w:pPr>
              <w:jc w:val="center"/>
              <w:rPr>
                <w:b/>
                <w:bCs/>
                <w:color w:val="FFFFFF"/>
                <w:sz w:val="24"/>
                <w:szCs w:val="24"/>
              </w:rPr>
            </w:pPr>
            <w:r w:rsidRPr="007C0CDA">
              <w:rPr>
                <w:b/>
                <w:bCs/>
                <w:color w:val="FFFFFF"/>
                <w:sz w:val="24"/>
                <w:szCs w:val="24"/>
              </w:rPr>
              <w:t>Finanční nástroj</w:t>
            </w:r>
          </w:p>
        </w:tc>
        <w:tc>
          <w:tcPr>
            <w:tcW w:w="2552" w:type="dxa"/>
            <w:shd w:val="clear" w:color="auto" w:fill="4F81BD" w:themeFill="accent1"/>
          </w:tcPr>
          <w:p w:rsidR="009D2CAE" w:rsidRPr="007C0CDA" w:rsidRDefault="009D2CAE" w:rsidP="00115303">
            <w:pPr>
              <w:jc w:val="center"/>
              <w:rPr>
                <w:b/>
                <w:bCs/>
                <w:color w:val="FFFFFF"/>
                <w:sz w:val="24"/>
                <w:szCs w:val="24"/>
              </w:rPr>
            </w:pPr>
            <w:r w:rsidRPr="007C0CDA">
              <w:rPr>
                <w:b/>
                <w:bCs/>
                <w:color w:val="FFFFFF"/>
                <w:sz w:val="24"/>
                <w:szCs w:val="24"/>
              </w:rPr>
              <w:t>Dotace</w:t>
            </w:r>
          </w:p>
        </w:tc>
      </w:tr>
      <w:tr w:rsidR="009D2CAE" w:rsidRPr="007C0CDA" w:rsidTr="002433DA">
        <w:trPr>
          <w:trHeight w:val="315"/>
        </w:trPr>
        <w:tc>
          <w:tcPr>
            <w:tcW w:w="960" w:type="dxa"/>
            <w:shd w:val="clear" w:color="auto" w:fill="4F81BD" w:themeFill="accent1"/>
            <w:noWrap/>
          </w:tcPr>
          <w:p w:rsidR="009D2CAE" w:rsidRPr="007C0CDA" w:rsidRDefault="009D2CAE" w:rsidP="00115303">
            <w:pPr>
              <w:jc w:val="center"/>
              <w:rPr>
                <w:b/>
                <w:bCs/>
                <w:color w:val="000000"/>
                <w:sz w:val="24"/>
                <w:szCs w:val="24"/>
              </w:rPr>
            </w:pPr>
          </w:p>
        </w:tc>
        <w:tc>
          <w:tcPr>
            <w:tcW w:w="960" w:type="dxa"/>
            <w:shd w:val="clear" w:color="auto" w:fill="4F81BD" w:themeFill="accent1"/>
            <w:noWrap/>
          </w:tcPr>
          <w:p w:rsidR="009D2CAE" w:rsidRPr="007C0CDA" w:rsidRDefault="009D2CAE" w:rsidP="00115303">
            <w:pPr>
              <w:jc w:val="left"/>
              <w:rPr>
                <w:color w:val="000000"/>
                <w:sz w:val="24"/>
                <w:szCs w:val="24"/>
              </w:rPr>
            </w:pPr>
            <w:r w:rsidRPr="007C0CDA">
              <w:rPr>
                <w:color w:val="000000"/>
                <w:sz w:val="24"/>
                <w:szCs w:val="24"/>
              </w:rPr>
              <w:t> </w:t>
            </w:r>
          </w:p>
        </w:tc>
        <w:tc>
          <w:tcPr>
            <w:tcW w:w="3395" w:type="dxa"/>
            <w:shd w:val="clear" w:color="auto" w:fill="4F81BD" w:themeFill="accent1"/>
          </w:tcPr>
          <w:p w:rsidR="009D2CAE" w:rsidRPr="007C0CDA" w:rsidRDefault="009D2CAE" w:rsidP="00115303">
            <w:pPr>
              <w:jc w:val="center"/>
              <w:rPr>
                <w:b/>
                <w:bCs/>
                <w:color w:val="FFFFFF"/>
                <w:sz w:val="24"/>
                <w:szCs w:val="24"/>
              </w:rPr>
            </w:pPr>
            <w:r w:rsidRPr="007C0CDA">
              <w:rPr>
                <w:b/>
                <w:bCs/>
                <w:color w:val="FFFFFF"/>
                <w:sz w:val="24"/>
                <w:szCs w:val="24"/>
              </w:rPr>
              <w:t>Kapitálové vstupy</w:t>
            </w:r>
          </w:p>
        </w:tc>
        <w:tc>
          <w:tcPr>
            <w:tcW w:w="2552" w:type="dxa"/>
            <w:shd w:val="clear" w:color="auto" w:fill="4F81BD" w:themeFill="accent1"/>
          </w:tcPr>
          <w:p w:rsidR="009D2CAE" w:rsidRPr="007C0CDA" w:rsidRDefault="009D2CAE" w:rsidP="00115303">
            <w:pPr>
              <w:jc w:val="center"/>
              <w:rPr>
                <w:b/>
                <w:bCs/>
                <w:color w:val="FFFFFF"/>
                <w:sz w:val="24"/>
                <w:szCs w:val="24"/>
              </w:rPr>
            </w:pPr>
          </w:p>
        </w:tc>
      </w:tr>
      <w:tr w:rsidR="009D2CAE" w:rsidRPr="007C0CDA" w:rsidTr="002433DA">
        <w:trPr>
          <w:trHeight w:val="720"/>
        </w:trPr>
        <w:tc>
          <w:tcPr>
            <w:tcW w:w="960" w:type="dxa"/>
            <w:vMerge w:val="restart"/>
            <w:shd w:val="clear" w:color="auto" w:fill="8DB3E2" w:themeFill="text2" w:themeFillTint="66"/>
            <w:noWrap/>
            <w:textDirection w:val="btLr"/>
          </w:tcPr>
          <w:p w:rsidR="009D2CAE" w:rsidRPr="007C0CDA" w:rsidRDefault="009D2CAE" w:rsidP="00115303">
            <w:pPr>
              <w:jc w:val="center"/>
              <w:rPr>
                <w:b/>
                <w:bCs/>
                <w:color w:val="FFFFFF"/>
                <w:sz w:val="24"/>
                <w:szCs w:val="24"/>
              </w:rPr>
            </w:pPr>
            <w:r w:rsidRPr="007C0CDA">
              <w:rPr>
                <w:b/>
                <w:bCs/>
                <w:color w:val="FFFFFF"/>
                <w:sz w:val="24"/>
                <w:szCs w:val="24"/>
              </w:rPr>
              <w:t>Přidaná hodnota veřejné podpory pro příjemce a ŘO</w:t>
            </w:r>
          </w:p>
        </w:tc>
        <w:tc>
          <w:tcPr>
            <w:tcW w:w="960" w:type="dxa"/>
            <w:vMerge w:val="restart"/>
            <w:shd w:val="clear" w:color="auto" w:fill="8DB3E2" w:themeFill="text2" w:themeFillTint="66"/>
            <w:noWrap/>
            <w:textDirection w:val="btLr"/>
          </w:tcPr>
          <w:p w:rsidR="009D2CAE" w:rsidRPr="007C0CDA" w:rsidRDefault="009D2CAE" w:rsidP="00115303">
            <w:pPr>
              <w:jc w:val="center"/>
              <w:rPr>
                <w:b/>
                <w:bCs/>
                <w:color w:val="FFFFFF"/>
                <w:sz w:val="24"/>
                <w:szCs w:val="24"/>
              </w:rPr>
            </w:pPr>
            <w:r w:rsidRPr="007C0CDA">
              <w:rPr>
                <w:b/>
                <w:bCs/>
                <w:color w:val="FFFFFF"/>
                <w:sz w:val="24"/>
                <w:szCs w:val="24"/>
              </w:rPr>
              <w:t>Konečný příjemce</w:t>
            </w:r>
          </w:p>
        </w:tc>
        <w:tc>
          <w:tcPr>
            <w:tcW w:w="3395" w:type="dxa"/>
            <w:shd w:val="clear" w:color="auto" w:fill="8DB3E2" w:themeFill="text2" w:themeFillTint="66"/>
          </w:tcPr>
          <w:p w:rsidR="009D2CAE" w:rsidRPr="007C0CDA" w:rsidRDefault="009D2CAE" w:rsidP="00A1267B">
            <w:pPr>
              <w:jc w:val="center"/>
              <w:rPr>
                <w:b/>
                <w:color w:val="FFFFFF"/>
                <w:sz w:val="20"/>
              </w:rPr>
            </w:pPr>
            <w:r w:rsidRPr="007C0CDA">
              <w:rPr>
                <w:b/>
                <w:color w:val="FFFFFF"/>
                <w:sz w:val="20"/>
              </w:rPr>
              <w:t>Poskytnutí prostředků na POC a komercionalizaci výsledků VaV</w:t>
            </w:r>
          </w:p>
        </w:tc>
        <w:tc>
          <w:tcPr>
            <w:tcW w:w="2552" w:type="dxa"/>
            <w:shd w:val="clear" w:color="auto" w:fill="8DB3E2" w:themeFill="text2" w:themeFillTint="66"/>
          </w:tcPr>
          <w:p w:rsidR="009D2CAE" w:rsidRPr="007C0CDA" w:rsidRDefault="009D2CAE" w:rsidP="00115303">
            <w:pPr>
              <w:jc w:val="center"/>
              <w:rPr>
                <w:b/>
                <w:color w:val="FFFFFF"/>
                <w:sz w:val="20"/>
              </w:rPr>
            </w:pPr>
            <w:r w:rsidRPr="007C0CDA">
              <w:rPr>
                <w:b/>
                <w:color w:val="FFFFFF"/>
                <w:sz w:val="20"/>
              </w:rPr>
              <w:t>Poskytnutí prostředků na POC a komercionalizaci výsledků VaV</w:t>
            </w:r>
          </w:p>
        </w:tc>
      </w:tr>
      <w:tr w:rsidR="009D2CAE" w:rsidRPr="007C0CDA" w:rsidTr="002433DA">
        <w:trPr>
          <w:trHeight w:val="480"/>
        </w:trPr>
        <w:tc>
          <w:tcPr>
            <w:tcW w:w="960" w:type="dxa"/>
            <w:vMerge/>
            <w:shd w:val="clear" w:color="auto" w:fill="8DB3E2" w:themeFill="text2" w:themeFillTint="66"/>
          </w:tcPr>
          <w:p w:rsidR="009D2CAE" w:rsidRPr="007C0CDA" w:rsidRDefault="009D2CAE" w:rsidP="00115303">
            <w:pPr>
              <w:jc w:val="left"/>
              <w:rPr>
                <w:b/>
                <w:bCs/>
                <w:color w:val="FFFFFF"/>
                <w:sz w:val="24"/>
                <w:szCs w:val="24"/>
              </w:rPr>
            </w:pPr>
          </w:p>
        </w:tc>
        <w:tc>
          <w:tcPr>
            <w:tcW w:w="960" w:type="dxa"/>
            <w:vMerge/>
            <w:shd w:val="clear" w:color="auto" w:fill="8DB3E2" w:themeFill="text2" w:themeFillTint="66"/>
          </w:tcPr>
          <w:p w:rsidR="009D2CAE" w:rsidRPr="007C0CDA" w:rsidRDefault="009D2CAE" w:rsidP="00115303">
            <w:pPr>
              <w:jc w:val="left"/>
              <w:rPr>
                <w:b/>
                <w:bCs/>
                <w:color w:val="FFFFFF"/>
                <w:sz w:val="24"/>
                <w:szCs w:val="24"/>
              </w:rPr>
            </w:pPr>
          </w:p>
        </w:tc>
        <w:tc>
          <w:tcPr>
            <w:tcW w:w="3395" w:type="dxa"/>
            <w:shd w:val="clear" w:color="auto" w:fill="8DB3E2" w:themeFill="text2" w:themeFillTint="66"/>
          </w:tcPr>
          <w:p w:rsidR="009D2CAE" w:rsidRPr="007C0CDA" w:rsidRDefault="009D2CAE" w:rsidP="00115303">
            <w:pPr>
              <w:jc w:val="center"/>
              <w:rPr>
                <w:b/>
                <w:color w:val="FFFFFF"/>
                <w:sz w:val="20"/>
              </w:rPr>
            </w:pPr>
            <w:r w:rsidRPr="007C0CDA">
              <w:rPr>
                <w:b/>
                <w:color w:val="FFFFFF"/>
                <w:sz w:val="20"/>
              </w:rPr>
              <w:t>Flexibilní uvolňování prostředků podle dosažených výsledků a potřeb projektu</w:t>
            </w:r>
          </w:p>
        </w:tc>
        <w:tc>
          <w:tcPr>
            <w:tcW w:w="2552" w:type="dxa"/>
            <w:shd w:val="clear" w:color="auto" w:fill="8DB3E2" w:themeFill="text2" w:themeFillTint="66"/>
          </w:tcPr>
          <w:p w:rsidR="009D2CAE" w:rsidRPr="007C0CDA" w:rsidRDefault="009D2CAE" w:rsidP="00115303">
            <w:pPr>
              <w:jc w:val="center"/>
              <w:rPr>
                <w:b/>
                <w:color w:val="FFFFFF"/>
                <w:sz w:val="20"/>
              </w:rPr>
            </w:pPr>
            <w:r w:rsidRPr="007C0CDA">
              <w:rPr>
                <w:b/>
                <w:color w:val="FFFFFF"/>
                <w:sz w:val="20"/>
              </w:rPr>
              <w:t>Bez rizika pro příjemce</w:t>
            </w:r>
          </w:p>
        </w:tc>
      </w:tr>
      <w:tr w:rsidR="009D2CAE" w:rsidRPr="007C0CDA" w:rsidTr="002433DA">
        <w:trPr>
          <w:trHeight w:val="455"/>
        </w:trPr>
        <w:tc>
          <w:tcPr>
            <w:tcW w:w="960" w:type="dxa"/>
            <w:vMerge/>
            <w:shd w:val="clear" w:color="auto" w:fill="8DB3E2" w:themeFill="text2" w:themeFillTint="66"/>
          </w:tcPr>
          <w:p w:rsidR="009D2CAE" w:rsidRPr="007C0CDA" w:rsidRDefault="009D2CAE" w:rsidP="00115303">
            <w:pPr>
              <w:jc w:val="left"/>
              <w:rPr>
                <w:b/>
                <w:bCs/>
                <w:color w:val="FFFFFF"/>
                <w:sz w:val="24"/>
                <w:szCs w:val="24"/>
              </w:rPr>
            </w:pPr>
          </w:p>
        </w:tc>
        <w:tc>
          <w:tcPr>
            <w:tcW w:w="960" w:type="dxa"/>
            <w:vMerge/>
            <w:shd w:val="clear" w:color="auto" w:fill="8DB3E2" w:themeFill="text2" w:themeFillTint="66"/>
          </w:tcPr>
          <w:p w:rsidR="009D2CAE" w:rsidRPr="007C0CDA" w:rsidRDefault="009D2CAE" w:rsidP="00115303">
            <w:pPr>
              <w:jc w:val="left"/>
              <w:rPr>
                <w:b/>
                <w:bCs/>
                <w:color w:val="FFFFFF"/>
                <w:sz w:val="24"/>
                <w:szCs w:val="24"/>
              </w:rPr>
            </w:pPr>
          </w:p>
        </w:tc>
        <w:tc>
          <w:tcPr>
            <w:tcW w:w="3395" w:type="dxa"/>
            <w:shd w:val="clear" w:color="auto" w:fill="8DB3E2" w:themeFill="text2" w:themeFillTint="66"/>
          </w:tcPr>
          <w:p w:rsidR="009D2CAE" w:rsidRPr="007C0CDA" w:rsidRDefault="009D2CAE" w:rsidP="00115303">
            <w:pPr>
              <w:jc w:val="center"/>
              <w:rPr>
                <w:b/>
                <w:color w:val="FFFFFF"/>
                <w:sz w:val="20"/>
              </w:rPr>
            </w:pPr>
            <w:r w:rsidRPr="007C0CDA">
              <w:rPr>
                <w:b/>
                <w:color w:val="FFFFFF"/>
                <w:sz w:val="20"/>
              </w:rPr>
              <w:t>Platba v předstihu</w:t>
            </w:r>
          </w:p>
        </w:tc>
        <w:tc>
          <w:tcPr>
            <w:tcW w:w="2552" w:type="dxa"/>
            <w:shd w:val="clear" w:color="auto" w:fill="8DB3E2" w:themeFill="text2" w:themeFillTint="66"/>
          </w:tcPr>
          <w:p w:rsidR="009D2CAE" w:rsidRPr="007C0CDA" w:rsidRDefault="009D2CAE" w:rsidP="00115303">
            <w:pPr>
              <w:jc w:val="center"/>
              <w:rPr>
                <w:b/>
                <w:color w:val="FFFFFF"/>
                <w:sz w:val="20"/>
              </w:rPr>
            </w:pPr>
            <w:r w:rsidRPr="007C0CDA">
              <w:rPr>
                <w:b/>
                <w:color w:val="FFFFFF"/>
                <w:sz w:val="20"/>
              </w:rPr>
              <w:t>Prostředky pro projekty CTT</w:t>
            </w:r>
          </w:p>
        </w:tc>
      </w:tr>
      <w:tr w:rsidR="009D2CAE" w:rsidRPr="007C0CDA" w:rsidTr="002433DA">
        <w:trPr>
          <w:trHeight w:val="478"/>
        </w:trPr>
        <w:tc>
          <w:tcPr>
            <w:tcW w:w="960" w:type="dxa"/>
            <w:vMerge/>
            <w:shd w:val="clear" w:color="auto" w:fill="8DB3E2" w:themeFill="text2" w:themeFillTint="66"/>
          </w:tcPr>
          <w:p w:rsidR="009D2CAE" w:rsidRPr="007C0CDA" w:rsidRDefault="009D2CAE" w:rsidP="00115303">
            <w:pPr>
              <w:jc w:val="left"/>
              <w:rPr>
                <w:b/>
                <w:bCs/>
                <w:color w:val="FFFFFF"/>
                <w:sz w:val="24"/>
                <w:szCs w:val="24"/>
              </w:rPr>
            </w:pPr>
          </w:p>
        </w:tc>
        <w:tc>
          <w:tcPr>
            <w:tcW w:w="960" w:type="dxa"/>
            <w:vMerge/>
            <w:shd w:val="clear" w:color="auto" w:fill="8DB3E2" w:themeFill="text2" w:themeFillTint="66"/>
          </w:tcPr>
          <w:p w:rsidR="009D2CAE" w:rsidRPr="007C0CDA" w:rsidRDefault="009D2CAE" w:rsidP="00115303">
            <w:pPr>
              <w:jc w:val="left"/>
              <w:rPr>
                <w:b/>
                <w:bCs/>
                <w:color w:val="FFFFFF"/>
                <w:sz w:val="24"/>
                <w:szCs w:val="24"/>
              </w:rPr>
            </w:pPr>
          </w:p>
        </w:tc>
        <w:tc>
          <w:tcPr>
            <w:tcW w:w="3395" w:type="dxa"/>
            <w:shd w:val="clear" w:color="auto" w:fill="8DB3E2" w:themeFill="text2" w:themeFillTint="66"/>
            <w:noWrap/>
          </w:tcPr>
          <w:p w:rsidR="009D2CAE" w:rsidRPr="007C0CDA" w:rsidRDefault="009D2CAE" w:rsidP="00A1267B">
            <w:pPr>
              <w:jc w:val="center"/>
              <w:rPr>
                <w:b/>
                <w:color w:val="FFFFFF"/>
                <w:sz w:val="20"/>
              </w:rPr>
            </w:pPr>
            <w:r w:rsidRPr="007C0CDA">
              <w:rPr>
                <w:b/>
                <w:color w:val="FFFFFF"/>
                <w:sz w:val="20"/>
              </w:rPr>
              <w:t>Vysoký tlak na dosažení ziskovosti projektu – možnost pro úspěšná pracoviště</w:t>
            </w:r>
          </w:p>
        </w:tc>
        <w:tc>
          <w:tcPr>
            <w:tcW w:w="2552" w:type="dxa"/>
            <w:shd w:val="clear" w:color="auto" w:fill="8DB3E2" w:themeFill="text2" w:themeFillTint="66"/>
          </w:tcPr>
          <w:p w:rsidR="009D2CAE" w:rsidRPr="007C0CDA" w:rsidRDefault="009D2CAE" w:rsidP="00115303">
            <w:pPr>
              <w:jc w:val="center"/>
              <w:rPr>
                <w:b/>
                <w:color w:val="FFFFFF"/>
                <w:sz w:val="20"/>
              </w:rPr>
            </w:pPr>
          </w:p>
        </w:tc>
      </w:tr>
      <w:tr w:rsidR="009D2CAE" w:rsidRPr="007C0CDA" w:rsidTr="002433DA">
        <w:trPr>
          <w:trHeight w:val="395"/>
        </w:trPr>
        <w:tc>
          <w:tcPr>
            <w:tcW w:w="960" w:type="dxa"/>
            <w:vMerge/>
            <w:shd w:val="clear" w:color="auto" w:fill="8DB3E2" w:themeFill="text2" w:themeFillTint="66"/>
          </w:tcPr>
          <w:p w:rsidR="009D2CAE" w:rsidRPr="007C0CDA" w:rsidRDefault="009D2CAE" w:rsidP="00115303">
            <w:pPr>
              <w:jc w:val="left"/>
              <w:rPr>
                <w:b/>
                <w:bCs/>
                <w:color w:val="FFFFFF"/>
                <w:sz w:val="24"/>
                <w:szCs w:val="24"/>
              </w:rPr>
            </w:pPr>
          </w:p>
        </w:tc>
        <w:tc>
          <w:tcPr>
            <w:tcW w:w="960" w:type="dxa"/>
            <w:vMerge/>
            <w:shd w:val="clear" w:color="auto" w:fill="8DB3E2" w:themeFill="text2" w:themeFillTint="66"/>
          </w:tcPr>
          <w:p w:rsidR="009D2CAE" w:rsidRPr="007C0CDA" w:rsidRDefault="009D2CAE" w:rsidP="00115303">
            <w:pPr>
              <w:jc w:val="left"/>
              <w:rPr>
                <w:b/>
                <w:bCs/>
                <w:color w:val="FFFFFF"/>
                <w:sz w:val="24"/>
                <w:szCs w:val="24"/>
              </w:rPr>
            </w:pPr>
          </w:p>
        </w:tc>
        <w:tc>
          <w:tcPr>
            <w:tcW w:w="3395" w:type="dxa"/>
            <w:shd w:val="clear" w:color="auto" w:fill="8DB3E2" w:themeFill="text2" w:themeFillTint="66"/>
            <w:noWrap/>
          </w:tcPr>
          <w:p w:rsidR="009D2CAE" w:rsidRPr="007C0CDA" w:rsidRDefault="009D2CAE" w:rsidP="00794F32">
            <w:pPr>
              <w:jc w:val="center"/>
              <w:rPr>
                <w:b/>
                <w:color w:val="FFFFFF"/>
                <w:sz w:val="20"/>
              </w:rPr>
            </w:pPr>
            <w:r w:rsidRPr="007C0CDA">
              <w:rPr>
                <w:b/>
                <w:color w:val="FFFFFF"/>
                <w:sz w:val="20"/>
              </w:rPr>
              <w:t>Budoucí finanční příjmy</w:t>
            </w:r>
          </w:p>
        </w:tc>
        <w:tc>
          <w:tcPr>
            <w:tcW w:w="2552" w:type="dxa"/>
            <w:shd w:val="clear" w:color="auto" w:fill="8DB3E2" w:themeFill="text2" w:themeFillTint="66"/>
          </w:tcPr>
          <w:p w:rsidR="009D2CAE" w:rsidRPr="007C0CDA" w:rsidRDefault="009D2CAE" w:rsidP="00115303">
            <w:pPr>
              <w:jc w:val="center"/>
              <w:rPr>
                <w:b/>
                <w:color w:val="FFFFFF"/>
                <w:sz w:val="20"/>
              </w:rPr>
            </w:pPr>
          </w:p>
        </w:tc>
      </w:tr>
      <w:tr w:rsidR="009D2CAE" w:rsidRPr="007C0CDA" w:rsidTr="002433DA">
        <w:trPr>
          <w:trHeight w:val="557"/>
        </w:trPr>
        <w:tc>
          <w:tcPr>
            <w:tcW w:w="960" w:type="dxa"/>
            <w:vMerge/>
            <w:shd w:val="clear" w:color="auto" w:fill="8DB3E2" w:themeFill="text2" w:themeFillTint="66"/>
          </w:tcPr>
          <w:p w:rsidR="009D2CAE" w:rsidRPr="007C0CDA" w:rsidRDefault="009D2CAE" w:rsidP="00115303">
            <w:pPr>
              <w:jc w:val="left"/>
              <w:rPr>
                <w:b/>
                <w:bCs/>
                <w:color w:val="FFFFFF"/>
                <w:sz w:val="24"/>
                <w:szCs w:val="24"/>
              </w:rPr>
            </w:pPr>
          </w:p>
        </w:tc>
        <w:tc>
          <w:tcPr>
            <w:tcW w:w="960" w:type="dxa"/>
            <w:vMerge/>
            <w:shd w:val="clear" w:color="auto" w:fill="8DB3E2" w:themeFill="text2" w:themeFillTint="66"/>
          </w:tcPr>
          <w:p w:rsidR="009D2CAE" w:rsidRPr="007C0CDA" w:rsidRDefault="009D2CAE" w:rsidP="00115303">
            <w:pPr>
              <w:jc w:val="left"/>
              <w:rPr>
                <w:b/>
                <w:bCs/>
                <w:color w:val="FFFFFF"/>
                <w:sz w:val="24"/>
                <w:szCs w:val="24"/>
              </w:rPr>
            </w:pPr>
          </w:p>
        </w:tc>
        <w:tc>
          <w:tcPr>
            <w:tcW w:w="3395" w:type="dxa"/>
            <w:shd w:val="clear" w:color="auto" w:fill="8DB3E2" w:themeFill="text2" w:themeFillTint="66"/>
          </w:tcPr>
          <w:p w:rsidR="009D2CAE" w:rsidRPr="007C0CDA" w:rsidRDefault="009D2CAE" w:rsidP="00115303">
            <w:pPr>
              <w:jc w:val="center"/>
              <w:rPr>
                <w:b/>
                <w:color w:val="FFFFFF"/>
                <w:sz w:val="20"/>
              </w:rPr>
            </w:pPr>
            <w:r w:rsidRPr="007C0CDA">
              <w:rPr>
                <w:b/>
                <w:color w:val="FFFFFF"/>
                <w:sz w:val="20"/>
              </w:rPr>
              <w:t>Propojení s odbornou asistencí (CTT, CI)</w:t>
            </w:r>
          </w:p>
        </w:tc>
        <w:tc>
          <w:tcPr>
            <w:tcW w:w="2552" w:type="dxa"/>
            <w:shd w:val="clear" w:color="auto" w:fill="8DB3E2" w:themeFill="text2" w:themeFillTint="66"/>
          </w:tcPr>
          <w:p w:rsidR="009D2CAE" w:rsidRPr="007C0CDA" w:rsidRDefault="009D2CAE" w:rsidP="00115303">
            <w:pPr>
              <w:jc w:val="center"/>
              <w:rPr>
                <w:b/>
                <w:color w:val="FFFFFF"/>
                <w:sz w:val="20"/>
              </w:rPr>
            </w:pPr>
          </w:p>
        </w:tc>
      </w:tr>
      <w:tr w:rsidR="009D2CAE" w:rsidRPr="007C0CDA" w:rsidTr="002433DA">
        <w:trPr>
          <w:trHeight w:val="495"/>
        </w:trPr>
        <w:tc>
          <w:tcPr>
            <w:tcW w:w="960" w:type="dxa"/>
            <w:vMerge/>
            <w:shd w:val="clear" w:color="auto" w:fill="8DB3E2" w:themeFill="text2" w:themeFillTint="66"/>
          </w:tcPr>
          <w:p w:rsidR="009D2CAE" w:rsidRPr="007C0CDA" w:rsidRDefault="009D2CAE" w:rsidP="00115303">
            <w:pPr>
              <w:jc w:val="left"/>
              <w:rPr>
                <w:b/>
                <w:bCs/>
                <w:color w:val="FFFFFF"/>
                <w:sz w:val="24"/>
                <w:szCs w:val="24"/>
              </w:rPr>
            </w:pPr>
          </w:p>
        </w:tc>
        <w:tc>
          <w:tcPr>
            <w:tcW w:w="960" w:type="dxa"/>
            <w:vMerge/>
            <w:shd w:val="clear" w:color="auto" w:fill="8DB3E2" w:themeFill="text2" w:themeFillTint="66"/>
          </w:tcPr>
          <w:p w:rsidR="009D2CAE" w:rsidRPr="007C0CDA" w:rsidRDefault="009D2CAE" w:rsidP="00115303">
            <w:pPr>
              <w:jc w:val="left"/>
              <w:rPr>
                <w:b/>
                <w:bCs/>
                <w:color w:val="FFFFFF"/>
                <w:sz w:val="24"/>
                <w:szCs w:val="24"/>
              </w:rPr>
            </w:pPr>
          </w:p>
        </w:tc>
        <w:tc>
          <w:tcPr>
            <w:tcW w:w="3395" w:type="dxa"/>
            <w:shd w:val="clear" w:color="auto" w:fill="8DB3E2" w:themeFill="text2" w:themeFillTint="66"/>
          </w:tcPr>
          <w:p w:rsidR="009D2CAE" w:rsidRPr="007C0CDA" w:rsidRDefault="009D2CAE" w:rsidP="00115303">
            <w:pPr>
              <w:jc w:val="center"/>
              <w:rPr>
                <w:b/>
                <w:color w:val="FFFFFF"/>
                <w:sz w:val="20"/>
              </w:rPr>
            </w:pPr>
            <w:r w:rsidRPr="007C0CDA">
              <w:rPr>
                <w:b/>
                <w:color w:val="FFFFFF"/>
                <w:sz w:val="20"/>
              </w:rPr>
              <w:t>Malé finanční riziko pro příjemce – v závislosti na druhu vkladu</w:t>
            </w:r>
          </w:p>
        </w:tc>
        <w:tc>
          <w:tcPr>
            <w:tcW w:w="2552" w:type="dxa"/>
            <w:shd w:val="clear" w:color="auto" w:fill="8DB3E2" w:themeFill="text2" w:themeFillTint="66"/>
          </w:tcPr>
          <w:p w:rsidR="009D2CAE" w:rsidRPr="007C0CDA" w:rsidRDefault="009D2CAE" w:rsidP="00115303">
            <w:pPr>
              <w:jc w:val="left"/>
              <w:rPr>
                <w:rFonts w:ascii="Times New Roman" w:hAnsi="Times New Roman"/>
                <w:b/>
                <w:color w:val="FFFFFF"/>
                <w:sz w:val="20"/>
              </w:rPr>
            </w:pPr>
          </w:p>
        </w:tc>
      </w:tr>
      <w:tr w:rsidR="009D2CAE" w:rsidRPr="007C0CDA" w:rsidTr="002433DA">
        <w:trPr>
          <w:trHeight w:val="505"/>
        </w:trPr>
        <w:tc>
          <w:tcPr>
            <w:tcW w:w="960" w:type="dxa"/>
            <w:vMerge/>
            <w:shd w:val="clear" w:color="auto" w:fill="8DB3E2" w:themeFill="text2" w:themeFillTint="66"/>
          </w:tcPr>
          <w:p w:rsidR="009D2CAE" w:rsidRPr="007C0CDA" w:rsidRDefault="009D2CAE" w:rsidP="00115303">
            <w:pPr>
              <w:jc w:val="left"/>
              <w:rPr>
                <w:b/>
                <w:bCs/>
                <w:color w:val="FFFFFF"/>
                <w:sz w:val="24"/>
                <w:szCs w:val="24"/>
              </w:rPr>
            </w:pPr>
          </w:p>
        </w:tc>
        <w:tc>
          <w:tcPr>
            <w:tcW w:w="960" w:type="dxa"/>
            <w:vMerge/>
            <w:shd w:val="clear" w:color="auto" w:fill="8DB3E2" w:themeFill="text2" w:themeFillTint="66"/>
          </w:tcPr>
          <w:p w:rsidR="009D2CAE" w:rsidRPr="007C0CDA" w:rsidRDefault="009D2CAE" w:rsidP="00115303">
            <w:pPr>
              <w:jc w:val="left"/>
              <w:rPr>
                <w:b/>
                <w:bCs/>
                <w:color w:val="FFFFFF"/>
                <w:sz w:val="24"/>
                <w:szCs w:val="24"/>
              </w:rPr>
            </w:pPr>
          </w:p>
        </w:tc>
        <w:tc>
          <w:tcPr>
            <w:tcW w:w="3395" w:type="dxa"/>
            <w:shd w:val="clear" w:color="auto" w:fill="8DB3E2" w:themeFill="text2" w:themeFillTint="66"/>
          </w:tcPr>
          <w:p w:rsidR="009D2CAE" w:rsidRPr="007C0CDA" w:rsidRDefault="009D2CAE" w:rsidP="00115303">
            <w:pPr>
              <w:jc w:val="center"/>
              <w:rPr>
                <w:b/>
                <w:color w:val="FFFFFF"/>
                <w:sz w:val="20"/>
              </w:rPr>
            </w:pPr>
            <w:r w:rsidRPr="007C0CDA">
              <w:rPr>
                <w:b/>
                <w:color w:val="FFFFFF"/>
                <w:sz w:val="20"/>
              </w:rPr>
              <w:t>Propojení s investičním trhem, možnost exitu v seed fondu SC 2.1</w:t>
            </w:r>
          </w:p>
        </w:tc>
        <w:tc>
          <w:tcPr>
            <w:tcW w:w="2552" w:type="dxa"/>
            <w:shd w:val="clear" w:color="auto" w:fill="8DB3E2" w:themeFill="text2" w:themeFillTint="66"/>
          </w:tcPr>
          <w:p w:rsidR="009D2CAE" w:rsidRPr="007C0CDA" w:rsidRDefault="009D2CAE" w:rsidP="00115303">
            <w:pPr>
              <w:jc w:val="left"/>
              <w:rPr>
                <w:rFonts w:ascii="Times New Roman" w:hAnsi="Times New Roman"/>
                <w:b/>
                <w:color w:val="FFFFFF"/>
                <w:sz w:val="20"/>
              </w:rPr>
            </w:pPr>
          </w:p>
        </w:tc>
      </w:tr>
      <w:tr w:rsidR="009D2CAE" w:rsidRPr="007C0CDA" w:rsidTr="002433DA">
        <w:trPr>
          <w:trHeight w:val="557"/>
        </w:trPr>
        <w:tc>
          <w:tcPr>
            <w:tcW w:w="960" w:type="dxa"/>
            <w:vMerge/>
            <w:shd w:val="clear" w:color="auto" w:fill="8DB3E2" w:themeFill="text2" w:themeFillTint="66"/>
          </w:tcPr>
          <w:p w:rsidR="009D2CAE" w:rsidRPr="007C0CDA" w:rsidRDefault="009D2CAE" w:rsidP="00115303">
            <w:pPr>
              <w:jc w:val="left"/>
              <w:rPr>
                <w:b/>
                <w:bCs/>
                <w:color w:val="FFFFFF"/>
                <w:sz w:val="24"/>
                <w:szCs w:val="24"/>
              </w:rPr>
            </w:pPr>
          </w:p>
        </w:tc>
        <w:tc>
          <w:tcPr>
            <w:tcW w:w="960" w:type="dxa"/>
            <w:vMerge/>
            <w:shd w:val="clear" w:color="auto" w:fill="8DB3E2" w:themeFill="text2" w:themeFillTint="66"/>
          </w:tcPr>
          <w:p w:rsidR="009D2CAE" w:rsidRPr="007C0CDA" w:rsidRDefault="009D2CAE" w:rsidP="00115303">
            <w:pPr>
              <w:jc w:val="left"/>
              <w:rPr>
                <w:b/>
                <w:bCs/>
                <w:color w:val="FFFFFF"/>
                <w:sz w:val="24"/>
                <w:szCs w:val="24"/>
              </w:rPr>
            </w:pPr>
          </w:p>
        </w:tc>
        <w:tc>
          <w:tcPr>
            <w:tcW w:w="3395" w:type="dxa"/>
            <w:shd w:val="clear" w:color="auto" w:fill="8DB3E2" w:themeFill="text2" w:themeFillTint="66"/>
          </w:tcPr>
          <w:p w:rsidR="009D2CAE" w:rsidRPr="007C0CDA" w:rsidRDefault="009D2CAE" w:rsidP="00115303">
            <w:pPr>
              <w:jc w:val="center"/>
              <w:rPr>
                <w:b/>
                <w:color w:val="FFFFFF"/>
                <w:sz w:val="20"/>
              </w:rPr>
            </w:pPr>
            <w:r w:rsidRPr="007C0CDA">
              <w:rPr>
                <w:b/>
                <w:color w:val="FFFFFF"/>
                <w:sz w:val="20"/>
              </w:rPr>
              <w:t>Možnost vstupu investorů v průběhu a jejich podílu na projektu</w:t>
            </w:r>
          </w:p>
        </w:tc>
        <w:tc>
          <w:tcPr>
            <w:tcW w:w="2552" w:type="dxa"/>
            <w:shd w:val="clear" w:color="auto" w:fill="8DB3E2" w:themeFill="text2" w:themeFillTint="66"/>
          </w:tcPr>
          <w:p w:rsidR="009D2CAE" w:rsidRPr="007C0CDA" w:rsidRDefault="009D2CAE" w:rsidP="00115303">
            <w:pPr>
              <w:jc w:val="left"/>
              <w:rPr>
                <w:rFonts w:ascii="Times New Roman" w:hAnsi="Times New Roman"/>
                <w:b/>
                <w:color w:val="FFFFFF"/>
                <w:sz w:val="20"/>
              </w:rPr>
            </w:pPr>
          </w:p>
        </w:tc>
      </w:tr>
      <w:tr w:rsidR="009D2CAE" w:rsidRPr="007C0CDA" w:rsidTr="002433DA">
        <w:trPr>
          <w:trHeight w:val="735"/>
        </w:trPr>
        <w:tc>
          <w:tcPr>
            <w:tcW w:w="960" w:type="dxa"/>
            <w:vMerge/>
            <w:shd w:val="clear" w:color="auto" w:fill="8DB3E2" w:themeFill="text2" w:themeFillTint="66"/>
          </w:tcPr>
          <w:p w:rsidR="009D2CAE" w:rsidRPr="007C0CDA" w:rsidRDefault="009D2CAE" w:rsidP="00115303">
            <w:pPr>
              <w:jc w:val="left"/>
              <w:rPr>
                <w:b/>
                <w:bCs/>
                <w:color w:val="FFFFFF"/>
                <w:sz w:val="24"/>
                <w:szCs w:val="24"/>
              </w:rPr>
            </w:pPr>
          </w:p>
        </w:tc>
        <w:tc>
          <w:tcPr>
            <w:tcW w:w="960" w:type="dxa"/>
            <w:vMerge w:val="restart"/>
            <w:shd w:val="clear" w:color="auto" w:fill="8DB3E2" w:themeFill="text2" w:themeFillTint="66"/>
            <w:noWrap/>
            <w:textDirection w:val="btLr"/>
          </w:tcPr>
          <w:p w:rsidR="009D2CAE" w:rsidRPr="007C0CDA" w:rsidRDefault="009D2CAE" w:rsidP="00115303">
            <w:pPr>
              <w:jc w:val="center"/>
              <w:rPr>
                <w:b/>
                <w:bCs/>
                <w:color w:val="FFFFFF"/>
                <w:sz w:val="24"/>
                <w:szCs w:val="24"/>
              </w:rPr>
            </w:pPr>
            <w:r w:rsidRPr="007C0CDA">
              <w:rPr>
                <w:b/>
                <w:bCs/>
                <w:color w:val="FFFFFF"/>
                <w:sz w:val="24"/>
                <w:szCs w:val="24"/>
              </w:rPr>
              <w:t>ŘO</w:t>
            </w:r>
          </w:p>
        </w:tc>
        <w:tc>
          <w:tcPr>
            <w:tcW w:w="3395" w:type="dxa"/>
            <w:shd w:val="clear" w:color="auto" w:fill="8DB3E2" w:themeFill="text2" w:themeFillTint="66"/>
          </w:tcPr>
          <w:p w:rsidR="009D2CAE" w:rsidRPr="007C0CDA" w:rsidRDefault="009D2CAE" w:rsidP="00A1267B">
            <w:pPr>
              <w:jc w:val="center"/>
              <w:rPr>
                <w:b/>
                <w:color w:val="FFFFFF"/>
                <w:sz w:val="20"/>
              </w:rPr>
            </w:pPr>
            <w:r w:rsidRPr="007C0CDA">
              <w:rPr>
                <w:b/>
                <w:color w:val="FFFFFF"/>
                <w:sz w:val="20"/>
              </w:rPr>
              <w:t>Prostředek k tlaku na nastavení institucionálního rámce pro komercionalizaci a výběr projektů na VO</w:t>
            </w:r>
          </w:p>
        </w:tc>
        <w:tc>
          <w:tcPr>
            <w:tcW w:w="2552" w:type="dxa"/>
            <w:shd w:val="clear" w:color="auto" w:fill="8DB3E2" w:themeFill="text2" w:themeFillTint="66"/>
          </w:tcPr>
          <w:p w:rsidR="009D2CAE" w:rsidRPr="007C0CDA" w:rsidRDefault="009D2CAE" w:rsidP="00C767FC">
            <w:pPr>
              <w:jc w:val="center"/>
              <w:rPr>
                <w:b/>
                <w:color w:val="FFFFFF"/>
                <w:sz w:val="20"/>
              </w:rPr>
            </w:pPr>
            <w:r w:rsidRPr="007C0CDA">
              <w:rPr>
                <w:b/>
                <w:color w:val="FFFFFF"/>
                <w:sz w:val="20"/>
              </w:rPr>
              <w:t>Prostředek k tlaku na nastavení institucionálního rámce pro komercionalizaci a výběr projektů na VO</w:t>
            </w:r>
          </w:p>
        </w:tc>
      </w:tr>
      <w:tr w:rsidR="009D2CAE" w:rsidRPr="007C0CDA" w:rsidTr="002433DA">
        <w:trPr>
          <w:trHeight w:val="573"/>
        </w:trPr>
        <w:tc>
          <w:tcPr>
            <w:tcW w:w="960" w:type="dxa"/>
            <w:vMerge/>
            <w:shd w:val="clear" w:color="auto" w:fill="8DB3E2" w:themeFill="text2" w:themeFillTint="66"/>
          </w:tcPr>
          <w:p w:rsidR="009D2CAE" w:rsidRPr="007C0CDA" w:rsidRDefault="009D2CAE" w:rsidP="00115303">
            <w:pPr>
              <w:jc w:val="left"/>
              <w:rPr>
                <w:b/>
                <w:bCs/>
                <w:color w:val="FFFFFF"/>
                <w:sz w:val="24"/>
                <w:szCs w:val="24"/>
              </w:rPr>
            </w:pPr>
          </w:p>
        </w:tc>
        <w:tc>
          <w:tcPr>
            <w:tcW w:w="960" w:type="dxa"/>
            <w:vMerge/>
            <w:shd w:val="clear" w:color="auto" w:fill="8DB3E2" w:themeFill="text2" w:themeFillTint="66"/>
            <w:noWrap/>
            <w:textDirection w:val="btLr"/>
          </w:tcPr>
          <w:p w:rsidR="009D2CAE" w:rsidRPr="007C0CDA" w:rsidRDefault="009D2CAE" w:rsidP="00115303">
            <w:pPr>
              <w:jc w:val="center"/>
              <w:rPr>
                <w:b/>
                <w:bCs/>
                <w:color w:val="FFFFFF"/>
                <w:sz w:val="24"/>
                <w:szCs w:val="24"/>
              </w:rPr>
            </w:pPr>
          </w:p>
        </w:tc>
        <w:tc>
          <w:tcPr>
            <w:tcW w:w="3395" w:type="dxa"/>
            <w:shd w:val="clear" w:color="auto" w:fill="8DB3E2" w:themeFill="text2" w:themeFillTint="66"/>
          </w:tcPr>
          <w:p w:rsidR="009D2CAE" w:rsidRPr="007C0CDA" w:rsidRDefault="009D2CAE" w:rsidP="00115303">
            <w:pPr>
              <w:jc w:val="center"/>
              <w:rPr>
                <w:b/>
                <w:color w:val="FFFFFF"/>
                <w:sz w:val="20"/>
              </w:rPr>
            </w:pPr>
            <w:r w:rsidRPr="007C0CDA">
              <w:rPr>
                <w:b/>
                <w:color w:val="FFFFFF"/>
                <w:sz w:val="20"/>
              </w:rPr>
              <w:t>Potenciální příjmy z úspěšných projektů, možnost revolvingu</w:t>
            </w:r>
          </w:p>
        </w:tc>
        <w:tc>
          <w:tcPr>
            <w:tcW w:w="2552" w:type="dxa"/>
            <w:shd w:val="clear" w:color="auto" w:fill="8DB3E2" w:themeFill="text2" w:themeFillTint="66"/>
          </w:tcPr>
          <w:p w:rsidR="009D2CAE" w:rsidRPr="007C0CDA" w:rsidRDefault="009D2CAE" w:rsidP="00794F32">
            <w:pPr>
              <w:jc w:val="center"/>
              <w:rPr>
                <w:b/>
                <w:color w:val="FFFFFF"/>
                <w:sz w:val="20"/>
              </w:rPr>
            </w:pPr>
          </w:p>
        </w:tc>
      </w:tr>
      <w:tr w:rsidR="009D2CAE" w:rsidRPr="007C0CDA" w:rsidTr="002433DA">
        <w:trPr>
          <w:trHeight w:val="571"/>
        </w:trPr>
        <w:tc>
          <w:tcPr>
            <w:tcW w:w="960" w:type="dxa"/>
            <w:vMerge/>
            <w:shd w:val="clear" w:color="auto" w:fill="8DB3E2" w:themeFill="text2" w:themeFillTint="66"/>
          </w:tcPr>
          <w:p w:rsidR="009D2CAE" w:rsidRPr="007C0CDA" w:rsidRDefault="009D2CAE" w:rsidP="00115303">
            <w:pPr>
              <w:jc w:val="left"/>
              <w:rPr>
                <w:b/>
                <w:bCs/>
                <w:color w:val="FFFFFF"/>
                <w:sz w:val="18"/>
                <w:szCs w:val="18"/>
              </w:rPr>
            </w:pPr>
          </w:p>
        </w:tc>
        <w:tc>
          <w:tcPr>
            <w:tcW w:w="960" w:type="dxa"/>
            <w:vMerge/>
            <w:shd w:val="clear" w:color="auto" w:fill="8DB3E2" w:themeFill="text2" w:themeFillTint="66"/>
            <w:noWrap/>
            <w:textDirection w:val="btLr"/>
          </w:tcPr>
          <w:p w:rsidR="009D2CAE" w:rsidRPr="007C0CDA" w:rsidRDefault="009D2CAE" w:rsidP="00115303">
            <w:pPr>
              <w:jc w:val="center"/>
              <w:rPr>
                <w:b/>
                <w:bCs/>
                <w:color w:val="FFFFFF"/>
                <w:sz w:val="18"/>
                <w:szCs w:val="18"/>
              </w:rPr>
            </w:pPr>
          </w:p>
        </w:tc>
        <w:tc>
          <w:tcPr>
            <w:tcW w:w="3395" w:type="dxa"/>
            <w:shd w:val="clear" w:color="auto" w:fill="8DB3E2" w:themeFill="text2" w:themeFillTint="66"/>
          </w:tcPr>
          <w:p w:rsidR="009D2CAE" w:rsidRPr="007C0CDA" w:rsidRDefault="009D2CAE" w:rsidP="00115303">
            <w:pPr>
              <w:jc w:val="center"/>
              <w:rPr>
                <w:b/>
                <w:color w:val="FFFFFF"/>
                <w:sz w:val="20"/>
              </w:rPr>
            </w:pPr>
            <w:r w:rsidRPr="007C0CDA">
              <w:rPr>
                <w:b/>
                <w:color w:val="FFFFFF"/>
                <w:sz w:val="20"/>
              </w:rPr>
              <w:t>Vyšší kontrola nad efektivním vynakládáním prostředků</w:t>
            </w:r>
          </w:p>
        </w:tc>
        <w:tc>
          <w:tcPr>
            <w:tcW w:w="2552" w:type="dxa"/>
            <w:shd w:val="clear" w:color="auto" w:fill="8DB3E2" w:themeFill="text2" w:themeFillTint="66"/>
          </w:tcPr>
          <w:p w:rsidR="009D2CAE" w:rsidRPr="007C0CDA" w:rsidRDefault="009D2CAE" w:rsidP="00115303">
            <w:pPr>
              <w:jc w:val="center"/>
              <w:rPr>
                <w:b/>
                <w:color w:val="FFFFFF"/>
                <w:sz w:val="20"/>
              </w:rPr>
            </w:pPr>
          </w:p>
        </w:tc>
      </w:tr>
      <w:tr w:rsidR="009D2CAE" w:rsidRPr="007C0CDA" w:rsidTr="002433DA">
        <w:trPr>
          <w:trHeight w:val="311"/>
        </w:trPr>
        <w:tc>
          <w:tcPr>
            <w:tcW w:w="960" w:type="dxa"/>
            <w:vMerge/>
            <w:shd w:val="clear" w:color="auto" w:fill="8DB3E2" w:themeFill="text2" w:themeFillTint="66"/>
          </w:tcPr>
          <w:p w:rsidR="009D2CAE" w:rsidRPr="007C0CDA" w:rsidRDefault="009D2CAE" w:rsidP="00115303">
            <w:pPr>
              <w:jc w:val="left"/>
              <w:rPr>
                <w:b/>
                <w:bCs/>
                <w:color w:val="FFFFFF"/>
                <w:sz w:val="18"/>
                <w:szCs w:val="18"/>
              </w:rPr>
            </w:pPr>
          </w:p>
        </w:tc>
        <w:tc>
          <w:tcPr>
            <w:tcW w:w="960" w:type="dxa"/>
            <w:vMerge/>
            <w:shd w:val="clear" w:color="auto" w:fill="8DB3E2" w:themeFill="text2" w:themeFillTint="66"/>
            <w:noWrap/>
            <w:textDirection w:val="btLr"/>
          </w:tcPr>
          <w:p w:rsidR="009D2CAE" w:rsidRPr="007C0CDA" w:rsidRDefault="009D2CAE" w:rsidP="00115303">
            <w:pPr>
              <w:jc w:val="center"/>
              <w:rPr>
                <w:b/>
                <w:bCs/>
                <w:color w:val="FFFFFF"/>
                <w:sz w:val="18"/>
                <w:szCs w:val="18"/>
              </w:rPr>
            </w:pPr>
          </w:p>
        </w:tc>
        <w:tc>
          <w:tcPr>
            <w:tcW w:w="3395" w:type="dxa"/>
            <w:shd w:val="clear" w:color="auto" w:fill="8DB3E2" w:themeFill="text2" w:themeFillTint="66"/>
          </w:tcPr>
          <w:p w:rsidR="009D2CAE" w:rsidRPr="007C0CDA" w:rsidRDefault="009D2CAE" w:rsidP="00115303">
            <w:pPr>
              <w:jc w:val="center"/>
              <w:rPr>
                <w:b/>
                <w:color w:val="FFFFFF"/>
                <w:sz w:val="20"/>
              </w:rPr>
            </w:pPr>
            <w:r w:rsidRPr="007C0CDA">
              <w:rPr>
                <w:b/>
                <w:color w:val="FFFFFF"/>
                <w:sz w:val="20"/>
              </w:rPr>
              <w:t>Rychlé čerpání</w:t>
            </w:r>
          </w:p>
        </w:tc>
        <w:tc>
          <w:tcPr>
            <w:tcW w:w="2552" w:type="dxa"/>
            <w:shd w:val="clear" w:color="auto" w:fill="8DB3E2" w:themeFill="text2" w:themeFillTint="66"/>
          </w:tcPr>
          <w:p w:rsidR="009D2CAE" w:rsidRPr="007C0CDA" w:rsidRDefault="009D2CAE" w:rsidP="00115303">
            <w:pPr>
              <w:jc w:val="center"/>
              <w:rPr>
                <w:b/>
                <w:color w:val="FFFFFF"/>
                <w:sz w:val="20"/>
              </w:rPr>
            </w:pPr>
          </w:p>
        </w:tc>
      </w:tr>
      <w:tr w:rsidR="009D2CAE" w:rsidRPr="007C0CDA" w:rsidTr="002433DA">
        <w:trPr>
          <w:trHeight w:val="735"/>
        </w:trPr>
        <w:tc>
          <w:tcPr>
            <w:tcW w:w="960" w:type="dxa"/>
            <w:vMerge w:val="restart"/>
            <w:shd w:val="clear" w:color="auto" w:fill="FF0000"/>
            <w:textDirection w:val="btLr"/>
          </w:tcPr>
          <w:p w:rsidR="009D2CAE" w:rsidRPr="007C0CDA" w:rsidRDefault="009D2CAE" w:rsidP="00A1267B">
            <w:pPr>
              <w:ind w:left="113" w:right="113"/>
              <w:jc w:val="center"/>
              <w:rPr>
                <w:b/>
                <w:bCs/>
                <w:color w:val="FFFFFF"/>
                <w:sz w:val="24"/>
                <w:szCs w:val="24"/>
              </w:rPr>
            </w:pPr>
            <w:r w:rsidRPr="007C0CDA">
              <w:rPr>
                <w:b/>
                <w:bCs/>
                <w:color w:val="FFFFFF"/>
                <w:sz w:val="24"/>
                <w:szCs w:val="24"/>
              </w:rPr>
              <w:lastRenderedPageBreak/>
              <w:t>Nevýhody a rizika</w:t>
            </w:r>
          </w:p>
        </w:tc>
        <w:tc>
          <w:tcPr>
            <w:tcW w:w="960" w:type="dxa"/>
            <w:vMerge w:val="restart"/>
            <w:shd w:val="clear" w:color="auto" w:fill="FF0000"/>
            <w:noWrap/>
            <w:textDirection w:val="btLr"/>
          </w:tcPr>
          <w:p w:rsidR="009D2CAE" w:rsidRPr="007C0CDA" w:rsidRDefault="009D2CAE" w:rsidP="00C767FC">
            <w:pPr>
              <w:jc w:val="center"/>
              <w:rPr>
                <w:b/>
                <w:bCs/>
                <w:color w:val="FFFFFF"/>
                <w:sz w:val="24"/>
                <w:szCs w:val="24"/>
              </w:rPr>
            </w:pPr>
            <w:r w:rsidRPr="007C0CDA">
              <w:rPr>
                <w:b/>
                <w:bCs/>
                <w:color w:val="FFFFFF"/>
                <w:sz w:val="24"/>
                <w:szCs w:val="24"/>
              </w:rPr>
              <w:t>Konečný příjemce</w:t>
            </w:r>
          </w:p>
        </w:tc>
        <w:tc>
          <w:tcPr>
            <w:tcW w:w="3395" w:type="dxa"/>
            <w:shd w:val="clear" w:color="auto" w:fill="FF0000"/>
          </w:tcPr>
          <w:p w:rsidR="009D2CAE" w:rsidRPr="007C0CDA" w:rsidRDefault="009D2CAE" w:rsidP="00115303">
            <w:pPr>
              <w:jc w:val="center"/>
              <w:rPr>
                <w:b/>
                <w:color w:val="FFFFFF"/>
                <w:sz w:val="20"/>
              </w:rPr>
            </w:pPr>
            <w:r w:rsidRPr="007C0CDA">
              <w:rPr>
                <w:b/>
                <w:color w:val="FFFFFF"/>
                <w:sz w:val="20"/>
              </w:rPr>
              <w:t>Problém s odborným výběrem projektů a jejich oceněním</w:t>
            </w:r>
          </w:p>
        </w:tc>
        <w:tc>
          <w:tcPr>
            <w:tcW w:w="2552" w:type="dxa"/>
            <w:shd w:val="clear" w:color="auto" w:fill="FF0000"/>
          </w:tcPr>
          <w:p w:rsidR="009D2CAE" w:rsidRPr="007C0CDA" w:rsidRDefault="009D2CAE" w:rsidP="00115303">
            <w:pPr>
              <w:jc w:val="center"/>
              <w:rPr>
                <w:b/>
                <w:color w:val="FFFFFF"/>
                <w:sz w:val="20"/>
              </w:rPr>
            </w:pPr>
            <w:r w:rsidRPr="007C0CDA">
              <w:rPr>
                <w:b/>
                <w:color w:val="FFFFFF"/>
                <w:sz w:val="20"/>
              </w:rPr>
              <w:t>Problém s odborným a nestranným výběrem projektů v rámci ŘO i VO</w:t>
            </w:r>
          </w:p>
        </w:tc>
      </w:tr>
      <w:tr w:rsidR="009D2CAE" w:rsidRPr="007C0CDA" w:rsidTr="002433DA">
        <w:trPr>
          <w:trHeight w:val="735"/>
        </w:trPr>
        <w:tc>
          <w:tcPr>
            <w:tcW w:w="960" w:type="dxa"/>
            <w:vMerge/>
            <w:shd w:val="clear" w:color="auto" w:fill="FF0000"/>
            <w:textDirection w:val="btLr"/>
          </w:tcPr>
          <w:p w:rsidR="009D2CAE" w:rsidRPr="007C0CDA" w:rsidRDefault="009D2CAE" w:rsidP="00115303">
            <w:pPr>
              <w:ind w:left="113" w:right="113"/>
              <w:jc w:val="center"/>
              <w:rPr>
                <w:b/>
                <w:bCs/>
                <w:color w:val="FFFFFF"/>
                <w:sz w:val="24"/>
                <w:szCs w:val="24"/>
              </w:rPr>
            </w:pPr>
          </w:p>
        </w:tc>
        <w:tc>
          <w:tcPr>
            <w:tcW w:w="960" w:type="dxa"/>
            <w:vMerge/>
            <w:shd w:val="clear" w:color="auto" w:fill="FF0000"/>
            <w:noWrap/>
            <w:textDirection w:val="btLr"/>
          </w:tcPr>
          <w:p w:rsidR="009D2CAE" w:rsidRPr="007C0CDA" w:rsidRDefault="009D2CAE" w:rsidP="00115303">
            <w:pPr>
              <w:jc w:val="center"/>
              <w:rPr>
                <w:b/>
                <w:bCs/>
                <w:color w:val="FFFFFF"/>
                <w:sz w:val="24"/>
                <w:szCs w:val="24"/>
              </w:rPr>
            </w:pPr>
          </w:p>
        </w:tc>
        <w:tc>
          <w:tcPr>
            <w:tcW w:w="3395" w:type="dxa"/>
            <w:shd w:val="clear" w:color="auto" w:fill="FF0000"/>
          </w:tcPr>
          <w:p w:rsidR="009D2CAE" w:rsidRPr="007C0CDA" w:rsidRDefault="009D2CAE" w:rsidP="00115303">
            <w:pPr>
              <w:jc w:val="center"/>
              <w:rPr>
                <w:b/>
                <w:color w:val="FFFFFF"/>
                <w:sz w:val="20"/>
              </w:rPr>
            </w:pPr>
            <w:r w:rsidRPr="007C0CDA">
              <w:rPr>
                <w:b/>
                <w:color w:val="FFFFFF"/>
                <w:sz w:val="20"/>
              </w:rPr>
              <w:t>Problém se zajištěním odborné asistence v podnikatelské a investiční oblasti</w:t>
            </w:r>
          </w:p>
        </w:tc>
        <w:tc>
          <w:tcPr>
            <w:tcW w:w="2552" w:type="dxa"/>
            <w:shd w:val="clear" w:color="auto" w:fill="FF0000"/>
          </w:tcPr>
          <w:p w:rsidR="009D2CAE" w:rsidRPr="007C0CDA" w:rsidRDefault="009D2CAE" w:rsidP="00115303">
            <w:pPr>
              <w:jc w:val="center"/>
              <w:rPr>
                <w:b/>
                <w:color w:val="FFFFFF"/>
                <w:sz w:val="20"/>
              </w:rPr>
            </w:pPr>
            <w:r w:rsidRPr="007C0CDA">
              <w:rPr>
                <w:b/>
                <w:color w:val="FFFFFF"/>
                <w:sz w:val="20"/>
              </w:rPr>
              <w:t>Problém se zajištěním odborné asistence v podnikatelské a investiční oblasti</w:t>
            </w:r>
          </w:p>
        </w:tc>
      </w:tr>
      <w:tr w:rsidR="009D2CAE" w:rsidRPr="007C0CDA" w:rsidTr="002433DA">
        <w:trPr>
          <w:trHeight w:val="481"/>
        </w:trPr>
        <w:tc>
          <w:tcPr>
            <w:tcW w:w="960" w:type="dxa"/>
            <w:vMerge/>
            <w:shd w:val="clear" w:color="auto" w:fill="FF0000"/>
          </w:tcPr>
          <w:p w:rsidR="009D2CAE" w:rsidRPr="007C0CDA" w:rsidRDefault="009D2CAE" w:rsidP="00115303">
            <w:pPr>
              <w:jc w:val="left"/>
              <w:rPr>
                <w:b/>
                <w:bCs/>
                <w:color w:val="000000"/>
                <w:sz w:val="24"/>
                <w:szCs w:val="24"/>
              </w:rPr>
            </w:pPr>
          </w:p>
        </w:tc>
        <w:tc>
          <w:tcPr>
            <w:tcW w:w="960" w:type="dxa"/>
            <w:vMerge/>
            <w:shd w:val="clear" w:color="auto" w:fill="FF0000"/>
            <w:noWrap/>
            <w:textDirection w:val="btLr"/>
          </w:tcPr>
          <w:p w:rsidR="009D2CAE" w:rsidRPr="007C0CDA" w:rsidRDefault="009D2CAE" w:rsidP="00115303">
            <w:pPr>
              <w:jc w:val="center"/>
              <w:rPr>
                <w:b/>
                <w:bCs/>
                <w:color w:val="000000"/>
                <w:sz w:val="24"/>
                <w:szCs w:val="24"/>
              </w:rPr>
            </w:pPr>
          </w:p>
        </w:tc>
        <w:tc>
          <w:tcPr>
            <w:tcW w:w="3395" w:type="dxa"/>
            <w:shd w:val="clear" w:color="auto" w:fill="FF0000"/>
          </w:tcPr>
          <w:p w:rsidR="009D2CAE" w:rsidRPr="007C0CDA" w:rsidRDefault="009D2CAE" w:rsidP="00115303">
            <w:pPr>
              <w:jc w:val="center"/>
              <w:rPr>
                <w:b/>
                <w:color w:val="FFFFFF"/>
                <w:sz w:val="20"/>
              </w:rPr>
            </w:pPr>
          </w:p>
        </w:tc>
        <w:tc>
          <w:tcPr>
            <w:tcW w:w="2552" w:type="dxa"/>
            <w:shd w:val="clear" w:color="auto" w:fill="FF0000"/>
          </w:tcPr>
          <w:p w:rsidR="009D2CAE" w:rsidRPr="007C0CDA" w:rsidRDefault="009D2CAE" w:rsidP="00115303">
            <w:pPr>
              <w:jc w:val="center"/>
              <w:rPr>
                <w:b/>
                <w:color w:val="FFFFFF"/>
                <w:sz w:val="20"/>
              </w:rPr>
            </w:pPr>
            <w:r w:rsidRPr="007C0CDA">
              <w:rPr>
                <w:b/>
                <w:color w:val="FFFFFF"/>
                <w:sz w:val="20"/>
              </w:rPr>
              <w:t>Neflexibilní plánování projektu</w:t>
            </w:r>
          </w:p>
        </w:tc>
      </w:tr>
      <w:tr w:rsidR="009D2CAE" w:rsidRPr="007C0CDA" w:rsidTr="002433DA">
        <w:trPr>
          <w:trHeight w:val="456"/>
        </w:trPr>
        <w:tc>
          <w:tcPr>
            <w:tcW w:w="960" w:type="dxa"/>
            <w:vMerge/>
            <w:shd w:val="clear" w:color="auto" w:fill="FF0000"/>
          </w:tcPr>
          <w:p w:rsidR="009D2CAE" w:rsidRPr="007C0CDA" w:rsidRDefault="009D2CAE" w:rsidP="00115303">
            <w:pPr>
              <w:jc w:val="left"/>
              <w:rPr>
                <w:b/>
                <w:bCs/>
                <w:color w:val="000000"/>
                <w:sz w:val="24"/>
                <w:szCs w:val="24"/>
              </w:rPr>
            </w:pPr>
          </w:p>
        </w:tc>
        <w:tc>
          <w:tcPr>
            <w:tcW w:w="960" w:type="dxa"/>
            <w:vMerge/>
            <w:shd w:val="clear" w:color="auto" w:fill="FF0000"/>
            <w:noWrap/>
            <w:textDirection w:val="btLr"/>
          </w:tcPr>
          <w:p w:rsidR="009D2CAE" w:rsidRPr="007C0CDA" w:rsidRDefault="009D2CAE" w:rsidP="00115303">
            <w:pPr>
              <w:jc w:val="center"/>
              <w:rPr>
                <w:b/>
                <w:bCs/>
                <w:color w:val="000000"/>
                <w:sz w:val="24"/>
                <w:szCs w:val="24"/>
              </w:rPr>
            </w:pPr>
          </w:p>
        </w:tc>
        <w:tc>
          <w:tcPr>
            <w:tcW w:w="3395" w:type="dxa"/>
            <w:shd w:val="clear" w:color="auto" w:fill="FF0000"/>
          </w:tcPr>
          <w:p w:rsidR="009D2CAE" w:rsidRPr="007C0CDA" w:rsidRDefault="009D2CAE" w:rsidP="00115303">
            <w:pPr>
              <w:jc w:val="center"/>
              <w:rPr>
                <w:b/>
                <w:color w:val="FFFFFF"/>
                <w:sz w:val="20"/>
              </w:rPr>
            </w:pPr>
          </w:p>
        </w:tc>
        <w:tc>
          <w:tcPr>
            <w:tcW w:w="2552" w:type="dxa"/>
            <w:shd w:val="clear" w:color="auto" w:fill="FF0000"/>
          </w:tcPr>
          <w:p w:rsidR="009D2CAE" w:rsidRPr="007C0CDA" w:rsidRDefault="009D2CAE" w:rsidP="00115303">
            <w:pPr>
              <w:jc w:val="center"/>
              <w:rPr>
                <w:b/>
                <w:color w:val="FFFFFF"/>
                <w:sz w:val="20"/>
              </w:rPr>
            </w:pPr>
            <w:r w:rsidRPr="007C0CDA">
              <w:rPr>
                <w:b/>
                <w:color w:val="FFFFFF"/>
                <w:sz w:val="20"/>
              </w:rPr>
              <w:t>Nízká motivace k ziskové komercionalizaci</w:t>
            </w:r>
          </w:p>
        </w:tc>
      </w:tr>
      <w:tr w:rsidR="009D2CAE" w:rsidRPr="007C0CDA" w:rsidTr="002433DA">
        <w:trPr>
          <w:trHeight w:val="468"/>
        </w:trPr>
        <w:tc>
          <w:tcPr>
            <w:tcW w:w="960" w:type="dxa"/>
            <w:vMerge/>
            <w:shd w:val="clear" w:color="auto" w:fill="FF0000"/>
          </w:tcPr>
          <w:p w:rsidR="009D2CAE" w:rsidRPr="007C0CDA" w:rsidRDefault="009D2CAE" w:rsidP="00115303">
            <w:pPr>
              <w:jc w:val="left"/>
              <w:rPr>
                <w:b/>
                <w:bCs/>
                <w:color w:val="000000"/>
                <w:sz w:val="24"/>
                <w:szCs w:val="24"/>
              </w:rPr>
            </w:pPr>
          </w:p>
        </w:tc>
        <w:tc>
          <w:tcPr>
            <w:tcW w:w="960" w:type="dxa"/>
            <w:vMerge/>
            <w:shd w:val="clear" w:color="auto" w:fill="FF0000"/>
            <w:noWrap/>
            <w:textDirection w:val="btLr"/>
          </w:tcPr>
          <w:p w:rsidR="009D2CAE" w:rsidRPr="007C0CDA" w:rsidRDefault="009D2CAE" w:rsidP="00115303">
            <w:pPr>
              <w:jc w:val="center"/>
              <w:rPr>
                <w:b/>
                <w:bCs/>
                <w:color w:val="000000"/>
                <w:sz w:val="24"/>
                <w:szCs w:val="24"/>
              </w:rPr>
            </w:pPr>
          </w:p>
        </w:tc>
        <w:tc>
          <w:tcPr>
            <w:tcW w:w="3395" w:type="dxa"/>
            <w:shd w:val="clear" w:color="auto" w:fill="FF0000"/>
          </w:tcPr>
          <w:p w:rsidR="009D2CAE" w:rsidRPr="007C0CDA" w:rsidRDefault="009D2CAE" w:rsidP="00115303">
            <w:pPr>
              <w:jc w:val="center"/>
              <w:rPr>
                <w:b/>
                <w:color w:val="FFFFFF"/>
                <w:sz w:val="20"/>
              </w:rPr>
            </w:pPr>
          </w:p>
        </w:tc>
        <w:tc>
          <w:tcPr>
            <w:tcW w:w="2552" w:type="dxa"/>
            <w:shd w:val="clear" w:color="auto" w:fill="FF0000"/>
          </w:tcPr>
          <w:p w:rsidR="009D2CAE" w:rsidRPr="007C0CDA" w:rsidRDefault="009D2CAE" w:rsidP="00115303">
            <w:pPr>
              <w:jc w:val="center"/>
              <w:rPr>
                <w:b/>
                <w:color w:val="FFFFFF"/>
                <w:sz w:val="20"/>
              </w:rPr>
            </w:pPr>
            <w:r w:rsidRPr="007C0CDA">
              <w:rPr>
                <w:b/>
                <w:color w:val="FFFFFF"/>
                <w:sz w:val="20"/>
              </w:rPr>
              <w:t>Slabé napojení na soukromé investory</w:t>
            </w:r>
          </w:p>
        </w:tc>
      </w:tr>
      <w:tr w:rsidR="009D2CAE" w:rsidRPr="007C0CDA" w:rsidTr="002433DA">
        <w:trPr>
          <w:trHeight w:val="735"/>
        </w:trPr>
        <w:tc>
          <w:tcPr>
            <w:tcW w:w="960" w:type="dxa"/>
            <w:vMerge/>
            <w:shd w:val="clear" w:color="auto" w:fill="FF0000"/>
          </w:tcPr>
          <w:p w:rsidR="009D2CAE" w:rsidRPr="007C0CDA" w:rsidRDefault="009D2CAE" w:rsidP="00115303">
            <w:pPr>
              <w:jc w:val="left"/>
              <w:rPr>
                <w:b/>
                <w:bCs/>
                <w:color w:val="000000"/>
                <w:sz w:val="24"/>
                <w:szCs w:val="24"/>
              </w:rPr>
            </w:pPr>
          </w:p>
        </w:tc>
        <w:tc>
          <w:tcPr>
            <w:tcW w:w="960" w:type="dxa"/>
            <w:vMerge w:val="restart"/>
            <w:shd w:val="clear" w:color="auto" w:fill="FF0000"/>
            <w:noWrap/>
            <w:textDirection w:val="btLr"/>
          </w:tcPr>
          <w:p w:rsidR="009D2CAE" w:rsidRPr="007C0CDA" w:rsidRDefault="009D2CAE" w:rsidP="00115303">
            <w:pPr>
              <w:jc w:val="center"/>
              <w:rPr>
                <w:b/>
                <w:bCs/>
                <w:color w:val="FFFFFF"/>
                <w:sz w:val="24"/>
                <w:szCs w:val="24"/>
              </w:rPr>
            </w:pPr>
            <w:r w:rsidRPr="007C0CDA">
              <w:rPr>
                <w:b/>
                <w:bCs/>
                <w:color w:val="FFFFFF"/>
                <w:sz w:val="24"/>
                <w:szCs w:val="24"/>
              </w:rPr>
              <w:t>ŘO</w:t>
            </w:r>
          </w:p>
        </w:tc>
        <w:tc>
          <w:tcPr>
            <w:tcW w:w="3395" w:type="dxa"/>
            <w:shd w:val="clear" w:color="auto" w:fill="FF0000"/>
          </w:tcPr>
          <w:p w:rsidR="009D2CAE" w:rsidRPr="007C0CDA" w:rsidRDefault="009D2CAE" w:rsidP="00115303">
            <w:pPr>
              <w:jc w:val="center"/>
              <w:rPr>
                <w:b/>
                <w:color w:val="FFFFFF"/>
                <w:sz w:val="20"/>
              </w:rPr>
            </w:pPr>
            <w:r w:rsidRPr="007C0CDA">
              <w:rPr>
                <w:b/>
                <w:color w:val="FFFFFF"/>
                <w:sz w:val="20"/>
              </w:rPr>
              <w:t>Problém s odborným výběrem projektů a jejich oceněním</w:t>
            </w:r>
          </w:p>
        </w:tc>
        <w:tc>
          <w:tcPr>
            <w:tcW w:w="2552" w:type="dxa"/>
            <w:shd w:val="clear" w:color="auto" w:fill="FF0000"/>
          </w:tcPr>
          <w:p w:rsidR="009D2CAE" w:rsidRPr="007C0CDA" w:rsidRDefault="009D2CAE" w:rsidP="00115303">
            <w:pPr>
              <w:jc w:val="center"/>
              <w:rPr>
                <w:b/>
                <w:color w:val="FFFFFF"/>
                <w:sz w:val="20"/>
              </w:rPr>
            </w:pPr>
            <w:r w:rsidRPr="007C0CDA">
              <w:rPr>
                <w:b/>
                <w:color w:val="FFFFFF"/>
                <w:sz w:val="20"/>
              </w:rPr>
              <w:t>Nízká kontrola nad efektivním vynakládáním prostředků a výběrem projektů</w:t>
            </w:r>
          </w:p>
        </w:tc>
      </w:tr>
      <w:tr w:rsidR="009D2CAE" w:rsidRPr="007C0CDA" w:rsidTr="002433DA">
        <w:trPr>
          <w:trHeight w:val="566"/>
        </w:trPr>
        <w:tc>
          <w:tcPr>
            <w:tcW w:w="960" w:type="dxa"/>
            <w:vMerge/>
            <w:shd w:val="clear" w:color="auto" w:fill="FF0000"/>
          </w:tcPr>
          <w:p w:rsidR="009D2CAE" w:rsidRPr="007C0CDA" w:rsidRDefault="009D2CAE" w:rsidP="00115303">
            <w:pPr>
              <w:jc w:val="left"/>
              <w:rPr>
                <w:b/>
                <w:bCs/>
                <w:color w:val="000000"/>
                <w:sz w:val="18"/>
                <w:szCs w:val="18"/>
              </w:rPr>
            </w:pPr>
          </w:p>
        </w:tc>
        <w:tc>
          <w:tcPr>
            <w:tcW w:w="960" w:type="dxa"/>
            <w:vMerge/>
            <w:shd w:val="clear" w:color="auto" w:fill="FF0000"/>
            <w:noWrap/>
            <w:textDirection w:val="btLr"/>
          </w:tcPr>
          <w:p w:rsidR="009D2CAE" w:rsidRPr="007C0CDA" w:rsidRDefault="009D2CAE" w:rsidP="00115303">
            <w:pPr>
              <w:jc w:val="center"/>
              <w:rPr>
                <w:b/>
                <w:bCs/>
                <w:color w:val="000000"/>
                <w:sz w:val="18"/>
                <w:szCs w:val="18"/>
              </w:rPr>
            </w:pPr>
          </w:p>
        </w:tc>
        <w:tc>
          <w:tcPr>
            <w:tcW w:w="3395" w:type="dxa"/>
            <w:shd w:val="clear" w:color="auto" w:fill="FF0000"/>
          </w:tcPr>
          <w:p w:rsidR="009D2CAE" w:rsidRPr="007C0CDA" w:rsidRDefault="009D2CAE" w:rsidP="00115303">
            <w:pPr>
              <w:jc w:val="center"/>
              <w:rPr>
                <w:b/>
                <w:color w:val="FFFFFF"/>
                <w:sz w:val="20"/>
              </w:rPr>
            </w:pPr>
            <w:r w:rsidRPr="007C0CDA">
              <w:rPr>
                <w:b/>
                <w:color w:val="FFFFFF"/>
                <w:sz w:val="20"/>
              </w:rPr>
              <w:t>Nízký revolvingový efekt</w:t>
            </w:r>
          </w:p>
        </w:tc>
        <w:tc>
          <w:tcPr>
            <w:tcW w:w="2552" w:type="dxa"/>
            <w:shd w:val="clear" w:color="auto" w:fill="FF0000"/>
          </w:tcPr>
          <w:p w:rsidR="009D2CAE" w:rsidRPr="007C0CDA" w:rsidRDefault="009D2CAE" w:rsidP="00115303">
            <w:pPr>
              <w:jc w:val="center"/>
              <w:rPr>
                <w:b/>
                <w:color w:val="FFFFFF"/>
                <w:sz w:val="20"/>
              </w:rPr>
            </w:pPr>
            <w:r w:rsidRPr="007C0CDA">
              <w:rPr>
                <w:b/>
                <w:color w:val="FFFFFF"/>
                <w:sz w:val="20"/>
              </w:rPr>
              <w:t>Nulový revolvingový efekt, omezené zdroje</w:t>
            </w:r>
          </w:p>
        </w:tc>
      </w:tr>
      <w:tr w:rsidR="009D2CAE" w:rsidRPr="007C0CDA" w:rsidTr="002433DA">
        <w:trPr>
          <w:trHeight w:val="389"/>
        </w:trPr>
        <w:tc>
          <w:tcPr>
            <w:tcW w:w="960" w:type="dxa"/>
            <w:vMerge/>
            <w:shd w:val="clear" w:color="auto" w:fill="FF0000"/>
          </w:tcPr>
          <w:p w:rsidR="009D2CAE" w:rsidRPr="007C0CDA" w:rsidRDefault="009D2CAE" w:rsidP="00115303">
            <w:pPr>
              <w:jc w:val="left"/>
              <w:rPr>
                <w:b/>
                <w:bCs/>
                <w:color w:val="000000"/>
                <w:sz w:val="18"/>
                <w:szCs w:val="18"/>
              </w:rPr>
            </w:pPr>
          </w:p>
        </w:tc>
        <w:tc>
          <w:tcPr>
            <w:tcW w:w="960" w:type="dxa"/>
            <w:vMerge/>
            <w:shd w:val="clear" w:color="auto" w:fill="FF0000"/>
            <w:noWrap/>
            <w:textDirection w:val="btLr"/>
          </w:tcPr>
          <w:p w:rsidR="009D2CAE" w:rsidRPr="007C0CDA" w:rsidRDefault="009D2CAE" w:rsidP="00115303">
            <w:pPr>
              <w:jc w:val="center"/>
              <w:rPr>
                <w:b/>
                <w:bCs/>
                <w:color w:val="000000"/>
                <w:sz w:val="18"/>
                <w:szCs w:val="18"/>
              </w:rPr>
            </w:pPr>
          </w:p>
        </w:tc>
        <w:tc>
          <w:tcPr>
            <w:tcW w:w="3395" w:type="dxa"/>
            <w:shd w:val="clear" w:color="auto" w:fill="FF0000"/>
          </w:tcPr>
          <w:p w:rsidR="009D2CAE" w:rsidRPr="007C0CDA" w:rsidRDefault="009D2CAE" w:rsidP="00115303">
            <w:pPr>
              <w:jc w:val="center"/>
              <w:rPr>
                <w:b/>
                <w:color w:val="FFFFFF"/>
                <w:sz w:val="20"/>
              </w:rPr>
            </w:pPr>
            <w:r w:rsidRPr="007C0CDA">
              <w:rPr>
                <w:b/>
                <w:color w:val="FFFFFF"/>
                <w:sz w:val="20"/>
              </w:rPr>
              <w:t>Riziko dostatečné motivace na straně VO</w:t>
            </w:r>
          </w:p>
        </w:tc>
        <w:tc>
          <w:tcPr>
            <w:tcW w:w="2552" w:type="dxa"/>
            <w:shd w:val="clear" w:color="auto" w:fill="FF0000"/>
          </w:tcPr>
          <w:p w:rsidR="009D2CAE" w:rsidRPr="007C0CDA" w:rsidRDefault="009D2CAE" w:rsidP="00115303">
            <w:pPr>
              <w:keepNext/>
              <w:jc w:val="center"/>
              <w:rPr>
                <w:b/>
                <w:color w:val="FFFFFF"/>
                <w:sz w:val="20"/>
              </w:rPr>
            </w:pPr>
          </w:p>
        </w:tc>
      </w:tr>
      <w:tr w:rsidR="009D2CAE" w:rsidRPr="007C0CDA" w:rsidTr="002433DA">
        <w:trPr>
          <w:trHeight w:val="389"/>
        </w:trPr>
        <w:tc>
          <w:tcPr>
            <w:tcW w:w="960" w:type="dxa"/>
            <w:vMerge/>
            <w:shd w:val="clear" w:color="auto" w:fill="FF0000"/>
          </w:tcPr>
          <w:p w:rsidR="009D2CAE" w:rsidRPr="007C0CDA" w:rsidRDefault="009D2CAE" w:rsidP="00115303">
            <w:pPr>
              <w:jc w:val="left"/>
              <w:rPr>
                <w:b/>
                <w:bCs/>
                <w:color w:val="000000"/>
                <w:sz w:val="18"/>
                <w:szCs w:val="18"/>
              </w:rPr>
            </w:pPr>
          </w:p>
        </w:tc>
        <w:tc>
          <w:tcPr>
            <w:tcW w:w="960" w:type="dxa"/>
            <w:vMerge/>
            <w:shd w:val="clear" w:color="auto" w:fill="FF0000"/>
            <w:noWrap/>
            <w:textDirection w:val="btLr"/>
          </w:tcPr>
          <w:p w:rsidR="009D2CAE" w:rsidRPr="007C0CDA" w:rsidRDefault="009D2CAE" w:rsidP="00115303">
            <w:pPr>
              <w:jc w:val="center"/>
              <w:rPr>
                <w:b/>
                <w:bCs/>
                <w:color w:val="000000"/>
                <w:sz w:val="18"/>
                <w:szCs w:val="18"/>
              </w:rPr>
            </w:pPr>
          </w:p>
        </w:tc>
        <w:tc>
          <w:tcPr>
            <w:tcW w:w="3395" w:type="dxa"/>
            <w:shd w:val="clear" w:color="auto" w:fill="FF0000"/>
          </w:tcPr>
          <w:p w:rsidR="009D2CAE" w:rsidRPr="007C0CDA" w:rsidRDefault="009D2CAE" w:rsidP="00115303">
            <w:pPr>
              <w:jc w:val="center"/>
              <w:rPr>
                <w:b/>
                <w:color w:val="FFFFFF"/>
                <w:sz w:val="20"/>
              </w:rPr>
            </w:pPr>
            <w:r w:rsidRPr="007C0CDA">
              <w:rPr>
                <w:b/>
                <w:color w:val="FFFFFF"/>
                <w:sz w:val="20"/>
              </w:rPr>
              <w:t>Riziko resistence institucionálních struktur VO vůči převádění projektů do fondů</w:t>
            </w:r>
          </w:p>
        </w:tc>
        <w:tc>
          <w:tcPr>
            <w:tcW w:w="2552" w:type="dxa"/>
            <w:shd w:val="clear" w:color="auto" w:fill="FF0000"/>
          </w:tcPr>
          <w:p w:rsidR="009D2CAE" w:rsidRPr="007C0CDA" w:rsidRDefault="009D2CAE" w:rsidP="00115303">
            <w:pPr>
              <w:keepNext/>
              <w:jc w:val="center"/>
              <w:rPr>
                <w:b/>
                <w:color w:val="FFFFFF"/>
                <w:sz w:val="20"/>
              </w:rPr>
            </w:pPr>
          </w:p>
        </w:tc>
      </w:tr>
    </w:tbl>
    <w:p w:rsidR="009D2CAE" w:rsidRPr="007C0CDA" w:rsidRDefault="009D2CAE" w:rsidP="00115303"/>
    <w:p w:rsidR="009D2CAE" w:rsidRPr="007C0CDA" w:rsidRDefault="009D2CAE" w:rsidP="00115303"/>
    <w:p w:rsidR="009D2CAE" w:rsidRPr="007C0CDA" w:rsidRDefault="009D2CAE" w:rsidP="00115303"/>
    <w:p w:rsidR="009D2CAE" w:rsidRPr="007C0CDA" w:rsidRDefault="009D2CAE" w:rsidP="00115303"/>
    <w:p w:rsidR="009D2CAE" w:rsidRPr="007C0CDA" w:rsidRDefault="009D2CAE" w:rsidP="00115303"/>
    <w:p w:rsidR="009D2CAE" w:rsidRPr="007C0CDA" w:rsidRDefault="009D2CAE" w:rsidP="00115303"/>
    <w:p w:rsidR="009D2CAE" w:rsidRPr="007C0CDA" w:rsidRDefault="009D2CAE" w:rsidP="00115303"/>
    <w:p w:rsidR="009D2CAE" w:rsidRPr="007C0CDA" w:rsidRDefault="009D2CAE" w:rsidP="00115303"/>
    <w:p w:rsidR="009D2CAE" w:rsidRDefault="009D2CAE" w:rsidP="00115303"/>
    <w:p w:rsidR="004B44BD" w:rsidRDefault="004B44BD" w:rsidP="00115303"/>
    <w:p w:rsidR="004B44BD" w:rsidRDefault="004B44BD" w:rsidP="00115303"/>
    <w:p w:rsidR="004B44BD" w:rsidRDefault="004B44BD" w:rsidP="00115303"/>
    <w:p w:rsidR="004B44BD" w:rsidRDefault="004B44BD" w:rsidP="00115303"/>
    <w:p w:rsidR="004B44BD" w:rsidRDefault="004B44BD" w:rsidP="00115303"/>
    <w:p w:rsidR="004B44BD" w:rsidRDefault="004B44BD" w:rsidP="00115303"/>
    <w:p w:rsidR="004B44BD" w:rsidRDefault="004B44BD" w:rsidP="00115303"/>
    <w:p w:rsidR="004B44BD" w:rsidRDefault="004B44BD" w:rsidP="00115303"/>
    <w:p w:rsidR="004B44BD" w:rsidRDefault="004B44BD" w:rsidP="00115303"/>
    <w:p w:rsidR="004B44BD" w:rsidRDefault="004B44BD" w:rsidP="00115303"/>
    <w:p w:rsidR="004B44BD" w:rsidRDefault="004B44BD" w:rsidP="00115303"/>
    <w:p w:rsidR="004B44BD" w:rsidRDefault="004B44BD" w:rsidP="00115303"/>
    <w:p w:rsidR="004B44BD" w:rsidRDefault="004B44BD" w:rsidP="00115303"/>
    <w:p w:rsidR="004B44BD" w:rsidRDefault="004B44BD" w:rsidP="00115303"/>
    <w:p w:rsidR="004B44BD" w:rsidRDefault="004B44BD" w:rsidP="00115303"/>
    <w:p w:rsidR="004B44BD" w:rsidRPr="007C0CDA" w:rsidRDefault="004B44BD" w:rsidP="00115303"/>
    <w:p w:rsidR="004B44BD" w:rsidRPr="007C0CDA" w:rsidRDefault="004B44BD" w:rsidP="002433DA">
      <w:pPr>
        <w:pStyle w:val="Titulek"/>
        <w:framePr w:w="8893" w:h="601" w:hRule="exact" w:hSpace="141" w:wrap="around" w:vAnchor="text" w:hAnchor="page" w:x="1735" w:y="-360"/>
      </w:pPr>
      <w:r w:rsidRPr="007C0CDA">
        <w:t xml:space="preserve">Tabulka </w:t>
      </w:r>
      <w:r w:rsidRPr="00854519">
        <w:fldChar w:fldCharType="begin"/>
      </w:r>
      <w:r w:rsidRPr="007C0CDA">
        <w:instrText xml:space="preserve"> SEQ Tabulka \* ARABIC </w:instrText>
      </w:r>
      <w:r w:rsidRPr="002433DA">
        <w:fldChar w:fldCharType="separate"/>
      </w:r>
      <w:r w:rsidRPr="007C0CDA">
        <w:rPr>
          <w:noProof/>
        </w:rPr>
        <w:t>3</w:t>
      </w:r>
      <w:r w:rsidRPr="00854519">
        <w:fldChar w:fldCharType="end"/>
      </w:r>
      <w:r w:rsidRPr="007C0CDA">
        <w:t>: Přidaná hodnota, nevýhody a rizika veřejné podpory pro příjemce a ŘO</w:t>
      </w:r>
    </w:p>
    <w:p w:rsidR="004B44BD" w:rsidRPr="007C0CDA" w:rsidRDefault="004B44BD" w:rsidP="002433DA">
      <w:pPr>
        <w:pStyle w:val="Titulek"/>
        <w:framePr w:w="8893" w:h="601" w:hRule="exact" w:hSpace="141" w:wrap="around" w:vAnchor="text" w:hAnchor="page" w:x="1735" w:y="-360"/>
      </w:pPr>
    </w:p>
    <w:tbl>
      <w:tblPr>
        <w:tblW w:w="7859" w:type="dxa"/>
        <w:tblInd w:w="613" w:type="dxa"/>
        <w:tblBorders>
          <w:insideH w:val="single" w:sz="4" w:space="0" w:color="auto"/>
          <w:insideV w:val="single" w:sz="4" w:space="0" w:color="auto"/>
        </w:tblBorders>
        <w:tblLook w:val="00A0" w:firstRow="1" w:lastRow="0" w:firstColumn="1" w:lastColumn="0" w:noHBand="0" w:noVBand="0"/>
      </w:tblPr>
      <w:tblGrid>
        <w:gridCol w:w="1905"/>
        <w:gridCol w:w="2835"/>
        <w:gridCol w:w="3119"/>
      </w:tblGrid>
      <w:tr w:rsidR="009D2CAE" w:rsidRPr="007C0CDA" w:rsidTr="002433DA">
        <w:tc>
          <w:tcPr>
            <w:tcW w:w="1905" w:type="dxa"/>
            <w:shd w:val="clear" w:color="auto" w:fill="4F81BD" w:themeFill="accent1"/>
          </w:tcPr>
          <w:p w:rsidR="009D2CAE" w:rsidRPr="007C0CDA" w:rsidRDefault="009D2CAE" w:rsidP="00B03681">
            <w:pPr>
              <w:pStyle w:val="Highlight2"/>
              <w:jc w:val="center"/>
              <w:rPr>
                <w:rFonts w:ascii="Calibri" w:hAnsi="Calibri" w:cs="Calibri"/>
                <w:color w:val="FFFFFF"/>
                <w:sz w:val="22"/>
                <w:szCs w:val="22"/>
              </w:rPr>
            </w:pPr>
            <w:r w:rsidRPr="007C0CDA">
              <w:rPr>
                <w:rFonts w:ascii="Calibri" w:hAnsi="Calibri" w:cs="Calibri"/>
                <w:color w:val="FFFFFF"/>
                <w:sz w:val="22"/>
                <w:szCs w:val="22"/>
                <w:lang w:eastAsia="cs-CZ"/>
              </w:rPr>
              <w:t>Tržní selhání</w:t>
            </w:r>
          </w:p>
        </w:tc>
        <w:tc>
          <w:tcPr>
            <w:tcW w:w="2835" w:type="dxa"/>
            <w:shd w:val="clear" w:color="auto" w:fill="4F81BD" w:themeFill="accent1"/>
          </w:tcPr>
          <w:p w:rsidR="009D2CAE" w:rsidRPr="007C0CDA" w:rsidRDefault="009D2CAE" w:rsidP="00B03681">
            <w:pPr>
              <w:pStyle w:val="Highlight2"/>
              <w:jc w:val="center"/>
              <w:rPr>
                <w:rFonts w:ascii="Calibri" w:hAnsi="Calibri" w:cs="Calibri"/>
                <w:bCs/>
                <w:color w:val="FFFFFF"/>
                <w:sz w:val="22"/>
                <w:szCs w:val="22"/>
                <w:lang w:eastAsia="cs-CZ"/>
              </w:rPr>
            </w:pPr>
            <w:r w:rsidRPr="007C0CDA">
              <w:rPr>
                <w:rFonts w:ascii="Calibri" w:hAnsi="Calibri" w:cs="Calibri"/>
                <w:bCs/>
                <w:color w:val="FFFFFF"/>
                <w:sz w:val="22"/>
                <w:szCs w:val="22"/>
                <w:lang w:eastAsia="cs-CZ"/>
              </w:rPr>
              <w:t>Kapitálové vstupy</w:t>
            </w:r>
          </w:p>
        </w:tc>
        <w:tc>
          <w:tcPr>
            <w:tcW w:w="3119" w:type="dxa"/>
            <w:shd w:val="clear" w:color="auto" w:fill="4F81BD" w:themeFill="accent1"/>
          </w:tcPr>
          <w:p w:rsidR="009D2CAE" w:rsidRPr="007C0CDA" w:rsidRDefault="009D2CAE" w:rsidP="00B03681">
            <w:pPr>
              <w:pStyle w:val="Highlight2"/>
              <w:jc w:val="center"/>
              <w:rPr>
                <w:rFonts w:ascii="Calibri" w:hAnsi="Calibri" w:cs="Calibri"/>
                <w:bCs/>
                <w:color w:val="FFFFFF"/>
                <w:sz w:val="22"/>
                <w:szCs w:val="22"/>
                <w:lang w:eastAsia="cs-CZ"/>
              </w:rPr>
            </w:pPr>
            <w:r w:rsidRPr="007C0CDA">
              <w:rPr>
                <w:rFonts w:ascii="Calibri" w:hAnsi="Calibri" w:cs="Calibri"/>
                <w:bCs/>
                <w:color w:val="FFFFFF"/>
                <w:sz w:val="22"/>
                <w:szCs w:val="22"/>
                <w:lang w:eastAsia="cs-CZ"/>
              </w:rPr>
              <w:t>Dotace</w:t>
            </w:r>
          </w:p>
        </w:tc>
      </w:tr>
      <w:tr w:rsidR="009D2CAE" w:rsidRPr="007C0CDA" w:rsidTr="002433DA">
        <w:tc>
          <w:tcPr>
            <w:tcW w:w="1905" w:type="dxa"/>
          </w:tcPr>
          <w:p w:rsidR="009D2CAE" w:rsidRPr="007C0CDA" w:rsidRDefault="009D2CAE" w:rsidP="00B03681">
            <w:pPr>
              <w:pStyle w:val="Highlight2"/>
              <w:jc w:val="left"/>
              <w:rPr>
                <w:rFonts w:ascii="Calibri" w:hAnsi="Calibri" w:cs="Calibri"/>
              </w:rPr>
            </w:pPr>
            <w:r w:rsidRPr="007C0CDA">
              <w:rPr>
                <w:rFonts w:ascii="Calibri" w:hAnsi="Calibri" w:cs="Calibri"/>
                <w:bCs/>
                <w:color w:val="000000"/>
                <w:lang w:eastAsia="cs-CZ"/>
              </w:rPr>
              <w:t>Nedostatek finančních prostředků na projekty komercionalizace VaV</w:t>
            </w:r>
          </w:p>
        </w:tc>
        <w:tc>
          <w:tcPr>
            <w:tcW w:w="2835" w:type="dxa"/>
          </w:tcPr>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Poskytuje prostředky flexibilně dle dosažených výsledků a potřeb projektu do omezení disponibilních prostředků fondu. Umožňuje přístup soukromému kapitálu</w:t>
            </w:r>
          </w:p>
        </w:tc>
        <w:tc>
          <w:tcPr>
            <w:tcW w:w="3119" w:type="dxa"/>
          </w:tcPr>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Poskytuje prostředky na základě schváleného plánu projektu a předem daných aktivit, regulatorní omezení</w:t>
            </w:r>
          </w:p>
        </w:tc>
      </w:tr>
      <w:tr w:rsidR="009D2CAE" w:rsidRPr="007C0CDA" w:rsidTr="002433DA">
        <w:tc>
          <w:tcPr>
            <w:tcW w:w="1905" w:type="dxa"/>
          </w:tcPr>
          <w:p w:rsidR="009D2CAE" w:rsidRPr="007C0CDA" w:rsidRDefault="009D2CAE" w:rsidP="00B03681">
            <w:pPr>
              <w:pStyle w:val="Highlight2"/>
              <w:jc w:val="left"/>
              <w:rPr>
                <w:rFonts w:ascii="Calibri" w:hAnsi="Calibri" w:cs="Calibri"/>
                <w:bCs/>
                <w:color w:val="000000"/>
                <w:lang w:eastAsia="cs-CZ"/>
              </w:rPr>
            </w:pPr>
            <w:r w:rsidRPr="007C0CDA">
              <w:rPr>
                <w:rFonts w:ascii="Calibri" w:hAnsi="Calibri" w:cs="Calibri"/>
                <w:bCs/>
                <w:color w:val="000000"/>
                <w:lang w:eastAsia="cs-CZ"/>
              </w:rPr>
              <w:t>Motivace k ziskovému dotažení projektu</w:t>
            </w:r>
          </w:p>
        </w:tc>
        <w:tc>
          <w:tcPr>
            <w:tcW w:w="2835" w:type="dxa"/>
          </w:tcPr>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Subjekty motivovány dalšími prostředky na základě investičního rozhodnutí po úspěšném naplnění daných kroků, motivace ziskem v rámci exitu či dalšího fungování spin-off</w:t>
            </w:r>
          </w:p>
          <w:p w:rsidR="009D2CAE" w:rsidRPr="007C0CDA" w:rsidRDefault="009D2CAE" w:rsidP="00B03681">
            <w:pPr>
              <w:pStyle w:val="Highlight2"/>
              <w:jc w:val="center"/>
              <w:rPr>
                <w:rFonts w:ascii="Calibri" w:hAnsi="Calibri" w:cs="Calibri"/>
                <w:b w:val="0"/>
                <w:color w:val="000000"/>
                <w:lang w:eastAsia="cs-CZ"/>
              </w:rPr>
            </w:pPr>
          </w:p>
        </w:tc>
        <w:tc>
          <w:tcPr>
            <w:tcW w:w="3119" w:type="dxa"/>
          </w:tcPr>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Nízká motivace k aktivitě nad rámec zadání grantu, motivuje potenciál zisku projektu</w:t>
            </w:r>
          </w:p>
        </w:tc>
      </w:tr>
      <w:tr w:rsidR="009D2CAE" w:rsidRPr="007C0CDA" w:rsidTr="002433DA">
        <w:tblPrEx>
          <w:tblCellMar>
            <w:top w:w="28" w:type="dxa"/>
            <w:left w:w="28" w:type="dxa"/>
            <w:bottom w:w="28" w:type="dxa"/>
            <w:right w:w="28" w:type="dxa"/>
          </w:tblCellMar>
        </w:tblPrEx>
        <w:tc>
          <w:tcPr>
            <w:tcW w:w="1905" w:type="dxa"/>
            <w:shd w:val="clear" w:color="auto" w:fill="FFFFFF"/>
            <w:vAlign w:val="center"/>
          </w:tcPr>
          <w:p w:rsidR="009D2CAE" w:rsidRPr="007C0CDA" w:rsidRDefault="009D2CAE" w:rsidP="00B03681">
            <w:pPr>
              <w:pStyle w:val="Highlight2"/>
              <w:jc w:val="left"/>
              <w:rPr>
                <w:rFonts w:ascii="Calibri" w:hAnsi="Calibri" w:cs="Calibri"/>
                <w:bCs/>
                <w:color w:val="000000"/>
                <w:lang w:eastAsia="cs-CZ"/>
              </w:rPr>
            </w:pPr>
            <w:r w:rsidRPr="007C0CDA">
              <w:rPr>
                <w:rFonts w:ascii="Calibri" w:hAnsi="Calibri" w:cs="Calibri"/>
                <w:bCs/>
                <w:color w:val="000000"/>
                <w:lang w:eastAsia="cs-CZ"/>
              </w:rPr>
              <w:t>Institucionální bariéry VO</w:t>
            </w:r>
          </w:p>
        </w:tc>
        <w:tc>
          <w:tcPr>
            <w:tcW w:w="2835" w:type="dxa"/>
            <w:shd w:val="clear" w:color="auto" w:fill="FFFFFF"/>
            <w:vAlign w:val="center"/>
          </w:tcPr>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Zvyšuje kontrolní úlohu ŘO a investiční dohled v rámci fondu</w:t>
            </w:r>
          </w:p>
        </w:tc>
        <w:tc>
          <w:tcPr>
            <w:tcW w:w="3119" w:type="dxa"/>
            <w:shd w:val="clear" w:color="auto" w:fill="FFFFFF"/>
            <w:vAlign w:val="center"/>
          </w:tcPr>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Kontrolovány jen tabulkové výstupy dle zadání grantů</w:t>
            </w:r>
          </w:p>
        </w:tc>
      </w:tr>
      <w:tr w:rsidR="009D2CAE" w:rsidRPr="007C0CDA" w:rsidTr="002433DA">
        <w:tc>
          <w:tcPr>
            <w:tcW w:w="1905" w:type="dxa"/>
          </w:tcPr>
          <w:p w:rsidR="009D2CAE" w:rsidRPr="007C0CDA" w:rsidRDefault="009D2CAE" w:rsidP="00B03681">
            <w:pPr>
              <w:pStyle w:val="Highlight2"/>
              <w:jc w:val="left"/>
              <w:rPr>
                <w:rFonts w:ascii="Calibri" w:hAnsi="Calibri" w:cs="Calibri"/>
                <w:color w:val="auto"/>
                <w:szCs w:val="20"/>
              </w:rPr>
            </w:pPr>
            <w:r w:rsidRPr="007C0CDA">
              <w:rPr>
                <w:rFonts w:ascii="Calibri" w:hAnsi="Calibri" w:cs="Calibri"/>
                <w:bCs/>
                <w:color w:val="000000"/>
                <w:lang w:eastAsia="cs-CZ"/>
              </w:rPr>
              <w:t>Odborná asistence podnikatelského a investičního know-how</w:t>
            </w:r>
          </w:p>
        </w:tc>
        <w:tc>
          <w:tcPr>
            <w:tcW w:w="2835" w:type="dxa"/>
          </w:tcPr>
          <w:p w:rsidR="009D2CAE" w:rsidRPr="007C0CDA" w:rsidRDefault="009D2CAE" w:rsidP="00B03681">
            <w:pPr>
              <w:pStyle w:val="Highlight2"/>
              <w:jc w:val="center"/>
              <w:rPr>
                <w:rFonts w:ascii="Calibri" w:hAnsi="Calibri" w:cs="Calibri"/>
                <w:b w:val="0"/>
                <w:color w:val="auto"/>
                <w:szCs w:val="20"/>
              </w:rPr>
            </w:pPr>
            <w:r w:rsidRPr="007C0CDA">
              <w:rPr>
                <w:rFonts w:ascii="Calibri" w:hAnsi="Calibri" w:cs="Calibri"/>
                <w:b w:val="0"/>
                <w:color w:val="auto"/>
                <w:szCs w:val="20"/>
              </w:rPr>
              <w:t>Úzké propojení s existující infrastrukturou (CTT, CI)</w:t>
            </w:r>
          </w:p>
        </w:tc>
        <w:tc>
          <w:tcPr>
            <w:tcW w:w="3119" w:type="dxa"/>
          </w:tcPr>
          <w:p w:rsidR="009D2CAE" w:rsidRPr="007C0CDA" w:rsidRDefault="009D2CAE" w:rsidP="00B03681">
            <w:pPr>
              <w:pStyle w:val="Highlight2"/>
              <w:jc w:val="center"/>
              <w:rPr>
                <w:rFonts w:ascii="Calibri" w:hAnsi="Calibri" w:cs="Calibri"/>
                <w:b w:val="0"/>
                <w:color w:val="auto"/>
                <w:szCs w:val="20"/>
              </w:rPr>
            </w:pPr>
            <w:r w:rsidRPr="007C0CDA">
              <w:rPr>
                <w:rFonts w:ascii="Calibri" w:hAnsi="Calibri" w:cs="Calibri"/>
                <w:b w:val="0"/>
                <w:color w:val="auto"/>
                <w:szCs w:val="20"/>
              </w:rPr>
              <w:t>Projekty využívají služeb CTT</w:t>
            </w:r>
          </w:p>
        </w:tc>
      </w:tr>
      <w:tr w:rsidR="009D2CAE" w:rsidRPr="007C0CDA" w:rsidTr="002433DA">
        <w:tc>
          <w:tcPr>
            <w:tcW w:w="1905" w:type="dxa"/>
          </w:tcPr>
          <w:p w:rsidR="009D2CAE" w:rsidRPr="007C0CDA" w:rsidRDefault="009D2CAE" w:rsidP="00B03681">
            <w:pPr>
              <w:pStyle w:val="Highlight2"/>
              <w:jc w:val="left"/>
              <w:rPr>
                <w:rFonts w:ascii="Calibri" w:hAnsi="Calibri" w:cs="Calibri"/>
              </w:rPr>
            </w:pPr>
            <w:r w:rsidRPr="007C0CDA">
              <w:rPr>
                <w:rFonts w:ascii="Calibri" w:hAnsi="Calibri" w:cs="Calibri"/>
                <w:color w:val="auto"/>
                <w:szCs w:val="20"/>
              </w:rPr>
              <w:t>Navázání na investiční trh, exity</w:t>
            </w:r>
          </w:p>
        </w:tc>
        <w:tc>
          <w:tcPr>
            <w:tcW w:w="2835" w:type="dxa"/>
          </w:tcPr>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Snadnější možnosti investičních vstupů, možnost exitu v rámci seed fondu SC 2.1</w:t>
            </w:r>
          </w:p>
        </w:tc>
        <w:tc>
          <w:tcPr>
            <w:tcW w:w="3119" w:type="dxa"/>
          </w:tcPr>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Grantové fungování nepodporuje následný přechod do tržního prostředí</w:t>
            </w:r>
          </w:p>
        </w:tc>
      </w:tr>
      <w:tr w:rsidR="009D2CAE" w:rsidRPr="007C0CDA" w:rsidTr="002433DA">
        <w:trPr>
          <w:trHeight w:val="1474"/>
        </w:trPr>
        <w:tc>
          <w:tcPr>
            <w:tcW w:w="1905" w:type="dxa"/>
          </w:tcPr>
          <w:p w:rsidR="009D2CAE" w:rsidRPr="007C0CDA" w:rsidRDefault="009D2CAE" w:rsidP="00115303">
            <w:pPr>
              <w:rPr>
                <w:b/>
                <w:sz w:val="20"/>
              </w:rPr>
            </w:pPr>
            <w:r w:rsidRPr="007C0CDA">
              <w:rPr>
                <w:b/>
                <w:sz w:val="20"/>
              </w:rPr>
              <w:lastRenderedPageBreak/>
              <w:t>Celkový efekt na Investiční aktivitu a absorpci v SC</w:t>
            </w:r>
          </w:p>
        </w:tc>
        <w:tc>
          <w:tcPr>
            <w:tcW w:w="2835" w:type="dxa"/>
          </w:tcPr>
          <w:p w:rsidR="009D2CAE" w:rsidRPr="007C0CDA" w:rsidRDefault="009D2CAE" w:rsidP="00B03681">
            <w:pPr>
              <w:pStyle w:val="Highlight2"/>
              <w:jc w:val="center"/>
              <w:rPr>
                <w:rFonts w:ascii="Calibri" w:hAnsi="Calibri" w:cs="Calibri"/>
                <w:b w:val="0"/>
                <w:bCs/>
                <w:color w:val="000000"/>
                <w:lang w:eastAsia="cs-CZ"/>
              </w:rPr>
            </w:pPr>
            <w:r w:rsidRPr="007C0CDA">
              <w:rPr>
                <w:rFonts w:ascii="Calibri" w:hAnsi="Calibri" w:cs="Calibri"/>
                <w:b w:val="0"/>
                <w:bCs/>
                <w:color w:val="000000"/>
                <w:lang w:eastAsia="cs-CZ"/>
              </w:rPr>
              <w:t>Pozitivní efekt zpřístupnění flexibilního financování a vzájemné motivace subjektů s možností revolvingu zvýší ziskovou aktivitu v této oblasti a tlak na rozvoj institucí</w:t>
            </w:r>
          </w:p>
        </w:tc>
        <w:tc>
          <w:tcPr>
            <w:tcW w:w="3119" w:type="dxa"/>
          </w:tcPr>
          <w:p w:rsidR="009D2CAE" w:rsidRPr="007C0CDA" w:rsidRDefault="009D2CAE" w:rsidP="00115303">
            <w:pPr>
              <w:rPr>
                <w:color w:val="000000"/>
                <w:sz w:val="20"/>
              </w:rPr>
            </w:pPr>
            <w:r w:rsidRPr="007C0CDA">
              <w:rPr>
                <w:color w:val="000000"/>
                <w:sz w:val="20"/>
              </w:rPr>
              <w:t>Nástroj poskytne dostatečné zdroje, avšak bez revolvingového efektu a dostatečné motivace a flexibility pro dotažení projektů do úspěšné komercionalizace.</w:t>
            </w:r>
          </w:p>
          <w:p w:rsidR="009D2CAE" w:rsidRPr="007C0CDA" w:rsidRDefault="009D2CAE" w:rsidP="00115303">
            <w:pPr>
              <w:rPr>
                <w:color w:val="000000"/>
                <w:sz w:val="20"/>
              </w:rPr>
            </w:pPr>
          </w:p>
          <w:p w:rsidR="009D2CAE" w:rsidRPr="007C0CDA" w:rsidRDefault="009D2CAE" w:rsidP="00115303">
            <w:pPr>
              <w:rPr>
                <w:color w:val="000000"/>
                <w:sz w:val="20"/>
              </w:rPr>
            </w:pPr>
          </w:p>
        </w:tc>
      </w:tr>
      <w:tr w:rsidR="009D2CAE" w:rsidRPr="007C0CDA" w:rsidTr="002433DA">
        <w:tc>
          <w:tcPr>
            <w:tcW w:w="1905" w:type="dxa"/>
          </w:tcPr>
          <w:p w:rsidR="009D2CAE" w:rsidRPr="007C0CDA" w:rsidRDefault="009D2CAE" w:rsidP="00B03681">
            <w:pPr>
              <w:pStyle w:val="Highlight2"/>
              <w:jc w:val="left"/>
              <w:rPr>
                <w:rFonts w:ascii="Calibri" w:hAnsi="Calibri" w:cs="Calibri"/>
                <w:bCs/>
                <w:color w:val="000000"/>
                <w:lang w:eastAsia="cs-CZ"/>
              </w:rPr>
            </w:pPr>
            <w:r w:rsidRPr="007C0CDA">
              <w:rPr>
                <w:rFonts w:ascii="Calibri" w:hAnsi="Calibri" w:cs="Calibri"/>
                <w:bCs/>
                <w:color w:val="000000"/>
                <w:lang w:eastAsia="cs-CZ"/>
              </w:rPr>
              <w:t>Efekt na narušení tržního prostředí</w:t>
            </w:r>
          </w:p>
        </w:tc>
        <w:tc>
          <w:tcPr>
            <w:tcW w:w="2835" w:type="dxa"/>
          </w:tcPr>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Vzhledem k typu příjemců a projektů nemá negativní vliv na tržní prostředí, mělo by přispět k rozvoji trhu komercionalizace VaV na více tržních principech</w:t>
            </w:r>
          </w:p>
        </w:tc>
        <w:tc>
          <w:tcPr>
            <w:tcW w:w="3119" w:type="dxa"/>
          </w:tcPr>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bCs/>
                <w:color w:val="000000"/>
                <w:lang w:eastAsia="cs-CZ"/>
              </w:rPr>
              <w:t>Charakter grantové podpory a hodnocení výsledků přispívá k netržnímu chování</w:t>
            </w:r>
          </w:p>
        </w:tc>
      </w:tr>
    </w:tbl>
    <w:p w:rsidR="009D2CAE" w:rsidRPr="007C0CDA" w:rsidRDefault="009D2CAE" w:rsidP="00115303">
      <w:pPr>
        <w:pStyle w:val="Titulek"/>
      </w:pPr>
      <w:r w:rsidRPr="007C0CDA">
        <w:t xml:space="preserve">Tabulka </w:t>
      </w:r>
      <w:r w:rsidRPr="00854519">
        <w:fldChar w:fldCharType="begin"/>
      </w:r>
      <w:r w:rsidRPr="007C0CDA">
        <w:instrText xml:space="preserve"> SEQ Tabulka \* ARABIC </w:instrText>
      </w:r>
      <w:r w:rsidRPr="002433DA">
        <w:fldChar w:fldCharType="separate"/>
      </w:r>
      <w:r w:rsidRPr="007C0CDA">
        <w:rPr>
          <w:noProof/>
        </w:rPr>
        <w:t>2</w:t>
      </w:r>
      <w:r w:rsidRPr="00854519">
        <w:fldChar w:fldCharType="end"/>
      </w:r>
      <w:r w:rsidRPr="007C0CDA">
        <w:t xml:space="preserve"> – Přidaná hodnota podpory pro cíle SC 1.1 OP PIK a vliv na tržní prostředí</w:t>
      </w:r>
    </w:p>
    <w:p w:rsidR="009D2CAE" w:rsidRPr="007C0CDA" w:rsidRDefault="009D2CAE" w:rsidP="00115303">
      <w:pPr>
        <w:pStyle w:val="Highlight3"/>
      </w:pPr>
    </w:p>
    <w:p w:rsidR="009D2CAE" w:rsidRPr="007C0CDA" w:rsidRDefault="009D2CAE" w:rsidP="00115303">
      <w:r w:rsidRPr="007C0CDA">
        <w:t>Na základě tohoto porovnání docházíme k názoru, že v rámci cílů SC 1.2 a identifikovaných bariér komercionalizace VaV je efektivní formou podpory nástroj kapitálových vstupů. Ten sice sdílí s dotačním nástrojem některá rizika a problémy, přináší však v mnoha oblastech oproti dotaci významnou přidanou hodnotu zejména v posledních fázi samotné komercializace, bez zřejmých komparativních nevýhod z hlediska podpory projektů a absorpční kapacity.</w:t>
      </w:r>
    </w:p>
    <w:p w:rsidR="009D2CAE" w:rsidRPr="007C0CDA" w:rsidRDefault="009D2CAE" w:rsidP="00115303"/>
    <w:p w:rsidR="009D2CAE" w:rsidRPr="007C0CDA" w:rsidRDefault="009D2CAE" w:rsidP="00115303">
      <w:pPr>
        <w:pStyle w:val="Neslovannadpisy"/>
      </w:pPr>
      <w:r w:rsidRPr="007C0CDA">
        <w:t>Veřejná podpora</w:t>
      </w:r>
    </w:p>
    <w:p w:rsidR="009D2CAE" w:rsidRPr="002433DA" w:rsidRDefault="009D2CAE" w:rsidP="00B675D6">
      <w:r w:rsidRPr="009D2CAE">
        <w:t>Z důvodu předpokládaného většího rozsahu projektů (projektem je komercializace portfolia výsledků VaV daní organizace) není uvažováno o veřejné podpoře de minimis. K ř</w:t>
      </w:r>
      <w:r w:rsidRPr="002433DA">
        <w:t xml:space="preserve">ešení veřejné podpory </w:t>
      </w:r>
      <w:r w:rsidRPr="009D2CAE">
        <w:t>proto bude využito Obecné nařízení o blokových výjimkách, případně Rámec pro státní podporu výzkumu, vývoje a inovací.</w:t>
      </w:r>
    </w:p>
    <w:p w:rsidR="009D2CAE" w:rsidRPr="009D2CAE" w:rsidRDefault="009D2CAE">
      <w:pPr>
        <w:rPr>
          <w:b/>
        </w:rPr>
      </w:pPr>
    </w:p>
    <w:p w:rsidR="009D2CAE" w:rsidRPr="00854519" w:rsidRDefault="009D2CAE" w:rsidP="002433DA">
      <w:pPr>
        <w:pStyle w:val="Neslovannadpisy"/>
      </w:pPr>
      <w:r w:rsidRPr="00B675D6">
        <w:t>Komplementarity a synergie</w:t>
      </w:r>
    </w:p>
    <w:p w:rsidR="009D2CAE" w:rsidRPr="009D2CAE" w:rsidRDefault="009D2CAE">
      <w:pPr>
        <w:rPr>
          <w:b/>
        </w:rPr>
      </w:pPr>
      <w:r w:rsidRPr="009D2CAE">
        <w:t>Pre-seed fond OP PIK bude navazovat na realizovanou podporu v</w:t>
      </w:r>
      <w:r w:rsidRPr="007C0CDA">
        <w:t> </w:t>
      </w:r>
      <w:r w:rsidRPr="009D2CAE">
        <w:t>rámci</w:t>
      </w:r>
      <w:r w:rsidRPr="007C0CDA">
        <w:t> </w:t>
      </w:r>
      <w:r w:rsidRPr="009D2CAE">
        <w:t>OP VaVpI (zejména podpora vzniku CTT) a TAČR GAMA, které přispěly k</w:t>
      </w:r>
      <w:r w:rsidRPr="007C0CDA">
        <w:t> </w:t>
      </w:r>
      <w:r w:rsidRPr="009D2CAE">
        <w:t>vytvoření základních infrastruktur a procesů k</w:t>
      </w:r>
      <w:r w:rsidRPr="007C0CDA">
        <w:t> </w:t>
      </w:r>
      <w:r w:rsidRPr="009D2CAE">
        <w:t>výběru a podpoře komercionalizačních projektů na veřejných VO. Finanční podpora relevantního podprogramu 1 TAČR GAMA v</w:t>
      </w:r>
      <w:r w:rsidRPr="007C0CDA">
        <w:t> </w:t>
      </w:r>
      <w:r w:rsidRPr="009D2CAE">
        <w:t>grantové podobě je v</w:t>
      </w:r>
      <w:r w:rsidRPr="007C0CDA">
        <w:t> </w:t>
      </w:r>
      <w:r w:rsidRPr="009D2CAE">
        <w:t>současnosti navržena do roku 2016,</w:t>
      </w:r>
      <w:r w:rsidR="00854519">
        <w:t xml:space="preserve"> </w:t>
      </w:r>
      <w:r w:rsidRPr="009D2CAE">
        <w:t>a to pouze v případě, že v ČR nedojde k souběžnému financování projektů se shodným předmětem podpory v rámci OP PIK. Překryv fungování v</w:t>
      </w:r>
      <w:r w:rsidRPr="007C0CDA">
        <w:t> </w:t>
      </w:r>
      <w:r w:rsidRPr="009D2CAE">
        <w:t>totožných oblastech je tedy vyloučen, naopak by mělo vzhledem k</w:t>
      </w:r>
      <w:r w:rsidRPr="007C0CDA">
        <w:t> </w:t>
      </w:r>
      <w:r w:rsidRPr="009D2CAE">
        <w:t>očekávanému času přípravy nástroje v</w:t>
      </w:r>
      <w:r w:rsidRPr="007C0CDA">
        <w:t> </w:t>
      </w:r>
      <w:r w:rsidRPr="009D2CAE">
        <w:t>OP PIK dojít k</w:t>
      </w:r>
      <w:r w:rsidRPr="007C0CDA">
        <w:t> </w:t>
      </w:r>
      <w:r w:rsidRPr="009D2CAE">
        <w:t>plynulému navázání.</w:t>
      </w:r>
    </w:p>
    <w:p w:rsidR="009D2CAE" w:rsidRPr="009D2CAE" w:rsidRDefault="009D2CAE">
      <w:pPr>
        <w:rPr>
          <w:b/>
        </w:rPr>
      </w:pPr>
    </w:p>
    <w:p w:rsidR="009D2CAE" w:rsidRPr="007C0CDA" w:rsidRDefault="009D2CAE" w:rsidP="00DC6459">
      <w:pPr>
        <w:pStyle w:val="Vtneslovannadpis"/>
      </w:pPr>
    </w:p>
    <w:p w:rsidR="009D2CAE" w:rsidRPr="002433DA" w:rsidRDefault="009D2CAE" w:rsidP="002433DA">
      <w:pPr>
        <w:pStyle w:val="Nadpis2"/>
      </w:pPr>
      <w:bookmarkStart w:id="316" w:name="_Toc416383720"/>
      <w:bookmarkStart w:id="317" w:name="_Toc416447710"/>
      <w:bookmarkStart w:id="318" w:name="_Toc416383721"/>
      <w:bookmarkStart w:id="319" w:name="_Toc416447711"/>
      <w:bookmarkStart w:id="320" w:name="_Toc416383722"/>
      <w:bookmarkStart w:id="321" w:name="_Toc416447712"/>
      <w:bookmarkStart w:id="322" w:name="_Toc416383723"/>
      <w:bookmarkStart w:id="323" w:name="_Toc416447713"/>
      <w:bookmarkStart w:id="324" w:name="_Toc416383724"/>
      <w:bookmarkStart w:id="325" w:name="_Toc416447714"/>
      <w:bookmarkStart w:id="326" w:name="_Toc416447715"/>
      <w:bookmarkEnd w:id="316"/>
      <w:bookmarkEnd w:id="317"/>
      <w:bookmarkEnd w:id="318"/>
      <w:bookmarkEnd w:id="319"/>
      <w:bookmarkEnd w:id="320"/>
      <w:bookmarkEnd w:id="321"/>
      <w:bookmarkEnd w:id="322"/>
      <w:bookmarkEnd w:id="323"/>
      <w:bookmarkEnd w:id="324"/>
      <w:bookmarkEnd w:id="325"/>
      <w:r w:rsidRPr="002433DA">
        <w:t>Specifický cíl 2.1 – Zvýšit konkurenceschopnost začínajících a rozvojových MSP</w:t>
      </w:r>
      <w:bookmarkEnd w:id="326"/>
    </w:p>
    <w:p w:rsidR="009D2CAE" w:rsidRPr="007C0CDA" w:rsidRDefault="009D2CAE" w:rsidP="002413B6">
      <w:pPr>
        <w:pStyle w:val="Nadpis3"/>
      </w:pPr>
      <w:bookmarkStart w:id="327" w:name="_Toc416447716"/>
      <w:r w:rsidRPr="007C0CDA">
        <w:t>Zaměření specifického cíle</w:t>
      </w:r>
      <w:bookmarkEnd w:id="327"/>
    </w:p>
    <w:p w:rsidR="009D2CAE" w:rsidRPr="007C0CDA" w:rsidRDefault="009D2CAE" w:rsidP="00F74B06">
      <w:pPr>
        <w:pStyle w:val="Neslovannadpisy"/>
      </w:pPr>
      <w:r w:rsidRPr="007C0CDA">
        <w:t>Podporované aktivity:</w:t>
      </w:r>
    </w:p>
    <w:p w:rsidR="009D2CAE" w:rsidRPr="007C0CDA" w:rsidRDefault="009D2CAE" w:rsidP="002433DA">
      <w:pPr>
        <w:pStyle w:val="Odstavecseseznamem"/>
        <w:numPr>
          <w:ilvl w:val="0"/>
          <w:numId w:val="7"/>
        </w:numPr>
      </w:pPr>
      <w:r w:rsidRPr="007C0CDA">
        <w:t>Realizace podnikatelských záměrů začínajících podniků (do 3 let) a rozvojových podniků prostřednictvím vhodných finančních nástrojů a dotací MSP zejména pro mikropodniky</w:t>
      </w:r>
    </w:p>
    <w:p w:rsidR="009D2CAE" w:rsidRPr="007C0CDA" w:rsidRDefault="009D2CAE" w:rsidP="002433DA">
      <w:pPr>
        <w:pStyle w:val="Odstavecseseznamem"/>
        <w:numPr>
          <w:ilvl w:val="0"/>
          <w:numId w:val="7"/>
        </w:numPr>
      </w:pPr>
      <w:r w:rsidRPr="007C0CDA">
        <w:t>Poskytování poradenských služeb a služeb pro začínající podniky na celém území ČR s výjimkou území hl. města Prahy (např. prostřednictvím podnikatelských inkubátorů)</w:t>
      </w:r>
    </w:p>
    <w:p w:rsidR="009D2CAE" w:rsidRPr="007C0CDA" w:rsidRDefault="009D2CAE" w:rsidP="0059147B"/>
    <w:p w:rsidR="009D2CAE" w:rsidRPr="007C0CDA" w:rsidRDefault="009D2CAE" w:rsidP="001E77F4">
      <w:pPr>
        <w:pStyle w:val="Neslovannadpisy"/>
      </w:pPr>
      <w:r w:rsidRPr="007C0CDA">
        <w:t>Cílová skupina konečných příjemců:</w:t>
      </w:r>
    </w:p>
    <w:p w:rsidR="009D2CAE" w:rsidRPr="007C0CDA" w:rsidRDefault="009D2CAE" w:rsidP="001E77F4">
      <w:r w:rsidRPr="007C0CDA">
        <w:t xml:space="preserve">Podnikatelské subjekty (malé a střední podniky) ve výrobě a službách, provozovatelé inovační infrastruktury jako jsou podnikatelské inkubátory, vědeckotechnické parky a inovační centra (pouze </w:t>
      </w:r>
      <w:r w:rsidRPr="007C0CDA">
        <w:lastRenderedPageBreak/>
        <w:t>pro aktivity poskytování poradenských služeb a služeb pro začínající podniky); v rámci tohoto specifického cíle budou příjemci podpory nezemědělští podnikatelé s výstupem projektu mimo položky obsažené v dodatku Smlouvy (o EU), zároveň budou podporovány projekty zemědělských podnikatelů zaměřené na podnikatelské poradenství (nikoliv poradenství do zemědělské činnosti).</w:t>
      </w:r>
    </w:p>
    <w:p w:rsidR="009D2CAE" w:rsidRPr="007C0CDA" w:rsidRDefault="009D2CAE" w:rsidP="001E77F4"/>
    <w:p w:rsidR="009D2CAE" w:rsidRPr="007C0CDA" w:rsidRDefault="009D2CAE" w:rsidP="001E77F4">
      <w:pPr>
        <w:pStyle w:val="Neslovannadpisy"/>
      </w:pPr>
      <w:r w:rsidRPr="007C0CDA">
        <w:t>Cílové území:</w:t>
      </w:r>
    </w:p>
    <w:p w:rsidR="009D2CAE" w:rsidRPr="007C0CDA" w:rsidRDefault="009D2CAE" w:rsidP="001E77F4">
      <w:r w:rsidRPr="007C0CDA">
        <w:t>Území České republiky, mimo území hl. města Prahy.</w:t>
      </w:r>
    </w:p>
    <w:p w:rsidR="009D2CAE" w:rsidRPr="007C0CDA" w:rsidRDefault="009D2CAE" w:rsidP="001E77F4"/>
    <w:p w:rsidR="009D2CAE" w:rsidRPr="007C0CDA" w:rsidRDefault="009D2CAE" w:rsidP="004F6974">
      <w:pPr>
        <w:pStyle w:val="Neslovannadpisy"/>
      </w:pPr>
      <w:r w:rsidRPr="007C0CDA">
        <w:t>Výběr aktivit k posouzení vhodnosti finančního nástroje</w:t>
      </w:r>
    </w:p>
    <w:p w:rsidR="009D2CAE" w:rsidRPr="007C0CDA" w:rsidRDefault="009D2CAE" w:rsidP="001E77F4">
      <w:r w:rsidRPr="007C0CDA">
        <w:t>Cíl SC 2.1 realizace podnikatelských záměrů a rozvoje podniků je ze své definice široce vhodným pro uplatnění finančních nástrojů. Výjimkou je oblast poradenských služeb a služeb pro začínající podniky, což jsou aktivity neinvestičního charakteru, které však mohou synergicky napomoci efektivnější realizaci projektů podpořených finančními nástroji.</w:t>
      </w:r>
    </w:p>
    <w:p w:rsidR="009D2CAE" w:rsidRPr="007C0CDA" w:rsidRDefault="009D2CAE" w:rsidP="001E77F4"/>
    <w:p w:rsidR="009D2CAE" w:rsidRPr="002D1138" w:rsidRDefault="009D2CAE" w:rsidP="002433DA">
      <w:pPr>
        <w:pStyle w:val="Nadpis3"/>
      </w:pPr>
      <w:bookmarkStart w:id="328" w:name="_Toc416447717"/>
      <w:r w:rsidRPr="00B675D6">
        <w:t xml:space="preserve">Tržní analýza </w:t>
      </w:r>
      <w:r w:rsidRPr="00854519">
        <w:t>–rozvojové MSP a úvěrové financování</w:t>
      </w:r>
      <w:bookmarkStart w:id="329" w:name="RANGE!F22"/>
      <w:bookmarkStart w:id="330" w:name="RANGE!G22"/>
      <w:bookmarkStart w:id="331" w:name="RANGE!H22"/>
      <w:bookmarkStart w:id="332" w:name="RANGE!I22"/>
      <w:bookmarkStart w:id="333" w:name="RANGE!J22"/>
      <w:bookmarkStart w:id="334" w:name="RANGE!K22"/>
      <w:bookmarkStart w:id="335" w:name="RANGE!L22"/>
      <w:bookmarkStart w:id="336" w:name="RANGE!M22"/>
      <w:bookmarkStart w:id="337" w:name="RANGE!N22"/>
      <w:bookmarkStart w:id="338" w:name="RANGE!F23"/>
      <w:bookmarkStart w:id="339" w:name="RANGE!H23"/>
      <w:bookmarkStart w:id="340" w:name="RANGE!I23"/>
      <w:bookmarkStart w:id="341" w:name="RANGE!J23"/>
      <w:bookmarkStart w:id="342" w:name="RANGE!K23"/>
      <w:bookmarkStart w:id="343" w:name="RANGE!L23"/>
      <w:bookmarkStart w:id="344" w:name="RANGE!M23"/>
      <w:bookmarkStart w:id="345" w:name="RANGE!N23"/>
      <w:bookmarkStart w:id="346" w:name="RANGE!F24"/>
      <w:bookmarkStart w:id="347" w:name="RANGE!H24"/>
      <w:bookmarkStart w:id="348" w:name="RANGE!I24"/>
      <w:bookmarkStart w:id="349" w:name="RANGE!J24"/>
      <w:bookmarkStart w:id="350" w:name="RANGE!K24"/>
      <w:bookmarkStart w:id="351" w:name="RANGE!L24"/>
      <w:bookmarkStart w:id="352" w:name="RANGE!M24"/>
      <w:bookmarkStart w:id="353" w:name="RANGE!N24"/>
      <w:bookmarkStart w:id="354" w:name="RANGE!F25"/>
      <w:bookmarkStart w:id="355" w:name="RANGE!H25"/>
      <w:bookmarkStart w:id="356" w:name="RANGE!I25"/>
      <w:bookmarkStart w:id="357" w:name="RANGE!J25"/>
      <w:bookmarkStart w:id="358" w:name="RANGE!K25"/>
      <w:bookmarkStart w:id="359" w:name="RANGE!L25"/>
      <w:bookmarkStart w:id="360" w:name="RANGE!M25"/>
      <w:bookmarkStart w:id="361" w:name="RANGE!N25"/>
      <w:bookmarkStart w:id="362" w:name="RANGE!F26"/>
      <w:bookmarkStart w:id="363" w:name="RANGE!G26"/>
      <w:bookmarkStart w:id="364" w:name="RANGE!H26"/>
      <w:bookmarkStart w:id="365" w:name="RANGE!I26"/>
      <w:bookmarkStart w:id="366" w:name="RANGE!J26"/>
      <w:bookmarkStart w:id="367" w:name="RANGE!K26"/>
      <w:bookmarkStart w:id="368" w:name="RANGE!L26"/>
      <w:bookmarkStart w:id="369" w:name="RANGE!M26"/>
      <w:bookmarkStart w:id="370" w:name="RANGE!N26"/>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28"/>
    </w:p>
    <w:p w:rsidR="009D2CAE" w:rsidRPr="007C0CDA" w:rsidRDefault="009D2CAE" w:rsidP="000C77DB">
      <w:r w:rsidRPr="007C0CDA">
        <w:t xml:space="preserve">Počet malých a středních podnikatelů se v ČR dlouhodobě pohybuje kolem 1 mil. </w:t>
      </w:r>
      <w:r w:rsidRPr="007C0CDA">
        <w:rPr>
          <w:b/>
        </w:rPr>
        <w:t>Jejich investiční aktivita dosáhla v roce 2013 hodnoty 321 mld. Kč</w:t>
      </w:r>
      <w:r w:rsidRPr="007C0CDA">
        <w:t xml:space="preserve"> a výrazně meziročně poklesla již ve druhém roce v řadě. S těmito výsledky korespondují i data OECD k podnikatelským úvěrům MSP. </w:t>
      </w:r>
      <w:r w:rsidRPr="007C0CDA">
        <w:rPr>
          <w:b/>
        </w:rPr>
        <w:t>V roce 2013 poklesly úvěry českým MSP ze 129 mld. Kč na 87 mld. Kč.</w:t>
      </w:r>
      <w:r w:rsidRPr="007C0CDA">
        <w:t xml:space="preserve"> Tyto propady jsou úzce provázány s recesí v ČR v roce 2013. Od roku 2014 vykazuje ČR nízký růst a pomalou obnovu hospodářské aktivity, je zde tedy předpoklad postupného růstu objemu na straně investic i úvěrů MSP. Negativní dopady hospodářských otřesů po roce 2007 jsou nicméně z vývoje podnikatelských úvěrů jasně patrné.</w:t>
      </w:r>
    </w:p>
    <w:p w:rsidR="009D2CAE" w:rsidRPr="007C0CDA" w:rsidRDefault="009D2CAE" w:rsidP="00DF6E0B">
      <w:pPr>
        <w:pStyle w:val="Titulek"/>
        <w:keepNext/>
        <w:jc w:val="right"/>
      </w:pPr>
    </w:p>
    <w:p w:rsidR="009D2CAE" w:rsidRPr="007C0CDA" w:rsidRDefault="009D2CAE" w:rsidP="00DF6E0B">
      <w:pPr>
        <w:pStyle w:val="Titulek"/>
        <w:keepNext/>
        <w:jc w:val="right"/>
      </w:pPr>
      <w:r w:rsidRPr="007C0CDA">
        <w:t>Graf 5: Vývoj úvěrů MSP v ČR, mil. CZK</w:t>
      </w:r>
      <w:r w:rsidR="007B2DEF">
        <w:rPr>
          <w:rStyle w:val="Znakapoznpodarou"/>
        </w:rPr>
        <w:footnoteReference w:id="13"/>
      </w:r>
      <w:r w:rsidRPr="007C0CDA">
        <w:t xml:space="preserve"> (Zdroj: OECD 2014)</w:t>
      </w:r>
    </w:p>
    <w:p w:rsidR="009D2CAE" w:rsidRPr="007C0CDA" w:rsidRDefault="002D1138" w:rsidP="000C77DB">
      <w:r>
        <w:rPr>
          <w:noProof/>
        </w:rPr>
        <w:drawing>
          <wp:inline distT="0" distB="0" distL="0" distR="0" wp14:anchorId="38702E8A" wp14:editId="42B6307C">
            <wp:extent cx="2362200" cy="2114550"/>
            <wp:effectExtent l="0" t="0" r="0" b="0"/>
            <wp:docPr id="9" name="Graf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Fonts w:ascii="Arial" w:hAnsi="Arial" w:cs="Arial"/>
          <w:noProof/>
          <w:sz w:val="18"/>
          <w:szCs w:val="18"/>
        </w:rPr>
        <w:drawing>
          <wp:inline distT="0" distB="0" distL="0" distR="0" wp14:anchorId="626EE268" wp14:editId="52F0960F">
            <wp:extent cx="2647950" cy="1933575"/>
            <wp:effectExtent l="0" t="0" r="0" b="9525"/>
            <wp:docPr id="10"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7950" cy="1933575"/>
                    </a:xfrm>
                    <a:prstGeom prst="rect">
                      <a:avLst/>
                    </a:prstGeom>
                    <a:noFill/>
                    <a:ln>
                      <a:noFill/>
                    </a:ln>
                  </pic:spPr>
                </pic:pic>
              </a:graphicData>
            </a:graphic>
          </wp:inline>
        </w:drawing>
      </w:r>
    </w:p>
    <w:p w:rsidR="009D2CAE" w:rsidRPr="007C0CDA" w:rsidRDefault="009D2CAE" w:rsidP="00DF6E0B">
      <w:pPr>
        <w:pStyle w:val="Titulek"/>
      </w:pPr>
      <w:r w:rsidRPr="007C0CDA">
        <w:t xml:space="preserve">Graf 6: Vývoj investic MSP </w:t>
      </w:r>
    </w:p>
    <w:p w:rsidR="009D2CAE" w:rsidRPr="007C0CDA" w:rsidRDefault="009D2CAE" w:rsidP="00DF6E0B">
      <w:pPr>
        <w:pStyle w:val="Titulek"/>
      </w:pPr>
      <w:r w:rsidRPr="007C0CDA">
        <w:t>Zdroj: Zpráva o vývoji MSP 2013, MPO</w:t>
      </w:r>
    </w:p>
    <w:p w:rsidR="009D2CAE" w:rsidRPr="007C0CDA" w:rsidRDefault="009D2CAE" w:rsidP="00D222C7"/>
    <w:p w:rsidR="009D2CAE" w:rsidRPr="007C0CDA" w:rsidRDefault="009D2CAE" w:rsidP="00113153">
      <w:r w:rsidRPr="007C0CDA">
        <w:rPr>
          <w:b/>
        </w:rPr>
        <w:t xml:space="preserve">Nabídku zdrojů a dostupnost financování ovlivnila též veřejná podpora formou programů realizovaných Českomoravskou záruční a rozvojovou bankou (ČMZRB). </w:t>
      </w:r>
      <w:r w:rsidRPr="002433DA">
        <w:t>V</w:t>
      </w:r>
      <w:r w:rsidRPr="007C0CDA">
        <w:t> </w:t>
      </w:r>
      <w:r w:rsidRPr="002433DA">
        <w:t>rámci OP PI byl</w:t>
      </w:r>
      <w:r w:rsidRPr="007C0CDA">
        <w:t>y v programech Start, Záruka a Progres v období 2007-2013 poskytnuty zvýhodněné úvěry ve výši 3,9 mld. Kč a záruky ve výši 11,5 mld. Kč, které na sebe navázaly další soukromé zdroje. V národním programu záruka bylo dle aktuálních dat ČMZRB v letech 2009-2014 poskytnuto 15,8 mld. Kč záruk.</w:t>
      </w:r>
    </w:p>
    <w:p w:rsidR="009D2CAE" w:rsidRPr="007C0CDA" w:rsidRDefault="009D2CAE" w:rsidP="00113153"/>
    <w:tbl>
      <w:tblPr>
        <w:tblW w:w="9591" w:type="dxa"/>
        <w:tblInd w:w="93" w:type="dxa"/>
        <w:tblLayout w:type="fixed"/>
        <w:tblLook w:val="00A0" w:firstRow="1" w:lastRow="0" w:firstColumn="1" w:lastColumn="0" w:noHBand="0" w:noVBand="0"/>
      </w:tblPr>
      <w:tblGrid>
        <w:gridCol w:w="2564"/>
        <w:gridCol w:w="995"/>
        <w:gridCol w:w="861"/>
        <w:gridCol w:w="862"/>
        <w:gridCol w:w="862"/>
        <w:gridCol w:w="861"/>
        <w:gridCol w:w="862"/>
        <w:gridCol w:w="862"/>
        <w:gridCol w:w="862"/>
      </w:tblGrid>
      <w:tr w:rsidR="009D2CAE" w:rsidRPr="007C0CDA" w:rsidTr="00B813BC">
        <w:trPr>
          <w:trHeight w:val="270"/>
        </w:trPr>
        <w:tc>
          <w:tcPr>
            <w:tcW w:w="2564" w:type="dxa"/>
            <w:tcBorders>
              <w:top w:val="single" w:sz="8" w:space="0" w:color="auto"/>
              <w:left w:val="nil"/>
              <w:bottom w:val="single" w:sz="8" w:space="0" w:color="auto"/>
              <w:right w:val="nil"/>
            </w:tcBorders>
            <w:shd w:val="clear" w:color="000000" w:fill="95B3D7"/>
            <w:noWrap/>
            <w:vAlign w:val="center"/>
          </w:tcPr>
          <w:p w:rsidR="009D2CAE" w:rsidRPr="007C0CDA" w:rsidRDefault="009D2CAE" w:rsidP="00B813BC">
            <w:pPr>
              <w:rPr>
                <w:rFonts w:ascii="Arial" w:hAnsi="Arial" w:cs="Arial"/>
                <w:b/>
                <w:bCs/>
                <w:color w:val="000000"/>
                <w:sz w:val="16"/>
                <w:szCs w:val="16"/>
                <w:lang w:eastAsia="en-GB"/>
              </w:rPr>
            </w:pPr>
            <w:r w:rsidRPr="007C0CDA">
              <w:rPr>
                <w:rFonts w:ascii="Arial" w:hAnsi="Arial" w:cs="Arial"/>
                <w:b/>
                <w:bCs/>
                <w:color w:val="000000"/>
                <w:sz w:val="16"/>
                <w:szCs w:val="16"/>
                <w:lang w:eastAsia="en-GB"/>
              </w:rPr>
              <w:t>Indikátory</w:t>
            </w:r>
          </w:p>
        </w:tc>
        <w:tc>
          <w:tcPr>
            <w:tcW w:w="995" w:type="dxa"/>
            <w:tcBorders>
              <w:top w:val="single" w:sz="8" w:space="0" w:color="auto"/>
              <w:left w:val="nil"/>
              <w:bottom w:val="single" w:sz="8" w:space="0" w:color="auto"/>
              <w:right w:val="nil"/>
            </w:tcBorders>
            <w:shd w:val="clear" w:color="000000" w:fill="95B3D7"/>
            <w:noWrap/>
            <w:vAlign w:val="center"/>
          </w:tcPr>
          <w:p w:rsidR="009D2CAE" w:rsidRPr="007C0CDA" w:rsidRDefault="009D2CAE" w:rsidP="00B813BC">
            <w:pPr>
              <w:rPr>
                <w:rFonts w:ascii="Arial" w:hAnsi="Arial" w:cs="Arial"/>
                <w:b/>
                <w:bCs/>
                <w:color w:val="000000"/>
                <w:sz w:val="16"/>
                <w:szCs w:val="16"/>
                <w:lang w:eastAsia="en-GB"/>
              </w:rPr>
            </w:pPr>
            <w:r w:rsidRPr="007C0CDA">
              <w:rPr>
                <w:rFonts w:ascii="Arial" w:hAnsi="Arial" w:cs="Arial"/>
                <w:b/>
                <w:bCs/>
                <w:color w:val="000000"/>
                <w:sz w:val="16"/>
                <w:szCs w:val="16"/>
                <w:lang w:eastAsia="en-GB"/>
              </w:rPr>
              <w:t>Jednotky</w:t>
            </w:r>
          </w:p>
        </w:tc>
        <w:tc>
          <w:tcPr>
            <w:tcW w:w="861" w:type="dxa"/>
            <w:tcBorders>
              <w:top w:val="single" w:sz="8" w:space="0" w:color="auto"/>
              <w:left w:val="nil"/>
              <w:bottom w:val="single" w:sz="8" w:space="0" w:color="auto"/>
              <w:right w:val="nil"/>
            </w:tcBorders>
            <w:shd w:val="clear" w:color="000000" w:fill="95B3D7"/>
            <w:vAlign w:val="center"/>
          </w:tcPr>
          <w:p w:rsidR="009D2CAE" w:rsidRPr="007C0CDA" w:rsidRDefault="009D2CAE" w:rsidP="00B813BC">
            <w:pPr>
              <w:jc w:val="center"/>
              <w:rPr>
                <w:rFonts w:ascii="Arial" w:hAnsi="Arial" w:cs="Arial"/>
                <w:b/>
                <w:bCs/>
                <w:color w:val="000000"/>
                <w:sz w:val="16"/>
                <w:szCs w:val="16"/>
                <w:lang w:eastAsia="en-GB"/>
              </w:rPr>
            </w:pPr>
            <w:r w:rsidRPr="007C0CDA">
              <w:rPr>
                <w:rFonts w:ascii="Arial" w:hAnsi="Arial" w:cs="Arial"/>
                <w:b/>
                <w:bCs/>
                <w:color w:val="000000"/>
                <w:sz w:val="16"/>
                <w:szCs w:val="16"/>
                <w:lang w:eastAsia="en-GB"/>
              </w:rPr>
              <w:t>2007</w:t>
            </w:r>
          </w:p>
        </w:tc>
        <w:tc>
          <w:tcPr>
            <w:tcW w:w="862" w:type="dxa"/>
            <w:tcBorders>
              <w:top w:val="single" w:sz="8" w:space="0" w:color="auto"/>
              <w:left w:val="nil"/>
              <w:bottom w:val="single" w:sz="8" w:space="0" w:color="auto"/>
              <w:right w:val="nil"/>
            </w:tcBorders>
            <w:shd w:val="clear" w:color="000000" w:fill="95B3D7"/>
            <w:vAlign w:val="center"/>
          </w:tcPr>
          <w:p w:rsidR="009D2CAE" w:rsidRPr="007C0CDA" w:rsidRDefault="009D2CAE" w:rsidP="00B813BC">
            <w:pPr>
              <w:jc w:val="center"/>
              <w:rPr>
                <w:rFonts w:ascii="Arial" w:hAnsi="Arial" w:cs="Arial"/>
                <w:b/>
                <w:bCs/>
                <w:color w:val="000000"/>
                <w:sz w:val="16"/>
                <w:szCs w:val="16"/>
                <w:lang w:eastAsia="en-GB"/>
              </w:rPr>
            </w:pPr>
            <w:r w:rsidRPr="007C0CDA">
              <w:rPr>
                <w:rFonts w:ascii="Arial" w:hAnsi="Arial" w:cs="Arial"/>
                <w:b/>
                <w:bCs/>
                <w:color w:val="000000"/>
                <w:sz w:val="16"/>
                <w:szCs w:val="16"/>
                <w:lang w:eastAsia="en-GB"/>
              </w:rPr>
              <w:t>2008</w:t>
            </w:r>
          </w:p>
        </w:tc>
        <w:tc>
          <w:tcPr>
            <w:tcW w:w="862" w:type="dxa"/>
            <w:tcBorders>
              <w:top w:val="single" w:sz="8" w:space="0" w:color="auto"/>
              <w:left w:val="nil"/>
              <w:bottom w:val="single" w:sz="8" w:space="0" w:color="auto"/>
              <w:right w:val="nil"/>
            </w:tcBorders>
            <w:shd w:val="clear" w:color="000000" w:fill="95B3D7"/>
            <w:vAlign w:val="center"/>
          </w:tcPr>
          <w:p w:rsidR="009D2CAE" w:rsidRPr="007C0CDA" w:rsidRDefault="009D2CAE" w:rsidP="00B813BC">
            <w:pPr>
              <w:jc w:val="center"/>
              <w:rPr>
                <w:rFonts w:ascii="Arial" w:hAnsi="Arial" w:cs="Arial"/>
                <w:b/>
                <w:bCs/>
                <w:color w:val="000000"/>
                <w:sz w:val="16"/>
                <w:szCs w:val="16"/>
                <w:lang w:eastAsia="en-GB"/>
              </w:rPr>
            </w:pPr>
            <w:r w:rsidRPr="007C0CDA">
              <w:rPr>
                <w:rFonts w:ascii="Arial" w:hAnsi="Arial" w:cs="Arial"/>
                <w:b/>
                <w:bCs/>
                <w:color w:val="000000"/>
                <w:sz w:val="16"/>
                <w:szCs w:val="16"/>
                <w:lang w:eastAsia="en-GB"/>
              </w:rPr>
              <w:t>2009</w:t>
            </w:r>
          </w:p>
        </w:tc>
        <w:tc>
          <w:tcPr>
            <w:tcW w:w="861" w:type="dxa"/>
            <w:tcBorders>
              <w:top w:val="single" w:sz="8" w:space="0" w:color="auto"/>
              <w:left w:val="nil"/>
              <w:bottom w:val="single" w:sz="8" w:space="0" w:color="auto"/>
              <w:right w:val="nil"/>
            </w:tcBorders>
            <w:shd w:val="clear" w:color="000000" w:fill="95B3D7"/>
            <w:noWrap/>
            <w:vAlign w:val="center"/>
          </w:tcPr>
          <w:p w:rsidR="009D2CAE" w:rsidRPr="007C0CDA" w:rsidRDefault="009D2CAE" w:rsidP="00B813BC">
            <w:pPr>
              <w:jc w:val="center"/>
              <w:rPr>
                <w:rFonts w:ascii="Arial" w:hAnsi="Arial" w:cs="Arial"/>
                <w:b/>
                <w:bCs/>
                <w:color w:val="000000"/>
                <w:sz w:val="16"/>
                <w:szCs w:val="16"/>
                <w:lang w:eastAsia="en-GB"/>
              </w:rPr>
            </w:pPr>
            <w:r w:rsidRPr="007C0CDA">
              <w:rPr>
                <w:rFonts w:ascii="Arial" w:hAnsi="Arial" w:cs="Arial"/>
                <w:b/>
                <w:bCs/>
                <w:color w:val="000000"/>
                <w:sz w:val="16"/>
                <w:szCs w:val="16"/>
                <w:lang w:eastAsia="en-GB"/>
              </w:rPr>
              <w:t>2010</w:t>
            </w:r>
          </w:p>
        </w:tc>
        <w:tc>
          <w:tcPr>
            <w:tcW w:w="862" w:type="dxa"/>
            <w:tcBorders>
              <w:top w:val="single" w:sz="8" w:space="0" w:color="auto"/>
              <w:left w:val="nil"/>
              <w:bottom w:val="single" w:sz="8" w:space="0" w:color="auto"/>
              <w:right w:val="nil"/>
            </w:tcBorders>
            <w:shd w:val="clear" w:color="000000" w:fill="95B3D7"/>
            <w:vAlign w:val="center"/>
          </w:tcPr>
          <w:p w:rsidR="009D2CAE" w:rsidRPr="007C0CDA" w:rsidRDefault="009D2CAE" w:rsidP="00B813BC">
            <w:pPr>
              <w:jc w:val="center"/>
              <w:rPr>
                <w:rFonts w:ascii="Arial" w:hAnsi="Arial" w:cs="Arial"/>
                <w:b/>
                <w:bCs/>
                <w:color w:val="000000"/>
                <w:sz w:val="16"/>
                <w:szCs w:val="16"/>
                <w:lang w:eastAsia="en-GB"/>
              </w:rPr>
            </w:pPr>
            <w:r w:rsidRPr="007C0CDA">
              <w:rPr>
                <w:rFonts w:ascii="Arial" w:hAnsi="Arial" w:cs="Arial"/>
                <w:b/>
                <w:bCs/>
                <w:color w:val="000000"/>
                <w:sz w:val="16"/>
                <w:szCs w:val="16"/>
                <w:lang w:eastAsia="en-GB"/>
              </w:rPr>
              <w:t>2011</w:t>
            </w:r>
          </w:p>
        </w:tc>
        <w:tc>
          <w:tcPr>
            <w:tcW w:w="862" w:type="dxa"/>
            <w:tcBorders>
              <w:top w:val="single" w:sz="8" w:space="0" w:color="auto"/>
              <w:left w:val="nil"/>
              <w:bottom w:val="single" w:sz="8" w:space="0" w:color="auto"/>
              <w:right w:val="nil"/>
            </w:tcBorders>
            <w:shd w:val="clear" w:color="000000" w:fill="95B3D7"/>
            <w:vAlign w:val="center"/>
          </w:tcPr>
          <w:p w:rsidR="009D2CAE" w:rsidRPr="007C0CDA" w:rsidRDefault="009D2CAE" w:rsidP="00B813BC">
            <w:pPr>
              <w:jc w:val="center"/>
              <w:rPr>
                <w:rFonts w:ascii="Arial" w:hAnsi="Arial" w:cs="Arial"/>
                <w:b/>
                <w:bCs/>
                <w:color w:val="000000"/>
                <w:sz w:val="16"/>
                <w:szCs w:val="16"/>
                <w:lang w:eastAsia="en-GB"/>
              </w:rPr>
            </w:pPr>
            <w:r w:rsidRPr="007C0CDA">
              <w:rPr>
                <w:rFonts w:ascii="Arial" w:hAnsi="Arial" w:cs="Arial"/>
                <w:b/>
                <w:bCs/>
                <w:color w:val="000000"/>
                <w:sz w:val="16"/>
                <w:szCs w:val="16"/>
                <w:lang w:eastAsia="en-GB"/>
              </w:rPr>
              <w:t>2012</w:t>
            </w:r>
          </w:p>
        </w:tc>
        <w:tc>
          <w:tcPr>
            <w:tcW w:w="862" w:type="dxa"/>
            <w:tcBorders>
              <w:top w:val="single" w:sz="8" w:space="0" w:color="auto"/>
              <w:left w:val="nil"/>
              <w:bottom w:val="single" w:sz="8" w:space="0" w:color="auto"/>
              <w:right w:val="nil"/>
            </w:tcBorders>
            <w:shd w:val="clear" w:color="000000" w:fill="95B3D7"/>
            <w:vAlign w:val="center"/>
          </w:tcPr>
          <w:p w:rsidR="009D2CAE" w:rsidRPr="007C0CDA" w:rsidRDefault="009D2CAE" w:rsidP="00B813BC">
            <w:pPr>
              <w:jc w:val="center"/>
              <w:rPr>
                <w:rFonts w:ascii="Arial" w:hAnsi="Arial" w:cs="Arial"/>
                <w:b/>
                <w:bCs/>
                <w:color w:val="000000"/>
                <w:sz w:val="16"/>
                <w:szCs w:val="16"/>
                <w:lang w:eastAsia="en-GB"/>
              </w:rPr>
            </w:pPr>
            <w:r w:rsidRPr="007C0CDA">
              <w:rPr>
                <w:rFonts w:ascii="Arial" w:hAnsi="Arial" w:cs="Arial"/>
                <w:b/>
                <w:bCs/>
                <w:color w:val="000000"/>
                <w:sz w:val="16"/>
                <w:szCs w:val="16"/>
                <w:lang w:eastAsia="en-GB"/>
              </w:rPr>
              <w:t>2013</w:t>
            </w:r>
          </w:p>
        </w:tc>
      </w:tr>
      <w:tr w:rsidR="009D2CAE" w:rsidRPr="007C0CDA" w:rsidTr="00B813BC">
        <w:trPr>
          <w:trHeight w:val="270"/>
        </w:trPr>
        <w:tc>
          <w:tcPr>
            <w:tcW w:w="2564" w:type="dxa"/>
            <w:tcBorders>
              <w:top w:val="nil"/>
              <w:left w:val="nil"/>
              <w:bottom w:val="single" w:sz="8" w:space="0" w:color="auto"/>
              <w:right w:val="nil"/>
            </w:tcBorders>
            <w:shd w:val="clear" w:color="000000" w:fill="B8CCE4"/>
            <w:noWrap/>
            <w:vAlign w:val="center"/>
          </w:tcPr>
          <w:p w:rsidR="009D2CAE" w:rsidRPr="007C0CDA" w:rsidRDefault="009D2CAE" w:rsidP="00B813BC">
            <w:pPr>
              <w:rPr>
                <w:rFonts w:ascii="Arial" w:hAnsi="Arial" w:cs="Arial"/>
                <w:b/>
                <w:bCs/>
                <w:color w:val="000000"/>
                <w:sz w:val="16"/>
                <w:szCs w:val="16"/>
                <w:lang w:eastAsia="en-GB"/>
              </w:rPr>
            </w:pPr>
          </w:p>
        </w:tc>
        <w:tc>
          <w:tcPr>
            <w:tcW w:w="995" w:type="dxa"/>
            <w:tcBorders>
              <w:top w:val="nil"/>
              <w:left w:val="nil"/>
              <w:bottom w:val="single" w:sz="8" w:space="0" w:color="auto"/>
              <w:right w:val="nil"/>
            </w:tcBorders>
            <w:shd w:val="clear" w:color="000000" w:fill="B8CCE4"/>
            <w:noWrap/>
            <w:vAlign w:val="center"/>
          </w:tcPr>
          <w:p w:rsidR="009D2CAE" w:rsidRPr="007C0CDA" w:rsidRDefault="009D2CAE" w:rsidP="00B813BC">
            <w:pPr>
              <w:rPr>
                <w:rFonts w:ascii="Arial" w:hAnsi="Arial" w:cs="Arial"/>
                <w:b/>
                <w:bCs/>
                <w:color w:val="000000"/>
                <w:sz w:val="16"/>
                <w:szCs w:val="16"/>
                <w:lang w:eastAsia="en-GB"/>
              </w:rPr>
            </w:pPr>
            <w:r w:rsidRPr="007C0CDA">
              <w:rPr>
                <w:rFonts w:ascii="Arial" w:hAnsi="Arial" w:cs="Arial"/>
                <w:b/>
                <w:bCs/>
                <w:color w:val="000000"/>
                <w:sz w:val="16"/>
                <w:szCs w:val="16"/>
                <w:lang w:eastAsia="en-GB"/>
              </w:rPr>
              <w:t> </w:t>
            </w:r>
          </w:p>
        </w:tc>
        <w:tc>
          <w:tcPr>
            <w:tcW w:w="861" w:type="dxa"/>
            <w:tcBorders>
              <w:top w:val="nil"/>
              <w:left w:val="nil"/>
              <w:bottom w:val="single" w:sz="8" w:space="0" w:color="auto"/>
              <w:right w:val="nil"/>
            </w:tcBorders>
            <w:shd w:val="clear" w:color="000000" w:fill="B8CCE4"/>
            <w:noWrap/>
            <w:vAlign w:val="center"/>
          </w:tcPr>
          <w:p w:rsidR="009D2CAE" w:rsidRPr="007C0CDA" w:rsidRDefault="009D2CAE" w:rsidP="00B813BC">
            <w:pPr>
              <w:jc w:val="center"/>
              <w:rPr>
                <w:rFonts w:ascii="Arial" w:hAnsi="Arial" w:cs="Arial"/>
                <w:b/>
                <w:bCs/>
                <w:color w:val="000000"/>
                <w:sz w:val="16"/>
                <w:szCs w:val="16"/>
                <w:lang w:eastAsia="en-GB"/>
              </w:rPr>
            </w:pPr>
            <w:r w:rsidRPr="007C0CDA">
              <w:rPr>
                <w:rFonts w:ascii="Arial" w:hAnsi="Arial" w:cs="Arial"/>
                <w:b/>
                <w:bCs/>
                <w:color w:val="000000"/>
                <w:sz w:val="16"/>
                <w:szCs w:val="16"/>
                <w:lang w:eastAsia="en-GB"/>
              </w:rPr>
              <w:t> </w:t>
            </w:r>
          </w:p>
        </w:tc>
        <w:tc>
          <w:tcPr>
            <w:tcW w:w="862" w:type="dxa"/>
            <w:tcBorders>
              <w:top w:val="nil"/>
              <w:left w:val="nil"/>
              <w:bottom w:val="single" w:sz="8" w:space="0" w:color="auto"/>
              <w:right w:val="nil"/>
            </w:tcBorders>
            <w:shd w:val="clear" w:color="000000" w:fill="B8CCE4"/>
            <w:noWrap/>
            <w:vAlign w:val="center"/>
          </w:tcPr>
          <w:p w:rsidR="009D2CAE" w:rsidRPr="007C0CDA" w:rsidRDefault="009D2CAE" w:rsidP="00B813BC">
            <w:pPr>
              <w:jc w:val="center"/>
              <w:rPr>
                <w:rFonts w:ascii="Arial" w:hAnsi="Arial" w:cs="Arial"/>
                <w:b/>
                <w:bCs/>
                <w:color w:val="000000"/>
                <w:sz w:val="16"/>
                <w:szCs w:val="16"/>
                <w:lang w:eastAsia="en-GB"/>
              </w:rPr>
            </w:pPr>
            <w:r w:rsidRPr="007C0CDA">
              <w:rPr>
                <w:rFonts w:ascii="Arial" w:hAnsi="Arial" w:cs="Arial"/>
                <w:b/>
                <w:bCs/>
                <w:color w:val="000000"/>
                <w:sz w:val="16"/>
                <w:szCs w:val="16"/>
                <w:lang w:eastAsia="en-GB"/>
              </w:rPr>
              <w:t> </w:t>
            </w:r>
          </w:p>
        </w:tc>
        <w:tc>
          <w:tcPr>
            <w:tcW w:w="862" w:type="dxa"/>
            <w:tcBorders>
              <w:top w:val="nil"/>
              <w:left w:val="nil"/>
              <w:bottom w:val="single" w:sz="8" w:space="0" w:color="auto"/>
              <w:right w:val="nil"/>
            </w:tcBorders>
            <w:shd w:val="clear" w:color="000000" w:fill="B8CCE4"/>
            <w:noWrap/>
            <w:vAlign w:val="center"/>
          </w:tcPr>
          <w:p w:rsidR="009D2CAE" w:rsidRPr="007C0CDA" w:rsidRDefault="009D2CAE" w:rsidP="00B813BC">
            <w:pPr>
              <w:jc w:val="center"/>
              <w:rPr>
                <w:rFonts w:ascii="Arial" w:hAnsi="Arial" w:cs="Arial"/>
                <w:b/>
                <w:bCs/>
                <w:color w:val="000000"/>
                <w:sz w:val="16"/>
                <w:szCs w:val="16"/>
                <w:lang w:eastAsia="en-GB"/>
              </w:rPr>
            </w:pPr>
            <w:r w:rsidRPr="007C0CDA">
              <w:rPr>
                <w:rFonts w:ascii="Arial" w:hAnsi="Arial" w:cs="Arial"/>
                <w:b/>
                <w:bCs/>
                <w:color w:val="000000"/>
                <w:sz w:val="16"/>
                <w:szCs w:val="16"/>
                <w:lang w:eastAsia="en-GB"/>
              </w:rPr>
              <w:t> </w:t>
            </w:r>
          </w:p>
        </w:tc>
        <w:tc>
          <w:tcPr>
            <w:tcW w:w="861" w:type="dxa"/>
            <w:tcBorders>
              <w:top w:val="nil"/>
              <w:left w:val="nil"/>
              <w:bottom w:val="single" w:sz="8" w:space="0" w:color="auto"/>
              <w:right w:val="nil"/>
            </w:tcBorders>
            <w:shd w:val="clear" w:color="000000" w:fill="B8CCE4"/>
            <w:noWrap/>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 </w:t>
            </w:r>
          </w:p>
        </w:tc>
        <w:tc>
          <w:tcPr>
            <w:tcW w:w="862" w:type="dxa"/>
            <w:tcBorders>
              <w:top w:val="nil"/>
              <w:left w:val="nil"/>
              <w:bottom w:val="single" w:sz="8" w:space="0" w:color="auto"/>
              <w:right w:val="nil"/>
            </w:tcBorders>
            <w:shd w:val="clear" w:color="000000" w:fill="B8CCE4"/>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 </w:t>
            </w:r>
          </w:p>
        </w:tc>
        <w:tc>
          <w:tcPr>
            <w:tcW w:w="862" w:type="dxa"/>
            <w:tcBorders>
              <w:top w:val="nil"/>
              <w:left w:val="nil"/>
              <w:bottom w:val="single" w:sz="8" w:space="0" w:color="auto"/>
              <w:right w:val="nil"/>
            </w:tcBorders>
            <w:shd w:val="clear" w:color="000000" w:fill="B8CCE4"/>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 </w:t>
            </w:r>
          </w:p>
        </w:tc>
        <w:tc>
          <w:tcPr>
            <w:tcW w:w="862" w:type="dxa"/>
            <w:tcBorders>
              <w:top w:val="nil"/>
              <w:left w:val="nil"/>
              <w:bottom w:val="single" w:sz="8" w:space="0" w:color="auto"/>
              <w:right w:val="nil"/>
            </w:tcBorders>
            <w:shd w:val="clear" w:color="000000" w:fill="B8CCE4"/>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 </w:t>
            </w:r>
          </w:p>
        </w:tc>
      </w:tr>
      <w:tr w:rsidR="009D2CAE" w:rsidRPr="007C0CDA" w:rsidTr="00B813BC">
        <w:trPr>
          <w:trHeight w:val="255"/>
        </w:trPr>
        <w:tc>
          <w:tcPr>
            <w:tcW w:w="2564" w:type="dxa"/>
            <w:tcBorders>
              <w:top w:val="nil"/>
              <w:left w:val="nil"/>
              <w:bottom w:val="nil"/>
              <w:right w:val="nil"/>
            </w:tcBorders>
            <w:noWrap/>
            <w:vAlign w:val="center"/>
          </w:tcPr>
          <w:p w:rsidR="009D2CAE" w:rsidRPr="007C0CDA" w:rsidRDefault="009D2CAE" w:rsidP="008B3649">
            <w:pPr>
              <w:rPr>
                <w:rFonts w:ascii="Arial" w:hAnsi="Arial" w:cs="Arial"/>
                <w:color w:val="000000"/>
                <w:sz w:val="16"/>
                <w:szCs w:val="16"/>
                <w:lang w:eastAsia="en-GB"/>
              </w:rPr>
            </w:pPr>
            <w:r w:rsidRPr="007C0CDA">
              <w:rPr>
                <w:rFonts w:ascii="Arial" w:hAnsi="Arial" w:cs="Arial"/>
                <w:color w:val="000000"/>
                <w:sz w:val="16"/>
                <w:szCs w:val="16"/>
                <w:lang w:eastAsia="en-GB"/>
              </w:rPr>
              <w:lastRenderedPageBreak/>
              <w:t>Nové podnikatelské úvěry, MSP (toky)</w:t>
            </w:r>
          </w:p>
        </w:tc>
        <w:tc>
          <w:tcPr>
            <w:tcW w:w="995" w:type="dxa"/>
            <w:tcBorders>
              <w:top w:val="nil"/>
              <w:left w:val="nil"/>
              <w:bottom w:val="nil"/>
              <w:right w:val="nil"/>
            </w:tcBorders>
            <w:noWrap/>
            <w:vAlign w:val="center"/>
          </w:tcPr>
          <w:p w:rsidR="009D2CAE" w:rsidRPr="007C0CDA" w:rsidRDefault="009D2CAE" w:rsidP="008B3649">
            <w:pPr>
              <w:rPr>
                <w:rFonts w:ascii="Arial" w:hAnsi="Arial" w:cs="Arial"/>
                <w:color w:val="000000"/>
                <w:sz w:val="16"/>
                <w:szCs w:val="16"/>
                <w:lang w:eastAsia="en-GB"/>
              </w:rPr>
            </w:pPr>
            <w:r w:rsidRPr="007C0CDA">
              <w:rPr>
                <w:rFonts w:ascii="Arial" w:hAnsi="Arial" w:cs="Arial"/>
                <w:color w:val="000000"/>
                <w:sz w:val="16"/>
                <w:szCs w:val="16"/>
                <w:lang w:eastAsia="en-GB"/>
              </w:rPr>
              <w:t>CZK mil.</w:t>
            </w:r>
          </w:p>
        </w:tc>
        <w:tc>
          <w:tcPr>
            <w:tcW w:w="861" w:type="dxa"/>
            <w:tcBorders>
              <w:top w:val="nil"/>
              <w:left w:val="nil"/>
              <w:bottom w:val="nil"/>
              <w:right w:val="nil"/>
            </w:tcBorders>
            <w:noWrap/>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208,216</w:t>
            </w:r>
          </w:p>
        </w:tc>
        <w:tc>
          <w:tcPr>
            <w:tcW w:w="862" w:type="dxa"/>
            <w:tcBorders>
              <w:top w:val="nil"/>
              <w:left w:val="nil"/>
              <w:bottom w:val="nil"/>
              <w:right w:val="nil"/>
            </w:tcBorders>
            <w:noWrap/>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207,237</w:t>
            </w:r>
          </w:p>
        </w:tc>
        <w:tc>
          <w:tcPr>
            <w:tcW w:w="862" w:type="dxa"/>
            <w:tcBorders>
              <w:top w:val="nil"/>
              <w:left w:val="nil"/>
              <w:bottom w:val="nil"/>
              <w:right w:val="nil"/>
            </w:tcBorders>
            <w:noWrap/>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147,986</w:t>
            </w:r>
          </w:p>
        </w:tc>
        <w:tc>
          <w:tcPr>
            <w:tcW w:w="861" w:type="dxa"/>
            <w:tcBorders>
              <w:top w:val="nil"/>
              <w:left w:val="nil"/>
              <w:bottom w:val="nil"/>
              <w:right w:val="nil"/>
            </w:tcBorders>
            <w:noWrap/>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123,398</w:t>
            </w:r>
          </w:p>
        </w:tc>
        <w:tc>
          <w:tcPr>
            <w:tcW w:w="862" w:type="dxa"/>
            <w:tcBorders>
              <w:top w:val="nil"/>
              <w:left w:val="nil"/>
              <w:bottom w:val="nil"/>
              <w:right w:val="nil"/>
            </w:tcBorders>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124,117</w:t>
            </w:r>
          </w:p>
        </w:tc>
        <w:tc>
          <w:tcPr>
            <w:tcW w:w="862" w:type="dxa"/>
            <w:tcBorders>
              <w:top w:val="nil"/>
              <w:left w:val="nil"/>
              <w:bottom w:val="nil"/>
              <w:right w:val="nil"/>
            </w:tcBorders>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129,830</w:t>
            </w:r>
          </w:p>
        </w:tc>
        <w:tc>
          <w:tcPr>
            <w:tcW w:w="862" w:type="dxa"/>
            <w:tcBorders>
              <w:top w:val="nil"/>
              <w:left w:val="nil"/>
              <w:bottom w:val="nil"/>
              <w:right w:val="nil"/>
            </w:tcBorders>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86,660</w:t>
            </w:r>
          </w:p>
        </w:tc>
      </w:tr>
      <w:tr w:rsidR="009D2CAE" w:rsidRPr="007C0CDA" w:rsidTr="00B813BC">
        <w:trPr>
          <w:trHeight w:val="255"/>
        </w:trPr>
        <w:tc>
          <w:tcPr>
            <w:tcW w:w="2564" w:type="dxa"/>
            <w:tcBorders>
              <w:top w:val="nil"/>
              <w:left w:val="nil"/>
              <w:bottom w:val="nil"/>
              <w:right w:val="nil"/>
            </w:tcBorders>
            <w:shd w:val="clear" w:color="000000" w:fill="DBE5F1"/>
            <w:noWrap/>
            <w:vAlign w:val="center"/>
          </w:tcPr>
          <w:p w:rsidR="009D2CAE" w:rsidRPr="007C0CDA" w:rsidRDefault="009D2CAE" w:rsidP="008B3649">
            <w:pPr>
              <w:rPr>
                <w:rFonts w:ascii="Arial" w:hAnsi="Arial" w:cs="Arial"/>
                <w:color w:val="000000"/>
                <w:sz w:val="16"/>
                <w:szCs w:val="16"/>
                <w:lang w:eastAsia="en-GB"/>
              </w:rPr>
            </w:pPr>
            <w:r w:rsidRPr="007C0CDA">
              <w:rPr>
                <w:rFonts w:ascii="Arial" w:hAnsi="Arial" w:cs="Arial"/>
                <w:color w:val="000000"/>
                <w:sz w:val="16"/>
                <w:szCs w:val="16"/>
                <w:lang w:eastAsia="en-GB"/>
              </w:rPr>
              <w:t>Nové podnikatelské úvěry celkem (toky)</w:t>
            </w:r>
          </w:p>
        </w:tc>
        <w:tc>
          <w:tcPr>
            <w:tcW w:w="995" w:type="dxa"/>
            <w:tcBorders>
              <w:top w:val="nil"/>
              <w:left w:val="nil"/>
              <w:bottom w:val="nil"/>
              <w:right w:val="nil"/>
            </w:tcBorders>
            <w:shd w:val="clear" w:color="000000" w:fill="DBE5F1"/>
            <w:noWrap/>
            <w:vAlign w:val="center"/>
          </w:tcPr>
          <w:p w:rsidR="009D2CAE" w:rsidRPr="007C0CDA" w:rsidRDefault="009D2CAE" w:rsidP="008B3649">
            <w:pPr>
              <w:rPr>
                <w:rFonts w:ascii="Arial" w:hAnsi="Arial" w:cs="Arial"/>
                <w:color w:val="000000"/>
                <w:sz w:val="16"/>
                <w:szCs w:val="16"/>
                <w:lang w:eastAsia="en-GB"/>
              </w:rPr>
            </w:pPr>
            <w:r w:rsidRPr="007C0CDA">
              <w:rPr>
                <w:rFonts w:ascii="Arial" w:hAnsi="Arial" w:cs="Arial"/>
                <w:color w:val="000000"/>
                <w:sz w:val="16"/>
                <w:szCs w:val="16"/>
                <w:lang w:eastAsia="en-GB"/>
              </w:rPr>
              <w:t>CZK mil.</w:t>
            </w:r>
          </w:p>
        </w:tc>
        <w:tc>
          <w:tcPr>
            <w:tcW w:w="861" w:type="dxa"/>
            <w:tcBorders>
              <w:top w:val="nil"/>
              <w:left w:val="nil"/>
              <w:bottom w:val="nil"/>
              <w:right w:val="nil"/>
            </w:tcBorders>
            <w:shd w:val="clear" w:color="000000" w:fill="DBE5F1"/>
            <w:noWrap/>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852,729</w:t>
            </w:r>
          </w:p>
        </w:tc>
        <w:tc>
          <w:tcPr>
            <w:tcW w:w="862" w:type="dxa"/>
            <w:tcBorders>
              <w:top w:val="nil"/>
              <w:left w:val="nil"/>
              <w:bottom w:val="nil"/>
              <w:right w:val="nil"/>
            </w:tcBorders>
            <w:shd w:val="clear" w:color="000000" w:fill="DBE5F1"/>
            <w:noWrap/>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866,109</w:t>
            </w:r>
          </w:p>
        </w:tc>
        <w:tc>
          <w:tcPr>
            <w:tcW w:w="862" w:type="dxa"/>
            <w:tcBorders>
              <w:top w:val="nil"/>
              <w:left w:val="nil"/>
              <w:bottom w:val="nil"/>
              <w:right w:val="nil"/>
            </w:tcBorders>
            <w:shd w:val="clear" w:color="000000" w:fill="DBE5F1"/>
            <w:noWrap/>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780,874</w:t>
            </w:r>
          </w:p>
        </w:tc>
        <w:tc>
          <w:tcPr>
            <w:tcW w:w="861" w:type="dxa"/>
            <w:tcBorders>
              <w:top w:val="nil"/>
              <w:left w:val="nil"/>
              <w:bottom w:val="nil"/>
              <w:right w:val="nil"/>
            </w:tcBorders>
            <w:shd w:val="clear" w:color="000000" w:fill="DBE5F1"/>
            <w:noWrap/>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667,977</w:t>
            </w:r>
          </w:p>
        </w:tc>
        <w:tc>
          <w:tcPr>
            <w:tcW w:w="862" w:type="dxa"/>
            <w:tcBorders>
              <w:top w:val="nil"/>
              <w:left w:val="nil"/>
              <w:bottom w:val="nil"/>
              <w:right w:val="nil"/>
            </w:tcBorders>
            <w:shd w:val="clear" w:color="000000" w:fill="DBE5F1"/>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599,089</w:t>
            </w:r>
          </w:p>
        </w:tc>
        <w:tc>
          <w:tcPr>
            <w:tcW w:w="862" w:type="dxa"/>
            <w:tcBorders>
              <w:top w:val="nil"/>
              <w:left w:val="nil"/>
              <w:bottom w:val="nil"/>
              <w:right w:val="nil"/>
            </w:tcBorders>
            <w:shd w:val="clear" w:color="000000" w:fill="DBE5F1"/>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694,944</w:t>
            </w:r>
          </w:p>
        </w:tc>
        <w:tc>
          <w:tcPr>
            <w:tcW w:w="862" w:type="dxa"/>
            <w:tcBorders>
              <w:top w:val="nil"/>
              <w:left w:val="nil"/>
              <w:bottom w:val="nil"/>
              <w:right w:val="nil"/>
            </w:tcBorders>
            <w:shd w:val="clear" w:color="000000" w:fill="DBE5F1"/>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500,502</w:t>
            </w:r>
          </w:p>
        </w:tc>
      </w:tr>
      <w:tr w:rsidR="009D2CAE" w:rsidRPr="007C0CDA" w:rsidTr="00B813BC">
        <w:trPr>
          <w:trHeight w:val="255"/>
        </w:trPr>
        <w:tc>
          <w:tcPr>
            <w:tcW w:w="2564" w:type="dxa"/>
            <w:tcBorders>
              <w:top w:val="nil"/>
              <w:left w:val="nil"/>
              <w:bottom w:val="nil"/>
              <w:right w:val="nil"/>
            </w:tcBorders>
            <w:noWrap/>
            <w:vAlign w:val="center"/>
          </w:tcPr>
          <w:p w:rsidR="009D2CAE" w:rsidRPr="007C0CDA" w:rsidRDefault="009D2CAE" w:rsidP="00B813BC">
            <w:pPr>
              <w:rPr>
                <w:rFonts w:ascii="Arial" w:hAnsi="Arial" w:cs="Arial"/>
                <w:color w:val="000000"/>
                <w:sz w:val="16"/>
                <w:szCs w:val="16"/>
                <w:lang w:eastAsia="en-GB"/>
              </w:rPr>
            </w:pPr>
            <w:r w:rsidRPr="007C0CDA">
              <w:rPr>
                <w:rFonts w:ascii="Arial" w:hAnsi="Arial" w:cs="Arial"/>
                <w:color w:val="000000"/>
                <w:sz w:val="16"/>
                <w:szCs w:val="16"/>
                <w:lang w:eastAsia="en-GB"/>
              </w:rPr>
              <w:t>Podíl MSP</w:t>
            </w:r>
          </w:p>
        </w:tc>
        <w:tc>
          <w:tcPr>
            <w:tcW w:w="995" w:type="dxa"/>
            <w:tcBorders>
              <w:top w:val="nil"/>
              <w:left w:val="nil"/>
              <w:bottom w:val="nil"/>
              <w:right w:val="nil"/>
            </w:tcBorders>
            <w:noWrap/>
            <w:vAlign w:val="center"/>
          </w:tcPr>
          <w:p w:rsidR="009D2CAE" w:rsidRPr="007C0CDA" w:rsidRDefault="009D2CAE" w:rsidP="00B813BC">
            <w:pPr>
              <w:rPr>
                <w:rFonts w:ascii="Arial" w:hAnsi="Arial" w:cs="Arial"/>
                <w:color w:val="000000"/>
                <w:sz w:val="16"/>
                <w:szCs w:val="16"/>
                <w:lang w:eastAsia="en-GB"/>
              </w:rPr>
            </w:pPr>
            <w:r w:rsidRPr="007C0CDA">
              <w:rPr>
                <w:rFonts w:ascii="Arial" w:hAnsi="Arial" w:cs="Arial"/>
                <w:color w:val="000000"/>
                <w:sz w:val="16"/>
                <w:szCs w:val="16"/>
                <w:lang w:eastAsia="en-GB"/>
              </w:rPr>
              <w:t>%</w:t>
            </w:r>
          </w:p>
        </w:tc>
        <w:tc>
          <w:tcPr>
            <w:tcW w:w="861" w:type="dxa"/>
            <w:tcBorders>
              <w:top w:val="nil"/>
              <w:left w:val="nil"/>
              <w:bottom w:val="nil"/>
              <w:right w:val="nil"/>
            </w:tcBorders>
            <w:noWrap/>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0.24</w:t>
            </w:r>
          </w:p>
        </w:tc>
        <w:tc>
          <w:tcPr>
            <w:tcW w:w="862" w:type="dxa"/>
            <w:tcBorders>
              <w:top w:val="nil"/>
              <w:left w:val="nil"/>
              <w:bottom w:val="nil"/>
              <w:right w:val="nil"/>
            </w:tcBorders>
            <w:noWrap/>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0.24</w:t>
            </w:r>
          </w:p>
        </w:tc>
        <w:tc>
          <w:tcPr>
            <w:tcW w:w="862" w:type="dxa"/>
            <w:tcBorders>
              <w:top w:val="nil"/>
              <w:left w:val="nil"/>
              <w:bottom w:val="nil"/>
              <w:right w:val="nil"/>
            </w:tcBorders>
            <w:noWrap/>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0.19</w:t>
            </w:r>
          </w:p>
        </w:tc>
        <w:tc>
          <w:tcPr>
            <w:tcW w:w="861" w:type="dxa"/>
            <w:tcBorders>
              <w:top w:val="nil"/>
              <w:left w:val="nil"/>
              <w:bottom w:val="nil"/>
              <w:right w:val="nil"/>
            </w:tcBorders>
            <w:noWrap/>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0.18</w:t>
            </w:r>
          </w:p>
        </w:tc>
        <w:tc>
          <w:tcPr>
            <w:tcW w:w="862" w:type="dxa"/>
            <w:tcBorders>
              <w:top w:val="nil"/>
              <w:left w:val="nil"/>
              <w:bottom w:val="nil"/>
              <w:right w:val="nil"/>
            </w:tcBorders>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0.21</w:t>
            </w:r>
          </w:p>
        </w:tc>
        <w:tc>
          <w:tcPr>
            <w:tcW w:w="862" w:type="dxa"/>
            <w:tcBorders>
              <w:top w:val="nil"/>
              <w:left w:val="nil"/>
              <w:bottom w:val="nil"/>
              <w:right w:val="nil"/>
            </w:tcBorders>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0.19</w:t>
            </w:r>
          </w:p>
        </w:tc>
        <w:tc>
          <w:tcPr>
            <w:tcW w:w="862" w:type="dxa"/>
            <w:tcBorders>
              <w:top w:val="nil"/>
              <w:left w:val="nil"/>
              <w:bottom w:val="nil"/>
              <w:right w:val="nil"/>
            </w:tcBorders>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0.17</w:t>
            </w:r>
          </w:p>
        </w:tc>
      </w:tr>
      <w:tr w:rsidR="009D2CAE" w:rsidRPr="007C0CDA" w:rsidTr="00B813BC">
        <w:trPr>
          <w:trHeight w:val="255"/>
        </w:trPr>
        <w:tc>
          <w:tcPr>
            <w:tcW w:w="2564" w:type="dxa"/>
            <w:tcBorders>
              <w:top w:val="nil"/>
              <w:left w:val="nil"/>
              <w:bottom w:val="nil"/>
              <w:right w:val="nil"/>
            </w:tcBorders>
            <w:shd w:val="clear" w:color="000000" w:fill="DBE5F1"/>
            <w:noWrap/>
            <w:vAlign w:val="center"/>
          </w:tcPr>
          <w:p w:rsidR="009D2CAE" w:rsidRPr="007C0CDA" w:rsidRDefault="009D2CAE" w:rsidP="008B3649">
            <w:pPr>
              <w:rPr>
                <w:rFonts w:ascii="Arial" w:hAnsi="Arial" w:cs="Arial"/>
                <w:color w:val="000000"/>
                <w:sz w:val="16"/>
                <w:szCs w:val="16"/>
                <w:lang w:eastAsia="en-GB"/>
              </w:rPr>
            </w:pPr>
            <w:r w:rsidRPr="007C0CDA">
              <w:rPr>
                <w:rFonts w:ascii="Arial" w:hAnsi="Arial" w:cs="Arial"/>
                <w:color w:val="000000"/>
                <w:sz w:val="16"/>
                <w:szCs w:val="16"/>
                <w:lang w:eastAsia="en-GB"/>
              </w:rPr>
              <w:t>Vládní záruky pro MSP</w:t>
            </w:r>
          </w:p>
        </w:tc>
        <w:tc>
          <w:tcPr>
            <w:tcW w:w="995" w:type="dxa"/>
            <w:tcBorders>
              <w:top w:val="nil"/>
              <w:left w:val="nil"/>
              <w:bottom w:val="nil"/>
              <w:right w:val="nil"/>
            </w:tcBorders>
            <w:shd w:val="clear" w:color="000000" w:fill="DBE5F1"/>
            <w:noWrap/>
            <w:vAlign w:val="center"/>
          </w:tcPr>
          <w:p w:rsidR="009D2CAE" w:rsidRPr="007C0CDA" w:rsidRDefault="009D2CAE" w:rsidP="008B3649">
            <w:pPr>
              <w:rPr>
                <w:rFonts w:ascii="Arial" w:hAnsi="Arial" w:cs="Arial"/>
                <w:color w:val="000000"/>
                <w:sz w:val="16"/>
                <w:szCs w:val="16"/>
                <w:lang w:eastAsia="en-GB"/>
              </w:rPr>
            </w:pPr>
            <w:r w:rsidRPr="007C0CDA">
              <w:rPr>
                <w:rFonts w:ascii="Arial" w:hAnsi="Arial" w:cs="Arial"/>
                <w:color w:val="000000"/>
                <w:sz w:val="16"/>
                <w:szCs w:val="16"/>
                <w:lang w:eastAsia="en-GB"/>
              </w:rPr>
              <w:t>CZK mil.</w:t>
            </w:r>
          </w:p>
        </w:tc>
        <w:tc>
          <w:tcPr>
            <w:tcW w:w="861" w:type="dxa"/>
            <w:tcBorders>
              <w:top w:val="nil"/>
              <w:left w:val="nil"/>
              <w:bottom w:val="nil"/>
              <w:right w:val="nil"/>
            </w:tcBorders>
            <w:shd w:val="clear" w:color="000000" w:fill="DBE5F1"/>
            <w:noWrap/>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1,925</w:t>
            </w:r>
          </w:p>
        </w:tc>
        <w:tc>
          <w:tcPr>
            <w:tcW w:w="862" w:type="dxa"/>
            <w:tcBorders>
              <w:top w:val="nil"/>
              <w:left w:val="nil"/>
              <w:bottom w:val="nil"/>
              <w:right w:val="nil"/>
            </w:tcBorders>
            <w:shd w:val="clear" w:color="000000" w:fill="DBE5F1"/>
            <w:noWrap/>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3,529</w:t>
            </w:r>
          </w:p>
        </w:tc>
        <w:tc>
          <w:tcPr>
            <w:tcW w:w="862" w:type="dxa"/>
            <w:tcBorders>
              <w:top w:val="nil"/>
              <w:left w:val="nil"/>
              <w:bottom w:val="nil"/>
              <w:right w:val="nil"/>
            </w:tcBorders>
            <w:shd w:val="clear" w:color="000000" w:fill="DBE5F1"/>
            <w:noWrap/>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6,369</w:t>
            </w:r>
          </w:p>
        </w:tc>
        <w:tc>
          <w:tcPr>
            <w:tcW w:w="861" w:type="dxa"/>
            <w:tcBorders>
              <w:top w:val="nil"/>
              <w:left w:val="nil"/>
              <w:bottom w:val="nil"/>
              <w:right w:val="nil"/>
            </w:tcBorders>
            <w:shd w:val="clear" w:color="000000" w:fill="DBE5F1"/>
            <w:noWrap/>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6,593</w:t>
            </w:r>
          </w:p>
        </w:tc>
        <w:tc>
          <w:tcPr>
            <w:tcW w:w="862" w:type="dxa"/>
            <w:tcBorders>
              <w:top w:val="nil"/>
              <w:left w:val="nil"/>
              <w:bottom w:val="nil"/>
              <w:right w:val="nil"/>
            </w:tcBorders>
            <w:shd w:val="clear" w:color="000000" w:fill="DBE5F1"/>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472</w:t>
            </w:r>
          </w:p>
        </w:tc>
        <w:tc>
          <w:tcPr>
            <w:tcW w:w="862" w:type="dxa"/>
            <w:tcBorders>
              <w:top w:val="nil"/>
              <w:left w:val="nil"/>
              <w:bottom w:val="nil"/>
              <w:right w:val="nil"/>
            </w:tcBorders>
            <w:shd w:val="clear" w:color="000000" w:fill="DBE5F1"/>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1,534</w:t>
            </w:r>
          </w:p>
        </w:tc>
        <w:tc>
          <w:tcPr>
            <w:tcW w:w="862" w:type="dxa"/>
            <w:tcBorders>
              <w:top w:val="nil"/>
              <w:left w:val="nil"/>
              <w:bottom w:val="nil"/>
              <w:right w:val="nil"/>
            </w:tcBorders>
            <w:shd w:val="clear" w:color="000000" w:fill="DBE5F1"/>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3,251</w:t>
            </w:r>
          </w:p>
        </w:tc>
      </w:tr>
      <w:tr w:rsidR="009D2CAE" w:rsidRPr="007C0CDA" w:rsidTr="00B813BC">
        <w:trPr>
          <w:trHeight w:val="255"/>
        </w:trPr>
        <w:tc>
          <w:tcPr>
            <w:tcW w:w="2564" w:type="dxa"/>
            <w:tcBorders>
              <w:top w:val="nil"/>
              <w:left w:val="nil"/>
              <w:bottom w:val="nil"/>
              <w:right w:val="nil"/>
            </w:tcBorders>
            <w:noWrap/>
            <w:vAlign w:val="center"/>
          </w:tcPr>
          <w:p w:rsidR="009D2CAE" w:rsidRPr="007C0CDA" w:rsidRDefault="009D2CAE" w:rsidP="008B3649">
            <w:pPr>
              <w:rPr>
                <w:rFonts w:ascii="Arial" w:hAnsi="Arial" w:cs="Arial"/>
                <w:color w:val="000000"/>
                <w:sz w:val="16"/>
                <w:szCs w:val="16"/>
                <w:lang w:eastAsia="en-GB"/>
              </w:rPr>
            </w:pPr>
            <w:r w:rsidRPr="007C0CDA">
              <w:rPr>
                <w:rFonts w:ascii="Arial" w:hAnsi="Arial" w:cs="Arial"/>
                <w:color w:val="000000"/>
                <w:sz w:val="16"/>
                <w:szCs w:val="16"/>
                <w:lang w:eastAsia="en-GB"/>
              </w:rPr>
              <w:t>Úvěry s vládní zárukou</w:t>
            </w:r>
          </w:p>
        </w:tc>
        <w:tc>
          <w:tcPr>
            <w:tcW w:w="995" w:type="dxa"/>
            <w:tcBorders>
              <w:top w:val="nil"/>
              <w:left w:val="nil"/>
              <w:bottom w:val="nil"/>
              <w:right w:val="nil"/>
            </w:tcBorders>
            <w:noWrap/>
            <w:vAlign w:val="center"/>
          </w:tcPr>
          <w:p w:rsidR="009D2CAE" w:rsidRPr="007C0CDA" w:rsidRDefault="009D2CAE" w:rsidP="008B3649">
            <w:pPr>
              <w:rPr>
                <w:rFonts w:ascii="Arial" w:hAnsi="Arial" w:cs="Arial"/>
                <w:color w:val="000000"/>
                <w:sz w:val="16"/>
                <w:szCs w:val="16"/>
                <w:lang w:eastAsia="en-GB"/>
              </w:rPr>
            </w:pPr>
            <w:r w:rsidRPr="007C0CDA">
              <w:rPr>
                <w:rFonts w:ascii="Arial" w:hAnsi="Arial" w:cs="Arial"/>
                <w:color w:val="000000"/>
                <w:sz w:val="16"/>
                <w:szCs w:val="16"/>
                <w:lang w:eastAsia="en-GB"/>
              </w:rPr>
              <w:t>CZK mil.</w:t>
            </w:r>
          </w:p>
        </w:tc>
        <w:tc>
          <w:tcPr>
            <w:tcW w:w="861" w:type="dxa"/>
            <w:tcBorders>
              <w:top w:val="nil"/>
              <w:left w:val="nil"/>
              <w:bottom w:val="nil"/>
              <w:right w:val="nil"/>
            </w:tcBorders>
            <w:noWrap/>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2,959</w:t>
            </w:r>
          </w:p>
        </w:tc>
        <w:tc>
          <w:tcPr>
            <w:tcW w:w="862" w:type="dxa"/>
            <w:tcBorders>
              <w:top w:val="nil"/>
              <w:left w:val="nil"/>
              <w:bottom w:val="nil"/>
              <w:right w:val="nil"/>
            </w:tcBorders>
            <w:noWrap/>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5,094</w:t>
            </w:r>
          </w:p>
        </w:tc>
        <w:tc>
          <w:tcPr>
            <w:tcW w:w="862" w:type="dxa"/>
            <w:tcBorders>
              <w:top w:val="nil"/>
              <w:left w:val="nil"/>
              <w:bottom w:val="nil"/>
              <w:right w:val="nil"/>
            </w:tcBorders>
            <w:noWrap/>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9,550</w:t>
            </w:r>
          </w:p>
        </w:tc>
        <w:tc>
          <w:tcPr>
            <w:tcW w:w="861" w:type="dxa"/>
            <w:tcBorders>
              <w:top w:val="nil"/>
              <w:left w:val="nil"/>
              <w:bottom w:val="nil"/>
              <w:right w:val="nil"/>
            </w:tcBorders>
            <w:noWrap/>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10,070</w:t>
            </w:r>
          </w:p>
        </w:tc>
        <w:tc>
          <w:tcPr>
            <w:tcW w:w="862" w:type="dxa"/>
            <w:tcBorders>
              <w:top w:val="nil"/>
              <w:left w:val="nil"/>
              <w:bottom w:val="nil"/>
              <w:right w:val="nil"/>
            </w:tcBorders>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630</w:t>
            </w:r>
          </w:p>
        </w:tc>
        <w:tc>
          <w:tcPr>
            <w:tcW w:w="862" w:type="dxa"/>
            <w:tcBorders>
              <w:top w:val="nil"/>
              <w:left w:val="nil"/>
              <w:bottom w:val="nil"/>
              <w:right w:val="nil"/>
            </w:tcBorders>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2,215</w:t>
            </w:r>
          </w:p>
        </w:tc>
        <w:tc>
          <w:tcPr>
            <w:tcW w:w="862" w:type="dxa"/>
            <w:tcBorders>
              <w:top w:val="nil"/>
              <w:left w:val="nil"/>
              <w:bottom w:val="nil"/>
              <w:right w:val="nil"/>
            </w:tcBorders>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4,616</w:t>
            </w:r>
          </w:p>
        </w:tc>
      </w:tr>
      <w:tr w:rsidR="009D2CAE" w:rsidRPr="007C0CDA" w:rsidTr="00B813BC">
        <w:trPr>
          <w:trHeight w:val="255"/>
        </w:trPr>
        <w:tc>
          <w:tcPr>
            <w:tcW w:w="2564" w:type="dxa"/>
            <w:tcBorders>
              <w:top w:val="nil"/>
              <w:left w:val="nil"/>
              <w:bottom w:val="nil"/>
              <w:right w:val="nil"/>
            </w:tcBorders>
            <w:shd w:val="clear" w:color="000000" w:fill="DBE5F1"/>
            <w:noWrap/>
            <w:vAlign w:val="center"/>
          </w:tcPr>
          <w:p w:rsidR="009D2CAE" w:rsidRPr="007C0CDA" w:rsidRDefault="009D2CAE" w:rsidP="008B3649">
            <w:pPr>
              <w:rPr>
                <w:rFonts w:ascii="Arial" w:hAnsi="Arial" w:cs="Arial"/>
                <w:color w:val="000000"/>
                <w:sz w:val="16"/>
                <w:szCs w:val="16"/>
                <w:lang w:eastAsia="en-GB"/>
              </w:rPr>
            </w:pPr>
            <w:r w:rsidRPr="007C0CDA">
              <w:rPr>
                <w:rFonts w:ascii="Arial" w:hAnsi="Arial" w:cs="Arial"/>
                <w:color w:val="000000"/>
                <w:sz w:val="16"/>
                <w:szCs w:val="16"/>
                <w:lang w:eastAsia="en-GB"/>
              </w:rPr>
              <w:t>Úroková sazba, MSP</w:t>
            </w:r>
          </w:p>
        </w:tc>
        <w:tc>
          <w:tcPr>
            <w:tcW w:w="995" w:type="dxa"/>
            <w:tcBorders>
              <w:top w:val="nil"/>
              <w:left w:val="nil"/>
              <w:bottom w:val="nil"/>
              <w:right w:val="nil"/>
            </w:tcBorders>
            <w:shd w:val="clear" w:color="000000" w:fill="DBE5F1"/>
            <w:noWrap/>
            <w:vAlign w:val="center"/>
          </w:tcPr>
          <w:p w:rsidR="009D2CAE" w:rsidRPr="007C0CDA" w:rsidRDefault="009D2CAE" w:rsidP="00B813BC">
            <w:pPr>
              <w:rPr>
                <w:rFonts w:ascii="Arial" w:hAnsi="Arial" w:cs="Arial"/>
                <w:color w:val="000000"/>
                <w:sz w:val="16"/>
                <w:szCs w:val="16"/>
                <w:lang w:eastAsia="en-GB"/>
              </w:rPr>
            </w:pPr>
            <w:r w:rsidRPr="007C0CDA">
              <w:rPr>
                <w:rFonts w:ascii="Arial" w:hAnsi="Arial" w:cs="Arial"/>
                <w:color w:val="000000"/>
                <w:sz w:val="16"/>
                <w:szCs w:val="16"/>
                <w:lang w:eastAsia="en-GB"/>
              </w:rPr>
              <w:t>%</w:t>
            </w:r>
          </w:p>
        </w:tc>
        <w:tc>
          <w:tcPr>
            <w:tcW w:w="861" w:type="dxa"/>
            <w:tcBorders>
              <w:top w:val="nil"/>
              <w:left w:val="nil"/>
              <w:bottom w:val="nil"/>
              <w:right w:val="nil"/>
            </w:tcBorders>
            <w:shd w:val="clear" w:color="000000" w:fill="DBE5F1"/>
            <w:noWrap/>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5.03%</w:t>
            </w:r>
          </w:p>
        </w:tc>
        <w:tc>
          <w:tcPr>
            <w:tcW w:w="862" w:type="dxa"/>
            <w:tcBorders>
              <w:top w:val="nil"/>
              <w:left w:val="nil"/>
              <w:bottom w:val="nil"/>
              <w:right w:val="nil"/>
            </w:tcBorders>
            <w:shd w:val="clear" w:color="000000" w:fill="DBE5F1"/>
            <w:noWrap/>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5.57%</w:t>
            </w:r>
          </w:p>
        </w:tc>
        <w:tc>
          <w:tcPr>
            <w:tcW w:w="862" w:type="dxa"/>
            <w:tcBorders>
              <w:top w:val="nil"/>
              <w:left w:val="nil"/>
              <w:bottom w:val="nil"/>
              <w:right w:val="nil"/>
            </w:tcBorders>
            <w:shd w:val="clear" w:color="000000" w:fill="DBE5F1"/>
            <w:noWrap/>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4.64%</w:t>
            </w:r>
          </w:p>
        </w:tc>
        <w:tc>
          <w:tcPr>
            <w:tcW w:w="861" w:type="dxa"/>
            <w:tcBorders>
              <w:top w:val="nil"/>
              <w:left w:val="nil"/>
              <w:bottom w:val="nil"/>
              <w:right w:val="nil"/>
            </w:tcBorders>
            <w:shd w:val="clear" w:color="000000" w:fill="DBE5F1"/>
            <w:noWrap/>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4.01%</w:t>
            </w:r>
          </w:p>
        </w:tc>
        <w:tc>
          <w:tcPr>
            <w:tcW w:w="862" w:type="dxa"/>
            <w:tcBorders>
              <w:top w:val="nil"/>
              <w:left w:val="nil"/>
              <w:bottom w:val="nil"/>
              <w:right w:val="nil"/>
            </w:tcBorders>
            <w:shd w:val="clear" w:color="000000" w:fill="DBE5F1"/>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3.73%</w:t>
            </w:r>
          </w:p>
        </w:tc>
        <w:tc>
          <w:tcPr>
            <w:tcW w:w="862" w:type="dxa"/>
            <w:tcBorders>
              <w:top w:val="nil"/>
              <w:left w:val="nil"/>
              <w:bottom w:val="nil"/>
              <w:right w:val="nil"/>
            </w:tcBorders>
            <w:shd w:val="clear" w:color="000000" w:fill="DBE5F1"/>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3.48%</w:t>
            </w:r>
          </w:p>
        </w:tc>
        <w:tc>
          <w:tcPr>
            <w:tcW w:w="862" w:type="dxa"/>
            <w:tcBorders>
              <w:top w:val="nil"/>
              <w:left w:val="nil"/>
              <w:bottom w:val="nil"/>
              <w:right w:val="nil"/>
            </w:tcBorders>
            <w:shd w:val="clear" w:color="000000" w:fill="DBE5F1"/>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3.13%</w:t>
            </w:r>
          </w:p>
        </w:tc>
      </w:tr>
      <w:tr w:rsidR="009D2CAE" w:rsidRPr="007C0CDA" w:rsidTr="00B813BC">
        <w:trPr>
          <w:trHeight w:val="255"/>
        </w:trPr>
        <w:tc>
          <w:tcPr>
            <w:tcW w:w="2564" w:type="dxa"/>
            <w:tcBorders>
              <w:top w:val="nil"/>
              <w:left w:val="nil"/>
              <w:bottom w:val="nil"/>
              <w:right w:val="nil"/>
            </w:tcBorders>
            <w:noWrap/>
            <w:vAlign w:val="center"/>
          </w:tcPr>
          <w:p w:rsidR="009D2CAE" w:rsidRPr="007C0CDA" w:rsidRDefault="009D2CAE" w:rsidP="008B3649">
            <w:pPr>
              <w:rPr>
                <w:rFonts w:ascii="Arial" w:hAnsi="Arial" w:cs="Arial"/>
                <w:color w:val="000000"/>
                <w:sz w:val="16"/>
                <w:szCs w:val="16"/>
                <w:lang w:eastAsia="en-GB"/>
              </w:rPr>
            </w:pPr>
            <w:r w:rsidRPr="007C0CDA">
              <w:rPr>
                <w:rFonts w:ascii="Arial" w:hAnsi="Arial" w:cs="Arial"/>
                <w:color w:val="000000"/>
                <w:sz w:val="16"/>
                <w:szCs w:val="16"/>
                <w:lang w:eastAsia="en-GB"/>
              </w:rPr>
              <w:t>Úroková sazba, VP</w:t>
            </w:r>
          </w:p>
        </w:tc>
        <w:tc>
          <w:tcPr>
            <w:tcW w:w="995" w:type="dxa"/>
            <w:tcBorders>
              <w:top w:val="nil"/>
              <w:left w:val="nil"/>
              <w:bottom w:val="nil"/>
              <w:right w:val="nil"/>
            </w:tcBorders>
            <w:noWrap/>
            <w:vAlign w:val="center"/>
          </w:tcPr>
          <w:p w:rsidR="009D2CAE" w:rsidRPr="007C0CDA" w:rsidRDefault="009D2CAE" w:rsidP="00B813BC">
            <w:pPr>
              <w:rPr>
                <w:rFonts w:ascii="Arial" w:hAnsi="Arial" w:cs="Arial"/>
                <w:color w:val="000000"/>
                <w:sz w:val="16"/>
                <w:szCs w:val="16"/>
                <w:lang w:eastAsia="en-GB"/>
              </w:rPr>
            </w:pPr>
            <w:r w:rsidRPr="007C0CDA">
              <w:rPr>
                <w:rFonts w:ascii="Arial" w:hAnsi="Arial" w:cs="Arial"/>
                <w:color w:val="000000"/>
                <w:sz w:val="16"/>
                <w:szCs w:val="16"/>
                <w:lang w:eastAsia="en-GB"/>
              </w:rPr>
              <w:t>%</w:t>
            </w:r>
          </w:p>
        </w:tc>
        <w:tc>
          <w:tcPr>
            <w:tcW w:w="861" w:type="dxa"/>
            <w:tcBorders>
              <w:top w:val="nil"/>
              <w:left w:val="nil"/>
              <w:bottom w:val="nil"/>
              <w:right w:val="nil"/>
            </w:tcBorders>
            <w:noWrap/>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4.05%</w:t>
            </w:r>
          </w:p>
        </w:tc>
        <w:tc>
          <w:tcPr>
            <w:tcW w:w="862" w:type="dxa"/>
            <w:tcBorders>
              <w:top w:val="nil"/>
              <w:left w:val="nil"/>
              <w:bottom w:val="nil"/>
              <w:right w:val="nil"/>
            </w:tcBorders>
            <w:noWrap/>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4.84%</w:t>
            </w:r>
          </w:p>
        </w:tc>
        <w:tc>
          <w:tcPr>
            <w:tcW w:w="862" w:type="dxa"/>
            <w:tcBorders>
              <w:top w:val="nil"/>
              <w:left w:val="nil"/>
              <w:bottom w:val="nil"/>
              <w:right w:val="nil"/>
            </w:tcBorders>
            <w:noWrap/>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3.46%</w:t>
            </w:r>
          </w:p>
        </w:tc>
        <w:tc>
          <w:tcPr>
            <w:tcW w:w="861" w:type="dxa"/>
            <w:tcBorders>
              <w:top w:val="nil"/>
              <w:left w:val="nil"/>
              <w:bottom w:val="nil"/>
              <w:right w:val="nil"/>
            </w:tcBorders>
            <w:noWrap/>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3.34%</w:t>
            </w:r>
          </w:p>
        </w:tc>
        <w:tc>
          <w:tcPr>
            <w:tcW w:w="862" w:type="dxa"/>
            <w:tcBorders>
              <w:top w:val="nil"/>
              <w:left w:val="nil"/>
              <w:bottom w:val="nil"/>
              <w:right w:val="nil"/>
            </w:tcBorders>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2.63%</w:t>
            </w:r>
          </w:p>
        </w:tc>
        <w:tc>
          <w:tcPr>
            <w:tcW w:w="862" w:type="dxa"/>
            <w:tcBorders>
              <w:top w:val="nil"/>
              <w:left w:val="nil"/>
              <w:bottom w:val="nil"/>
              <w:right w:val="nil"/>
            </w:tcBorders>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2.43%</w:t>
            </w:r>
          </w:p>
        </w:tc>
        <w:tc>
          <w:tcPr>
            <w:tcW w:w="862" w:type="dxa"/>
            <w:tcBorders>
              <w:top w:val="nil"/>
              <w:left w:val="nil"/>
              <w:bottom w:val="nil"/>
              <w:right w:val="nil"/>
            </w:tcBorders>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1.89%</w:t>
            </w:r>
          </w:p>
        </w:tc>
      </w:tr>
      <w:tr w:rsidR="009D2CAE" w:rsidRPr="007C0CDA" w:rsidTr="00B813BC">
        <w:trPr>
          <w:trHeight w:val="255"/>
        </w:trPr>
        <w:tc>
          <w:tcPr>
            <w:tcW w:w="2564" w:type="dxa"/>
            <w:tcBorders>
              <w:top w:val="nil"/>
              <w:left w:val="nil"/>
              <w:bottom w:val="nil"/>
              <w:right w:val="nil"/>
            </w:tcBorders>
            <w:shd w:val="clear" w:color="000000" w:fill="DBE5F1"/>
            <w:noWrap/>
            <w:vAlign w:val="center"/>
          </w:tcPr>
          <w:p w:rsidR="009D2CAE" w:rsidRPr="007C0CDA" w:rsidRDefault="009D2CAE" w:rsidP="008B3649">
            <w:pPr>
              <w:rPr>
                <w:rFonts w:ascii="Arial" w:hAnsi="Arial" w:cs="Arial"/>
                <w:color w:val="000000"/>
                <w:sz w:val="16"/>
                <w:szCs w:val="16"/>
                <w:lang w:eastAsia="en-GB"/>
              </w:rPr>
            </w:pPr>
            <w:r w:rsidRPr="007C0CDA">
              <w:rPr>
                <w:rFonts w:ascii="Arial" w:hAnsi="Arial" w:cs="Arial"/>
                <w:color w:val="000000"/>
                <w:sz w:val="16"/>
                <w:szCs w:val="16"/>
                <w:lang w:eastAsia="en-GB"/>
              </w:rPr>
              <w:t>Úrokový diferenciál MSP – VP</w:t>
            </w:r>
          </w:p>
        </w:tc>
        <w:tc>
          <w:tcPr>
            <w:tcW w:w="995" w:type="dxa"/>
            <w:tcBorders>
              <w:top w:val="nil"/>
              <w:left w:val="nil"/>
              <w:bottom w:val="nil"/>
              <w:right w:val="nil"/>
            </w:tcBorders>
            <w:shd w:val="clear" w:color="000000" w:fill="DBE5F1"/>
            <w:noWrap/>
            <w:vAlign w:val="center"/>
          </w:tcPr>
          <w:p w:rsidR="009D2CAE" w:rsidRPr="007C0CDA" w:rsidRDefault="009D2CAE" w:rsidP="00B813BC">
            <w:pPr>
              <w:rPr>
                <w:rFonts w:ascii="Arial" w:hAnsi="Arial" w:cs="Arial"/>
                <w:color w:val="000000"/>
                <w:sz w:val="16"/>
                <w:szCs w:val="16"/>
                <w:lang w:eastAsia="en-GB"/>
              </w:rPr>
            </w:pPr>
            <w:r w:rsidRPr="007C0CDA">
              <w:rPr>
                <w:rFonts w:ascii="Arial" w:hAnsi="Arial" w:cs="Arial"/>
                <w:color w:val="000000"/>
                <w:sz w:val="16"/>
                <w:szCs w:val="16"/>
                <w:lang w:eastAsia="en-GB"/>
              </w:rPr>
              <w:t>procentní body</w:t>
            </w:r>
          </w:p>
        </w:tc>
        <w:tc>
          <w:tcPr>
            <w:tcW w:w="861" w:type="dxa"/>
            <w:tcBorders>
              <w:top w:val="nil"/>
              <w:left w:val="nil"/>
              <w:bottom w:val="nil"/>
              <w:right w:val="nil"/>
            </w:tcBorders>
            <w:shd w:val="clear" w:color="000000" w:fill="DBE5F1"/>
            <w:noWrap/>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0.97</w:t>
            </w:r>
          </w:p>
        </w:tc>
        <w:tc>
          <w:tcPr>
            <w:tcW w:w="862" w:type="dxa"/>
            <w:tcBorders>
              <w:top w:val="nil"/>
              <w:left w:val="nil"/>
              <w:bottom w:val="nil"/>
              <w:right w:val="nil"/>
            </w:tcBorders>
            <w:shd w:val="clear" w:color="000000" w:fill="DBE5F1"/>
            <w:noWrap/>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0.73</w:t>
            </w:r>
          </w:p>
        </w:tc>
        <w:tc>
          <w:tcPr>
            <w:tcW w:w="862" w:type="dxa"/>
            <w:tcBorders>
              <w:top w:val="nil"/>
              <w:left w:val="nil"/>
              <w:bottom w:val="nil"/>
              <w:right w:val="nil"/>
            </w:tcBorders>
            <w:shd w:val="clear" w:color="000000" w:fill="DBE5F1"/>
            <w:noWrap/>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1.18</w:t>
            </w:r>
          </w:p>
        </w:tc>
        <w:tc>
          <w:tcPr>
            <w:tcW w:w="861" w:type="dxa"/>
            <w:tcBorders>
              <w:top w:val="nil"/>
              <w:left w:val="nil"/>
              <w:bottom w:val="nil"/>
              <w:right w:val="nil"/>
            </w:tcBorders>
            <w:shd w:val="clear" w:color="000000" w:fill="DBE5F1"/>
            <w:noWrap/>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0.68</w:t>
            </w:r>
          </w:p>
        </w:tc>
        <w:tc>
          <w:tcPr>
            <w:tcW w:w="862" w:type="dxa"/>
            <w:tcBorders>
              <w:top w:val="nil"/>
              <w:left w:val="nil"/>
              <w:bottom w:val="nil"/>
              <w:right w:val="nil"/>
            </w:tcBorders>
            <w:shd w:val="clear" w:color="000000" w:fill="DBE5F1"/>
            <w:noWrap/>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1.11</w:t>
            </w:r>
          </w:p>
        </w:tc>
        <w:tc>
          <w:tcPr>
            <w:tcW w:w="862" w:type="dxa"/>
            <w:tcBorders>
              <w:top w:val="nil"/>
              <w:left w:val="nil"/>
              <w:bottom w:val="nil"/>
              <w:right w:val="nil"/>
            </w:tcBorders>
            <w:shd w:val="clear" w:color="000000" w:fill="DBE5F1"/>
            <w:noWrap/>
            <w:vAlign w:val="center"/>
          </w:tcPr>
          <w:p w:rsidR="009D2CAE" w:rsidRPr="007C0CDA" w:rsidRDefault="009D2CAE" w:rsidP="00B813BC">
            <w:pPr>
              <w:jc w:val="center"/>
              <w:rPr>
                <w:rFonts w:ascii="Arial" w:hAnsi="Arial" w:cs="Arial"/>
                <w:color w:val="000000"/>
                <w:sz w:val="16"/>
                <w:szCs w:val="16"/>
                <w:lang w:eastAsia="en-GB"/>
              </w:rPr>
            </w:pPr>
            <w:r w:rsidRPr="007C0CDA">
              <w:rPr>
                <w:rFonts w:ascii="Arial" w:hAnsi="Arial" w:cs="Arial"/>
                <w:color w:val="000000"/>
                <w:sz w:val="16"/>
                <w:szCs w:val="16"/>
                <w:lang w:eastAsia="en-GB"/>
              </w:rPr>
              <w:t>0.98</w:t>
            </w:r>
          </w:p>
        </w:tc>
        <w:tc>
          <w:tcPr>
            <w:tcW w:w="862" w:type="dxa"/>
            <w:tcBorders>
              <w:top w:val="nil"/>
              <w:left w:val="nil"/>
              <w:bottom w:val="nil"/>
              <w:right w:val="nil"/>
            </w:tcBorders>
            <w:shd w:val="clear" w:color="000000" w:fill="DBE5F1"/>
            <w:noWrap/>
            <w:vAlign w:val="center"/>
          </w:tcPr>
          <w:p w:rsidR="009D2CAE" w:rsidRPr="007C0CDA" w:rsidRDefault="009D2CAE">
            <w:pPr>
              <w:keepNext/>
              <w:jc w:val="center"/>
              <w:rPr>
                <w:rFonts w:ascii="Arial" w:hAnsi="Arial" w:cs="Arial"/>
                <w:color w:val="000000"/>
                <w:sz w:val="16"/>
                <w:szCs w:val="16"/>
                <w:lang w:eastAsia="en-GB"/>
              </w:rPr>
            </w:pPr>
            <w:r w:rsidRPr="007C0CDA">
              <w:rPr>
                <w:rFonts w:ascii="Arial" w:hAnsi="Arial" w:cs="Arial"/>
                <w:color w:val="000000"/>
                <w:sz w:val="16"/>
                <w:szCs w:val="16"/>
                <w:lang w:eastAsia="en-GB"/>
              </w:rPr>
              <w:t>1.24</w:t>
            </w:r>
          </w:p>
        </w:tc>
      </w:tr>
    </w:tbl>
    <w:p w:rsidR="009D2CAE" w:rsidRPr="007C0CDA" w:rsidRDefault="009D2CAE" w:rsidP="002433DA">
      <w:pPr>
        <w:pStyle w:val="Titulek"/>
      </w:pPr>
      <w:r w:rsidRPr="007C0CDA">
        <w:t xml:space="preserve">Tabulka </w:t>
      </w:r>
      <w:r w:rsidRPr="00854519">
        <w:fldChar w:fldCharType="begin"/>
      </w:r>
      <w:r w:rsidRPr="007C0CDA">
        <w:instrText xml:space="preserve"> SEQ Tabulka \* ARABIC </w:instrText>
      </w:r>
      <w:r w:rsidRPr="002433DA">
        <w:fldChar w:fldCharType="separate"/>
      </w:r>
      <w:r w:rsidRPr="007C0CDA">
        <w:rPr>
          <w:noProof/>
        </w:rPr>
        <w:t>3</w:t>
      </w:r>
      <w:r w:rsidRPr="00854519">
        <w:fldChar w:fldCharType="end"/>
      </w:r>
      <w:r w:rsidRPr="007C0CDA">
        <w:t>: Shrnutí úvěrových aktivit na českém trhu 2007-2013</w:t>
      </w:r>
    </w:p>
    <w:p w:rsidR="009D2CAE" w:rsidRPr="007C0CDA" w:rsidRDefault="009D2CAE" w:rsidP="002433DA">
      <w:pPr>
        <w:pStyle w:val="Titulek"/>
      </w:pPr>
      <w:r w:rsidRPr="007C0CDA">
        <w:t>Zdroj: OECD, ČMZRB</w:t>
      </w:r>
    </w:p>
    <w:p w:rsidR="009D2CAE" w:rsidRPr="007C0CDA" w:rsidRDefault="009D2CAE" w:rsidP="00113153"/>
    <w:p w:rsidR="009D2CAE" w:rsidRPr="007C0CDA" w:rsidRDefault="009D2CAE" w:rsidP="008B3649">
      <w:r w:rsidRPr="007C0CDA">
        <w:t>Finanční trh  v ČR  je aktuálně charakteristický vysokým objem depozit v bankách a nízkou úrovní úrokových sazeb z poskytovaných úvěrů, jejichž strmý pokles v segmentu velkých podniků (VP) i MSP dokládá tabulka výše. Zároveň je patrný rostoucí diferenciál v sazbách úvěrů pro VP a MSP.</w:t>
      </w:r>
    </w:p>
    <w:p w:rsidR="009D2CAE" w:rsidRPr="007C0CDA" w:rsidRDefault="009D2CAE" w:rsidP="008B3649"/>
    <w:p w:rsidR="009D2CAE" w:rsidRPr="00EB326E" w:rsidRDefault="009D2CAE" w:rsidP="002433DA">
      <w:pPr>
        <w:pStyle w:val="Nadpis3"/>
      </w:pPr>
      <w:bookmarkStart w:id="371" w:name="_Toc416383728"/>
      <w:bookmarkStart w:id="372" w:name="_Toc416447718"/>
      <w:bookmarkStart w:id="373" w:name="_Toc416447719"/>
      <w:bookmarkEnd w:id="371"/>
      <w:bookmarkEnd w:id="372"/>
      <w:r w:rsidRPr="00854519">
        <w:t>Tržní analýza - f</w:t>
      </w:r>
      <w:r w:rsidRPr="002D1138">
        <w:t xml:space="preserve">inancování začínajících podniků </w:t>
      </w:r>
      <w:r w:rsidRPr="00172EF4">
        <w:t>–</w:t>
      </w:r>
      <w:r w:rsidRPr="0038688B">
        <w:t xml:space="preserve"> rizikový kapitál</w:t>
      </w:r>
      <w:bookmarkEnd w:id="373"/>
    </w:p>
    <w:p w:rsidR="009D2CAE" w:rsidRPr="007C0CDA" w:rsidRDefault="009D2CAE" w:rsidP="00BC082C">
      <w:pPr>
        <w:pStyle w:val="Neslovannadpisy"/>
      </w:pPr>
      <w:r w:rsidRPr="007C0CDA">
        <w:t>Nová podnikatelská aktivita</w:t>
      </w:r>
    </w:p>
    <w:p w:rsidR="009D2CAE" w:rsidRPr="007C0CDA" w:rsidRDefault="009D2CAE" w:rsidP="00E54F18">
      <w:r w:rsidRPr="007C0CDA">
        <w:t xml:space="preserve">Do nové podnikatelské aktivity (kroky k založení, či existující mladší 42 měsíců) je dle šetření </w:t>
      </w:r>
      <w:r w:rsidR="009606D5" w:rsidRPr="007C0CDA">
        <w:t>Global Enterpreneurship Monitor</w:t>
      </w:r>
      <w:r w:rsidR="009606D5">
        <w:t xml:space="preserve"> (GEM) </w:t>
      </w:r>
      <w:r w:rsidRPr="007C0CDA">
        <w:rPr>
          <w:b/>
        </w:rPr>
        <w:t>2013</w:t>
      </w:r>
      <w:r w:rsidRPr="007C0CDA">
        <w:t xml:space="preserve"> v ČR zapojeno 7,33 % dospělé populace ve věku 18–64 let, což odpovídá 513.000 osob. </w:t>
      </w:r>
      <w:r w:rsidRPr="007C0CDA">
        <w:rPr>
          <w:b/>
        </w:rPr>
        <w:t>Z toho lze 27,5 % označit za inovativně orientované, což představuje určitý pokles oproti roku 2011. 7,8 % nových podnikatelů je aktivních v sektoru, který je středně nebo velmi technologicky náročný.</w:t>
      </w:r>
      <w:r w:rsidRPr="007C0CDA">
        <w:t>V porovnání s rokem 2011 nová podnikatelská aktivita mírně poklesla o 0,31 %, v porovnání s rokem 2006 o 0,52 %. Z počtu obyvatelstva zapojeného do nové podnikatelské aktivity v ČR představují lidé mladší 35 let více než 50 % s tím, že jde většinou o vysokoškoláky, kteří jsou díky technologické a jazykové zdatnosti schopni přinášet inovativní projekty s vyšší přidanou hodnotou. To samé platí i pro studenty. U této skupiny předpokládáme nejotevřenější postoj k finančním nástrojům.</w:t>
      </w:r>
    </w:p>
    <w:p w:rsidR="009D2CAE" w:rsidRPr="007C0CDA" w:rsidRDefault="009D2CAE" w:rsidP="00E54F18"/>
    <w:p w:rsidR="009D2CAE" w:rsidRPr="007C0CDA" w:rsidRDefault="009D2CAE" w:rsidP="00E54F18">
      <w:r w:rsidRPr="007C0CDA">
        <w:t xml:space="preserve">Inovující podnikatelé byli v šetření GEM dále tázáni, jaké formy podpory pro rozvoj inovačních aktivit by v budoucnu využili. Nejvíce, 65 % (resp. 59 % u užšího souboru), odpovědělo,že by využilo tréninky či školení. Na druhém a třetím místě se umístila dotace pro realizaci inovací (54 % v obou souborech) a individuální poradenství (53 %, resp. 50 %). S určitým odstupem se jako čtvrté a páté v pořadí objevila záruka státu pro lehčí přístup k úvěru (44 %,resp. 48 %) a zvýhodněný úvěr na realizaci inovací (42 % v obou souborech). Jako méně časté formy podpory, o které by podnikatelé měli zájem, byly zmíněny dotace pro spolupráci s výzkumnou sférou (31 %, resp. 23 %) a principiální zájem o kapitálový vstup státu pro financování expanze (24 %, resp. 23 %). </w:t>
      </w:r>
      <w:r w:rsidRPr="007C0CDA">
        <w:rPr>
          <w:b/>
        </w:rPr>
        <w:t>GEM tedy na základě své extrapolace dovozuje spodní počet nových inovujících podnikatelův technologicky náročných oborech s potenciálním zájmem o kapitálový vstup na 9200 jednotlivců.</w:t>
      </w:r>
    </w:p>
    <w:p w:rsidR="009D2CAE" w:rsidRPr="007C0CDA" w:rsidRDefault="009D2CAE" w:rsidP="00945823"/>
    <w:p w:rsidR="009D2CAE" w:rsidRPr="007C0CDA" w:rsidRDefault="009D2CAE" w:rsidP="00945823">
      <w:r w:rsidRPr="007C0CDA">
        <w:t>V rámci druhého dotazníkového šetření k této studii byl rozeslán dotazník zaměřený na early-stage firmy, které jsou v kontaktu s podnikatelskými inkubátory a akcelerátory, centry pro transfer technologií apod. V rámci došlých odpovědí většina dotazovaných firem (70 %) vznikla rozvojem podnikatelského plánu jednotlivce, avšak druhou nejpočetnější kategorií (16 %) je vznik spin-offem z univerzitního či jiného veřejně financovaného projektu. Tato skutečnost nás upevňuje v přesvědčení, že podporu v rámci SC 1.2 a 2.1 je nutné vnímat komplexně, jelikož pouze koordinovanou podporou je možné docílit vytvoření stabilní „pipeline“, která by pomohla projektům dostat se z fáze myšlenky či záměru až do fáze ukotveného podniku připraveného na later stage investici.</w:t>
      </w:r>
    </w:p>
    <w:p w:rsidR="009D2CAE" w:rsidRPr="007C0CDA" w:rsidRDefault="009D2CAE" w:rsidP="00BC082C">
      <w:pPr>
        <w:pStyle w:val="Neslovannadpisy"/>
      </w:pPr>
    </w:p>
    <w:p w:rsidR="009D2CAE" w:rsidRPr="007C0CDA" w:rsidRDefault="009D2CAE" w:rsidP="00BC082C">
      <w:pPr>
        <w:pStyle w:val="Neslovannadpisy"/>
      </w:pPr>
      <w:r w:rsidRPr="007C0CDA">
        <w:lastRenderedPageBreak/>
        <w:t>Soukromé zdroje financování - fondy a investoři Venture Capital (VC) a Private Equity (PE)</w:t>
      </w:r>
    </w:p>
    <w:p w:rsidR="009D2CAE" w:rsidRPr="007C0CDA" w:rsidRDefault="009D2CAE" w:rsidP="00AA113A">
      <w:r w:rsidRPr="007C0CDA">
        <w:t xml:space="preserve">Na rozdíl od úvěrového financování rozvoje etablovaných firem s podnikatelskou historií (cca přes 3 roky existence) je role bank v oblasti rizikového kapitálu a financování Early-stage firem malá a věnují se jí dnes pouze okrajově. </w:t>
      </w:r>
      <w:r w:rsidRPr="002433DA">
        <w:t>Úvěrové financování je při dostatečném zajištění možné, je však problematické</w:t>
      </w:r>
      <w:r w:rsidRPr="007C0CDA">
        <w:t xml:space="preserve"> i</w:t>
      </w:r>
      <w:r w:rsidRPr="002433DA">
        <w:t xml:space="preserve"> z</w:t>
      </w:r>
      <w:r w:rsidRPr="007C0CDA">
        <w:t> </w:t>
      </w:r>
      <w:r w:rsidRPr="002433DA">
        <w:t xml:space="preserve">hlediska svých nákladů a zátěže podniku </w:t>
      </w:r>
      <w:r w:rsidRPr="007C0CDA">
        <w:t xml:space="preserve">jeho </w:t>
      </w:r>
      <w:r w:rsidRPr="002433DA">
        <w:t>v</w:t>
      </w:r>
      <w:r w:rsidRPr="007C0CDA">
        <w:t> </w:t>
      </w:r>
      <w:r w:rsidRPr="002433DA">
        <w:t xml:space="preserve">raném </w:t>
      </w:r>
      <w:r w:rsidRPr="007C0CDA">
        <w:t xml:space="preserve">stádiu vývoje, kdy zpravidla nevykazuje zisk a potřebuje kapitál na investice. Vhodnějším způsobem jsou tak investice do základního kapitálu podniků. Hlavními poskytovateli externího financování na tržním principu jsou </w:t>
      </w:r>
      <w:r w:rsidRPr="007C0CDA">
        <w:rPr>
          <w:b/>
        </w:rPr>
        <w:t>investiční fondy Private Equity (PE).</w:t>
      </w:r>
    </w:p>
    <w:p w:rsidR="009D2CAE" w:rsidRPr="007C0CDA" w:rsidRDefault="009D2CAE" w:rsidP="00AE634D"/>
    <w:p w:rsidR="009D2CAE" w:rsidRPr="007C0CDA" w:rsidRDefault="009D2CAE" w:rsidP="00AE634D">
      <w:r w:rsidRPr="007C0CDA">
        <w:t xml:space="preserve">Celkové hodnoty </w:t>
      </w:r>
      <w:r w:rsidRPr="007C0CDA">
        <w:rPr>
          <w:b/>
        </w:rPr>
        <w:t>PE investic v České republice</w:t>
      </w:r>
      <w:r w:rsidRPr="007C0CDA">
        <w:t xml:space="preserve"> se v letech 2007-2012 pohybovaly se značnými meziročními výkyvy v rozmezí 106 mil. € až 1 358 mil. €, což odpovídalo 0,069 % až 0,955 % podílu na HDP. Podíl množství investic rizikového kapitálu na celkových investicích PE v ČR činí v průměru  </w:t>
      </w:r>
      <w:r w:rsidRPr="007C0CDA">
        <w:rPr>
          <w:b/>
        </w:rPr>
        <w:t>5,7 % za roky 2007-2012</w:t>
      </w:r>
      <w:r w:rsidRPr="007C0CDA">
        <w:t>.</w:t>
      </w:r>
    </w:p>
    <w:p w:rsidR="009D2CAE" w:rsidRPr="007C0CDA" w:rsidRDefault="009D2CAE" w:rsidP="00AE634D"/>
    <w:tbl>
      <w:tblPr>
        <w:tblW w:w="9322" w:type="dxa"/>
        <w:tblBorders>
          <w:bottom w:val="single" w:sz="4" w:space="0" w:color="72C7E7"/>
          <w:insideH w:val="single" w:sz="4" w:space="0" w:color="72C7E7"/>
        </w:tblBorders>
        <w:tblCellMar>
          <w:left w:w="0" w:type="dxa"/>
          <w:right w:w="0" w:type="dxa"/>
        </w:tblCellMar>
        <w:tblLook w:val="00A0" w:firstRow="1" w:lastRow="0" w:firstColumn="1" w:lastColumn="0" w:noHBand="0" w:noVBand="0"/>
      </w:tblPr>
      <w:tblGrid>
        <w:gridCol w:w="2109"/>
        <w:gridCol w:w="1433"/>
        <w:gridCol w:w="1021"/>
        <w:gridCol w:w="1421"/>
        <w:gridCol w:w="1021"/>
        <w:gridCol w:w="1421"/>
        <w:gridCol w:w="1008"/>
      </w:tblGrid>
      <w:tr w:rsidR="009D2CAE" w:rsidRPr="007C0CDA" w:rsidTr="00661000">
        <w:trPr>
          <w:trHeight w:val="20"/>
        </w:trPr>
        <w:tc>
          <w:tcPr>
            <w:tcW w:w="2093" w:type="dxa"/>
            <w:shd w:val="clear" w:color="auto" w:fill="72C7E7"/>
            <w:noWrap/>
            <w:vAlign w:val="center"/>
          </w:tcPr>
          <w:p w:rsidR="009D2CAE" w:rsidRPr="007C0CDA" w:rsidRDefault="009D2CAE" w:rsidP="00661000">
            <w:pPr>
              <w:keepNext/>
              <w:jc w:val="center"/>
              <w:rPr>
                <w:b/>
                <w:color w:val="FFFFFF"/>
                <w:sz w:val="18"/>
                <w:szCs w:val="18"/>
              </w:rPr>
            </w:pPr>
            <w:r w:rsidRPr="007C0CDA">
              <w:rPr>
                <w:b/>
                <w:color w:val="FFFFFF"/>
                <w:sz w:val="18"/>
                <w:szCs w:val="18"/>
              </w:rPr>
              <w:t>Fáze private equity investic</w:t>
            </w:r>
          </w:p>
        </w:tc>
        <w:tc>
          <w:tcPr>
            <w:tcW w:w="1417" w:type="dxa"/>
            <w:shd w:val="clear" w:color="auto" w:fill="72C7E7"/>
            <w:noWrap/>
            <w:vAlign w:val="center"/>
          </w:tcPr>
          <w:p w:rsidR="009D2CAE" w:rsidRPr="007C0CDA" w:rsidRDefault="009D2CAE" w:rsidP="00661000">
            <w:pPr>
              <w:keepNext/>
              <w:jc w:val="center"/>
              <w:rPr>
                <w:b/>
                <w:color w:val="FFFFFF"/>
                <w:sz w:val="18"/>
                <w:szCs w:val="18"/>
              </w:rPr>
            </w:pPr>
            <w:r w:rsidRPr="007C0CDA">
              <w:rPr>
                <w:b/>
                <w:color w:val="FFFFFF"/>
                <w:sz w:val="18"/>
                <w:szCs w:val="18"/>
              </w:rPr>
              <w:t>Celkem ČR</w:t>
            </w:r>
          </w:p>
          <w:p w:rsidR="009D2CAE" w:rsidRPr="007C0CDA" w:rsidRDefault="009D2CAE" w:rsidP="00661000">
            <w:pPr>
              <w:keepNext/>
              <w:jc w:val="center"/>
              <w:rPr>
                <w:b/>
                <w:color w:val="FFFFFF"/>
                <w:sz w:val="18"/>
                <w:szCs w:val="18"/>
              </w:rPr>
            </w:pPr>
            <w:r w:rsidRPr="007C0CDA">
              <w:rPr>
                <w:b/>
                <w:color w:val="FFFFFF"/>
                <w:sz w:val="18"/>
                <w:szCs w:val="18"/>
              </w:rPr>
              <w:t>v tis. €</w:t>
            </w:r>
          </w:p>
        </w:tc>
        <w:tc>
          <w:tcPr>
            <w:tcW w:w="1005" w:type="dxa"/>
            <w:shd w:val="clear" w:color="auto" w:fill="72C7E7"/>
            <w:noWrap/>
            <w:vAlign w:val="center"/>
          </w:tcPr>
          <w:p w:rsidR="009D2CAE" w:rsidRPr="007C0CDA" w:rsidRDefault="009D2CAE" w:rsidP="00661000">
            <w:pPr>
              <w:keepNext/>
              <w:jc w:val="center"/>
              <w:rPr>
                <w:b/>
                <w:color w:val="FFFFFF"/>
                <w:sz w:val="18"/>
                <w:szCs w:val="18"/>
              </w:rPr>
            </w:pPr>
            <w:r w:rsidRPr="007C0CDA">
              <w:rPr>
                <w:b/>
                <w:color w:val="FFFFFF"/>
                <w:sz w:val="18"/>
                <w:szCs w:val="18"/>
              </w:rPr>
              <w:t>Podíl v %</w:t>
            </w:r>
          </w:p>
        </w:tc>
        <w:tc>
          <w:tcPr>
            <w:tcW w:w="1405" w:type="dxa"/>
            <w:shd w:val="clear" w:color="auto" w:fill="72C7E7"/>
            <w:noWrap/>
            <w:vAlign w:val="center"/>
          </w:tcPr>
          <w:p w:rsidR="009D2CAE" w:rsidRPr="007C0CDA" w:rsidRDefault="009D2CAE" w:rsidP="00661000">
            <w:pPr>
              <w:keepNext/>
              <w:jc w:val="center"/>
              <w:rPr>
                <w:b/>
                <w:color w:val="FFFFFF"/>
                <w:sz w:val="18"/>
                <w:szCs w:val="18"/>
              </w:rPr>
            </w:pPr>
            <w:r w:rsidRPr="007C0CDA">
              <w:rPr>
                <w:b/>
                <w:color w:val="FFFFFF"/>
                <w:sz w:val="18"/>
                <w:szCs w:val="18"/>
              </w:rPr>
              <w:t>Celkem SVE</w:t>
            </w:r>
          </w:p>
          <w:p w:rsidR="009D2CAE" w:rsidRPr="007C0CDA" w:rsidRDefault="009D2CAE" w:rsidP="00661000">
            <w:pPr>
              <w:keepNext/>
              <w:jc w:val="center"/>
              <w:rPr>
                <w:b/>
                <w:color w:val="FFFFFF"/>
                <w:sz w:val="18"/>
                <w:szCs w:val="18"/>
              </w:rPr>
            </w:pPr>
            <w:r w:rsidRPr="007C0CDA">
              <w:rPr>
                <w:b/>
                <w:color w:val="FFFFFF"/>
                <w:sz w:val="18"/>
                <w:szCs w:val="18"/>
              </w:rPr>
              <w:t>v tis.€</w:t>
            </w:r>
          </w:p>
        </w:tc>
        <w:tc>
          <w:tcPr>
            <w:tcW w:w="1005" w:type="dxa"/>
            <w:shd w:val="clear" w:color="auto" w:fill="72C7E7"/>
            <w:noWrap/>
            <w:vAlign w:val="center"/>
          </w:tcPr>
          <w:p w:rsidR="009D2CAE" w:rsidRPr="007C0CDA" w:rsidRDefault="009D2CAE" w:rsidP="00661000">
            <w:pPr>
              <w:keepNext/>
              <w:jc w:val="center"/>
              <w:rPr>
                <w:b/>
                <w:color w:val="FFFFFF"/>
                <w:sz w:val="18"/>
                <w:szCs w:val="18"/>
              </w:rPr>
            </w:pPr>
            <w:r w:rsidRPr="007C0CDA">
              <w:rPr>
                <w:b/>
                <w:color w:val="FFFFFF"/>
                <w:sz w:val="18"/>
                <w:szCs w:val="18"/>
              </w:rPr>
              <w:t>Podíl v %</w:t>
            </w:r>
          </w:p>
        </w:tc>
        <w:tc>
          <w:tcPr>
            <w:tcW w:w="1405" w:type="dxa"/>
            <w:shd w:val="clear" w:color="auto" w:fill="72C7E7"/>
            <w:noWrap/>
            <w:vAlign w:val="center"/>
          </w:tcPr>
          <w:p w:rsidR="009D2CAE" w:rsidRPr="007C0CDA" w:rsidRDefault="009D2CAE" w:rsidP="00661000">
            <w:pPr>
              <w:keepNext/>
              <w:jc w:val="center"/>
              <w:rPr>
                <w:b/>
                <w:color w:val="FFFFFF"/>
                <w:sz w:val="18"/>
                <w:szCs w:val="18"/>
              </w:rPr>
            </w:pPr>
            <w:r w:rsidRPr="007C0CDA">
              <w:rPr>
                <w:b/>
                <w:color w:val="FFFFFF"/>
                <w:sz w:val="18"/>
                <w:szCs w:val="18"/>
              </w:rPr>
              <w:t>Celkem Evropa v tis.€</w:t>
            </w:r>
          </w:p>
        </w:tc>
        <w:tc>
          <w:tcPr>
            <w:tcW w:w="992" w:type="dxa"/>
            <w:shd w:val="clear" w:color="auto" w:fill="72C7E7"/>
            <w:noWrap/>
            <w:vAlign w:val="center"/>
          </w:tcPr>
          <w:p w:rsidR="009D2CAE" w:rsidRPr="007C0CDA" w:rsidRDefault="009D2CAE" w:rsidP="00661000">
            <w:pPr>
              <w:keepNext/>
              <w:jc w:val="center"/>
              <w:rPr>
                <w:b/>
                <w:color w:val="FFFFFF"/>
                <w:sz w:val="18"/>
                <w:szCs w:val="18"/>
              </w:rPr>
            </w:pPr>
            <w:r w:rsidRPr="007C0CDA">
              <w:rPr>
                <w:b/>
                <w:color w:val="FFFFFF"/>
                <w:sz w:val="18"/>
                <w:szCs w:val="18"/>
              </w:rPr>
              <w:t>Podíl v %</w:t>
            </w:r>
          </w:p>
        </w:tc>
      </w:tr>
      <w:tr w:rsidR="009D2CAE" w:rsidRPr="007C0CDA" w:rsidTr="00661000">
        <w:trPr>
          <w:trHeight w:val="20"/>
        </w:trPr>
        <w:tc>
          <w:tcPr>
            <w:tcW w:w="2093" w:type="dxa"/>
            <w:shd w:val="clear" w:color="auto" w:fill="FFFFFF"/>
            <w:noWrap/>
          </w:tcPr>
          <w:p w:rsidR="009D2CAE" w:rsidRPr="007C0CDA" w:rsidRDefault="009D2CAE" w:rsidP="00661000">
            <w:pPr>
              <w:keepNext/>
              <w:rPr>
                <w:sz w:val="18"/>
                <w:szCs w:val="18"/>
              </w:rPr>
            </w:pPr>
            <w:r w:rsidRPr="007C0CDA">
              <w:rPr>
                <w:sz w:val="18"/>
                <w:szCs w:val="18"/>
              </w:rPr>
              <w:t>Seed</w:t>
            </w:r>
          </w:p>
        </w:tc>
        <w:tc>
          <w:tcPr>
            <w:tcW w:w="1417" w:type="dxa"/>
            <w:shd w:val="clear" w:color="auto" w:fill="FFFFFF"/>
            <w:noWrap/>
            <w:vAlign w:val="center"/>
          </w:tcPr>
          <w:p w:rsidR="009D2CAE" w:rsidRPr="007C0CDA" w:rsidRDefault="009D2CAE" w:rsidP="00661000">
            <w:pPr>
              <w:keepNext/>
              <w:jc w:val="right"/>
              <w:rPr>
                <w:sz w:val="18"/>
                <w:szCs w:val="18"/>
              </w:rPr>
            </w:pPr>
            <w:r w:rsidRPr="007C0CDA">
              <w:rPr>
                <w:sz w:val="18"/>
                <w:szCs w:val="18"/>
              </w:rPr>
              <w:t>0</w:t>
            </w:r>
          </w:p>
        </w:tc>
        <w:tc>
          <w:tcPr>
            <w:tcW w:w="1005" w:type="dxa"/>
            <w:shd w:val="clear" w:color="auto" w:fill="FFFFFF"/>
            <w:noWrap/>
            <w:vAlign w:val="center"/>
          </w:tcPr>
          <w:p w:rsidR="009D2CAE" w:rsidRPr="007C0CDA" w:rsidRDefault="009D2CAE" w:rsidP="00661000">
            <w:pPr>
              <w:keepNext/>
              <w:jc w:val="right"/>
              <w:rPr>
                <w:sz w:val="18"/>
                <w:szCs w:val="18"/>
              </w:rPr>
            </w:pPr>
            <w:r w:rsidRPr="007C0CDA">
              <w:rPr>
                <w:sz w:val="18"/>
                <w:szCs w:val="18"/>
              </w:rPr>
              <w:t>0,00%</w:t>
            </w:r>
          </w:p>
        </w:tc>
        <w:tc>
          <w:tcPr>
            <w:tcW w:w="1405" w:type="dxa"/>
            <w:shd w:val="clear" w:color="auto" w:fill="FFFFFF"/>
            <w:noWrap/>
            <w:vAlign w:val="center"/>
          </w:tcPr>
          <w:p w:rsidR="009D2CAE" w:rsidRPr="007C0CDA" w:rsidRDefault="009D2CAE" w:rsidP="00661000">
            <w:pPr>
              <w:keepNext/>
              <w:jc w:val="right"/>
              <w:rPr>
                <w:sz w:val="18"/>
                <w:szCs w:val="18"/>
              </w:rPr>
            </w:pPr>
            <w:r w:rsidRPr="007C0CDA">
              <w:rPr>
                <w:sz w:val="18"/>
                <w:szCs w:val="18"/>
              </w:rPr>
              <w:t>22 005</w:t>
            </w:r>
          </w:p>
        </w:tc>
        <w:tc>
          <w:tcPr>
            <w:tcW w:w="1005" w:type="dxa"/>
            <w:shd w:val="clear" w:color="auto" w:fill="FFFFFF"/>
            <w:noWrap/>
            <w:vAlign w:val="center"/>
          </w:tcPr>
          <w:p w:rsidR="009D2CAE" w:rsidRPr="007C0CDA" w:rsidRDefault="009D2CAE" w:rsidP="00661000">
            <w:pPr>
              <w:keepNext/>
              <w:jc w:val="right"/>
              <w:rPr>
                <w:sz w:val="18"/>
                <w:szCs w:val="18"/>
              </w:rPr>
            </w:pPr>
            <w:r w:rsidRPr="007C0CDA">
              <w:rPr>
                <w:sz w:val="18"/>
                <w:szCs w:val="18"/>
              </w:rPr>
              <w:t>0,50%</w:t>
            </w:r>
          </w:p>
        </w:tc>
        <w:tc>
          <w:tcPr>
            <w:tcW w:w="1405" w:type="dxa"/>
            <w:shd w:val="clear" w:color="auto" w:fill="FFFFFF"/>
            <w:noWrap/>
            <w:vAlign w:val="center"/>
          </w:tcPr>
          <w:p w:rsidR="009D2CAE" w:rsidRPr="007C0CDA" w:rsidRDefault="009D2CAE" w:rsidP="00661000">
            <w:pPr>
              <w:keepNext/>
              <w:jc w:val="right"/>
              <w:rPr>
                <w:sz w:val="18"/>
                <w:szCs w:val="18"/>
              </w:rPr>
            </w:pPr>
            <w:r w:rsidRPr="007C0CDA">
              <w:rPr>
                <w:sz w:val="18"/>
                <w:szCs w:val="18"/>
              </w:rPr>
              <w:t>1 030 201</w:t>
            </w:r>
          </w:p>
        </w:tc>
        <w:tc>
          <w:tcPr>
            <w:tcW w:w="992" w:type="dxa"/>
            <w:shd w:val="clear" w:color="auto" w:fill="FFFFFF"/>
            <w:noWrap/>
            <w:vAlign w:val="center"/>
          </w:tcPr>
          <w:p w:rsidR="009D2CAE" w:rsidRPr="007C0CDA" w:rsidRDefault="009D2CAE" w:rsidP="00661000">
            <w:pPr>
              <w:keepNext/>
              <w:jc w:val="right"/>
              <w:rPr>
                <w:sz w:val="18"/>
                <w:szCs w:val="18"/>
              </w:rPr>
            </w:pPr>
            <w:r w:rsidRPr="007C0CDA">
              <w:rPr>
                <w:sz w:val="18"/>
                <w:szCs w:val="18"/>
              </w:rPr>
              <w:t>0,40%</w:t>
            </w:r>
          </w:p>
        </w:tc>
      </w:tr>
      <w:tr w:rsidR="009D2CAE" w:rsidRPr="007C0CDA" w:rsidTr="00661000">
        <w:trPr>
          <w:trHeight w:val="20"/>
        </w:trPr>
        <w:tc>
          <w:tcPr>
            <w:tcW w:w="2093" w:type="dxa"/>
            <w:shd w:val="clear" w:color="auto" w:fill="FFFFFF"/>
            <w:noWrap/>
          </w:tcPr>
          <w:p w:rsidR="009D2CAE" w:rsidRPr="007C0CDA" w:rsidRDefault="009D2CAE" w:rsidP="00661000">
            <w:pPr>
              <w:keepNext/>
              <w:rPr>
                <w:sz w:val="18"/>
                <w:szCs w:val="18"/>
              </w:rPr>
            </w:pPr>
            <w:r w:rsidRPr="007C0CDA">
              <w:rPr>
                <w:sz w:val="18"/>
                <w:szCs w:val="18"/>
              </w:rPr>
              <w:t>Start-up</w:t>
            </w:r>
          </w:p>
        </w:tc>
        <w:tc>
          <w:tcPr>
            <w:tcW w:w="1417" w:type="dxa"/>
            <w:shd w:val="clear" w:color="auto" w:fill="FFFFFF"/>
            <w:noWrap/>
            <w:vAlign w:val="center"/>
          </w:tcPr>
          <w:p w:rsidR="009D2CAE" w:rsidRPr="007C0CDA" w:rsidRDefault="009D2CAE" w:rsidP="00661000">
            <w:pPr>
              <w:keepNext/>
              <w:jc w:val="right"/>
              <w:rPr>
                <w:sz w:val="18"/>
                <w:szCs w:val="18"/>
              </w:rPr>
            </w:pPr>
            <w:r w:rsidRPr="007C0CDA">
              <w:rPr>
                <w:sz w:val="18"/>
                <w:szCs w:val="18"/>
              </w:rPr>
              <w:t>16 760</w:t>
            </w:r>
          </w:p>
        </w:tc>
        <w:tc>
          <w:tcPr>
            <w:tcW w:w="1005" w:type="dxa"/>
            <w:shd w:val="clear" w:color="auto" w:fill="FFFFFF"/>
            <w:noWrap/>
            <w:vAlign w:val="center"/>
          </w:tcPr>
          <w:p w:rsidR="009D2CAE" w:rsidRPr="007C0CDA" w:rsidRDefault="009D2CAE" w:rsidP="00661000">
            <w:pPr>
              <w:keepNext/>
              <w:jc w:val="right"/>
              <w:rPr>
                <w:sz w:val="18"/>
                <w:szCs w:val="18"/>
              </w:rPr>
            </w:pPr>
            <w:r w:rsidRPr="007C0CDA">
              <w:rPr>
                <w:sz w:val="18"/>
                <w:szCs w:val="18"/>
              </w:rPr>
              <w:t>1,35%</w:t>
            </w:r>
          </w:p>
        </w:tc>
        <w:tc>
          <w:tcPr>
            <w:tcW w:w="1405" w:type="dxa"/>
            <w:shd w:val="clear" w:color="auto" w:fill="FFFFFF"/>
            <w:noWrap/>
            <w:vAlign w:val="center"/>
          </w:tcPr>
          <w:p w:rsidR="009D2CAE" w:rsidRPr="007C0CDA" w:rsidRDefault="009D2CAE" w:rsidP="00661000">
            <w:pPr>
              <w:keepNext/>
              <w:jc w:val="right"/>
              <w:rPr>
                <w:sz w:val="18"/>
                <w:szCs w:val="18"/>
              </w:rPr>
            </w:pPr>
            <w:r w:rsidRPr="007C0CDA">
              <w:rPr>
                <w:sz w:val="18"/>
                <w:szCs w:val="18"/>
              </w:rPr>
              <w:t>265 796</w:t>
            </w:r>
          </w:p>
        </w:tc>
        <w:tc>
          <w:tcPr>
            <w:tcW w:w="1005" w:type="dxa"/>
            <w:shd w:val="clear" w:color="auto" w:fill="FFFFFF"/>
            <w:noWrap/>
            <w:vAlign w:val="center"/>
          </w:tcPr>
          <w:p w:rsidR="009D2CAE" w:rsidRPr="007C0CDA" w:rsidRDefault="009D2CAE" w:rsidP="00661000">
            <w:pPr>
              <w:keepNext/>
              <w:jc w:val="right"/>
              <w:rPr>
                <w:sz w:val="18"/>
                <w:szCs w:val="18"/>
              </w:rPr>
            </w:pPr>
            <w:r w:rsidRPr="007C0CDA">
              <w:rPr>
                <w:sz w:val="18"/>
                <w:szCs w:val="18"/>
              </w:rPr>
              <w:t>5,57%</w:t>
            </w:r>
          </w:p>
        </w:tc>
        <w:tc>
          <w:tcPr>
            <w:tcW w:w="1405" w:type="dxa"/>
            <w:shd w:val="clear" w:color="auto" w:fill="FFFFFF"/>
            <w:noWrap/>
            <w:vAlign w:val="center"/>
          </w:tcPr>
          <w:p w:rsidR="009D2CAE" w:rsidRPr="007C0CDA" w:rsidRDefault="009D2CAE" w:rsidP="00661000">
            <w:pPr>
              <w:keepNext/>
              <w:jc w:val="right"/>
              <w:rPr>
                <w:sz w:val="18"/>
                <w:szCs w:val="18"/>
              </w:rPr>
            </w:pPr>
            <w:r w:rsidRPr="007C0CDA">
              <w:rPr>
                <w:sz w:val="18"/>
                <w:szCs w:val="18"/>
              </w:rPr>
              <w:t>12 089 052</w:t>
            </w:r>
          </w:p>
        </w:tc>
        <w:tc>
          <w:tcPr>
            <w:tcW w:w="992" w:type="dxa"/>
            <w:shd w:val="clear" w:color="auto" w:fill="FFFFFF"/>
            <w:noWrap/>
            <w:vAlign w:val="center"/>
          </w:tcPr>
          <w:p w:rsidR="009D2CAE" w:rsidRPr="007C0CDA" w:rsidRDefault="009D2CAE" w:rsidP="00661000">
            <w:pPr>
              <w:keepNext/>
              <w:jc w:val="right"/>
              <w:rPr>
                <w:sz w:val="18"/>
                <w:szCs w:val="18"/>
              </w:rPr>
            </w:pPr>
            <w:r w:rsidRPr="007C0CDA">
              <w:rPr>
                <w:sz w:val="18"/>
                <w:szCs w:val="18"/>
              </w:rPr>
              <w:t>4,83%</w:t>
            </w:r>
          </w:p>
        </w:tc>
      </w:tr>
      <w:tr w:rsidR="009D2CAE" w:rsidRPr="007C0CDA" w:rsidTr="00661000">
        <w:trPr>
          <w:trHeight w:val="20"/>
        </w:trPr>
        <w:tc>
          <w:tcPr>
            <w:tcW w:w="2093" w:type="dxa"/>
            <w:shd w:val="clear" w:color="auto" w:fill="FFFFFF"/>
            <w:noWrap/>
          </w:tcPr>
          <w:p w:rsidR="009D2CAE" w:rsidRPr="007C0CDA" w:rsidRDefault="009D2CAE" w:rsidP="00661000">
            <w:pPr>
              <w:keepNext/>
              <w:rPr>
                <w:sz w:val="18"/>
                <w:szCs w:val="18"/>
              </w:rPr>
            </w:pPr>
            <w:r w:rsidRPr="007C0CDA">
              <w:rPr>
                <w:sz w:val="18"/>
                <w:szCs w:val="18"/>
              </w:rPr>
              <w:t>Subtotal Early stage</w:t>
            </w:r>
          </w:p>
        </w:tc>
        <w:tc>
          <w:tcPr>
            <w:tcW w:w="1417" w:type="dxa"/>
            <w:shd w:val="clear" w:color="auto" w:fill="FFFFFF"/>
            <w:noWrap/>
            <w:vAlign w:val="center"/>
          </w:tcPr>
          <w:p w:rsidR="009D2CAE" w:rsidRPr="007C0CDA" w:rsidRDefault="009D2CAE" w:rsidP="00661000">
            <w:pPr>
              <w:keepNext/>
              <w:jc w:val="right"/>
              <w:rPr>
                <w:sz w:val="18"/>
                <w:szCs w:val="18"/>
              </w:rPr>
            </w:pPr>
            <w:r w:rsidRPr="007C0CDA">
              <w:rPr>
                <w:sz w:val="18"/>
                <w:szCs w:val="18"/>
              </w:rPr>
              <w:t>16 760</w:t>
            </w:r>
          </w:p>
        </w:tc>
        <w:tc>
          <w:tcPr>
            <w:tcW w:w="1005" w:type="dxa"/>
            <w:shd w:val="clear" w:color="auto" w:fill="FFFFFF"/>
            <w:noWrap/>
            <w:vAlign w:val="center"/>
          </w:tcPr>
          <w:p w:rsidR="009D2CAE" w:rsidRPr="007C0CDA" w:rsidRDefault="009D2CAE" w:rsidP="00661000">
            <w:pPr>
              <w:keepNext/>
              <w:jc w:val="right"/>
              <w:rPr>
                <w:sz w:val="18"/>
                <w:szCs w:val="18"/>
              </w:rPr>
            </w:pPr>
            <w:r w:rsidRPr="007C0CDA">
              <w:rPr>
                <w:sz w:val="18"/>
                <w:szCs w:val="18"/>
              </w:rPr>
              <w:t>1,35%</w:t>
            </w:r>
          </w:p>
        </w:tc>
        <w:tc>
          <w:tcPr>
            <w:tcW w:w="1405" w:type="dxa"/>
            <w:shd w:val="clear" w:color="auto" w:fill="FFFFFF"/>
            <w:noWrap/>
            <w:vAlign w:val="center"/>
          </w:tcPr>
          <w:p w:rsidR="009D2CAE" w:rsidRPr="007C0CDA" w:rsidRDefault="009D2CAE" w:rsidP="00661000">
            <w:pPr>
              <w:keepNext/>
              <w:jc w:val="right"/>
              <w:rPr>
                <w:sz w:val="18"/>
                <w:szCs w:val="18"/>
              </w:rPr>
            </w:pPr>
            <w:r w:rsidRPr="007C0CDA">
              <w:rPr>
                <w:sz w:val="18"/>
                <w:szCs w:val="18"/>
              </w:rPr>
              <w:t>287 800</w:t>
            </w:r>
          </w:p>
        </w:tc>
        <w:tc>
          <w:tcPr>
            <w:tcW w:w="1005" w:type="dxa"/>
            <w:shd w:val="clear" w:color="auto" w:fill="FFFFFF"/>
            <w:noWrap/>
            <w:vAlign w:val="center"/>
          </w:tcPr>
          <w:p w:rsidR="009D2CAE" w:rsidRPr="007C0CDA" w:rsidRDefault="009D2CAE" w:rsidP="00661000">
            <w:pPr>
              <w:keepNext/>
              <w:jc w:val="right"/>
              <w:rPr>
                <w:sz w:val="18"/>
                <w:szCs w:val="18"/>
              </w:rPr>
            </w:pPr>
            <w:r w:rsidRPr="007C0CDA">
              <w:rPr>
                <w:sz w:val="18"/>
                <w:szCs w:val="18"/>
              </w:rPr>
              <w:t>6,07%</w:t>
            </w:r>
          </w:p>
        </w:tc>
        <w:tc>
          <w:tcPr>
            <w:tcW w:w="1405" w:type="dxa"/>
            <w:shd w:val="clear" w:color="auto" w:fill="FFFFFF"/>
            <w:noWrap/>
            <w:vAlign w:val="center"/>
          </w:tcPr>
          <w:p w:rsidR="009D2CAE" w:rsidRPr="007C0CDA" w:rsidRDefault="009D2CAE" w:rsidP="00661000">
            <w:pPr>
              <w:keepNext/>
              <w:jc w:val="right"/>
              <w:rPr>
                <w:sz w:val="18"/>
                <w:szCs w:val="18"/>
              </w:rPr>
            </w:pPr>
            <w:r w:rsidRPr="007C0CDA">
              <w:rPr>
                <w:sz w:val="18"/>
                <w:szCs w:val="18"/>
              </w:rPr>
              <w:t>13 119 252</w:t>
            </w:r>
          </w:p>
        </w:tc>
        <w:tc>
          <w:tcPr>
            <w:tcW w:w="992" w:type="dxa"/>
            <w:shd w:val="clear" w:color="auto" w:fill="FFFFFF"/>
            <w:noWrap/>
            <w:vAlign w:val="center"/>
          </w:tcPr>
          <w:p w:rsidR="009D2CAE" w:rsidRPr="007C0CDA" w:rsidRDefault="009D2CAE" w:rsidP="00661000">
            <w:pPr>
              <w:keepNext/>
              <w:jc w:val="right"/>
              <w:rPr>
                <w:sz w:val="18"/>
                <w:szCs w:val="18"/>
              </w:rPr>
            </w:pPr>
            <w:r w:rsidRPr="007C0CDA">
              <w:rPr>
                <w:sz w:val="18"/>
                <w:szCs w:val="18"/>
              </w:rPr>
              <w:t>5,23%</w:t>
            </w:r>
          </w:p>
        </w:tc>
      </w:tr>
      <w:tr w:rsidR="009D2CAE" w:rsidRPr="007C0CDA" w:rsidTr="00661000">
        <w:trPr>
          <w:trHeight w:val="20"/>
        </w:trPr>
        <w:tc>
          <w:tcPr>
            <w:tcW w:w="2093" w:type="dxa"/>
            <w:shd w:val="clear" w:color="auto" w:fill="FFFFFF"/>
            <w:noWrap/>
          </w:tcPr>
          <w:p w:rsidR="009D2CAE" w:rsidRPr="007C0CDA" w:rsidRDefault="009D2CAE" w:rsidP="00661000">
            <w:pPr>
              <w:keepNext/>
              <w:rPr>
                <w:sz w:val="18"/>
                <w:szCs w:val="18"/>
              </w:rPr>
            </w:pPr>
            <w:r w:rsidRPr="007C0CDA">
              <w:rPr>
                <w:sz w:val="18"/>
                <w:szCs w:val="18"/>
              </w:rPr>
              <w:t>Later stage venture</w:t>
            </w:r>
          </w:p>
        </w:tc>
        <w:tc>
          <w:tcPr>
            <w:tcW w:w="1417" w:type="dxa"/>
            <w:shd w:val="clear" w:color="auto" w:fill="FFFFFF"/>
            <w:noWrap/>
            <w:vAlign w:val="center"/>
          </w:tcPr>
          <w:p w:rsidR="009D2CAE" w:rsidRPr="007C0CDA" w:rsidRDefault="009D2CAE" w:rsidP="00661000">
            <w:pPr>
              <w:keepNext/>
              <w:jc w:val="right"/>
              <w:rPr>
                <w:sz w:val="18"/>
                <w:szCs w:val="18"/>
              </w:rPr>
            </w:pPr>
            <w:r w:rsidRPr="007C0CDA">
              <w:rPr>
                <w:sz w:val="18"/>
                <w:szCs w:val="18"/>
              </w:rPr>
              <w:t>86 305</w:t>
            </w:r>
          </w:p>
        </w:tc>
        <w:tc>
          <w:tcPr>
            <w:tcW w:w="1005" w:type="dxa"/>
            <w:shd w:val="clear" w:color="auto" w:fill="FFFFFF"/>
            <w:noWrap/>
            <w:vAlign w:val="center"/>
          </w:tcPr>
          <w:p w:rsidR="009D2CAE" w:rsidRPr="007C0CDA" w:rsidRDefault="009D2CAE" w:rsidP="00661000">
            <w:pPr>
              <w:keepNext/>
              <w:jc w:val="right"/>
              <w:rPr>
                <w:sz w:val="18"/>
                <w:szCs w:val="18"/>
              </w:rPr>
            </w:pPr>
            <w:r w:rsidRPr="007C0CDA">
              <w:rPr>
                <w:sz w:val="18"/>
                <w:szCs w:val="18"/>
              </w:rPr>
              <w:t>4,36%</w:t>
            </w:r>
          </w:p>
        </w:tc>
        <w:tc>
          <w:tcPr>
            <w:tcW w:w="1405" w:type="dxa"/>
            <w:shd w:val="clear" w:color="auto" w:fill="FFFFFF"/>
            <w:noWrap/>
            <w:vAlign w:val="center"/>
          </w:tcPr>
          <w:p w:rsidR="009D2CAE" w:rsidRPr="007C0CDA" w:rsidRDefault="009D2CAE" w:rsidP="00661000">
            <w:pPr>
              <w:keepNext/>
              <w:jc w:val="right"/>
              <w:rPr>
                <w:sz w:val="18"/>
                <w:szCs w:val="18"/>
              </w:rPr>
            </w:pPr>
            <w:r w:rsidRPr="007C0CDA">
              <w:rPr>
                <w:sz w:val="18"/>
                <w:szCs w:val="18"/>
              </w:rPr>
              <w:t>439 566</w:t>
            </w:r>
          </w:p>
        </w:tc>
        <w:tc>
          <w:tcPr>
            <w:tcW w:w="1005" w:type="dxa"/>
            <w:shd w:val="clear" w:color="auto" w:fill="FFFFFF"/>
            <w:noWrap/>
            <w:vAlign w:val="center"/>
          </w:tcPr>
          <w:p w:rsidR="009D2CAE" w:rsidRPr="007C0CDA" w:rsidRDefault="009D2CAE" w:rsidP="00661000">
            <w:pPr>
              <w:keepNext/>
              <w:jc w:val="right"/>
              <w:rPr>
                <w:sz w:val="18"/>
                <w:szCs w:val="18"/>
              </w:rPr>
            </w:pPr>
            <w:r w:rsidRPr="007C0CDA">
              <w:rPr>
                <w:sz w:val="18"/>
                <w:szCs w:val="18"/>
              </w:rPr>
              <w:t>4,89%</w:t>
            </w:r>
          </w:p>
        </w:tc>
        <w:tc>
          <w:tcPr>
            <w:tcW w:w="1405" w:type="dxa"/>
            <w:shd w:val="clear" w:color="auto" w:fill="FFFFFF"/>
            <w:noWrap/>
            <w:vAlign w:val="center"/>
          </w:tcPr>
          <w:p w:rsidR="009D2CAE" w:rsidRPr="007C0CDA" w:rsidRDefault="009D2CAE" w:rsidP="00661000">
            <w:pPr>
              <w:keepNext/>
              <w:jc w:val="right"/>
              <w:rPr>
                <w:sz w:val="18"/>
                <w:szCs w:val="18"/>
              </w:rPr>
            </w:pPr>
            <w:r w:rsidRPr="007C0CDA">
              <w:rPr>
                <w:sz w:val="18"/>
                <w:szCs w:val="18"/>
              </w:rPr>
              <w:t>13 564 725</w:t>
            </w:r>
          </w:p>
        </w:tc>
        <w:tc>
          <w:tcPr>
            <w:tcW w:w="992" w:type="dxa"/>
            <w:shd w:val="clear" w:color="auto" w:fill="FFFFFF"/>
            <w:noWrap/>
            <w:vAlign w:val="center"/>
          </w:tcPr>
          <w:p w:rsidR="009D2CAE" w:rsidRPr="007C0CDA" w:rsidRDefault="009D2CAE" w:rsidP="00661000">
            <w:pPr>
              <w:keepNext/>
              <w:jc w:val="right"/>
              <w:rPr>
                <w:sz w:val="18"/>
                <w:szCs w:val="18"/>
              </w:rPr>
            </w:pPr>
            <w:r w:rsidRPr="007C0CDA">
              <w:rPr>
                <w:sz w:val="18"/>
                <w:szCs w:val="18"/>
              </w:rPr>
              <w:t>5,08%</w:t>
            </w:r>
          </w:p>
        </w:tc>
      </w:tr>
      <w:tr w:rsidR="009D2CAE" w:rsidRPr="007C0CDA" w:rsidTr="00661000">
        <w:trPr>
          <w:trHeight w:val="20"/>
        </w:trPr>
        <w:tc>
          <w:tcPr>
            <w:tcW w:w="2093" w:type="dxa"/>
            <w:shd w:val="clear" w:color="auto" w:fill="FFFFFF"/>
            <w:noWrap/>
          </w:tcPr>
          <w:p w:rsidR="009D2CAE" w:rsidRPr="007C0CDA" w:rsidRDefault="009D2CAE" w:rsidP="00661000">
            <w:pPr>
              <w:keepNext/>
              <w:rPr>
                <w:sz w:val="18"/>
                <w:szCs w:val="18"/>
              </w:rPr>
            </w:pPr>
            <w:r w:rsidRPr="007C0CDA">
              <w:rPr>
                <w:sz w:val="18"/>
                <w:szCs w:val="18"/>
              </w:rPr>
              <w:t>Celkem VC</w:t>
            </w:r>
          </w:p>
        </w:tc>
        <w:tc>
          <w:tcPr>
            <w:tcW w:w="1417" w:type="dxa"/>
            <w:shd w:val="clear" w:color="auto" w:fill="FFFFFF"/>
            <w:noWrap/>
            <w:vAlign w:val="center"/>
          </w:tcPr>
          <w:p w:rsidR="009D2CAE" w:rsidRPr="007C0CDA" w:rsidRDefault="009D2CAE" w:rsidP="00661000">
            <w:pPr>
              <w:keepNext/>
              <w:jc w:val="right"/>
              <w:rPr>
                <w:sz w:val="18"/>
                <w:szCs w:val="18"/>
              </w:rPr>
            </w:pPr>
            <w:r w:rsidRPr="007C0CDA">
              <w:rPr>
                <w:sz w:val="18"/>
                <w:szCs w:val="18"/>
              </w:rPr>
              <w:t>103 065</w:t>
            </w:r>
          </w:p>
        </w:tc>
        <w:tc>
          <w:tcPr>
            <w:tcW w:w="1005" w:type="dxa"/>
            <w:shd w:val="clear" w:color="auto" w:fill="FFFFFF"/>
            <w:noWrap/>
            <w:vAlign w:val="center"/>
          </w:tcPr>
          <w:p w:rsidR="009D2CAE" w:rsidRPr="007C0CDA" w:rsidRDefault="009D2CAE" w:rsidP="00661000">
            <w:pPr>
              <w:keepNext/>
              <w:jc w:val="right"/>
              <w:rPr>
                <w:sz w:val="18"/>
                <w:szCs w:val="18"/>
              </w:rPr>
            </w:pPr>
            <w:r w:rsidRPr="007C0CDA">
              <w:rPr>
                <w:sz w:val="18"/>
                <w:szCs w:val="18"/>
              </w:rPr>
              <w:t>5,71%</w:t>
            </w:r>
          </w:p>
        </w:tc>
        <w:tc>
          <w:tcPr>
            <w:tcW w:w="1405" w:type="dxa"/>
            <w:shd w:val="clear" w:color="auto" w:fill="FFFFFF"/>
            <w:noWrap/>
            <w:vAlign w:val="center"/>
          </w:tcPr>
          <w:p w:rsidR="009D2CAE" w:rsidRPr="007C0CDA" w:rsidRDefault="009D2CAE" w:rsidP="00661000">
            <w:pPr>
              <w:keepNext/>
              <w:jc w:val="right"/>
              <w:rPr>
                <w:sz w:val="18"/>
                <w:szCs w:val="18"/>
              </w:rPr>
            </w:pPr>
            <w:r w:rsidRPr="007C0CDA">
              <w:rPr>
                <w:sz w:val="18"/>
                <w:szCs w:val="18"/>
              </w:rPr>
              <w:t>708 634</w:t>
            </w:r>
          </w:p>
        </w:tc>
        <w:tc>
          <w:tcPr>
            <w:tcW w:w="1005" w:type="dxa"/>
            <w:shd w:val="clear" w:color="auto" w:fill="FFFFFF"/>
            <w:noWrap/>
            <w:vAlign w:val="center"/>
          </w:tcPr>
          <w:p w:rsidR="009D2CAE" w:rsidRPr="007C0CDA" w:rsidRDefault="009D2CAE" w:rsidP="00661000">
            <w:pPr>
              <w:keepNext/>
              <w:jc w:val="right"/>
              <w:rPr>
                <w:sz w:val="18"/>
                <w:szCs w:val="18"/>
              </w:rPr>
            </w:pPr>
            <w:r w:rsidRPr="007C0CDA">
              <w:rPr>
                <w:sz w:val="18"/>
                <w:szCs w:val="18"/>
              </w:rPr>
              <w:t>10,39%</w:t>
            </w:r>
          </w:p>
        </w:tc>
        <w:tc>
          <w:tcPr>
            <w:tcW w:w="1405" w:type="dxa"/>
            <w:shd w:val="clear" w:color="auto" w:fill="FFFFFF"/>
            <w:noWrap/>
            <w:vAlign w:val="center"/>
          </w:tcPr>
          <w:p w:rsidR="009D2CAE" w:rsidRPr="007C0CDA" w:rsidRDefault="009D2CAE" w:rsidP="00661000">
            <w:pPr>
              <w:keepNext/>
              <w:jc w:val="right"/>
              <w:rPr>
                <w:sz w:val="18"/>
                <w:szCs w:val="18"/>
              </w:rPr>
            </w:pPr>
            <w:r w:rsidRPr="007C0CDA">
              <w:rPr>
                <w:sz w:val="18"/>
                <w:szCs w:val="18"/>
              </w:rPr>
              <w:t>26 683 977</w:t>
            </w:r>
          </w:p>
        </w:tc>
        <w:tc>
          <w:tcPr>
            <w:tcW w:w="992" w:type="dxa"/>
            <w:shd w:val="clear" w:color="auto" w:fill="FFFFFF"/>
            <w:noWrap/>
            <w:vAlign w:val="center"/>
          </w:tcPr>
          <w:p w:rsidR="009D2CAE" w:rsidRPr="007C0CDA" w:rsidRDefault="009D2CAE" w:rsidP="00661000">
            <w:pPr>
              <w:keepNext/>
              <w:jc w:val="right"/>
              <w:rPr>
                <w:sz w:val="18"/>
                <w:szCs w:val="18"/>
              </w:rPr>
            </w:pPr>
            <w:r w:rsidRPr="007C0CDA">
              <w:rPr>
                <w:sz w:val="18"/>
                <w:szCs w:val="18"/>
              </w:rPr>
              <w:t>10,31%</w:t>
            </w:r>
          </w:p>
        </w:tc>
      </w:tr>
      <w:tr w:rsidR="009D2CAE" w:rsidRPr="007C0CDA" w:rsidTr="00661000">
        <w:trPr>
          <w:trHeight w:val="20"/>
        </w:trPr>
        <w:tc>
          <w:tcPr>
            <w:tcW w:w="2093" w:type="dxa"/>
            <w:shd w:val="clear" w:color="auto" w:fill="FFFFFF"/>
            <w:noWrap/>
          </w:tcPr>
          <w:p w:rsidR="009D2CAE" w:rsidRPr="007C0CDA" w:rsidRDefault="009D2CAE" w:rsidP="00661000">
            <w:pPr>
              <w:keepNext/>
              <w:rPr>
                <w:sz w:val="18"/>
                <w:szCs w:val="18"/>
              </w:rPr>
            </w:pPr>
            <w:r w:rsidRPr="007C0CDA">
              <w:rPr>
                <w:sz w:val="18"/>
                <w:szCs w:val="18"/>
              </w:rPr>
              <w:t>Growth</w:t>
            </w:r>
          </w:p>
        </w:tc>
        <w:tc>
          <w:tcPr>
            <w:tcW w:w="1417" w:type="dxa"/>
            <w:shd w:val="clear" w:color="auto" w:fill="FFFFFF"/>
            <w:noWrap/>
            <w:vAlign w:val="center"/>
          </w:tcPr>
          <w:p w:rsidR="009D2CAE" w:rsidRPr="007C0CDA" w:rsidRDefault="009D2CAE" w:rsidP="00661000">
            <w:pPr>
              <w:keepNext/>
              <w:jc w:val="right"/>
              <w:rPr>
                <w:sz w:val="18"/>
                <w:szCs w:val="18"/>
              </w:rPr>
            </w:pPr>
            <w:r w:rsidRPr="007C0CDA">
              <w:rPr>
                <w:sz w:val="18"/>
                <w:szCs w:val="18"/>
              </w:rPr>
              <w:t>507 801</w:t>
            </w:r>
          </w:p>
        </w:tc>
        <w:tc>
          <w:tcPr>
            <w:tcW w:w="1005" w:type="dxa"/>
            <w:shd w:val="clear" w:color="auto" w:fill="FFFFFF"/>
            <w:noWrap/>
            <w:vAlign w:val="center"/>
          </w:tcPr>
          <w:p w:rsidR="009D2CAE" w:rsidRPr="007C0CDA" w:rsidRDefault="009D2CAE" w:rsidP="00661000">
            <w:pPr>
              <w:keepNext/>
              <w:jc w:val="right"/>
              <w:rPr>
                <w:sz w:val="18"/>
                <w:szCs w:val="18"/>
              </w:rPr>
            </w:pPr>
            <w:r w:rsidRPr="007C0CDA">
              <w:rPr>
                <w:sz w:val="18"/>
                <w:szCs w:val="18"/>
              </w:rPr>
              <w:t>25,91%</w:t>
            </w:r>
          </w:p>
        </w:tc>
        <w:tc>
          <w:tcPr>
            <w:tcW w:w="1405" w:type="dxa"/>
            <w:shd w:val="clear" w:color="auto" w:fill="FFFFFF"/>
            <w:noWrap/>
            <w:vAlign w:val="center"/>
          </w:tcPr>
          <w:p w:rsidR="009D2CAE" w:rsidRPr="007C0CDA" w:rsidRDefault="009D2CAE" w:rsidP="00661000">
            <w:pPr>
              <w:keepNext/>
              <w:jc w:val="right"/>
              <w:rPr>
                <w:sz w:val="18"/>
                <w:szCs w:val="18"/>
              </w:rPr>
            </w:pPr>
            <w:r w:rsidRPr="007C0CDA">
              <w:rPr>
                <w:sz w:val="18"/>
                <w:szCs w:val="18"/>
              </w:rPr>
              <w:t>2 364 639</w:t>
            </w:r>
          </w:p>
        </w:tc>
        <w:tc>
          <w:tcPr>
            <w:tcW w:w="1005" w:type="dxa"/>
            <w:shd w:val="clear" w:color="auto" w:fill="FFFFFF"/>
            <w:noWrap/>
            <w:vAlign w:val="center"/>
          </w:tcPr>
          <w:p w:rsidR="009D2CAE" w:rsidRPr="007C0CDA" w:rsidRDefault="009D2CAE" w:rsidP="00661000">
            <w:pPr>
              <w:keepNext/>
              <w:jc w:val="right"/>
              <w:rPr>
                <w:sz w:val="18"/>
                <w:szCs w:val="18"/>
              </w:rPr>
            </w:pPr>
            <w:r w:rsidRPr="007C0CDA">
              <w:rPr>
                <w:sz w:val="18"/>
                <w:szCs w:val="18"/>
              </w:rPr>
              <w:t>30,37%</w:t>
            </w:r>
          </w:p>
        </w:tc>
        <w:tc>
          <w:tcPr>
            <w:tcW w:w="1405" w:type="dxa"/>
            <w:shd w:val="clear" w:color="auto" w:fill="FFFFFF"/>
            <w:noWrap/>
            <w:vAlign w:val="center"/>
          </w:tcPr>
          <w:p w:rsidR="009D2CAE" w:rsidRPr="007C0CDA" w:rsidRDefault="009D2CAE" w:rsidP="00661000">
            <w:pPr>
              <w:keepNext/>
              <w:jc w:val="right"/>
              <w:rPr>
                <w:sz w:val="18"/>
                <w:szCs w:val="18"/>
              </w:rPr>
            </w:pPr>
            <w:r w:rsidRPr="007C0CDA">
              <w:rPr>
                <w:sz w:val="18"/>
                <w:szCs w:val="18"/>
              </w:rPr>
              <w:t>31 406 288</w:t>
            </w:r>
          </w:p>
        </w:tc>
        <w:tc>
          <w:tcPr>
            <w:tcW w:w="992" w:type="dxa"/>
            <w:shd w:val="clear" w:color="auto" w:fill="FFFFFF"/>
            <w:noWrap/>
            <w:vAlign w:val="center"/>
          </w:tcPr>
          <w:p w:rsidR="009D2CAE" w:rsidRPr="007C0CDA" w:rsidRDefault="009D2CAE" w:rsidP="00661000">
            <w:pPr>
              <w:keepNext/>
              <w:jc w:val="right"/>
              <w:rPr>
                <w:sz w:val="18"/>
                <w:szCs w:val="18"/>
              </w:rPr>
            </w:pPr>
            <w:r w:rsidRPr="007C0CDA">
              <w:rPr>
                <w:sz w:val="18"/>
                <w:szCs w:val="18"/>
              </w:rPr>
              <w:t>12,80%</w:t>
            </w:r>
          </w:p>
        </w:tc>
      </w:tr>
      <w:tr w:rsidR="009D2CAE" w:rsidRPr="007C0CDA" w:rsidTr="00661000">
        <w:trPr>
          <w:trHeight w:val="20"/>
        </w:trPr>
        <w:tc>
          <w:tcPr>
            <w:tcW w:w="2093" w:type="dxa"/>
            <w:shd w:val="clear" w:color="auto" w:fill="FFFFFF"/>
            <w:noWrap/>
          </w:tcPr>
          <w:p w:rsidR="009D2CAE" w:rsidRPr="007C0CDA" w:rsidRDefault="009D2CAE" w:rsidP="00661000">
            <w:pPr>
              <w:keepNext/>
              <w:rPr>
                <w:sz w:val="18"/>
                <w:szCs w:val="18"/>
              </w:rPr>
            </w:pPr>
            <w:r w:rsidRPr="007C0CDA">
              <w:rPr>
                <w:sz w:val="18"/>
                <w:szCs w:val="18"/>
              </w:rPr>
              <w:t>Rescue/Turnaround</w:t>
            </w:r>
          </w:p>
        </w:tc>
        <w:tc>
          <w:tcPr>
            <w:tcW w:w="1417" w:type="dxa"/>
            <w:shd w:val="clear" w:color="auto" w:fill="FFFFFF"/>
            <w:noWrap/>
            <w:vAlign w:val="center"/>
          </w:tcPr>
          <w:p w:rsidR="009D2CAE" w:rsidRPr="007C0CDA" w:rsidRDefault="009D2CAE" w:rsidP="00661000">
            <w:pPr>
              <w:keepNext/>
              <w:jc w:val="right"/>
              <w:rPr>
                <w:sz w:val="18"/>
                <w:szCs w:val="18"/>
              </w:rPr>
            </w:pPr>
            <w:r w:rsidRPr="007C0CDA">
              <w:rPr>
                <w:sz w:val="18"/>
                <w:szCs w:val="18"/>
              </w:rPr>
              <w:t>475</w:t>
            </w:r>
          </w:p>
        </w:tc>
        <w:tc>
          <w:tcPr>
            <w:tcW w:w="1005" w:type="dxa"/>
            <w:shd w:val="clear" w:color="auto" w:fill="FFFFFF"/>
            <w:noWrap/>
            <w:vAlign w:val="center"/>
          </w:tcPr>
          <w:p w:rsidR="009D2CAE" w:rsidRPr="007C0CDA" w:rsidRDefault="009D2CAE" w:rsidP="00661000">
            <w:pPr>
              <w:keepNext/>
              <w:jc w:val="right"/>
              <w:rPr>
                <w:sz w:val="18"/>
                <w:szCs w:val="18"/>
              </w:rPr>
            </w:pPr>
            <w:r w:rsidRPr="007C0CDA">
              <w:rPr>
                <w:sz w:val="18"/>
                <w:szCs w:val="18"/>
              </w:rPr>
              <w:t>0,01%</w:t>
            </w:r>
          </w:p>
        </w:tc>
        <w:tc>
          <w:tcPr>
            <w:tcW w:w="1405" w:type="dxa"/>
            <w:shd w:val="clear" w:color="auto" w:fill="FFFFFF"/>
            <w:noWrap/>
            <w:vAlign w:val="center"/>
          </w:tcPr>
          <w:p w:rsidR="009D2CAE" w:rsidRPr="007C0CDA" w:rsidRDefault="009D2CAE" w:rsidP="00661000">
            <w:pPr>
              <w:keepNext/>
              <w:jc w:val="right"/>
              <w:rPr>
                <w:sz w:val="18"/>
                <w:szCs w:val="18"/>
              </w:rPr>
            </w:pPr>
            <w:r w:rsidRPr="007C0CDA">
              <w:rPr>
                <w:sz w:val="18"/>
                <w:szCs w:val="18"/>
              </w:rPr>
              <w:t>18 295</w:t>
            </w:r>
          </w:p>
        </w:tc>
        <w:tc>
          <w:tcPr>
            <w:tcW w:w="1005" w:type="dxa"/>
            <w:shd w:val="clear" w:color="auto" w:fill="FFFFFF"/>
            <w:noWrap/>
            <w:vAlign w:val="center"/>
          </w:tcPr>
          <w:p w:rsidR="009D2CAE" w:rsidRPr="007C0CDA" w:rsidRDefault="009D2CAE" w:rsidP="00661000">
            <w:pPr>
              <w:keepNext/>
              <w:jc w:val="right"/>
              <w:rPr>
                <w:sz w:val="18"/>
                <w:szCs w:val="18"/>
              </w:rPr>
            </w:pPr>
            <w:r w:rsidRPr="007C0CDA">
              <w:rPr>
                <w:sz w:val="18"/>
                <w:szCs w:val="18"/>
              </w:rPr>
              <w:t>0,28%</w:t>
            </w:r>
          </w:p>
        </w:tc>
        <w:tc>
          <w:tcPr>
            <w:tcW w:w="1405" w:type="dxa"/>
            <w:shd w:val="clear" w:color="auto" w:fill="FFFFFF"/>
            <w:noWrap/>
            <w:vAlign w:val="center"/>
          </w:tcPr>
          <w:p w:rsidR="009D2CAE" w:rsidRPr="007C0CDA" w:rsidRDefault="009D2CAE" w:rsidP="00661000">
            <w:pPr>
              <w:keepNext/>
              <w:jc w:val="right"/>
              <w:rPr>
                <w:sz w:val="18"/>
                <w:szCs w:val="18"/>
              </w:rPr>
            </w:pPr>
            <w:r w:rsidRPr="007C0CDA">
              <w:rPr>
                <w:sz w:val="18"/>
                <w:szCs w:val="18"/>
              </w:rPr>
              <w:t>2 799 031</w:t>
            </w:r>
          </w:p>
        </w:tc>
        <w:tc>
          <w:tcPr>
            <w:tcW w:w="992" w:type="dxa"/>
            <w:shd w:val="clear" w:color="auto" w:fill="FFFFFF"/>
            <w:noWrap/>
            <w:vAlign w:val="center"/>
          </w:tcPr>
          <w:p w:rsidR="009D2CAE" w:rsidRPr="007C0CDA" w:rsidRDefault="009D2CAE" w:rsidP="00661000">
            <w:pPr>
              <w:keepNext/>
              <w:jc w:val="right"/>
              <w:rPr>
                <w:sz w:val="18"/>
                <w:szCs w:val="18"/>
              </w:rPr>
            </w:pPr>
            <w:r w:rsidRPr="007C0CDA">
              <w:rPr>
                <w:sz w:val="18"/>
                <w:szCs w:val="18"/>
              </w:rPr>
              <w:t>1,22%</w:t>
            </w:r>
          </w:p>
        </w:tc>
      </w:tr>
      <w:tr w:rsidR="009D2CAE" w:rsidRPr="007C0CDA" w:rsidTr="00661000">
        <w:trPr>
          <w:trHeight w:val="20"/>
        </w:trPr>
        <w:tc>
          <w:tcPr>
            <w:tcW w:w="2093" w:type="dxa"/>
            <w:shd w:val="clear" w:color="auto" w:fill="FFFFFF"/>
            <w:noWrap/>
          </w:tcPr>
          <w:p w:rsidR="009D2CAE" w:rsidRPr="007C0CDA" w:rsidRDefault="009D2CAE" w:rsidP="00661000">
            <w:pPr>
              <w:keepNext/>
              <w:rPr>
                <w:sz w:val="18"/>
                <w:szCs w:val="18"/>
              </w:rPr>
            </w:pPr>
            <w:r w:rsidRPr="007C0CDA">
              <w:rPr>
                <w:sz w:val="18"/>
                <w:szCs w:val="18"/>
              </w:rPr>
              <w:t>Replacement capital</w:t>
            </w:r>
          </w:p>
        </w:tc>
        <w:tc>
          <w:tcPr>
            <w:tcW w:w="1417" w:type="dxa"/>
            <w:shd w:val="clear" w:color="auto" w:fill="FFFFFF"/>
            <w:noWrap/>
            <w:vAlign w:val="center"/>
          </w:tcPr>
          <w:p w:rsidR="009D2CAE" w:rsidRPr="007C0CDA" w:rsidRDefault="009D2CAE" w:rsidP="00661000">
            <w:pPr>
              <w:keepNext/>
              <w:jc w:val="right"/>
              <w:rPr>
                <w:sz w:val="18"/>
                <w:szCs w:val="18"/>
              </w:rPr>
            </w:pPr>
            <w:r w:rsidRPr="007C0CDA">
              <w:rPr>
                <w:sz w:val="18"/>
                <w:szCs w:val="18"/>
              </w:rPr>
              <w:t>289 965</w:t>
            </w:r>
          </w:p>
        </w:tc>
        <w:tc>
          <w:tcPr>
            <w:tcW w:w="1005" w:type="dxa"/>
            <w:shd w:val="clear" w:color="auto" w:fill="FFFFFF"/>
            <w:noWrap/>
            <w:vAlign w:val="center"/>
          </w:tcPr>
          <w:p w:rsidR="009D2CAE" w:rsidRPr="007C0CDA" w:rsidRDefault="009D2CAE" w:rsidP="00661000">
            <w:pPr>
              <w:keepNext/>
              <w:jc w:val="right"/>
              <w:rPr>
                <w:sz w:val="18"/>
                <w:szCs w:val="18"/>
              </w:rPr>
            </w:pPr>
            <w:r w:rsidRPr="007C0CDA">
              <w:rPr>
                <w:sz w:val="18"/>
                <w:szCs w:val="18"/>
              </w:rPr>
              <w:t>7,63%</w:t>
            </w:r>
          </w:p>
        </w:tc>
        <w:tc>
          <w:tcPr>
            <w:tcW w:w="1405" w:type="dxa"/>
            <w:shd w:val="clear" w:color="auto" w:fill="FFFFFF"/>
            <w:noWrap/>
            <w:vAlign w:val="center"/>
          </w:tcPr>
          <w:p w:rsidR="009D2CAE" w:rsidRPr="007C0CDA" w:rsidRDefault="009D2CAE" w:rsidP="00661000">
            <w:pPr>
              <w:keepNext/>
              <w:jc w:val="right"/>
              <w:rPr>
                <w:sz w:val="18"/>
                <w:szCs w:val="18"/>
              </w:rPr>
            </w:pPr>
            <w:r w:rsidRPr="007C0CDA">
              <w:rPr>
                <w:sz w:val="18"/>
                <w:szCs w:val="18"/>
              </w:rPr>
              <w:t>517 134</w:t>
            </w:r>
          </w:p>
        </w:tc>
        <w:tc>
          <w:tcPr>
            <w:tcW w:w="1005" w:type="dxa"/>
            <w:shd w:val="clear" w:color="auto" w:fill="FFFFFF"/>
            <w:noWrap/>
            <w:vAlign w:val="center"/>
          </w:tcPr>
          <w:p w:rsidR="009D2CAE" w:rsidRPr="007C0CDA" w:rsidRDefault="009D2CAE" w:rsidP="00661000">
            <w:pPr>
              <w:keepNext/>
              <w:jc w:val="right"/>
              <w:rPr>
                <w:sz w:val="18"/>
                <w:szCs w:val="18"/>
              </w:rPr>
            </w:pPr>
            <w:r w:rsidRPr="007C0CDA">
              <w:rPr>
                <w:sz w:val="18"/>
                <w:szCs w:val="18"/>
              </w:rPr>
              <w:t>4,41%</w:t>
            </w:r>
          </w:p>
        </w:tc>
        <w:tc>
          <w:tcPr>
            <w:tcW w:w="1405" w:type="dxa"/>
            <w:shd w:val="clear" w:color="auto" w:fill="FFFFFF"/>
            <w:noWrap/>
            <w:vAlign w:val="center"/>
          </w:tcPr>
          <w:p w:rsidR="009D2CAE" w:rsidRPr="007C0CDA" w:rsidRDefault="009D2CAE" w:rsidP="00661000">
            <w:pPr>
              <w:keepNext/>
              <w:jc w:val="right"/>
              <w:rPr>
                <w:sz w:val="18"/>
                <w:szCs w:val="18"/>
              </w:rPr>
            </w:pPr>
            <w:r w:rsidRPr="007C0CDA">
              <w:rPr>
                <w:sz w:val="18"/>
                <w:szCs w:val="18"/>
              </w:rPr>
              <w:t>9 329 771</w:t>
            </w:r>
          </w:p>
        </w:tc>
        <w:tc>
          <w:tcPr>
            <w:tcW w:w="992" w:type="dxa"/>
            <w:shd w:val="clear" w:color="auto" w:fill="FFFFFF"/>
            <w:noWrap/>
            <w:vAlign w:val="center"/>
          </w:tcPr>
          <w:p w:rsidR="009D2CAE" w:rsidRPr="007C0CDA" w:rsidRDefault="009D2CAE" w:rsidP="00661000">
            <w:pPr>
              <w:keepNext/>
              <w:jc w:val="right"/>
              <w:rPr>
                <w:sz w:val="18"/>
                <w:szCs w:val="18"/>
              </w:rPr>
            </w:pPr>
            <w:r w:rsidRPr="007C0CDA">
              <w:rPr>
                <w:sz w:val="18"/>
                <w:szCs w:val="18"/>
              </w:rPr>
              <w:t>3,88%</w:t>
            </w:r>
          </w:p>
        </w:tc>
      </w:tr>
      <w:tr w:rsidR="009D2CAE" w:rsidRPr="007C0CDA" w:rsidTr="00661000">
        <w:trPr>
          <w:trHeight w:val="20"/>
        </w:trPr>
        <w:tc>
          <w:tcPr>
            <w:tcW w:w="2093" w:type="dxa"/>
            <w:shd w:val="clear" w:color="auto" w:fill="FFFFFF"/>
            <w:noWrap/>
          </w:tcPr>
          <w:p w:rsidR="009D2CAE" w:rsidRPr="007C0CDA" w:rsidRDefault="009D2CAE" w:rsidP="00661000">
            <w:pPr>
              <w:keepNext/>
              <w:rPr>
                <w:sz w:val="18"/>
                <w:szCs w:val="18"/>
              </w:rPr>
            </w:pPr>
            <w:r w:rsidRPr="007C0CDA">
              <w:rPr>
                <w:sz w:val="18"/>
                <w:szCs w:val="18"/>
              </w:rPr>
              <w:t>Buyout</w:t>
            </w:r>
          </w:p>
        </w:tc>
        <w:tc>
          <w:tcPr>
            <w:tcW w:w="1417" w:type="dxa"/>
            <w:shd w:val="clear" w:color="auto" w:fill="FFFFFF"/>
            <w:noWrap/>
            <w:vAlign w:val="center"/>
          </w:tcPr>
          <w:p w:rsidR="009D2CAE" w:rsidRPr="007C0CDA" w:rsidRDefault="009D2CAE" w:rsidP="00661000">
            <w:pPr>
              <w:keepNext/>
              <w:jc w:val="right"/>
              <w:rPr>
                <w:sz w:val="18"/>
                <w:szCs w:val="18"/>
              </w:rPr>
            </w:pPr>
            <w:r w:rsidRPr="007C0CDA">
              <w:rPr>
                <w:sz w:val="18"/>
                <w:szCs w:val="18"/>
              </w:rPr>
              <w:t>1 539 369</w:t>
            </w:r>
          </w:p>
        </w:tc>
        <w:tc>
          <w:tcPr>
            <w:tcW w:w="1005" w:type="dxa"/>
            <w:shd w:val="clear" w:color="auto" w:fill="FFFFFF"/>
            <w:noWrap/>
            <w:vAlign w:val="center"/>
          </w:tcPr>
          <w:p w:rsidR="009D2CAE" w:rsidRPr="007C0CDA" w:rsidRDefault="009D2CAE" w:rsidP="00661000">
            <w:pPr>
              <w:keepNext/>
              <w:jc w:val="right"/>
              <w:rPr>
                <w:sz w:val="18"/>
                <w:szCs w:val="18"/>
              </w:rPr>
            </w:pPr>
            <w:r w:rsidRPr="007C0CDA">
              <w:rPr>
                <w:sz w:val="18"/>
                <w:szCs w:val="18"/>
              </w:rPr>
              <w:t>60,75%</w:t>
            </w:r>
          </w:p>
        </w:tc>
        <w:tc>
          <w:tcPr>
            <w:tcW w:w="1405" w:type="dxa"/>
            <w:shd w:val="clear" w:color="auto" w:fill="FFFFFF"/>
            <w:noWrap/>
            <w:vAlign w:val="center"/>
          </w:tcPr>
          <w:p w:rsidR="009D2CAE" w:rsidRPr="007C0CDA" w:rsidRDefault="009D2CAE" w:rsidP="00661000">
            <w:pPr>
              <w:keepNext/>
              <w:jc w:val="right"/>
              <w:rPr>
                <w:sz w:val="18"/>
                <w:szCs w:val="18"/>
              </w:rPr>
            </w:pPr>
            <w:r w:rsidRPr="007C0CDA">
              <w:rPr>
                <w:sz w:val="18"/>
                <w:szCs w:val="18"/>
              </w:rPr>
              <w:t>6 698 770</w:t>
            </w:r>
          </w:p>
        </w:tc>
        <w:tc>
          <w:tcPr>
            <w:tcW w:w="1005" w:type="dxa"/>
            <w:shd w:val="clear" w:color="auto" w:fill="FFFFFF"/>
            <w:noWrap/>
            <w:vAlign w:val="center"/>
          </w:tcPr>
          <w:p w:rsidR="009D2CAE" w:rsidRPr="007C0CDA" w:rsidRDefault="009D2CAE" w:rsidP="00661000">
            <w:pPr>
              <w:keepNext/>
              <w:jc w:val="right"/>
              <w:rPr>
                <w:sz w:val="18"/>
                <w:szCs w:val="18"/>
              </w:rPr>
            </w:pPr>
            <w:r w:rsidRPr="007C0CDA">
              <w:rPr>
                <w:sz w:val="18"/>
                <w:szCs w:val="18"/>
              </w:rPr>
              <w:t>54,55%</w:t>
            </w:r>
          </w:p>
        </w:tc>
        <w:tc>
          <w:tcPr>
            <w:tcW w:w="1405" w:type="dxa"/>
            <w:shd w:val="clear" w:color="auto" w:fill="FFFFFF"/>
            <w:noWrap/>
            <w:vAlign w:val="center"/>
          </w:tcPr>
          <w:p w:rsidR="009D2CAE" w:rsidRPr="007C0CDA" w:rsidRDefault="009D2CAE" w:rsidP="00661000">
            <w:pPr>
              <w:keepNext/>
              <w:jc w:val="right"/>
              <w:rPr>
                <w:sz w:val="18"/>
                <w:szCs w:val="18"/>
              </w:rPr>
            </w:pPr>
            <w:r w:rsidRPr="007C0CDA">
              <w:rPr>
                <w:sz w:val="18"/>
                <w:szCs w:val="18"/>
              </w:rPr>
              <w:t>200 544 333</w:t>
            </w:r>
          </w:p>
        </w:tc>
        <w:tc>
          <w:tcPr>
            <w:tcW w:w="992" w:type="dxa"/>
            <w:shd w:val="clear" w:color="auto" w:fill="FFFFFF"/>
            <w:noWrap/>
            <w:vAlign w:val="center"/>
          </w:tcPr>
          <w:p w:rsidR="009D2CAE" w:rsidRPr="007C0CDA" w:rsidRDefault="009D2CAE" w:rsidP="00661000">
            <w:pPr>
              <w:keepNext/>
              <w:jc w:val="right"/>
              <w:rPr>
                <w:sz w:val="18"/>
                <w:szCs w:val="18"/>
              </w:rPr>
            </w:pPr>
            <w:r w:rsidRPr="007C0CDA">
              <w:rPr>
                <w:sz w:val="18"/>
                <w:szCs w:val="18"/>
              </w:rPr>
              <w:t>71,79%</w:t>
            </w:r>
          </w:p>
        </w:tc>
      </w:tr>
      <w:tr w:rsidR="009D2CAE" w:rsidRPr="007C0CDA" w:rsidTr="00661000">
        <w:trPr>
          <w:trHeight w:val="20"/>
        </w:trPr>
        <w:tc>
          <w:tcPr>
            <w:tcW w:w="2093" w:type="dxa"/>
            <w:shd w:val="clear" w:color="auto" w:fill="92D050"/>
            <w:noWrap/>
          </w:tcPr>
          <w:p w:rsidR="009D2CAE" w:rsidRPr="007C0CDA" w:rsidRDefault="009D2CAE" w:rsidP="00661000">
            <w:pPr>
              <w:keepNext/>
              <w:rPr>
                <w:b/>
                <w:sz w:val="18"/>
                <w:szCs w:val="18"/>
              </w:rPr>
            </w:pPr>
            <w:r w:rsidRPr="007C0CDA">
              <w:rPr>
                <w:b/>
                <w:sz w:val="18"/>
                <w:szCs w:val="18"/>
              </w:rPr>
              <w:t>Celkem</w:t>
            </w:r>
          </w:p>
        </w:tc>
        <w:tc>
          <w:tcPr>
            <w:tcW w:w="1417" w:type="dxa"/>
            <w:shd w:val="clear" w:color="auto" w:fill="92D050"/>
            <w:noWrap/>
            <w:vAlign w:val="center"/>
          </w:tcPr>
          <w:p w:rsidR="009D2CAE" w:rsidRPr="007C0CDA" w:rsidRDefault="009D2CAE" w:rsidP="00661000">
            <w:pPr>
              <w:keepNext/>
              <w:jc w:val="right"/>
              <w:rPr>
                <w:b/>
                <w:sz w:val="18"/>
                <w:szCs w:val="18"/>
              </w:rPr>
            </w:pPr>
            <w:r w:rsidRPr="007C0CDA">
              <w:rPr>
                <w:b/>
                <w:sz w:val="18"/>
                <w:szCs w:val="18"/>
              </w:rPr>
              <w:t>2 445 367</w:t>
            </w:r>
          </w:p>
        </w:tc>
        <w:tc>
          <w:tcPr>
            <w:tcW w:w="1005" w:type="dxa"/>
            <w:shd w:val="clear" w:color="auto" w:fill="92D050"/>
            <w:noWrap/>
            <w:vAlign w:val="center"/>
          </w:tcPr>
          <w:p w:rsidR="009D2CAE" w:rsidRPr="007C0CDA" w:rsidRDefault="009D2CAE" w:rsidP="00661000">
            <w:pPr>
              <w:keepNext/>
              <w:jc w:val="right"/>
              <w:rPr>
                <w:b/>
                <w:sz w:val="18"/>
                <w:szCs w:val="18"/>
              </w:rPr>
            </w:pPr>
            <w:r w:rsidRPr="007C0CDA">
              <w:rPr>
                <w:b/>
                <w:sz w:val="18"/>
                <w:szCs w:val="18"/>
              </w:rPr>
              <w:t>100,00%</w:t>
            </w:r>
          </w:p>
        </w:tc>
        <w:tc>
          <w:tcPr>
            <w:tcW w:w="1405" w:type="dxa"/>
            <w:shd w:val="clear" w:color="auto" w:fill="92D050"/>
            <w:noWrap/>
            <w:vAlign w:val="center"/>
          </w:tcPr>
          <w:p w:rsidR="009D2CAE" w:rsidRPr="007C0CDA" w:rsidRDefault="009D2CAE" w:rsidP="00661000">
            <w:pPr>
              <w:keepNext/>
              <w:jc w:val="right"/>
              <w:rPr>
                <w:b/>
                <w:sz w:val="18"/>
                <w:szCs w:val="18"/>
              </w:rPr>
            </w:pPr>
            <w:r w:rsidRPr="007C0CDA">
              <w:rPr>
                <w:b/>
                <w:sz w:val="18"/>
                <w:szCs w:val="18"/>
              </w:rPr>
              <w:t>10 312 164</w:t>
            </w:r>
          </w:p>
        </w:tc>
        <w:tc>
          <w:tcPr>
            <w:tcW w:w="1005" w:type="dxa"/>
            <w:shd w:val="clear" w:color="auto" w:fill="92D050"/>
            <w:noWrap/>
            <w:vAlign w:val="center"/>
          </w:tcPr>
          <w:p w:rsidR="009D2CAE" w:rsidRPr="007C0CDA" w:rsidRDefault="009D2CAE" w:rsidP="00661000">
            <w:pPr>
              <w:keepNext/>
              <w:jc w:val="right"/>
              <w:rPr>
                <w:b/>
                <w:sz w:val="18"/>
                <w:szCs w:val="18"/>
              </w:rPr>
            </w:pPr>
            <w:r w:rsidRPr="007C0CDA">
              <w:rPr>
                <w:b/>
                <w:sz w:val="18"/>
                <w:szCs w:val="18"/>
              </w:rPr>
              <w:t>100,00%</w:t>
            </w:r>
          </w:p>
        </w:tc>
        <w:tc>
          <w:tcPr>
            <w:tcW w:w="1405" w:type="dxa"/>
            <w:shd w:val="clear" w:color="auto" w:fill="92D050"/>
            <w:noWrap/>
            <w:vAlign w:val="center"/>
          </w:tcPr>
          <w:p w:rsidR="009D2CAE" w:rsidRPr="007C0CDA" w:rsidRDefault="009D2CAE" w:rsidP="00661000">
            <w:pPr>
              <w:keepNext/>
              <w:jc w:val="right"/>
              <w:rPr>
                <w:b/>
                <w:sz w:val="18"/>
                <w:szCs w:val="18"/>
              </w:rPr>
            </w:pPr>
            <w:r w:rsidRPr="007C0CDA">
              <w:rPr>
                <w:b/>
                <w:sz w:val="18"/>
                <w:szCs w:val="18"/>
              </w:rPr>
              <w:t>270 763 400</w:t>
            </w:r>
          </w:p>
        </w:tc>
        <w:tc>
          <w:tcPr>
            <w:tcW w:w="992" w:type="dxa"/>
            <w:shd w:val="clear" w:color="auto" w:fill="92D050"/>
            <w:noWrap/>
            <w:vAlign w:val="center"/>
          </w:tcPr>
          <w:p w:rsidR="009D2CAE" w:rsidRPr="007C0CDA" w:rsidRDefault="009D2CAE" w:rsidP="00661000">
            <w:pPr>
              <w:keepNext/>
              <w:jc w:val="right"/>
              <w:rPr>
                <w:b/>
                <w:sz w:val="18"/>
                <w:szCs w:val="18"/>
              </w:rPr>
            </w:pPr>
            <w:r w:rsidRPr="007C0CDA">
              <w:rPr>
                <w:b/>
                <w:sz w:val="18"/>
                <w:szCs w:val="18"/>
              </w:rPr>
              <w:t>100,00%</w:t>
            </w:r>
          </w:p>
        </w:tc>
      </w:tr>
    </w:tbl>
    <w:p w:rsidR="009D2CAE" w:rsidRPr="007C0CDA" w:rsidRDefault="009D2CAE" w:rsidP="00DF6E0B">
      <w:pPr>
        <w:pStyle w:val="Titulek"/>
      </w:pPr>
      <w:r w:rsidRPr="007C0CDA">
        <w:t xml:space="preserve">Tabulka </w:t>
      </w:r>
      <w:r w:rsidRPr="00854519">
        <w:fldChar w:fldCharType="begin"/>
      </w:r>
      <w:r w:rsidRPr="007C0CDA">
        <w:instrText xml:space="preserve"> SEQ Tabulka \* ARABIC </w:instrText>
      </w:r>
      <w:r w:rsidRPr="002433DA">
        <w:fldChar w:fldCharType="separate"/>
      </w:r>
      <w:r w:rsidRPr="007C0CDA">
        <w:rPr>
          <w:noProof/>
        </w:rPr>
        <w:t>4</w:t>
      </w:r>
      <w:r w:rsidRPr="00854519">
        <w:fldChar w:fldCharType="end"/>
      </w:r>
      <w:r w:rsidRPr="007C0CDA">
        <w:t>:PE investice podle jednotlivých segmentů, v tisících €, součty 2007- 2012</w:t>
      </w:r>
    </w:p>
    <w:p w:rsidR="009D2CAE" w:rsidRPr="007C0CDA" w:rsidRDefault="009D2CAE" w:rsidP="00DF6E0B">
      <w:pPr>
        <w:pStyle w:val="Titulek"/>
        <w:rPr>
          <w:b w:val="0"/>
          <w:color w:val="000000"/>
        </w:rPr>
      </w:pPr>
      <w:r w:rsidRPr="007C0CDA">
        <w:t>Zdroj: EVCA, interpretováno MPO</w:t>
      </w:r>
    </w:p>
    <w:p w:rsidR="009D2CAE" w:rsidRPr="007C0CDA" w:rsidRDefault="009D2CAE" w:rsidP="00AE634D"/>
    <w:p w:rsidR="009D2CAE" w:rsidRPr="007C0CDA" w:rsidRDefault="009D2CAE" w:rsidP="00FF70E4">
      <w:r w:rsidRPr="007C0CDA">
        <w:rPr>
          <w:b/>
        </w:rPr>
        <w:t>V letech 2007-2012 získalo v ČR investici 19 podniků ve fázi later stage a 8 start-up podniků v celkové výši 103 mil. €, což představuje v průměru vysokých 3,8 mil. € na jednu investici.</w:t>
      </w:r>
      <w:r w:rsidRPr="007C0CDA">
        <w:t xml:space="preserve"> V průměru je minimální očekávaná velikost obchodu členů CVCA 6,5 mil. €, přičemž většina deklaruje 3-5 mil. €. Fondy zaměřené výhradně na pozdější fáze private equity ovšem investují minimálně např. 20 mil. €. </w:t>
      </w:r>
    </w:p>
    <w:p w:rsidR="009D2CAE" w:rsidRPr="007C0CDA" w:rsidRDefault="009D2CAE" w:rsidP="00492C7A">
      <w:r w:rsidRPr="007C0CDA">
        <w:rPr>
          <w:b/>
        </w:rPr>
        <w:t>Mimo statistiky operují business angels a family offices</w:t>
      </w:r>
      <w:r w:rsidRPr="007C0CDA">
        <w:t>, které zasahují zejména do fází early stage.</w:t>
      </w:r>
    </w:p>
    <w:p w:rsidR="009D2CAE" w:rsidRPr="007C0CDA" w:rsidRDefault="009D2CAE" w:rsidP="00FF70E4"/>
    <w:p w:rsidR="009D2CAE" w:rsidRPr="007C0CDA" w:rsidRDefault="009D2CAE" w:rsidP="008175FD">
      <w:pPr>
        <w:rPr>
          <w:rFonts w:cs="Calibri"/>
          <w:szCs w:val="24"/>
        </w:rPr>
      </w:pPr>
      <w:r w:rsidRPr="007C0CDA">
        <w:t xml:space="preserve">Český PE/VC trh se vyznačuje nestabilním vývojem, který je způsoben především nízkým celkovým obratem a počtem transakcí.Na území České republiky se za rok realizuje asi jen 10-20 investic. Od roku 1997 existuje v České republice asociace sdružující private equity a venture capital investory – Czech Venture Capital and Private Equity Association (CVCA). Asociace je členem EVCA a zaměřuje se mimo jiné na statistické sledování vývoje na českém trhu PE/VC. Podíl 0,955% PE investic na HDP v roce 2009 byl spíše výjimečný, jde o odchylku od dlouhodobého trendu způsobenou mega buyout transakcí CVC Capital Partners, která představovala více než 50 % z celkové hodnoty PE investic v roce 2009. </w:t>
      </w:r>
      <w:r w:rsidRPr="007C0CDA">
        <w:rPr>
          <w:rFonts w:cs="Calibri"/>
          <w:b/>
          <w:szCs w:val="24"/>
        </w:rPr>
        <w:t>Drtivá většina investic v ČR je zaměřena na pozdější segmenty buyout a growth</w:t>
      </w:r>
      <w:r w:rsidRPr="007C0CDA">
        <w:rPr>
          <w:rFonts w:cs="Calibri"/>
          <w:szCs w:val="24"/>
        </w:rPr>
        <w:t xml:space="preserve">, </w:t>
      </w:r>
      <w:r w:rsidRPr="007C0CDA">
        <w:rPr>
          <w:rFonts w:cs="Calibri"/>
          <w:b/>
          <w:szCs w:val="24"/>
        </w:rPr>
        <w:t>rizikový kapitál představuje jen malou část investic</w:t>
      </w:r>
      <w:r w:rsidRPr="007C0CDA">
        <w:rPr>
          <w:rFonts w:cs="Calibri"/>
          <w:szCs w:val="24"/>
        </w:rPr>
        <w:t>.</w:t>
      </w:r>
    </w:p>
    <w:p w:rsidR="009D2CAE" w:rsidRPr="007C0CDA" w:rsidRDefault="009D2CAE" w:rsidP="00492C7A"/>
    <w:p w:rsidR="009D2CAE" w:rsidRPr="007C0CDA" w:rsidRDefault="009D2CAE" w:rsidP="00492C7A">
      <w:r w:rsidRPr="007C0CDA">
        <w:t>V roce 2007-2012 se celková hodnota private equity investic v České republice podílela na HDP v průměru 0,280 %, zatímco evropský průměr činil 0,349 %, jak vyplývá z grafu č.</w:t>
      </w:r>
      <w:r w:rsidRPr="00854519">
        <w:fldChar w:fldCharType="begin"/>
      </w:r>
      <w:r w:rsidRPr="007C0CDA">
        <w:instrText xml:space="preserve"> SEQ Graf \* ARABIC </w:instrText>
      </w:r>
      <w:r w:rsidRPr="002433DA">
        <w:fldChar w:fldCharType="separate"/>
      </w:r>
      <w:r w:rsidRPr="007C0CDA">
        <w:rPr>
          <w:noProof/>
        </w:rPr>
        <w:t>5</w:t>
      </w:r>
      <w:r w:rsidRPr="00854519">
        <w:fldChar w:fldCharType="end"/>
      </w:r>
      <w:r w:rsidRPr="007C0CDA">
        <w:t>. Kladná odchylka roku 2009 v České republice je způsobena zmiňovaným buyoutem CVC Capital Partners.</w:t>
      </w:r>
    </w:p>
    <w:p w:rsidR="009D2CAE" w:rsidRPr="007C0CDA" w:rsidRDefault="002D1138" w:rsidP="00492C7A">
      <w:pPr>
        <w:pStyle w:val="Textpspvku"/>
        <w:keepNext/>
        <w:jc w:val="center"/>
      </w:pPr>
      <w:r>
        <w:rPr>
          <w:rFonts w:cs="Calibri"/>
          <w:noProof/>
          <w:sz w:val="24"/>
          <w:szCs w:val="22"/>
          <w:lang w:eastAsia="cs-CZ"/>
        </w:rPr>
        <w:lastRenderedPageBreak/>
        <w:drawing>
          <wp:inline distT="0" distB="0" distL="0" distR="0" wp14:anchorId="651918C2" wp14:editId="0ED7AFC8">
            <wp:extent cx="4371975" cy="2105025"/>
            <wp:effectExtent l="0" t="0" r="9525" b="9525"/>
            <wp:docPr id="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1975" cy="2105025"/>
                    </a:xfrm>
                    <a:prstGeom prst="rect">
                      <a:avLst/>
                    </a:prstGeom>
                    <a:noFill/>
                    <a:ln>
                      <a:noFill/>
                    </a:ln>
                  </pic:spPr>
                </pic:pic>
              </a:graphicData>
            </a:graphic>
          </wp:inline>
        </w:drawing>
      </w:r>
    </w:p>
    <w:p w:rsidR="009D2CAE" w:rsidRPr="007C0CDA" w:rsidRDefault="009D2CAE" w:rsidP="00492C7A">
      <w:pPr>
        <w:pStyle w:val="Titulek"/>
      </w:pPr>
      <w:r w:rsidRPr="007C0CDA">
        <w:t>Graf 8: PE investice (EUR) jako % HDP (běžné ceny, EUR) v Evropě</w:t>
      </w:r>
      <w:r w:rsidRPr="007C0CDA">
        <w:rPr>
          <w:rStyle w:val="Znakapoznpodarou"/>
          <w:rFonts w:cs="Arial"/>
          <w:b w:val="0"/>
        </w:rPr>
        <w:footnoteReference w:id="14"/>
      </w:r>
      <w:r w:rsidRPr="007C0CDA">
        <w:t xml:space="preserve"> a České republice</w:t>
      </w:r>
    </w:p>
    <w:p w:rsidR="009D2CAE" w:rsidRPr="007C0CDA" w:rsidRDefault="009D2CAE" w:rsidP="00492C7A">
      <w:pPr>
        <w:pStyle w:val="Titulek"/>
      </w:pPr>
      <w:r w:rsidRPr="007C0CDA">
        <w:t>Zdroj: EVCA, EUROSTAT</w:t>
      </w:r>
    </w:p>
    <w:p w:rsidR="009D2CAE" w:rsidRPr="007C0CDA" w:rsidRDefault="009D2CAE" w:rsidP="00492C7A"/>
    <w:p w:rsidR="009D2CAE" w:rsidRPr="007C0CDA" w:rsidRDefault="009D2CAE" w:rsidP="00492C7A">
      <w:r w:rsidRPr="007C0CDA">
        <w:rPr>
          <w:b/>
        </w:rPr>
        <w:t>Podíl množství investic rizikového kapitálu na celkových investicích PE v ČR činí v průměru jen 5,7 % za roky 2007-2012, což je hluboko pod evropskou úrovní 10,3 %</w:t>
      </w:r>
      <w:r w:rsidRPr="007C0CDA">
        <w:t>.</w:t>
      </w:r>
      <w:r w:rsidRPr="007C0CDA">
        <w:rPr>
          <w:b/>
        </w:rPr>
        <w:t>V roce 2013 došlo k dalšímu poklesu celkových venture investic z 5,2 mil. EUR na 2,8 mil EUR.</w:t>
      </w:r>
      <w:r w:rsidRPr="007C0CDA">
        <w:t xml:space="preserve"> Údaje za poslední rok potvrzují značnou nestabilitu trendu investic na českého trhu, když v rámci meziročního propadu o 2,4 mil. EUR posílily rané fáze seed a start-up a naopak značně oslabily investice later stage.</w:t>
      </w:r>
    </w:p>
    <w:p w:rsidR="009D2CAE" w:rsidRPr="007C0CDA" w:rsidRDefault="009D2CAE" w:rsidP="00492C7A"/>
    <w:p w:rsidR="009D2CAE" w:rsidRPr="007C0CDA" w:rsidRDefault="009D2CAE" w:rsidP="00974F99">
      <w:pPr>
        <w:rPr>
          <w:rFonts w:cs="Calibri"/>
          <w:szCs w:val="24"/>
        </w:rPr>
      </w:pPr>
      <w:r w:rsidRPr="007C0CDA">
        <w:t>Z dlouhodobého vývoje každopádně vyplývá</w:t>
      </w:r>
      <w:r w:rsidRPr="007C0CDA">
        <w:rPr>
          <w:rFonts w:cs="Calibri"/>
          <w:szCs w:val="24"/>
        </w:rPr>
        <w:t xml:space="preserve">, že </w:t>
      </w:r>
      <w:r w:rsidRPr="007C0CDA">
        <w:rPr>
          <w:rFonts w:cs="Calibri"/>
          <w:b/>
          <w:szCs w:val="24"/>
        </w:rPr>
        <w:t>v České republice chybí především investice v raných fázích</w:t>
      </w:r>
      <w:r w:rsidRPr="007C0CDA">
        <w:rPr>
          <w:rFonts w:cs="Calibri"/>
          <w:szCs w:val="24"/>
        </w:rPr>
        <w:t xml:space="preserve"> (early stage). </w:t>
      </w:r>
      <w:r w:rsidRPr="007C0CDA">
        <w:rPr>
          <w:rFonts w:cs="Calibri"/>
          <w:b/>
          <w:szCs w:val="24"/>
        </w:rPr>
        <w:t>V letech 2007-2012 nedošlo v ČR k žádné oficiálně vykázané investici seed kapitálu</w:t>
      </w:r>
      <w:r w:rsidRPr="007C0CDA">
        <w:rPr>
          <w:rFonts w:cs="Calibri"/>
          <w:szCs w:val="24"/>
        </w:rPr>
        <w:t xml:space="preserve"> v porovnání s 67 podniky zainvestovanými celkově v regionu střední a východní Evropy</w:t>
      </w:r>
      <w:r w:rsidRPr="007C0CDA">
        <w:rPr>
          <w:rFonts w:cs="Calibri"/>
          <w:szCs w:val="24"/>
          <w:vertAlign w:val="superscript"/>
        </w:rPr>
        <w:footnoteReference w:id="15"/>
      </w:r>
      <w:r w:rsidRPr="007C0CDA">
        <w:rPr>
          <w:rFonts w:cs="Calibri"/>
          <w:szCs w:val="24"/>
        </w:rPr>
        <w:t>. Jakkoliv seed kapitál jako nejrizikovější segment s nejnižší průměrnou výší investice zaujímá logicky nejmenší podíl na trzích private equity po celém světě, v České republice investiční aktivita v tomto segmentu prakticky chybí.</w:t>
      </w:r>
    </w:p>
    <w:p w:rsidR="009D2CAE" w:rsidRPr="007C0CDA" w:rsidRDefault="009D2CAE" w:rsidP="00974F99">
      <w:pPr>
        <w:rPr>
          <w:rFonts w:cs="Calibri"/>
          <w:szCs w:val="24"/>
        </w:rPr>
      </w:pPr>
    </w:p>
    <w:p w:rsidR="009D2CAE" w:rsidRPr="007C0CDA" w:rsidRDefault="009D2CAE" w:rsidP="00974F99">
      <w:pPr>
        <w:rPr>
          <w:rFonts w:cs="Calibri"/>
          <w:szCs w:val="24"/>
        </w:rPr>
      </w:pPr>
      <w:r w:rsidRPr="007C0CDA">
        <w:rPr>
          <w:rFonts w:cs="Calibri"/>
          <w:szCs w:val="24"/>
        </w:rPr>
        <w:t xml:space="preserve">Nutno podotknout, že na investicích ve fázi seed se tradičně velkou měrou podílejí také tzv. </w:t>
      </w:r>
      <w:r w:rsidRPr="007C0CDA">
        <w:rPr>
          <w:rFonts w:cs="Calibri"/>
          <w:b/>
          <w:szCs w:val="24"/>
        </w:rPr>
        <w:t>business angels</w:t>
      </w:r>
      <w:r w:rsidRPr="007C0CDA">
        <w:rPr>
          <w:rFonts w:cs="Calibri"/>
          <w:szCs w:val="24"/>
        </w:rPr>
        <w:t xml:space="preserve">, kteří nejsou podchyceni v žádné zastřešující organizaci, ani statistikách.Oproti nedávné minulosti se počet aktivních business angels v České republice přeci jen zvyšuje. </w:t>
      </w:r>
      <w:r w:rsidRPr="007C0CDA">
        <w:rPr>
          <w:rFonts w:cs="Calibri"/>
          <w:b/>
          <w:szCs w:val="24"/>
        </w:rPr>
        <w:t>Ve výzkumu EBAN (European Business Angel Network) se Česká republika nachází na jednom z posledních míst v Evropě,dotazování expertů v průzkumu GEM 2013 nicméně naznačuje znatelné zlepšení oproti dřívější úrovni</w:t>
      </w:r>
      <w:r w:rsidRPr="007C0CDA">
        <w:rPr>
          <w:rFonts w:cs="Calibri"/>
          <w:szCs w:val="24"/>
        </w:rPr>
        <w:t>. Jedním z důvodů může být, že narůstá řada podnikatelů a bývalých vrcholových manažerů, kteří se posouvají v kariéře do úrovně, kde mají prostředky a čas se andělským financováním zabývat. V porovnání s dalšími evropskými zeměmi je však tato aktivita stále slabá a navíc netransparentní.</w:t>
      </w:r>
    </w:p>
    <w:p w:rsidR="009D2CAE" w:rsidRPr="007C0CDA" w:rsidRDefault="009D2CAE" w:rsidP="00974F99">
      <w:pPr>
        <w:rPr>
          <w:rFonts w:cs="Calibri"/>
          <w:szCs w:val="24"/>
        </w:rPr>
      </w:pPr>
    </w:p>
    <w:p w:rsidR="009D2CAE" w:rsidRPr="007C0CDA" w:rsidRDefault="009D2CAE" w:rsidP="00353930">
      <w:pPr>
        <w:rPr>
          <w:rFonts w:cs="Calibri"/>
          <w:szCs w:val="24"/>
        </w:rPr>
      </w:pPr>
      <w:r w:rsidRPr="007C0CDA">
        <w:rPr>
          <w:rFonts w:cs="Calibri"/>
          <w:szCs w:val="24"/>
        </w:rPr>
        <w:t>Podle průzkumu GEM 2013 poměrně velká část populace (8 %) v posledních třech letech finančně podpořila rozjezd podnikání někoho jiného. Dominantně se nicméně jedná o menší částky do100.000 Kč, které jsou většinou poskytnuty příbuzným, přátelům či kolegům. Pro sledovanou oblast nových inovativních MSP je tedy tento zdroj spíše zanedbatelný.</w:t>
      </w:r>
    </w:p>
    <w:p w:rsidR="009D2CAE" w:rsidRPr="007C0CDA" w:rsidRDefault="009D2CAE" w:rsidP="00492C7A">
      <w:pPr>
        <w:rPr>
          <w:rFonts w:cs="Calibri"/>
          <w:szCs w:val="24"/>
        </w:rPr>
      </w:pPr>
    </w:p>
    <w:p w:rsidR="009D2CAE" w:rsidRPr="007C0CDA" w:rsidRDefault="009D2CAE" w:rsidP="00B21DA0">
      <w:pPr>
        <w:rPr>
          <w:rFonts w:cs="Calibri"/>
          <w:szCs w:val="24"/>
        </w:rPr>
      </w:pPr>
      <w:r w:rsidRPr="007C0CDA">
        <w:rPr>
          <w:rFonts w:cs="Calibri"/>
          <w:b/>
          <w:szCs w:val="24"/>
        </w:rPr>
        <w:t>Analogicky malý je v ČR i zájem o fázi start-up</w:t>
      </w:r>
      <w:r w:rsidRPr="007C0CDA">
        <w:rPr>
          <w:rFonts w:cs="Calibri"/>
          <w:szCs w:val="24"/>
        </w:rPr>
        <w:t xml:space="preserve">. V České republice sice začalo v předchozích několika letech působit několik málo fondů rizikového kapitálu zaměřených speciálně na menší a rizikovější projekty start-up fáze, nicméně v kontextu regionu SVE jsou tyto aktivity velmi skromné a </w:t>
      </w:r>
      <w:r w:rsidRPr="007C0CDA">
        <w:rPr>
          <w:rFonts w:cs="Calibri"/>
          <w:szCs w:val="24"/>
        </w:rPr>
        <w:lastRenderedPageBreak/>
        <w:t>neodpovídají poměrně silnému postavení České republiky v pozdějších fázích private equity.Také průzkum GEM 2013 indikuje dle hodnocení oslovených expertů od roku 2011 jistý posun k lepšímu, nicméně dostupnost rizikového kapitálu je zde stále hodnocena jako spíše nedostatečná.Vzhledem k tomu, trh private equity v České republice je obecně stále poměrně silný v rámci regionu SVE, ukazuje to na nezájem investorů o tento konkrétní segment.</w:t>
      </w:r>
    </w:p>
    <w:p w:rsidR="009D2CAE" w:rsidRPr="007C0CDA" w:rsidRDefault="009D2CAE" w:rsidP="00B21DA0">
      <w:pPr>
        <w:rPr>
          <w:rFonts w:cs="Calibri"/>
          <w:szCs w:val="24"/>
        </w:rPr>
      </w:pPr>
    </w:p>
    <w:p w:rsidR="009D2CAE" w:rsidRPr="007C0CDA" w:rsidRDefault="009D2CAE" w:rsidP="00EF28C3">
      <w:r w:rsidRPr="007C0CDA">
        <w:t>Vážné škody na trhu PE způsobila finanční krize v roce 2009. Indikátory investic, fundraisingu a exitů se propadly o dvě třetiny oproti hodnotám let 2006-2008. Ještě výraznější byl tento propad v regionu SVE, kde pokračuje nevyrovnaný vývoj i v posledních letech. V roce 2013 se fundraising v SVE propadl meziročně o 37 %, na rozdíl od pozitivního vývoje v EU 15. Podíl SVE se tak propadl na pouhé 1 % fundraisingu v Evropě.</w:t>
      </w:r>
    </w:p>
    <w:p w:rsidR="009D2CAE" w:rsidRPr="007C0CDA" w:rsidRDefault="009D2CAE" w:rsidP="00EF28C3"/>
    <w:p w:rsidR="009D2CAE" w:rsidRPr="007C0CDA" w:rsidRDefault="009D2CAE" w:rsidP="00266F8F">
      <w:pPr>
        <w:rPr>
          <w:rFonts w:cs="Calibri"/>
          <w:szCs w:val="24"/>
        </w:rPr>
      </w:pPr>
      <w:r w:rsidRPr="007C0CDA">
        <w:t>V kontrastu s tím se fundraising v samotném venture kapitálu v SVE v posledním období drží na relativně vysoké úrovni. Největší podíl (48 % v roce 2013) na něm mají ale vládní agentury, počítaje v to i EBRD a EIF, které se během posledních let staly hlavními poskytovateli kapitálu.V roce 2012 získalo investici celkem 123 firem v celkové výši 103 mil. EUR. Z těchto podniků bylo 74 % v rané fázi rozvoje. V</w:t>
      </w:r>
      <w:r w:rsidRPr="007C0CDA">
        <w:rPr>
          <w:rFonts w:cs="Calibri"/>
          <w:szCs w:val="24"/>
        </w:rPr>
        <w:t xml:space="preserve"> letech 2007-2012 vzrostl podíl start-up kapitálu v SVE na celkovém private equity v procentním vyjádření (5,57 %) dokonce nad celoevropskou hodnotu 4,83 %. V České republice je to velmi skromných 1,35 %.</w:t>
      </w:r>
    </w:p>
    <w:p w:rsidR="009D2CAE" w:rsidRPr="007C0CDA" w:rsidRDefault="009D2CAE" w:rsidP="00266F8F"/>
    <w:p w:rsidR="009D2CAE" w:rsidRPr="007C0CDA" w:rsidRDefault="009D2CAE" w:rsidP="00EF28C3">
      <w:r w:rsidRPr="007C0CDA">
        <w:t xml:space="preserve">Tato čísla je nutné spojovat právě s vysokým fundraisingem veřejného sektoru, který se zaměřuje logicky především na pomoc začínajícím podnikatelům. Stát/region se obvykle snaží pomocí vlastní koinvestice (na úrovni fondu nebo projektu) získat soukromého investora rizikového kapitálu pro začínající malý nebo střední podnik (MSP), a to např. prostřednictvím podílových fondů JEREMIE v Polsku, Maďarsku, na Slovensku nebo v Bulharsku. Většina z podpořených projektů by měla být životaschopná, neboť jsou typicky zainvestované minimálně z 30 % ze soukromých zdrojů. </w:t>
      </w:r>
    </w:p>
    <w:p w:rsidR="009D2CAE" w:rsidRPr="007C0CDA" w:rsidRDefault="009D2CAE" w:rsidP="00EF28C3"/>
    <w:p w:rsidR="009D2CAE" w:rsidRPr="007C0CDA" w:rsidRDefault="009D2CAE" w:rsidP="00EF28C3">
      <w:r w:rsidRPr="007C0CDA">
        <w:rPr>
          <w:b/>
        </w:rPr>
        <w:t>V České republice naopak není funkční podpora veřejného sektoru na trhu rizikového kapitálu, i to může být jeden z důvodů, proč Česká republika dosud nezachytila vlnu rozvoje rizikového kapitálu v SVE po roce 2009</w:t>
      </w:r>
      <w:r w:rsidRPr="007C0CDA">
        <w:t>.</w:t>
      </w:r>
    </w:p>
    <w:p w:rsidR="009D2CAE" w:rsidRPr="007C0CDA" w:rsidRDefault="009D2CAE" w:rsidP="00B21DA0"/>
    <w:p w:rsidR="009D2CAE" w:rsidRPr="00EB326E" w:rsidRDefault="009D2CAE" w:rsidP="002433DA">
      <w:pPr>
        <w:pStyle w:val="Nadpis3"/>
      </w:pPr>
      <w:bookmarkStart w:id="374" w:name="_Toc416383730"/>
      <w:bookmarkStart w:id="375" w:name="_Toc416447720"/>
      <w:bookmarkStart w:id="376" w:name="_Toc416383731"/>
      <w:bookmarkStart w:id="377" w:name="_Toc416447721"/>
      <w:bookmarkStart w:id="378" w:name="_Toc416383732"/>
      <w:bookmarkStart w:id="379" w:name="_Toc416447722"/>
      <w:bookmarkStart w:id="380" w:name="_Toc416383733"/>
      <w:bookmarkStart w:id="381" w:name="_Toc416447723"/>
      <w:bookmarkStart w:id="382" w:name="_Toc416383734"/>
      <w:bookmarkStart w:id="383" w:name="_Toc416447724"/>
      <w:bookmarkStart w:id="384" w:name="_Toc416383735"/>
      <w:bookmarkStart w:id="385" w:name="_Toc416447725"/>
      <w:bookmarkStart w:id="386" w:name="_Toc416383736"/>
      <w:bookmarkStart w:id="387" w:name="_Toc416447726"/>
      <w:bookmarkStart w:id="388" w:name="_Toc416383737"/>
      <w:bookmarkStart w:id="389" w:name="_Toc416447727"/>
      <w:bookmarkStart w:id="390" w:name="_Toc416383738"/>
      <w:bookmarkStart w:id="391" w:name="_Toc416447728"/>
      <w:bookmarkStart w:id="392" w:name="_Toc416383739"/>
      <w:bookmarkStart w:id="393" w:name="_Toc416447729"/>
      <w:bookmarkStart w:id="394" w:name="_Toc416383740"/>
      <w:bookmarkStart w:id="395" w:name="_Toc416447730"/>
      <w:bookmarkStart w:id="396" w:name="_Toc416383741"/>
      <w:bookmarkStart w:id="397" w:name="_Toc416447731"/>
      <w:bookmarkStart w:id="398" w:name="_Toc416383742"/>
      <w:bookmarkStart w:id="399" w:name="_Toc416447732"/>
      <w:bookmarkStart w:id="400" w:name="_Toc416383743"/>
      <w:bookmarkStart w:id="401" w:name="_Toc416447733"/>
      <w:bookmarkStart w:id="402" w:name="_Toc416383794"/>
      <w:bookmarkStart w:id="403" w:name="_Toc416447784"/>
      <w:bookmarkStart w:id="404" w:name="_Toc416383795"/>
      <w:bookmarkStart w:id="405" w:name="_Toc416447785"/>
      <w:bookmarkStart w:id="406" w:name="_Toc416383796"/>
      <w:bookmarkStart w:id="407" w:name="_Toc416447786"/>
      <w:bookmarkStart w:id="408" w:name="_Toc416383797"/>
      <w:bookmarkStart w:id="409" w:name="_Toc416447787"/>
      <w:bookmarkStart w:id="410" w:name="_Toc416383798"/>
      <w:bookmarkStart w:id="411" w:name="_Toc416447788"/>
      <w:bookmarkStart w:id="412" w:name="_Toc416383799"/>
      <w:bookmarkStart w:id="413" w:name="_Toc416447789"/>
      <w:bookmarkStart w:id="414" w:name="_Toc416383800"/>
      <w:bookmarkStart w:id="415" w:name="_Toc416447790"/>
      <w:bookmarkStart w:id="416" w:name="_Toc416383801"/>
      <w:bookmarkStart w:id="417" w:name="_Toc416447791"/>
      <w:bookmarkStart w:id="418" w:name="_Toc416383802"/>
      <w:bookmarkStart w:id="419" w:name="_Toc416447792"/>
      <w:bookmarkStart w:id="420" w:name="_Toc416383803"/>
      <w:bookmarkStart w:id="421" w:name="_Toc416447793"/>
      <w:bookmarkStart w:id="422" w:name="_Toc416383804"/>
      <w:bookmarkStart w:id="423" w:name="_Toc416447794"/>
      <w:bookmarkStart w:id="424" w:name="_Toc416383805"/>
      <w:bookmarkStart w:id="425" w:name="_Toc416447795"/>
      <w:bookmarkStart w:id="426" w:name="_Toc416383806"/>
      <w:bookmarkStart w:id="427" w:name="_Toc416447796"/>
      <w:bookmarkStart w:id="428" w:name="_Toc416383807"/>
      <w:bookmarkStart w:id="429" w:name="_Toc416447797"/>
      <w:bookmarkStart w:id="430" w:name="_Toc416383808"/>
      <w:bookmarkStart w:id="431" w:name="_Toc416447798"/>
      <w:bookmarkStart w:id="432" w:name="_Toc416383809"/>
      <w:bookmarkStart w:id="433" w:name="_Toc416447799"/>
      <w:bookmarkStart w:id="434" w:name="_Toc416383810"/>
      <w:bookmarkStart w:id="435" w:name="_Toc416447800"/>
      <w:bookmarkStart w:id="436" w:name="_Toc416383811"/>
      <w:bookmarkStart w:id="437" w:name="_Toc416447801"/>
      <w:bookmarkStart w:id="438" w:name="_Toc416447802"/>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r w:rsidRPr="0038688B">
        <w:t>Vyčíslení potenciální absorpční kapacity</w:t>
      </w:r>
      <w:bookmarkEnd w:id="438"/>
    </w:p>
    <w:p w:rsidR="009D2CAE" w:rsidRPr="007C0CDA" w:rsidRDefault="009D2CAE" w:rsidP="0004113A">
      <w:pPr>
        <w:pStyle w:val="Neslovannadpisy"/>
      </w:pPr>
      <w:r w:rsidRPr="007C0CDA">
        <w:t>Dotazníková šetření</w:t>
      </w:r>
    </w:p>
    <w:p w:rsidR="009D2CAE" w:rsidRPr="007C0CDA" w:rsidRDefault="009D2CAE" w:rsidP="0004113A">
      <w:r w:rsidRPr="007C0CDA">
        <w:t xml:space="preserve">V rámci dotazníkového šetření k této studii </w:t>
      </w:r>
      <w:r w:rsidRPr="007C0CDA">
        <w:rPr>
          <w:b/>
        </w:rPr>
        <w:t>968 dotazovaných MSP vyčíslilo své investiční potřeby identifikované v průběhu posledních tří let na více než 17,9 mld. Kč.</w:t>
      </w:r>
      <w:r w:rsidRPr="007C0CDA">
        <w:t xml:space="preserve"> Za účelem pokrytí těchto výdajů žádaly o externí financování ve výši téměř 11,9 mld. Kč, což odpovídá 67 % objemu investic. Skutečně dosažené externí financování dosáhlo téměř 10 mld. Kč, což indikuje, že </w:t>
      </w:r>
      <w:r w:rsidRPr="007C0CDA">
        <w:rPr>
          <w:b/>
        </w:rPr>
        <w:t>dotazované subjekty byly v zajišťování externího financování úspěšné(téměř 84 %)</w:t>
      </w:r>
      <w:r w:rsidRPr="007C0CDA">
        <w:t>.</w:t>
      </w:r>
    </w:p>
    <w:p w:rsidR="009D2CAE" w:rsidRPr="007C0CDA" w:rsidRDefault="009D2CAE" w:rsidP="0004113A"/>
    <w:p w:rsidR="009D2CAE" w:rsidRPr="007C0CDA" w:rsidRDefault="009D2CAE" w:rsidP="0004113A"/>
    <w:p w:rsidR="009D2CAE" w:rsidRPr="007C0CDA" w:rsidRDefault="002D1138" w:rsidP="0004113A">
      <w:r>
        <w:rPr>
          <w:noProof/>
        </w:rPr>
        <w:lastRenderedPageBreak/>
        <w:drawing>
          <wp:inline distT="0" distB="0" distL="0" distR="0" wp14:anchorId="6971BD09" wp14:editId="4B6DF0DD">
            <wp:extent cx="4238625" cy="2676525"/>
            <wp:effectExtent l="0" t="0" r="9525" b="9525"/>
            <wp:docPr id="13"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38625" cy="2676525"/>
                    </a:xfrm>
                    <a:prstGeom prst="rect">
                      <a:avLst/>
                    </a:prstGeom>
                    <a:noFill/>
                    <a:ln>
                      <a:noFill/>
                    </a:ln>
                  </pic:spPr>
                </pic:pic>
              </a:graphicData>
            </a:graphic>
          </wp:inline>
        </w:drawing>
      </w:r>
    </w:p>
    <w:p w:rsidR="009D2CAE" w:rsidRPr="007C0CDA" w:rsidRDefault="009D2CAE" w:rsidP="0004113A"/>
    <w:p w:rsidR="009D2CAE" w:rsidRPr="007C0CDA" w:rsidRDefault="009D2CAE" w:rsidP="0004113A">
      <w:pPr>
        <w:pStyle w:val="Titulek"/>
      </w:pPr>
      <w:r w:rsidRPr="007C0CDA">
        <w:t>Graf 9: Investice startupů a jejich spolufinancování</w:t>
      </w:r>
    </w:p>
    <w:p w:rsidR="009D2CAE" w:rsidRPr="007C0CDA" w:rsidRDefault="009D2CAE">
      <w:pPr>
        <w:pStyle w:val="Titulek"/>
      </w:pPr>
      <w:r w:rsidRPr="007C0CDA">
        <w:t>Zdroj: Dotazník pro startupy ex ante FN OP PIK</w:t>
      </w:r>
    </w:p>
    <w:p w:rsidR="009D2CAE" w:rsidRPr="007C0CDA" w:rsidRDefault="009D2CAE" w:rsidP="00DF6E0B"/>
    <w:p w:rsidR="009D2CAE" w:rsidRPr="007C0CDA" w:rsidRDefault="009D2CAE" w:rsidP="0004113A">
      <w:pPr>
        <w:rPr>
          <w:lang w:eastAsia="en-US"/>
        </w:rPr>
      </w:pPr>
      <w:r w:rsidRPr="007C0CDA">
        <w:rPr>
          <w:lang w:eastAsia="en-US"/>
        </w:rPr>
        <w:t>Z investiční historie dotazovaných startupů(graf č. 9) vyplývá poměr mezi požadovanými a získanými zdroji spolufinancování 377,5 ku185 mil. Kč.51 % požadovaných zdrojů tedy nebylo uspokojeno, což v podmínkách rizikového kapitálu není zdaleka vysoké číslo. Je však nutné brát v úvahu, že vzhledem ke způsobu distribuce tvoří dotazovaný segment z většiny již poměrně kvalitně etablované early stage společnosti, které byly schopny svým podnikatelským plánem zaujmout (účastníci inkubátorů a akcelerátorů). Od neuspokojené poptávky lze tedy odvozovat určitou míru tržního selhání.</w:t>
      </w:r>
    </w:p>
    <w:p w:rsidR="009D2CAE" w:rsidRPr="007C0CDA" w:rsidRDefault="009D2CAE" w:rsidP="0004113A">
      <w:pPr>
        <w:rPr>
          <w:lang w:eastAsia="en-US"/>
        </w:rPr>
      </w:pPr>
    </w:p>
    <w:p w:rsidR="009D2CAE" w:rsidRPr="007C0CDA" w:rsidRDefault="009D2CAE" w:rsidP="0004113A">
      <w:r w:rsidRPr="007C0CDA">
        <w:t xml:space="preserve">Z dotazovaných subjektů hodnotí dostupnost financování jako špatnou či pouze dobrou 48 %, resp. 28 %. Nejčastěji je kritizována informační bariéra a rigidita bank. Téměř přesná polovina dotazovaných (49 %) však byla ve snahách získat finanční prostředky v minulosti úspěšná. </w:t>
      </w:r>
      <w:r w:rsidRPr="007C0CDA">
        <w:rPr>
          <w:b/>
        </w:rPr>
        <w:t>O kapitálový vstup by mělo zájem 16 % dotazovaných.</w:t>
      </w:r>
      <w:r w:rsidRPr="007C0CDA">
        <w:t xml:space="preserve"> Z odpovědí vyplývalo, že výrazná část nezájmu plyne z neochoty vzdát se části svých rozhodovacích práv i vlastnického podílu ve prospěch nového investora. </w:t>
      </w:r>
      <w:r w:rsidRPr="002433DA">
        <w:rPr>
          <w:b/>
        </w:rPr>
        <w:t>Potenciální zájemci v</w:t>
      </w:r>
      <w:r w:rsidRPr="007C0CDA">
        <w:rPr>
          <w:b/>
        </w:rPr>
        <w:t> </w:t>
      </w:r>
      <w:r w:rsidRPr="002433DA">
        <w:rPr>
          <w:b/>
        </w:rPr>
        <w:t>mnoha případech indikují specifický zájem o tzv. smart money</w:t>
      </w:r>
      <w:r w:rsidRPr="007C0CDA">
        <w:t xml:space="preserve"> – tedy nikoli jen samotný kapitál, ale s ním i o odbornou expertízu investora, jeho know-how a kontakty.</w:t>
      </w:r>
    </w:p>
    <w:p w:rsidR="009D2CAE" w:rsidRPr="007C0CDA" w:rsidRDefault="009D2CAE" w:rsidP="0004113A"/>
    <w:p w:rsidR="009D2CAE" w:rsidRPr="007C0CDA" w:rsidRDefault="009D2CAE" w:rsidP="0004113A">
      <w:r w:rsidRPr="002433DA">
        <w:rPr>
          <w:b/>
        </w:rPr>
        <w:t>Částka respondenty poptávaného financování v 84 % případů nepřesahuje 5 mil. Kč</w:t>
      </w:r>
      <w:r w:rsidRPr="007C0CDA">
        <w:t>, což je do značné míry způsobeno dominantní rolí firem a podnikatelů zaměřených na služby v oblasti ICT (44 %), která je z pohledu investic do dlouhodobého majetku nenáročná. Máme za to, že průměrná velikost požadované investice a tedy i absorpční kapacita průběžně poroste v případě úspěšné podpory projektů ve fázi proof-of-concept, ve které častěji končí kapitálově náročné projekty.</w:t>
      </w:r>
    </w:p>
    <w:p w:rsidR="009D2CAE" w:rsidRPr="007C0CDA" w:rsidRDefault="009D2CAE" w:rsidP="0004113A"/>
    <w:p w:rsidR="009D2CAE" w:rsidRPr="002433DA" w:rsidRDefault="009D2CAE" w:rsidP="00497E3B">
      <w:r w:rsidRPr="002433DA">
        <w:t>Zpřístupnění dluhového financování vnímá řada podniků jako dostačující formu podpory. Zajištění zvýhodněného úvěru by vyústilo v realizaci investice v</w:t>
      </w:r>
      <w:r w:rsidRPr="007C0CDA">
        <w:t> </w:t>
      </w:r>
      <w:r w:rsidRPr="002433DA">
        <w:t xml:space="preserve">42 % projektů rozšíření výroby a jedné třetiny projektů nových a začínajících podniků. Efekt jednotlivých forem podpory na aktivaci investiční kapacity ilustruje Tabulka </w:t>
      </w:r>
      <w:commentRangeStart w:id="439"/>
      <w:r w:rsidRPr="002433DA">
        <w:t>5</w:t>
      </w:r>
      <w:commentRangeEnd w:id="439"/>
      <w:r w:rsidRPr="007C0CDA">
        <w:rPr>
          <w:rStyle w:val="Odkaznakoment"/>
        </w:rPr>
        <w:commentReference w:id="439"/>
      </w:r>
      <w:r w:rsidRPr="002433DA">
        <w:t>.</w:t>
      </w:r>
    </w:p>
    <w:p w:rsidR="009D2CAE" w:rsidRPr="002433DA" w:rsidRDefault="009D2CAE" w:rsidP="00497E3B"/>
    <w:tbl>
      <w:tblPr>
        <w:tblW w:w="9119" w:type="dxa"/>
        <w:tblBorders>
          <w:bottom w:val="single" w:sz="4" w:space="0" w:color="00A1DE"/>
          <w:insideH w:val="single" w:sz="4" w:space="0" w:color="00A1DE"/>
        </w:tblBorders>
        <w:tblCellMar>
          <w:top w:w="28" w:type="dxa"/>
          <w:left w:w="28" w:type="dxa"/>
          <w:bottom w:w="28" w:type="dxa"/>
          <w:right w:w="28" w:type="dxa"/>
        </w:tblCellMar>
        <w:tblLook w:val="00A0" w:firstRow="1" w:lastRow="0" w:firstColumn="1" w:lastColumn="0" w:noHBand="0" w:noVBand="0"/>
      </w:tblPr>
      <w:tblGrid>
        <w:gridCol w:w="3289"/>
        <w:gridCol w:w="1060"/>
        <w:gridCol w:w="960"/>
        <w:gridCol w:w="960"/>
        <w:gridCol w:w="960"/>
        <w:gridCol w:w="1730"/>
        <w:gridCol w:w="160"/>
      </w:tblGrid>
      <w:tr w:rsidR="009D2CAE" w:rsidRPr="007C0CDA" w:rsidTr="00E45795">
        <w:trPr>
          <w:trHeight w:val="300"/>
        </w:trPr>
        <w:tc>
          <w:tcPr>
            <w:tcW w:w="3289" w:type="dxa"/>
            <w:shd w:val="clear" w:color="auto" w:fill="00A1DE"/>
            <w:noWrap/>
          </w:tcPr>
          <w:p w:rsidR="009D2CAE" w:rsidRPr="007C0CDA" w:rsidRDefault="009D2CAE" w:rsidP="00E45795">
            <w:pPr>
              <w:keepNext/>
              <w:jc w:val="left"/>
              <w:rPr>
                <w:b/>
                <w:bCs/>
                <w:color w:val="000000"/>
                <w:sz w:val="18"/>
                <w:szCs w:val="18"/>
              </w:rPr>
            </w:pPr>
            <w:r w:rsidRPr="007C0CDA">
              <w:rPr>
                <w:b/>
                <w:bCs/>
                <w:color w:val="000000"/>
                <w:sz w:val="18"/>
                <w:szCs w:val="18"/>
              </w:rPr>
              <w:lastRenderedPageBreak/>
              <w:t> </w:t>
            </w:r>
          </w:p>
        </w:tc>
        <w:tc>
          <w:tcPr>
            <w:tcW w:w="1060" w:type="dxa"/>
            <w:shd w:val="clear" w:color="auto" w:fill="00A1DE"/>
            <w:noWrap/>
            <w:vAlign w:val="center"/>
          </w:tcPr>
          <w:p w:rsidR="009D2CAE" w:rsidRPr="002433DA" w:rsidRDefault="009D2CAE" w:rsidP="00E45795">
            <w:pPr>
              <w:keepNext/>
              <w:jc w:val="center"/>
              <w:rPr>
                <w:b/>
                <w:bCs/>
                <w:color w:val="EEECE1"/>
                <w:sz w:val="18"/>
                <w:szCs w:val="18"/>
              </w:rPr>
            </w:pPr>
            <w:r w:rsidRPr="002433DA">
              <w:rPr>
                <w:b/>
                <w:bCs/>
                <w:color w:val="EEECE1"/>
                <w:sz w:val="18"/>
                <w:szCs w:val="18"/>
              </w:rPr>
              <w:t>Určitě ano</w:t>
            </w:r>
          </w:p>
        </w:tc>
        <w:tc>
          <w:tcPr>
            <w:tcW w:w="960" w:type="dxa"/>
            <w:shd w:val="clear" w:color="auto" w:fill="00A1DE"/>
            <w:noWrap/>
            <w:vAlign w:val="center"/>
          </w:tcPr>
          <w:p w:rsidR="009D2CAE" w:rsidRPr="002433DA" w:rsidRDefault="009D2CAE" w:rsidP="00E45795">
            <w:pPr>
              <w:keepNext/>
              <w:jc w:val="center"/>
              <w:rPr>
                <w:b/>
                <w:bCs/>
                <w:color w:val="EEECE1"/>
                <w:sz w:val="18"/>
                <w:szCs w:val="18"/>
              </w:rPr>
            </w:pPr>
            <w:r w:rsidRPr="002433DA">
              <w:rPr>
                <w:b/>
                <w:bCs/>
                <w:color w:val="EEECE1"/>
                <w:sz w:val="18"/>
                <w:szCs w:val="18"/>
              </w:rPr>
              <w:t>Spíše ano</w:t>
            </w:r>
          </w:p>
        </w:tc>
        <w:tc>
          <w:tcPr>
            <w:tcW w:w="960" w:type="dxa"/>
            <w:shd w:val="clear" w:color="auto" w:fill="00A1DE"/>
            <w:noWrap/>
            <w:vAlign w:val="center"/>
          </w:tcPr>
          <w:p w:rsidR="009D2CAE" w:rsidRPr="002433DA" w:rsidRDefault="009D2CAE" w:rsidP="00E45795">
            <w:pPr>
              <w:keepNext/>
              <w:jc w:val="center"/>
              <w:rPr>
                <w:b/>
                <w:bCs/>
                <w:color w:val="EEECE1"/>
                <w:sz w:val="18"/>
                <w:szCs w:val="18"/>
              </w:rPr>
            </w:pPr>
            <w:r w:rsidRPr="002433DA">
              <w:rPr>
                <w:b/>
                <w:bCs/>
                <w:color w:val="EEECE1"/>
                <w:sz w:val="18"/>
                <w:szCs w:val="18"/>
              </w:rPr>
              <w:t>Spíše ne</w:t>
            </w:r>
          </w:p>
        </w:tc>
        <w:tc>
          <w:tcPr>
            <w:tcW w:w="960" w:type="dxa"/>
            <w:shd w:val="clear" w:color="auto" w:fill="00A1DE"/>
            <w:noWrap/>
            <w:vAlign w:val="center"/>
          </w:tcPr>
          <w:p w:rsidR="009D2CAE" w:rsidRPr="002433DA" w:rsidRDefault="009D2CAE" w:rsidP="00E45795">
            <w:pPr>
              <w:keepNext/>
              <w:jc w:val="center"/>
              <w:rPr>
                <w:b/>
                <w:bCs/>
                <w:color w:val="EEECE1"/>
                <w:sz w:val="18"/>
                <w:szCs w:val="18"/>
              </w:rPr>
            </w:pPr>
            <w:r w:rsidRPr="002433DA">
              <w:rPr>
                <w:b/>
                <w:bCs/>
                <w:color w:val="EEECE1"/>
                <w:sz w:val="18"/>
                <w:szCs w:val="18"/>
              </w:rPr>
              <w:t>Určitě ne</w:t>
            </w:r>
          </w:p>
        </w:tc>
        <w:tc>
          <w:tcPr>
            <w:tcW w:w="1730" w:type="dxa"/>
            <w:shd w:val="clear" w:color="auto" w:fill="00A1DE"/>
            <w:noWrap/>
            <w:vAlign w:val="center"/>
          </w:tcPr>
          <w:p w:rsidR="009D2CAE" w:rsidRPr="002433DA" w:rsidRDefault="009D2CAE" w:rsidP="00E45795">
            <w:pPr>
              <w:keepNext/>
              <w:jc w:val="center"/>
              <w:rPr>
                <w:b/>
                <w:bCs/>
                <w:color w:val="000000"/>
                <w:sz w:val="18"/>
                <w:szCs w:val="18"/>
              </w:rPr>
            </w:pPr>
            <w:r w:rsidRPr="002433DA">
              <w:rPr>
                <w:b/>
                <w:bCs/>
                <w:color w:val="EEECE1"/>
                <w:sz w:val="18"/>
                <w:szCs w:val="18"/>
              </w:rPr>
              <w:t>Typ nástroje</w:t>
            </w:r>
          </w:p>
        </w:tc>
        <w:tc>
          <w:tcPr>
            <w:tcW w:w="160" w:type="dxa"/>
            <w:shd w:val="clear" w:color="auto" w:fill="00A1DE"/>
            <w:noWrap/>
          </w:tcPr>
          <w:p w:rsidR="009D2CAE" w:rsidRPr="002433DA" w:rsidRDefault="009D2CAE" w:rsidP="00E45795">
            <w:pPr>
              <w:keepNext/>
              <w:jc w:val="left"/>
              <w:rPr>
                <w:b/>
                <w:bCs/>
                <w:color w:val="000000"/>
                <w:sz w:val="18"/>
                <w:szCs w:val="18"/>
              </w:rPr>
            </w:pPr>
            <w:r w:rsidRPr="007C0CDA">
              <w:rPr>
                <w:b/>
                <w:bCs/>
                <w:color w:val="000000"/>
                <w:sz w:val="18"/>
                <w:szCs w:val="18"/>
              </w:rPr>
              <w:t> </w:t>
            </w:r>
          </w:p>
        </w:tc>
      </w:tr>
      <w:tr w:rsidR="009D2CAE" w:rsidRPr="007C0CDA" w:rsidTr="00E45795">
        <w:trPr>
          <w:trHeight w:val="300"/>
        </w:trPr>
        <w:tc>
          <w:tcPr>
            <w:tcW w:w="3289" w:type="dxa"/>
            <w:shd w:val="clear" w:color="auto" w:fill="FFFFFF"/>
            <w:noWrap/>
            <w:vAlign w:val="center"/>
          </w:tcPr>
          <w:p w:rsidR="009D2CAE" w:rsidRPr="002433DA" w:rsidRDefault="009D2CAE" w:rsidP="00E45795">
            <w:pPr>
              <w:keepNext/>
              <w:jc w:val="left"/>
              <w:rPr>
                <w:color w:val="000000"/>
                <w:sz w:val="18"/>
                <w:szCs w:val="18"/>
              </w:rPr>
            </w:pPr>
            <w:r w:rsidRPr="002433DA">
              <w:rPr>
                <w:color w:val="000000"/>
                <w:sz w:val="18"/>
                <w:szCs w:val="18"/>
              </w:rPr>
              <w:t>Investice do výroby</w:t>
            </w:r>
          </w:p>
        </w:tc>
        <w:tc>
          <w:tcPr>
            <w:tcW w:w="1060" w:type="dxa"/>
            <w:shd w:val="clear" w:color="auto" w:fill="FFFFFF"/>
            <w:noWrap/>
            <w:vAlign w:val="center"/>
          </w:tcPr>
          <w:p w:rsidR="009D2CAE" w:rsidRPr="002433DA" w:rsidRDefault="009D2CAE" w:rsidP="00E45795">
            <w:pPr>
              <w:keepNext/>
              <w:jc w:val="center"/>
              <w:rPr>
                <w:color w:val="000000"/>
                <w:sz w:val="18"/>
                <w:szCs w:val="18"/>
              </w:rPr>
            </w:pPr>
            <w:r w:rsidRPr="002433DA">
              <w:rPr>
                <w:color w:val="000000"/>
                <w:sz w:val="18"/>
                <w:szCs w:val="18"/>
              </w:rPr>
              <w:t>25%</w:t>
            </w:r>
          </w:p>
        </w:tc>
        <w:tc>
          <w:tcPr>
            <w:tcW w:w="960" w:type="dxa"/>
            <w:shd w:val="clear" w:color="auto" w:fill="FFFFFF"/>
            <w:noWrap/>
            <w:vAlign w:val="center"/>
          </w:tcPr>
          <w:p w:rsidR="009D2CAE" w:rsidRPr="002433DA" w:rsidRDefault="009D2CAE" w:rsidP="00E45795">
            <w:pPr>
              <w:keepNext/>
              <w:jc w:val="center"/>
              <w:rPr>
                <w:color w:val="000000"/>
                <w:sz w:val="18"/>
                <w:szCs w:val="18"/>
              </w:rPr>
            </w:pPr>
            <w:r w:rsidRPr="002433DA">
              <w:rPr>
                <w:color w:val="000000"/>
                <w:sz w:val="18"/>
                <w:szCs w:val="18"/>
              </w:rPr>
              <w:t>21%</w:t>
            </w:r>
          </w:p>
        </w:tc>
        <w:tc>
          <w:tcPr>
            <w:tcW w:w="960" w:type="dxa"/>
            <w:shd w:val="clear" w:color="auto" w:fill="FFFFFF"/>
            <w:noWrap/>
            <w:vAlign w:val="center"/>
          </w:tcPr>
          <w:p w:rsidR="009D2CAE" w:rsidRPr="002433DA" w:rsidRDefault="009D2CAE" w:rsidP="00E45795">
            <w:pPr>
              <w:keepNext/>
              <w:jc w:val="center"/>
              <w:rPr>
                <w:color w:val="000000"/>
                <w:sz w:val="18"/>
                <w:szCs w:val="18"/>
              </w:rPr>
            </w:pPr>
            <w:r w:rsidRPr="002433DA">
              <w:rPr>
                <w:color w:val="000000"/>
                <w:sz w:val="18"/>
                <w:szCs w:val="18"/>
              </w:rPr>
              <w:t>26%</w:t>
            </w:r>
          </w:p>
        </w:tc>
        <w:tc>
          <w:tcPr>
            <w:tcW w:w="960" w:type="dxa"/>
            <w:shd w:val="clear" w:color="auto" w:fill="FFFFFF"/>
            <w:noWrap/>
            <w:vAlign w:val="center"/>
          </w:tcPr>
          <w:p w:rsidR="009D2CAE" w:rsidRPr="002433DA" w:rsidRDefault="009D2CAE" w:rsidP="00E45795">
            <w:pPr>
              <w:keepNext/>
              <w:jc w:val="center"/>
              <w:rPr>
                <w:color w:val="000000"/>
                <w:sz w:val="18"/>
                <w:szCs w:val="18"/>
              </w:rPr>
            </w:pPr>
            <w:r w:rsidRPr="002433DA">
              <w:rPr>
                <w:color w:val="000000"/>
                <w:sz w:val="18"/>
                <w:szCs w:val="18"/>
              </w:rPr>
              <w:t>28%</w:t>
            </w:r>
          </w:p>
        </w:tc>
        <w:tc>
          <w:tcPr>
            <w:tcW w:w="1890" w:type="dxa"/>
            <w:gridSpan w:val="2"/>
            <w:vMerge w:val="restart"/>
            <w:shd w:val="clear" w:color="auto" w:fill="FFFFFF"/>
            <w:noWrap/>
            <w:vAlign w:val="center"/>
          </w:tcPr>
          <w:p w:rsidR="009D2CAE" w:rsidRPr="002433DA" w:rsidRDefault="009D2CAE" w:rsidP="00E45795">
            <w:pPr>
              <w:keepNext/>
              <w:jc w:val="center"/>
              <w:rPr>
                <w:color w:val="000000"/>
                <w:sz w:val="18"/>
                <w:szCs w:val="18"/>
              </w:rPr>
            </w:pPr>
            <w:r w:rsidRPr="002433DA">
              <w:rPr>
                <w:color w:val="000000"/>
                <w:sz w:val="18"/>
                <w:szCs w:val="18"/>
              </w:rPr>
              <w:t>Kapitálový vstup</w:t>
            </w:r>
          </w:p>
        </w:tc>
      </w:tr>
      <w:tr w:rsidR="009D2CAE" w:rsidRPr="007C0CDA" w:rsidTr="00E45795">
        <w:trPr>
          <w:trHeight w:val="315"/>
        </w:trPr>
        <w:tc>
          <w:tcPr>
            <w:tcW w:w="3289" w:type="dxa"/>
            <w:shd w:val="clear" w:color="auto" w:fill="FFFFFF"/>
            <w:noWrap/>
            <w:vAlign w:val="center"/>
          </w:tcPr>
          <w:p w:rsidR="009D2CAE" w:rsidRPr="002433DA" w:rsidRDefault="009D2CAE" w:rsidP="00E45795">
            <w:pPr>
              <w:keepNext/>
              <w:jc w:val="left"/>
              <w:rPr>
                <w:color w:val="000000"/>
                <w:sz w:val="18"/>
                <w:szCs w:val="18"/>
              </w:rPr>
            </w:pPr>
            <w:r w:rsidRPr="002433DA">
              <w:rPr>
                <w:color w:val="000000"/>
                <w:sz w:val="18"/>
                <w:szCs w:val="18"/>
              </w:rPr>
              <w:t>Investice do začínajícího podnikání</w:t>
            </w:r>
          </w:p>
        </w:tc>
        <w:tc>
          <w:tcPr>
            <w:tcW w:w="1060" w:type="dxa"/>
            <w:shd w:val="clear" w:color="auto" w:fill="FFFFFF"/>
            <w:noWrap/>
            <w:vAlign w:val="center"/>
          </w:tcPr>
          <w:p w:rsidR="009D2CAE" w:rsidRPr="002433DA" w:rsidRDefault="009D2CAE" w:rsidP="00E45795">
            <w:pPr>
              <w:keepNext/>
              <w:jc w:val="center"/>
              <w:rPr>
                <w:color w:val="000000"/>
                <w:sz w:val="18"/>
                <w:szCs w:val="18"/>
              </w:rPr>
            </w:pPr>
            <w:r w:rsidRPr="002433DA">
              <w:rPr>
                <w:color w:val="000000"/>
                <w:sz w:val="18"/>
                <w:szCs w:val="18"/>
              </w:rPr>
              <w:t>24%</w:t>
            </w:r>
          </w:p>
        </w:tc>
        <w:tc>
          <w:tcPr>
            <w:tcW w:w="960" w:type="dxa"/>
            <w:shd w:val="clear" w:color="auto" w:fill="FFFFFF"/>
            <w:noWrap/>
            <w:vAlign w:val="center"/>
          </w:tcPr>
          <w:p w:rsidR="009D2CAE" w:rsidRPr="002433DA" w:rsidRDefault="009D2CAE" w:rsidP="00E45795">
            <w:pPr>
              <w:keepNext/>
              <w:jc w:val="center"/>
              <w:rPr>
                <w:color w:val="000000"/>
                <w:sz w:val="18"/>
                <w:szCs w:val="18"/>
              </w:rPr>
            </w:pPr>
            <w:r w:rsidRPr="002433DA">
              <w:rPr>
                <w:color w:val="000000"/>
                <w:sz w:val="18"/>
                <w:szCs w:val="18"/>
              </w:rPr>
              <w:t>21%</w:t>
            </w:r>
          </w:p>
        </w:tc>
        <w:tc>
          <w:tcPr>
            <w:tcW w:w="960" w:type="dxa"/>
            <w:shd w:val="clear" w:color="auto" w:fill="FFFFFF"/>
            <w:noWrap/>
            <w:vAlign w:val="center"/>
          </w:tcPr>
          <w:p w:rsidR="009D2CAE" w:rsidRPr="002433DA" w:rsidRDefault="009D2CAE" w:rsidP="00E45795">
            <w:pPr>
              <w:keepNext/>
              <w:jc w:val="center"/>
              <w:rPr>
                <w:color w:val="000000"/>
                <w:sz w:val="18"/>
                <w:szCs w:val="18"/>
              </w:rPr>
            </w:pPr>
            <w:r w:rsidRPr="002433DA">
              <w:rPr>
                <w:color w:val="000000"/>
                <w:sz w:val="18"/>
                <w:szCs w:val="18"/>
              </w:rPr>
              <w:t>6%</w:t>
            </w:r>
          </w:p>
        </w:tc>
        <w:tc>
          <w:tcPr>
            <w:tcW w:w="960" w:type="dxa"/>
            <w:shd w:val="clear" w:color="auto" w:fill="FFFFFF"/>
            <w:noWrap/>
            <w:vAlign w:val="center"/>
          </w:tcPr>
          <w:p w:rsidR="009D2CAE" w:rsidRPr="002433DA" w:rsidRDefault="009D2CAE" w:rsidP="00E45795">
            <w:pPr>
              <w:keepNext/>
              <w:jc w:val="center"/>
              <w:rPr>
                <w:color w:val="000000"/>
                <w:sz w:val="18"/>
                <w:szCs w:val="18"/>
              </w:rPr>
            </w:pPr>
            <w:r w:rsidRPr="002433DA">
              <w:rPr>
                <w:color w:val="000000"/>
                <w:sz w:val="18"/>
                <w:szCs w:val="18"/>
              </w:rPr>
              <w:t>49%</w:t>
            </w:r>
          </w:p>
        </w:tc>
        <w:tc>
          <w:tcPr>
            <w:tcW w:w="1890" w:type="dxa"/>
            <w:gridSpan w:val="2"/>
            <w:vMerge/>
            <w:shd w:val="clear" w:color="auto" w:fill="FFFFFF"/>
            <w:vAlign w:val="center"/>
          </w:tcPr>
          <w:p w:rsidR="009D2CAE" w:rsidRPr="002433DA" w:rsidRDefault="009D2CAE" w:rsidP="00E45795">
            <w:pPr>
              <w:keepNext/>
              <w:jc w:val="center"/>
              <w:rPr>
                <w:color w:val="000000"/>
                <w:sz w:val="18"/>
                <w:szCs w:val="18"/>
              </w:rPr>
            </w:pPr>
          </w:p>
        </w:tc>
      </w:tr>
      <w:tr w:rsidR="009D2CAE" w:rsidRPr="007C0CDA" w:rsidTr="00E45795">
        <w:trPr>
          <w:trHeight w:val="300"/>
        </w:trPr>
        <w:tc>
          <w:tcPr>
            <w:tcW w:w="3289" w:type="dxa"/>
            <w:shd w:val="clear" w:color="auto" w:fill="FFFFFF"/>
            <w:noWrap/>
            <w:vAlign w:val="center"/>
          </w:tcPr>
          <w:p w:rsidR="009D2CAE" w:rsidRPr="002433DA" w:rsidRDefault="009D2CAE" w:rsidP="00E45795">
            <w:pPr>
              <w:keepNext/>
              <w:jc w:val="left"/>
              <w:rPr>
                <w:color w:val="000000"/>
                <w:sz w:val="18"/>
                <w:szCs w:val="18"/>
              </w:rPr>
            </w:pPr>
            <w:r w:rsidRPr="002433DA">
              <w:rPr>
                <w:color w:val="000000"/>
                <w:sz w:val="18"/>
                <w:szCs w:val="18"/>
              </w:rPr>
              <w:t>Investice do výroby</w:t>
            </w:r>
          </w:p>
        </w:tc>
        <w:tc>
          <w:tcPr>
            <w:tcW w:w="1060" w:type="dxa"/>
            <w:shd w:val="clear" w:color="auto" w:fill="FFFFFF"/>
            <w:noWrap/>
            <w:vAlign w:val="center"/>
          </w:tcPr>
          <w:p w:rsidR="009D2CAE" w:rsidRPr="002433DA" w:rsidRDefault="009D2CAE" w:rsidP="00E45795">
            <w:pPr>
              <w:keepNext/>
              <w:jc w:val="center"/>
              <w:rPr>
                <w:color w:val="000000"/>
                <w:sz w:val="18"/>
                <w:szCs w:val="18"/>
              </w:rPr>
            </w:pPr>
            <w:r w:rsidRPr="002433DA">
              <w:rPr>
                <w:color w:val="000000"/>
                <w:sz w:val="18"/>
                <w:szCs w:val="18"/>
              </w:rPr>
              <w:t>27%</w:t>
            </w:r>
          </w:p>
        </w:tc>
        <w:tc>
          <w:tcPr>
            <w:tcW w:w="960" w:type="dxa"/>
            <w:shd w:val="clear" w:color="auto" w:fill="FFFFFF"/>
            <w:noWrap/>
            <w:vAlign w:val="center"/>
          </w:tcPr>
          <w:p w:rsidR="009D2CAE" w:rsidRPr="002433DA" w:rsidRDefault="009D2CAE" w:rsidP="00E45795">
            <w:pPr>
              <w:keepNext/>
              <w:jc w:val="center"/>
              <w:rPr>
                <w:color w:val="000000"/>
                <w:sz w:val="18"/>
                <w:szCs w:val="18"/>
              </w:rPr>
            </w:pPr>
            <w:r w:rsidRPr="002433DA">
              <w:rPr>
                <w:color w:val="000000"/>
                <w:sz w:val="18"/>
                <w:szCs w:val="18"/>
              </w:rPr>
              <w:t>32%</w:t>
            </w:r>
          </w:p>
        </w:tc>
        <w:tc>
          <w:tcPr>
            <w:tcW w:w="960" w:type="dxa"/>
            <w:shd w:val="clear" w:color="auto" w:fill="FFFFFF"/>
            <w:noWrap/>
            <w:vAlign w:val="center"/>
          </w:tcPr>
          <w:p w:rsidR="009D2CAE" w:rsidRPr="002433DA" w:rsidRDefault="009D2CAE" w:rsidP="00E45795">
            <w:pPr>
              <w:keepNext/>
              <w:jc w:val="center"/>
              <w:rPr>
                <w:color w:val="000000"/>
                <w:sz w:val="18"/>
                <w:szCs w:val="18"/>
              </w:rPr>
            </w:pPr>
            <w:r w:rsidRPr="002433DA">
              <w:rPr>
                <w:color w:val="000000"/>
                <w:sz w:val="18"/>
                <w:szCs w:val="18"/>
              </w:rPr>
              <w:t>24%</w:t>
            </w:r>
          </w:p>
        </w:tc>
        <w:tc>
          <w:tcPr>
            <w:tcW w:w="960" w:type="dxa"/>
            <w:shd w:val="clear" w:color="auto" w:fill="FFFFFF"/>
            <w:noWrap/>
            <w:vAlign w:val="center"/>
          </w:tcPr>
          <w:p w:rsidR="009D2CAE" w:rsidRPr="002433DA" w:rsidRDefault="009D2CAE" w:rsidP="00E45795">
            <w:pPr>
              <w:keepNext/>
              <w:jc w:val="center"/>
              <w:rPr>
                <w:color w:val="000000"/>
                <w:sz w:val="18"/>
                <w:szCs w:val="18"/>
              </w:rPr>
            </w:pPr>
            <w:r w:rsidRPr="002433DA">
              <w:rPr>
                <w:color w:val="000000"/>
                <w:sz w:val="18"/>
                <w:szCs w:val="18"/>
              </w:rPr>
              <w:t>18%</w:t>
            </w:r>
          </w:p>
        </w:tc>
        <w:tc>
          <w:tcPr>
            <w:tcW w:w="1890" w:type="dxa"/>
            <w:gridSpan w:val="2"/>
            <w:vMerge w:val="restart"/>
            <w:shd w:val="clear" w:color="auto" w:fill="FFFFFF"/>
            <w:noWrap/>
            <w:vAlign w:val="center"/>
          </w:tcPr>
          <w:p w:rsidR="009D2CAE" w:rsidRPr="002433DA" w:rsidRDefault="009D2CAE" w:rsidP="00E45795">
            <w:pPr>
              <w:keepNext/>
              <w:jc w:val="center"/>
              <w:rPr>
                <w:color w:val="000000"/>
                <w:sz w:val="18"/>
                <w:szCs w:val="18"/>
              </w:rPr>
            </w:pPr>
            <w:r w:rsidRPr="002433DA">
              <w:rPr>
                <w:color w:val="000000"/>
                <w:sz w:val="18"/>
                <w:szCs w:val="18"/>
              </w:rPr>
              <w:t>Záruky</w:t>
            </w:r>
          </w:p>
        </w:tc>
      </w:tr>
      <w:tr w:rsidR="009D2CAE" w:rsidRPr="007C0CDA" w:rsidTr="00E45795">
        <w:trPr>
          <w:trHeight w:val="315"/>
        </w:trPr>
        <w:tc>
          <w:tcPr>
            <w:tcW w:w="3289" w:type="dxa"/>
            <w:shd w:val="clear" w:color="auto" w:fill="FFFFFF"/>
            <w:noWrap/>
            <w:vAlign w:val="center"/>
          </w:tcPr>
          <w:p w:rsidR="009D2CAE" w:rsidRPr="002433DA" w:rsidRDefault="009D2CAE" w:rsidP="00E45795">
            <w:pPr>
              <w:keepNext/>
              <w:jc w:val="left"/>
              <w:rPr>
                <w:color w:val="000000"/>
                <w:sz w:val="18"/>
                <w:szCs w:val="18"/>
              </w:rPr>
            </w:pPr>
            <w:r w:rsidRPr="002433DA">
              <w:rPr>
                <w:color w:val="000000"/>
                <w:sz w:val="18"/>
                <w:szCs w:val="18"/>
              </w:rPr>
              <w:t>Investice do začínajícího podnikání</w:t>
            </w:r>
          </w:p>
        </w:tc>
        <w:tc>
          <w:tcPr>
            <w:tcW w:w="1060" w:type="dxa"/>
            <w:shd w:val="clear" w:color="auto" w:fill="FFFFFF"/>
            <w:noWrap/>
            <w:vAlign w:val="center"/>
          </w:tcPr>
          <w:p w:rsidR="009D2CAE" w:rsidRPr="002433DA" w:rsidRDefault="009D2CAE" w:rsidP="00E45795">
            <w:pPr>
              <w:keepNext/>
              <w:jc w:val="center"/>
              <w:rPr>
                <w:color w:val="000000"/>
                <w:sz w:val="18"/>
                <w:szCs w:val="18"/>
              </w:rPr>
            </w:pPr>
            <w:r w:rsidRPr="002433DA">
              <w:rPr>
                <w:color w:val="000000"/>
                <w:sz w:val="18"/>
                <w:szCs w:val="18"/>
              </w:rPr>
              <w:t>19%</w:t>
            </w:r>
          </w:p>
        </w:tc>
        <w:tc>
          <w:tcPr>
            <w:tcW w:w="960" w:type="dxa"/>
            <w:shd w:val="clear" w:color="auto" w:fill="FFFFFF"/>
            <w:noWrap/>
            <w:vAlign w:val="center"/>
          </w:tcPr>
          <w:p w:rsidR="009D2CAE" w:rsidRPr="002433DA" w:rsidRDefault="009D2CAE" w:rsidP="00E45795">
            <w:pPr>
              <w:keepNext/>
              <w:jc w:val="center"/>
              <w:rPr>
                <w:color w:val="000000"/>
                <w:sz w:val="18"/>
                <w:szCs w:val="18"/>
              </w:rPr>
            </w:pPr>
            <w:r w:rsidRPr="002433DA">
              <w:rPr>
                <w:color w:val="000000"/>
                <w:sz w:val="18"/>
                <w:szCs w:val="18"/>
              </w:rPr>
              <w:t>22%</w:t>
            </w:r>
          </w:p>
        </w:tc>
        <w:tc>
          <w:tcPr>
            <w:tcW w:w="960" w:type="dxa"/>
            <w:shd w:val="clear" w:color="auto" w:fill="FFFFFF"/>
            <w:noWrap/>
            <w:vAlign w:val="center"/>
          </w:tcPr>
          <w:p w:rsidR="009D2CAE" w:rsidRPr="002433DA" w:rsidRDefault="009D2CAE" w:rsidP="00E45795">
            <w:pPr>
              <w:keepNext/>
              <w:jc w:val="center"/>
              <w:rPr>
                <w:color w:val="000000"/>
                <w:sz w:val="18"/>
                <w:szCs w:val="18"/>
              </w:rPr>
            </w:pPr>
            <w:r w:rsidRPr="002433DA">
              <w:rPr>
                <w:color w:val="000000"/>
                <w:sz w:val="18"/>
                <w:szCs w:val="18"/>
              </w:rPr>
              <w:t>18%</w:t>
            </w:r>
          </w:p>
        </w:tc>
        <w:tc>
          <w:tcPr>
            <w:tcW w:w="960" w:type="dxa"/>
            <w:shd w:val="clear" w:color="auto" w:fill="FFFFFF"/>
            <w:noWrap/>
            <w:vAlign w:val="center"/>
          </w:tcPr>
          <w:p w:rsidR="009D2CAE" w:rsidRPr="002433DA" w:rsidRDefault="009D2CAE" w:rsidP="00E45795">
            <w:pPr>
              <w:keepNext/>
              <w:jc w:val="center"/>
              <w:rPr>
                <w:color w:val="000000"/>
                <w:sz w:val="18"/>
                <w:szCs w:val="18"/>
              </w:rPr>
            </w:pPr>
            <w:r w:rsidRPr="002433DA">
              <w:rPr>
                <w:color w:val="000000"/>
                <w:sz w:val="18"/>
                <w:szCs w:val="18"/>
              </w:rPr>
              <w:t>41%</w:t>
            </w:r>
          </w:p>
        </w:tc>
        <w:tc>
          <w:tcPr>
            <w:tcW w:w="1890" w:type="dxa"/>
            <w:gridSpan w:val="2"/>
            <w:vMerge/>
            <w:shd w:val="clear" w:color="auto" w:fill="FFFFFF"/>
            <w:vAlign w:val="center"/>
          </w:tcPr>
          <w:p w:rsidR="009D2CAE" w:rsidRPr="002433DA" w:rsidRDefault="009D2CAE" w:rsidP="00E45795">
            <w:pPr>
              <w:keepNext/>
              <w:jc w:val="center"/>
              <w:rPr>
                <w:color w:val="000000"/>
                <w:sz w:val="18"/>
                <w:szCs w:val="18"/>
              </w:rPr>
            </w:pPr>
          </w:p>
        </w:tc>
      </w:tr>
      <w:tr w:rsidR="009D2CAE" w:rsidRPr="007C0CDA" w:rsidTr="00E45795">
        <w:trPr>
          <w:trHeight w:val="300"/>
        </w:trPr>
        <w:tc>
          <w:tcPr>
            <w:tcW w:w="3289" w:type="dxa"/>
            <w:shd w:val="clear" w:color="auto" w:fill="FFFFFF"/>
            <w:noWrap/>
            <w:vAlign w:val="center"/>
          </w:tcPr>
          <w:p w:rsidR="009D2CAE" w:rsidRPr="002433DA" w:rsidRDefault="009D2CAE" w:rsidP="00E45795">
            <w:pPr>
              <w:keepNext/>
              <w:jc w:val="left"/>
              <w:rPr>
                <w:color w:val="000000"/>
                <w:sz w:val="18"/>
                <w:szCs w:val="18"/>
              </w:rPr>
            </w:pPr>
            <w:r w:rsidRPr="002433DA">
              <w:rPr>
                <w:color w:val="000000"/>
                <w:sz w:val="18"/>
                <w:szCs w:val="18"/>
              </w:rPr>
              <w:t>Investice do výroby</w:t>
            </w:r>
          </w:p>
        </w:tc>
        <w:tc>
          <w:tcPr>
            <w:tcW w:w="1060" w:type="dxa"/>
            <w:shd w:val="clear" w:color="auto" w:fill="FFFFFF"/>
            <w:noWrap/>
            <w:vAlign w:val="center"/>
          </w:tcPr>
          <w:p w:rsidR="009D2CAE" w:rsidRPr="002433DA" w:rsidRDefault="009D2CAE" w:rsidP="00E45795">
            <w:pPr>
              <w:keepNext/>
              <w:jc w:val="center"/>
              <w:rPr>
                <w:color w:val="000000"/>
                <w:sz w:val="18"/>
                <w:szCs w:val="18"/>
              </w:rPr>
            </w:pPr>
            <w:r w:rsidRPr="002433DA">
              <w:rPr>
                <w:color w:val="000000"/>
                <w:sz w:val="18"/>
                <w:szCs w:val="18"/>
              </w:rPr>
              <w:t>42%</w:t>
            </w:r>
          </w:p>
        </w:tc>
        <w:tc>
          <w:tcPr>
            <w:tcW w:w="960" w:type="dxa"/>
            <w:shd w:val="clear" w:color="auto" w:fill="FFFFFF"/>
            <w:noWrap/>
            <w:vAlign w:val="center"/>
          </w:tcPr>
          <w:p w:rsidR="009D2CAE" w:rsidRPr="002433DA" w:rsidRDefault="009D2CAE" w:rsidP="00E45795">
            <w:pPr>
              <w:keepNext/>
              <w:jc w:val="center"/>
              <w:rPr>
                <w:color w:val="000000"/>
                <w:sz w:val="18"/>
                <w:szCs w:val="18"/>
              </w:rPr>
            </w:pPr>
            <w:r w:rsidRPr="002433DA">
              <w:rPr>
                <w:color w:val="000000"/>
                <w:sz w:val="18"/>
                <w:szCs w:val="18"/>
              </w:rPr>
              <w:t>38%</w:t>
            </w:r>
          </w:p>
        </w:tc>
        <w:tc>
          <w:tcPr>
            <w:tcW w:w="960" w:type="dxa"/>
            <w:shd w:val="clear" w:color="auto" w:fill="FFFFFF"/>
            <w:noWrap/>
            <w:vAlign w:val="center"/>
          </w:tcPr>
          <w:p w:rsidR="009D2CAE" w:rsidRPr="002433DA" w:rsidRDefault="009D2CAE" w:rsidP="00E45795">
            <w:pPr>
              <w:keepNext/>
              <w:jc w:val="center"/>
              <w:rPr>
                <w:color w:val="000000"/>
                <w:sz w:val="18"/>
                <w:szCs w:val="18"/>
              </w:rPr>
            </w:pPr>
            <w:r w:rsidRPr="002433DA">
              <w:rPr>
                <w:color w:val="000000"/>
                <w:sz w:val="18"/>
                <w:szCs w:val="18"/>
              </w:rPr>
              <w:t>17%</w:t>
            </w:r>
          </w:p>
        </w:tc>
        <w:tc>
          <w:tcPr>
            <w:tcW w:w="960" w:type="dxa"/>
            <w:shd w:val="clear" w:color="auto" w:fill="FFFFFF"/>
            <w:noWrap/>
            <w:vAlign w:val="center"/>
          </w:tcPr>
          <w:p w:rsidR="009D2CAE" w:rsidRPr="002433DA" w:rsidRDefault="009D2CAE" w:rsidP="00E45795">
            <w:pPr>
              <w:keepNext/>
              <w:jc w:val="center"/>
              <w:rPr>
                <w:color w:val="000000"/>
                <w:sz w:val="18"/>
                <w:szCs w:val="18"/>
              </w:rPr>
            </w:pPr>
            <w:r w:rsidRPr="002433DA">
              <w:rPr>
                <w:color w:val="000000"/>
                <w:sz w:val="18"/>
                <w:szCs w:val="18"/>
              </w:rPr>
              <w:t>4%</w:t>
            </w:r>
          </w:p>
        </w:tc>
        <w:tc>
          <w:tcPr>
            <w:tcW w:w="1890" w:type="dxa"/>
            <w:gridSpan w:val="2"/>
            <w:vMerge w:val="restart"/>
            <w:shd w:val="clear" w:color="auto" w:fill="FFFFFF"/>
            <w:noWrap/>
            <w:vAlign w:val="center"/>
          </w:tcPr>
          <w:p w:rsidR="009D2CAE" w:rsidRPr="002433DA" w:rsidRDefault="009D2CAE" w:rsidP="00E45795">
            <w:pPr>
              <w:keepNext/>
              <w:jc w:val="center"/>
              <w:rPr>
                <w:color w:val="000000"/>
                <w:sz w:val="18"/>
                <w:szCs w:val="18"/>
              </w:rPr>
            </w:pPr>
            <w:r w:rsidRPr="002433DA">
              <w:rPr>
                <w:color w:val="000000"/>
                <w:sz w:val="18"/>
                <w:szCs w:val="18"/>
              </w:rPr>
              <w:t>Zvýhodněný úvěr</w:t>
            </w:r>
          </w:p>
        </w:tc>
      </w:tr>
      <w:tr w:rsidR="009D2CAE" w:rsidRPr="007C0CDA" w:rsidTr="00E45795">
        <w:trPr>
          <w:trHeight w:val="315"/>
        </w:trPr>
        <w:tc>
          <w:tcPr>
            <w:tcW w:w="3289" w:type="dxa"/>
            <w:shd w:val="clear" w:color="auto" w:fill="FFFFFF"/>
            <w:noWrap/>
            <w:vAlign w:val="center"/>
          </w:tcPr>
          <w:p w:rsidR="009D2CAE" w:rsidRPr="002433DA" w:rsidRDefault="009D2CAE" w:rsidP="00E45795">
            <w:pPr>
              <w:keepNext/>
              <w:jc w:val="left"/>
              <w:rPr>
                <w:color w:val="000000"/>
                <w:sz w:val="18"/>
                <w:szCs w:val="18"/>
              </w:rPr>
            </w:pPr>
            <w:r w:rsidRPr="002433DA">
              <w:rPr>
                <w:color w:val="000000"/>
                <w:sz w:val="18"/>
                <w:szCs w:val="18"/>
              </w:rPr>
              <w:t>Investice do začínajícího podnikání</w:t>
            </w:r>
          </w:p>
        </w:tc>
        <w:tc>
          <w:tcPr>
            <w:tcW w:w="1060" w:type="dxa"/>
            <w:shd w:val="clear" w:color="auto" w:fill="FFFFFF"/>
            <w:noWrap/>
            <w:vAlign w:val="center"/>
          </w:tcPr>
          <w:p w:rsidR="009D2CAE" w:rsidRPr="002433DA" w:rsidRDefault="009D2CAE" w:rsidP="00E45795">
            <w:pPr>
              <w:keepNext/>
              <w:jc w:val="center"/>
              <w:rPr>
                <w:color w:val="000000"/>
                <w:sz w:val="18"/>
                <w:szCs w:val="18"/>
              </w:rPr>
            </w:pPr>
            <w:r w:rsidRPr="002433DA">
              <w:rPr>
                <w:color w:val="000000"/>
                <w:sz w:val="18"/>
                <w:szCs w:val="18"/>
              </w:rPr>
              <w:t>33%</w:t>
            </w:r>
          </w:p>
        </w:tc>
        <w:tc>
          <w:tcPr>
            <w:tcW w:w="960" w:type="dxa"/>
            <w:shd w:val="clear" w:color="auto" w:fill="FFFFFF"/>
            <w:noWrap/>
            <w:vAlign w:val="center"/>
          </w:tcPr>
          <w:p w:rsidR="009D2CAE" w:rsidRPr="002433DA" w:rsidRDefault="009D2CAE" w:rsidP="00E45795">
            <w:pPr>
              <w:keepNext/>
              <w:jc w:val="center"/>
              <w:rPr>
                <w:color w:val="000000"/>
                <w:sz w:val="18"/>
                <w:szCs w:val="18"/>
              </w:rPr>
            </w:pPr>
            <w:r w:rsidRPr="002433DA">
              <w:rPr>
                <w:color w:val="000000"/>
                <w:sz w:val="18"/>
                <w:szCs w:val="18"/>
              </w:rPr>
              <w:t>18%</w:t>
            </w:r>
          </w:p>
        </w:tc>
        <w:tc>
          <w:tcPr>
            <w:tcW w:w="960" w:type="dxa"/>
            <w:shd w:val="clear" w:color="auto" w:fill="FFFFFF"/>
            <w:noWrap/>
            <w:vAlign w:val="center"/>
          </w:tcPr>
          <w:p w:rsidR="009D2CAE" w:rsidRPr="002433DA" w:rsidRDefault="009D2CAE" w:rsidP="00E45795">
            <w:pPr>
              <w:keepNext/>
              <w:jc w:val="center"/>
              <w:rPr>
                <w:color w:val="000000"/>
                <w:sz w:val="18"/>
                <w:szCs w:val="18"/>
              </w:rPr>
            </w:pPr>
            <w:r w:rsidRPr="002433DA">
              <w:rPr>
                <w:color w:val="000000"/>
                <w:sz w:val="18"/>
                <w:szCs w:val="18"/>
              </w:rPr>
              <w:t>16%</w:t>
            </w:r>
          </w:p>
        </w:tc>
        <w:tc>
          <w:tcPr>
            <w:tcW w:w="960" w:type="dxa"/>
            <w:shd w:val="clear" w:color="auto" w:fill="FFFFFF"/>
            <w:noWrap/>
            <w:vAlign w:val="center"/>
          </w:tcPr>
          <w:p w:rsidR="009D2CAE" w:rsidRPr="002433DA" w:rsidRDefault="009D2CAE" w:rsidP="00E45795">
            <w:pPr>
              <w:keepNext/>
              <w:jc w:val="center"/>
              <w:rPr>
                <w:color w:val="000000"/>
                <w:sz w:val="18"/>
                <w:szCs w:val="18"/>
              </w:rPr>
            </w:pPr>
            <w:r w:rsidRPr="002433DA">
              <w:rPr>
                <w:color w:val="000000"/>
                <w:sz w:val="18"/>
                <w:szCs w:val="18"/>
              </w:rPr>
              <w:t>34%</w:t>
            </w:r>
          </w:p>
        </w:tc>
        <w:tc>
          <w:tcPr>
            <w:tcW w:w="1890" w:type="dxa"/>
            <w:gridSpan w:val="2"/>
            <w:vMerge/>
            <w:shd w:val="clear" w:color="auto" w:fill="FFFFFF"/>
          </w:tcPr>
          <w:p w:rsidR="009D2CAE" w:rsidRPr="002433DA" w:rsidRDefault="009D2CAE" w:rsidP="00E45795">
            <w:pPr>
              <w:keepNext/>
              <w:jc w:val="left"/>
              <w:rPr>
                <w:color w:val="000000"/>
                <w:sz w:val="18"/>
                <w:szCs w:val="18"/>
              </w:rPr>
            </w:pPr>
          </w:p>
        </w:tc>
      </w:tr>
    </w:tbl>
    <w:p w:rsidR="009D2CAE" w:rsidRPr="002433DA" w:rsidRDefault="009D2CAE" w:rsidP="00497E3B">
      <w:pPr>
        <w:pStyle w:val="Titulek"/>
        <w:jc w:val="center"/>
      </w:pPr>
      <w:r w:rsidRPr="002433DA">
        <w:t>Tabulka 5- Aktivační potenciál finančních nástrojů</w:t>
      </w:r>
    </w:p>
    <w:p w:rsidR="009D2CAE" w:rsidRPr="007C0CDA" w:rsidRDefault="009D2CAE" w:rsidP="00497E3B"/>
    <w:p w:rsidR="009D2CAE" w:rsidRPr="007C0CDA" w:rsidRDefault="009D2CAE" w:rsidP="00497E3B">
      <w:r w:rsidRPr="007C0CDA">
        <w:t>Následující Tabulka 4 uvádí, zdali by rozhodnutí respondentů, kteří ve výše uvedené Tabulce 3 uvedli, že by investici v případě podpory zvýhodněným úvěrem spíše nerealizovali, zvrátilo přiznání dotace ve výši 10% způsobilých výdajů.</w:t>
      </w:r>
    </w:p>
    <w:p w:rsidR="009D2CAE" w:rsidRPr="007C0CDA" w:rsidRDefault="009D2CAE" w:rsidP="00497E3B"/>
    <w:tbl>
      <w:tblPr>
        <w:tblW w:w="9120" w:type="dxa"/>
        <w:tblBorders>
          <w:bottom w:val="single" w:sz="4" w:space="0" w:color="00A1DE"/>
          <w:insideH w:val="single" w:sz="4" w:space="0" w:color="00A1DE"/>
        </w:tblBorders>
        <w:tblCellMar>
          <w:top w:w="28" w:type="dxa"/>
          <w:left w:w="28" w:type="dxa"/>
          <w:bottom w:w="28" w:type="dxa"/>
          <w:right w:w="28" w:type="dxa"/>
        </w:tblCellMar>
        <w:tblLook w:val="00A0" w:firstRow="1" w:lastRow="0" w:firstColumn="1" w:lastColumn="0" w:noHBand="0" w:noVBand="0"/>
      </w:tblPr>
      <w:tblGrid>
        <w:gridCol w:w="4696"/>
        <w:gridCol w:w="1190"/>
        <w:gridCol w:w="1078"/>
        <w:gridCol w:w="1078"/>
        <w:gridCol w:w="1078"/>
      </w:tblGrid>
      <w:tr w:rsidR="009D2CAE" w:rsidRPr="007C0CDA" w:rsidTr="00E45795">
        <w:trPr>
          <w:trHeight w:val="306"/>
        </w:trPr>
        <w:tc>
          <w:tcPr>
            <w:tcW w:w="4696" w:type="dxa"/>
            <w:shd w:val="clear" w:color="auto" w:fill="00A1DE"/>
            <w:noWrap/>
          </w:tcPr>
          <w:p w:rsidR="009D2CAE" w:rsidRPr="002433DA" w:rsidRDefault="009D2CAE" w:rsidP="00E45795">
            <w:pPr>
              <w:jc w:val="left"/>
              <w:rPr>
                <w:b/>
                <w:color w:val="FFFFFF"/>
                <w:sz w:val="18"/>
              </w:rPr>
            </w:pPr>
          </w:p>
        </w:tc>
        <w:tc>
          <w:tcPr>
            <w:tcW w:w="1190" w:type="dxa"/>
            <w:shd w:val="clear" w:color="auto" w:fill="00A1DE"/>
            <w:noWrap/>
            <w:vAlign w:val="center"/>
          </w:tcPr>
          <w:p w:rsidR="009D2CAE" w:rsidRPr="002433DA" w:rsidRDefault="009D2CAE" w:rsidP="00E45795">
            <w:pPr>
              <w:jc w:val="center"/>
              <w:rPr>
                <w:b/>
                <w:bCs/>
                <w:color w:val="FFFFFF"/>
                <w:sz w:val="18"/>
                <w:szCs w:val="22"/>
              </w:rPr>
            </w:pPr>
            <w:r w:rsidRPr="002433DA">
              <w:rPr>
                <w:b/>
                <w:bCs/>
                <w:color w:val="FFFFFF"/>
                <w:sz w:val="18"/>
                <w:szCs w:val="22"/>
              </w:rPr>
              <w:t>Určitě ano</w:t>
            </w:r>
          </w:p>
        </w:tc>
        <w:tc>
          <w:tcPr>
            <w:tcW w:w="1078" w:type="dxa"/>
            <w:shd w:val="clear" w:color="auto" w:fill="00A1DE"/>
            <w:noWrap/>
            <w:vAlign w:val="center"/>
          </w:tcPr>
          <w:p w:rsidR="009D2CAE" w:rsidRPr="002433DA" w:rsidRDefault="009D2CAE" w:rsidP="00E45795">
            <w:pPr>
              <w:jc w:val="center"/>
              <w:rPr>
                <w:b/>
                <w:bCs/>
                <w:color w:val="FFFFFF"/>
                <w:sz w:val="18"/>
                <w:szCs w:val="22"/>
              </w:rPr>
            </w:pPr>
            <w:r w:rsidRPr="002433DA">
              <w:rPr>
                <w:b/>
                <w:bCs/>
                <w:color w:val="FFFFFF"/>
                <w:sz w:val="18"/>
                <w:szCs w:val="22"/>
              </w:rPr>
              <w:t>Spíše ano</w:t>
            </w:r>
          </w:p>
        </w:tc>
        <w:tc>
          <w:tcPr>
            <w:tcW w:w="1078" w:type="dxa"/>
            <w:shd w:val="clear" w:color="auto" w:fill="00A1DE"/>
            <w:noWrap/>
            <w:vAlign w:val="center"/>
          </w:tcPr>
          <w:p w:rsidR="009D2CAE" w:rsidRPr="002433DA" w:rsidRDefault="009D2CAE" w:rsidP="00E45795">
            <w:pPr>
              <w:jc w:val="center"/>
              <w:rPr>
                <w:b/>
                <w:bCs/>
                <w:color w:val="FFFFFF"/>
                <w:sz w:val="18"/>
                <w:szCs w:val="22"/>
              </w:rPr>
            </w:pPr>
            <w:r w:rsidRPr="002433DA">
              <w:rPr>
                <w:b/>
                <w:bCs/>
                <w:color w:val="FFFFFF"/>
                <w:sz w:val="18"/>
                <w:szCs w:val="22"/>
              </w:rPr>
              <w:t>Spíše ne</w:t>
            </w:r>
          </w:p>
        </w:tc>
        <w:tc>
          <w:tcPr>
            <w:tcW w:w="1078" w:type="dxa"/>
            <w:shd w:val="clear" w:color="auto" w:fill="00A1DE"/>
            <w:noWrap/>
            <w:vAlign w:val="center"/>
          </w:tcPr>
          <w:p w:rsidR="009D2CAE" w:rsidRPr="002433DA" w:rsidRDefault="009D2CAE" w:rsidP="00E45795">
            <w:pPr>
              <w:jc w:val="center"/>
              <w:rPr>
                <w:b/>
                <w:bCs/>
                <w:color w:val="FFFFFF"/>
                <w:sz w:val="18"/>
                <w:szCs w:val="22"/>
              </w:rPr>
            </w:pPr>
            <w:r w:rsidRPr="002433DA">
              <w:rPr>
                <w:b/>
                <w:bCs/>
                <w:color w:val="FFFFFF"/>
                <w:sz w:val="18"/>
                <w:szCs w:val="22"/>
              </w:rPr>
              <w:t>Určitě ne</w:t>
            </w:r>
          </w:p>
        </w:tc>
      </w:tr>
      <w:tr w:rsidR="009D2CAE" w:rsidRPr="007C0CDA" w:rsidTr="00E45795">
        <w:trPr>
          <w:trHeight w:val="306"/>
        </w:trPr>
        <w:tc>
          <w:tcPr>
            <w:tcW w:w="4696" w:type="dxa"/>
            <w:shd w:val="clear" w:color="auto" w:fill="FFFFFF"/>
            <w:noWrap/>
            <w:vAlign w:val="center"/>
          </w:tcPr>
          <w:p w:rsidR="009D2CAE" w:rsidRPr="002433DA" w:rsidRDefault="009D2CAE" w:rsidP="00E45795">
            <w:pPr>
              <w:jc w:val="left"/>
              <w:rPr>
                <w:color w:val="000000"/>
                <w:sz w:val="18"/>
                <w:szCs w:val="22"/>
              </w:rPr>
            </w:pPr>
            <w:r w:rsidRPr="002433DA">
              <w:rPr>
                <w:color w:val="000000"/>
                <w:sz w:val="18"/>
                <w:szCs w:val="22"/>
              </w:rPr>
              <w:t>Investice do výroby</w:t>
            </w:r>
          </w:p>
        </w:tc>
        <w:tc>
          <w:tcPr>
            <w:tcW w:w="1190" w:type="dxa"/>
            <w:shd w:val="clear" w:color="auto" w:fill="FFFFFF"/>
            <w:noWrap/>
            <w:vAlign w:val="center"/>
          </w:tcPr>
          <w:p w:rsidR="009D2CAE" w:rsidRPr="002433DA" w:rsidRDefault="009D2CAE" w:rsidP="00E45795">
            <w:pPr>
              <w:jc w:val="center"/>
              <w:rPr>
                <w:color w:val="000000"/>
                <w:sz w:val="18"/>
                <w:szCs w:val="22"/>
              </w:rPr>
            </w:pPr>
            <w:r w:rsidRPr="002433DA">
              <w:rPr>
                <w:color w:val="000000"/>
                <w:sz w:val="18"/>
                <w:szCs w:val="22"/>
              </w:rPr>
              <w:t>65</w:t>
            </w:r>
          </w:p>
        </w:tc>
        <w:tc>
          <w:tcPr>
            <w:tcW w:w="1078" w:type="dxa"/>
            <w:shd w:val="clear" w:color="auto" w:fill="FFFFFF"/>
            <w:noWrap/>
            <w:vAlign w:val="center"/>
          </w:tcPr>
          <w:p w:rsidR="009D2CAE" w:rsidRPr="002433DA" w:rsidRDefault="009D2CAE" w:rsidP="00E45795">
            <w:pPr>
              <w:jc w:val="center"/>
              <w:rPr>
                <w:color w:val="000000"/>
                <w:sz w:val="18"/>
                <w:szCs w:val="22"/>
              </w:rPr>
            </w:pPr>
            <w:r w:rsidRPr="002433DA">
              <w:rPr>
                <w:color w:val="000000"/>
                <w:sz w:val="18"/>
                <w:szCs w:val="22"/>
              </w:rPr>
              <w:t>121</w:t>
            </w:r>
          </w:p>
        </w:tc>
        <w:tc>
          <w:tcPr>
            <w:tcW w:w="1078" w:type="dxa"/>
            <w:shd w:val="clear" w:color="auto" w:fill="FFFFFF"/>
            <w:noWrap/>
            <w:vAlign w:val="center"/>
          </w:tcPr>
          <w:p w:rsidR="009D2CAE" w:rsidRPr="002433DA" w:rsidRDefault="009D2CAE" w:rsidP="00E45795">
            <w:pPr>
              <w:jc w:val="center"/>
              <w:rPr>
                <w:color w:val="000000"/>
                <w:sz w:val="18"/>
                <w:szCs w:val="22"/>
              </w:rPr>
            </w:pPr>
            <w:r w:rsidRPr="002433DA">
              <w:rPr>
                <w:color w:val="000000"/>
                <w:sz w:val="18"/>
                <w:szCs w:val="22"/>
              </w:rPr>
              <w:t>92</w:t>
            </w:r>
          </w:p>
        </w:tc>
        <w:tc>
          <w:tcPr>
            <w:tcW w:w="1078" w:type="dxa"/>
            <w:shd w:val="clear" w:color="auto" w:fill="FFFFFF"/>
            <w:noWrap/>
            <w:vAlign w:val="center"/>
          </w:tcPr>
          <w:p w:rsidR="009D2CAE" w:rsidRPr="002433DA" w:rsidRDefault="009D2CAE" w:rsidP="00E45795">
            <w:pPr>
              <w:jc w:val="center"/>
              <w:rPr>
                <w:color w:val="000000"/>
                <w:sz w:val="18"/>
                <w:szCs w:val="22"/>
              </w:rPr>
            </w:pPr>
            <w:r w:rsidRPr="002433DA">
              <w:rPr>
                <w:color w:val="000000"/>
                <w:sz w:val="18"/>
                <w:szCs w:val="22"/>
              </w:rPr>
              <w:t>65</w:t>
            </w:r>
          </w:p>
        </w:tc>
      </w:tr>
      <w:tr w:rsidR="009D2CAE" w:rsidRPr="007C0CDA" w:rsidTr="00E45795">
        <w:trPr>
          <w:trHeight w:val="306"/>
        </w:trPr>
        <w:tc>
          <w:tcPr>
            <w:tcW w:w="4696" w:type="dxa"/>
            <w:shd w:val="clear" w:color="auto" w:fill="FFFFFF"/>
            <w:noWrap/>
            <w:vAlign w:val="center"/>
          </w:tcPr>
          <w:p w:rsidR="009D2CAE" w:rsidRPr="002433DA" w:rsidRDefault="009D2CAE" w:rsidP="00E45795">
            <w:pPr>
              <w:jc w:val="left"/>
              <w:rPr>
                <w:color w:val="000000"/>
                <w:sz w:val="18"/>
                <w:szCs w:val="22"/>
              </w:rPr>
            </w:pPr>
            <w:r w:rsidRPr="002433DA">
              <w:rPr>
                <w:color w:val="000000"/>
                <w:sz w:val="18"/>
                <w:szCs w:val="22"/>
              </w:rPr>
              <w:t>Investice do začínajícího podnikání</w:t>
            </w:r>
          </w:p>
        </w:tc>
        <w:tc>
          <w:tcPr>
            <w:tcW w:w="1190" w:type="dxa"/>
            <w:shd w:val="clear" w:color="auto" w:fill="FFFFFF"/>
            <w:noWrap/>
            <w:vAlign w:val="center"/>
          </w:tcPr>
          <w:p w:rsidR="009D2CAE" w:rsidRPr="002433DA" w:rsidRDefault="009D2CAE" w:rsidP="00E45795">
            <w:pPr>
              <w:jc w:val="center"/>
              <w:rPr>
                <w:color w:val="000000"/>
                <w:sz w:val="18"/>
                <w:szCs w:val="22"/>
              </w:rPr>
            </w:pPr>
            <w:r w:rsidRPr="002433DA">
              <w:rPr>
                <w:color w:val="000000"/>
                <w:sz w:val="18"/>
                <w:szCs w:val="22"/>
              </w:rPr>
              <w:t>4</w:t>
            </w:r>
          </w:p>
        </w:tc>
        <w:tc>
          <w:tcPr>
            <w:tcW w:w="1078" w:type="dxa"/>
            <w:shd w:val="clear" w:color="auto" w:fill="FFFFFF"/>
            <w:noWrap/>
            <w:vAlign w:val="center"/>
          </w:tcPr>
          <w:p w:rsidR="009D2CAE" w:rsidRPr="002433DA" w:rsidRDefault="009D2CAE" w:rsidP="00E45795">
            <w:pPr>
              <w:jc w:val="center"/>
              <w:rPr>
                <w:color w:val="000000"/>
                <w:sz w:val="18"/>
                <w:szCs w:val="22"/>
              </w:rPr>
            </w:pPr>
            <w:r w:rsidRPr="002433DA">
              <w:rPr>
                <w:color w:val="000000"/>
                <w:sz w:val="18"/>
                <w:szCs w:val="22"/>
              </w:rPr>
              <w:t>18</w:t>
            </w:r>
          </w:p>
        </w:tc>
        <w:tc>
          <w:tcPr>
            <w:tcW w:w="1078" w:type="dxa"/>
            <w:shd w:val="clear" w:color="auto" w:fill="FFFFFF"/>
            <w:noWrap/>
            <w:vAlign w:val="center"/>
          </w:tcPr>
          <w:p w:rsidR="009D2CAE" w:rsidRPr="002433DA" w:rsidRDefault="009D2CAE" w:rsidP="00E45795">
            <w:pPr>
              <w:jc w:val="center"/>
              <w:rPr>
                <w:color w:val="000000"/>
                <w:sz w:val="18"/>
                <w:szCs w:val="22"/>
              </w:rPr>
            </w:pPr>
            <w:r w:rsidRPr="002433DA">
              <w:rPr>
                <w:color w:val="000000"/>
                <w:sz w:val="18"/>
                <w:szCs w:val="22"/>
              </w:rPr>
              <w:t>13</w:t>
            </w:r>
          </w:p>
        </w:tc>
        <w:tc>
          <w:tcPr>
            <w:tcW w:w="1078" w:type="dxa"/>
            <w:shd w:val="clear" w:color="auto" w:fill="FFFFFF"/>
            <w:noWrap/>
            <w:vAlign w:val="center"/>
          </w:tcPr>
          <w:p w:rsidR="009D2CAE" w:rsidRPr="002433DA" w:rsidRDefault="009D2CAE" w:rsidP="00E45795">
            <w:pPr>
              <w:jc w:val="center"/>
              <w:rPr>
                <w:color w:val="000000"/>
                <w:sz w:val="18"/>
                <w:szCs w:val="22"/>
              </w:rPr>
            </w:pPr>
            <w:r w:rsidRPr="002433DA">
              <w:rPr>
                <w:color w:val="000000"/>
                <w:sz w:val="18"/>
                <w:szCs w:val="22"/>
              </w:rPr>
              <w:t>24</w:t>
            </w:r>
          </w:p>
        </w:tc>
      </w:tr>
    </w:tbl>
    <w:p w:rsidR="009D2CAE" w:rsidRPr="002433DA" w:rsidRDefault="009D2CAE" w:rsidP="00497E3B">
      <w:pPr>
        <w:pStyle w:val="Titulek"/>
        <w:jc w:val="center"/>
      </w:pPr>
      <w:r w:rsidRPr="002433DA">
        <w:t>Tabulka 6 - Citlivost na 10 % dotaci</w:t>
      </w:r>
    </w:p>
    <w:p w:rsidR="009D2CAE" w:rsidRPr="007C0CDA" w:rsidRDefault="009D2CAE" w:rsidP="0004113A"/>
    <w:p w:rsidR="009D2CAE" w:rsidRPr="007C0CDA" w:rsidRDefault="009D2CAE" w:rsidP="00FB06C0"/>
    <w:p w:rsidR="009D2CAE" w:rsidRPr="007C0CDA" w:rsidRDefault="009D2CAE">
      <w:pPr>
        <w:pStyle w:val="Neslovannadpisy"/>
      </w:pPr>
      <w:r w:rsidRPr="007C0CDA">
        <w:t>Odhad absorpční kapacity navrhovaných finančních nástrojů</w:t>
      </w:r>
    </w:p>
    <w:p w:rsidR="009D2CAE" w:rsidRPr="007C0CDA" w:rsidRDefault="009D2CAE" w:rsidP="00B21DA0">
      <w:r w:rsidRPr="007C0CDA">
        <w:t>Na základě výsledků dotazníku, zde zjištěné poptávce po úvěrech a extrapolaci na základě agregátních dat investiční a úvěrové aktivity MSP v minulých letech podle ČSÚ, MPO a OECD)</w:t>
      </w:r>
      <w:r w:rsidR="00854519">
        <w:t xml:space="preserve"> </w:t>
      </w:r>
      <w:r w:rsidRPr="007C0CDA">
        <w:t xml:space="preserve">byla namodelována odhadovaná </w:t>
      </w:r>
      <w:r w:rsidRPr="007C0CDA">
        <w:rPr>
          <w:b/>
        </w:rPr>
        <w:t>poptávka po podnikatelských úvěrech rozvíjejících se MSP v příštích letech (do roku 2020) na 661 mld. Kč</w:t>
      </w:r>
      <w:r w:rsidRPr="007C0CDA">
        <w:t>.Výsledky vycházejí z konzervativní projekce 350 mld. investic MSP ročně a relativně nižšího sklonu k úvěrům (na úrovni roku 2013).</w:t>
      </w:r>
    </w:p>
    <w:p w:rsidR="009D2CAE" w:rsidRPr="007C0CDA" w:rsidRDefault="009D2CAE" w:rsidP="00B21DA0"/>
    <w:p w:rsidR="009D2CAE" w:rsidRPr="007C0CDA" w:rsidRDefault="009D2CAE" w:rsidP="00B21DA0">
      <w:r w:rsidRPr="007C0CDA">
        <w:t xml:space="preserve">Při kvantifikaci tržního selhání (neuspokojené poptávky životaschopných projektů) je přihlíženo k referenční hodnotě neuspokojené poptávky z analýzy EK 2013 (minimální hodnota) a z neuspokojené poptávky po externím financování v dotazníku (maximální hodnota). </w:t>
      </w:r>
      <w:r w:rsidRPr="007C0CDA">
        <w:rPr>
          <w:b/>
        </w:rPr>
        <w:t>Tržní selhání v oblasti dluhového financování rozvoje MSP vhodné k intervenci finančním nástrojem OP PIK odhadujeme v intervalu 34-106 mld. Kč.</w:t>
      </w:r>
      <w:r w:rsidR="00B83180">
        <w:rPr>
          <w:b/>
        </w:rPr>
        <w:t xml:space="preserve"> Tento rozptyl reprezentuje i vysokou citlivost úvěrové politiky bank a investic MSP na vývoj hospodářství.</w:t>
      </w:r>
    </w:p>
    <w:p w:rsidR="009D2CAE" w:rsidRPr="007C0CDA" w:rsidRDefault="009D2CAE" w:rsidP="00B21DA0"/>
    <w:tbl>
      <w:tblPr>
        <w:tblW w:w="9100" w:type="dxa"/>
        <w:tblLook w:val="00A0" w:firstRow="1" w:lastRow="0" w:firstColumn="1" w:lastColumn="0" w:noHBand="0" w:noVBand="0"/>
      </w:tblPr>
      <w:tblGrid>
        <w:gridCol w:w="2863"/>
        <w:gridCol w:w="1701"/>
        <w:gridCol w:w="2127"/>
        <w:gridCol w:w="1134"/>
        <w:gridCol w:w="1275"/>
      </w:tblGrid>
      <w:tr w:rsidR="009D2CAE" w:rsidRPr="007C0CDA" w:rsidTr="003B0EE7">
        <w:trPr>
          <w:trHeight w:val="600"/>
        </w:trPr>
        <w:tc>
          <w:tcPr>
            <w:tcW w:w="2863" w:type="dxa"/>
            <w:noWrap/>
          </w:tcPr>
          <w:p w:rsidR="009D2CAE" w:rsidRPr="007C0CDA" w:rsidRDefault="009D2CAE" w:rsidP="00B03681">
            <w:pPr>
              <w:overflowPunct/>
              <w:autoSpaceDE/>
              <w:autoSpaceDN/>
              <w:adjustRightInd/>
              <w:jc w:val="center"/>
              <w:textAlignment w:val="auto"/>
              <w:rPr>
                <w:rFonts w:cs="Calibri"/>
                <w:b/>
                <w:bCs/>
                <w:color w:val="FFFFFF"/>
                <w:sz w:val="19"/>
                <w:szCs w:val="22"/>
              </w:rPr>
            </w:pPr>
            <w:r w:rsidRPr="007C0CDA">
              <w:rPr>
                <w:rFonts w:cs="Calibri"/>
                <w:b/>
                <w:bCs/>
                <w:color w:val="FFFFFF"/>
                <w:sz w:val="19"/>
                <w:szCs w:val="22"/>
              </w:rPr>
              <w:t> Mil. Kč</w:t>
            </w:r>
          </w:p>
        </w:tc>
        <w:tc>
          <w:tcPr>
            <w:tcW w:w="1701" w:type="dxa"/>
          </w:tcPr>
          <w:p w:rsidR="009D2CAE" w:rsidRPr="007C0CDA" w:rsidRDefault="009D2CAE" w:rsidP="00B03681">
            <w:pPr>
              <w:overflowPunct/>
              <w:autoSpaceDE/>
              <w:autoSpaceDN/>
              <w:adjustRightInd/>
              <w:jc w:val="center"/>
              <w:textAlignment w:val="auto"/>
              <w:rPr>
                <w:rFonts w:cs="Calibri"/>
                <w:b/>
                <w:bCs/>
                <w:color w:val="FFFFFF"/>
                <w:sz w:val="19"/>
                <w:szCs w:val="22"/>
              </w:rPr>
            </w:pPr>
            <w:r w:rsidRPr="007C0CDA">
              <w:rPr>
                <w:rFonts w:cs="Calibri"/>
                <w:b/>
                <w:bCs/>
                <w:color w:val="FFFFFF"/>
                <w:sz w:val="19"/>
                <w:szCs w:val="22"/>
              </w:rPr>
              <w:t>Soubor z dotazníku (968)</w:t>
            </w:r>
          </w:p>
        </w:tc>
        <w:tc>
          <w:tcPr>
            <w:tcW w:w="2127" w:type="dxa"/>
          </w:tcPr>
          <w:p w:rsidR="009D2CAE" w:rsidRPr="007C0CDA" w:rsidRDefault="009D2CAE" w:rsidP="00B03681">
            <w:pPr>
              <w:overflowPunct/>
              <w:autoSpaceDE/>
              <w:autoSpaceDN/>
              <w:adjustRightInd/>
              <w:jc w:val="center"/>
              <w:textAlignment w:val="auto"/>
              <w:rPr>
                <w:rFonts w:cs="Calibri"/>
                <w:b/>
                <w:bCs/>
                <w:color w:val="FFFFFF"/>
                <w:sz w:val="19"/>
                <w:szCs w:val="22"/>
              </w:rPr>
            </w:pPr>
            <w:r w:rsidRPr="007C0CDA">
              <w:rPr>
                <w:rFonts w:cs="Calibri"/>
                <w:b/>
                <w:bCs/>
                <w:color w:val="FFFFFF"/>
                <w:sz w:val="19"/>
                <w:szCs w:val="22"/>
              </w:rPr>
              <w:t xml:space="preserve">Extrapolace </w:t>
            </w:r>
          </w:p>
          <w:p w:rsidR="009D2CAE" w:rsidRPr="007C0CDA" w:rsidRDefault="009D2CAE" w:rsidP="00B03681">
            <w:pPr>
              <w:overflowPunct/>
              <w:autoSpaceDE/>
              <w:autoSpaceDN/>
              <w:adjustRightInd/>
              <w:jc w:val="center"/>
              <w:textAlignment w:val="auto"/>
              <w:rPr>
                <w:rFonts w:cs="Calibri"/>
                <w:b/>
                <w:bCs/>
                <w:color w:val="FFFFFF"/>
                <w:sz w:val="19"/>
                <w:szCs w:val="22"/>
              </w:rPr>
            </w:pPr>
            <w:r w:rsidRPr="007C0CDA">
              <w:rPr>
                <w:rFonts w:cs="Calibri"/>
                <w:b/>
                <w:bCs/>
                <w:color w:val="FFFFFF"/>
                <w:sz w:val="19"/>
                <w:szCs w:val="22"/>
              </w:rPr>
              <w:t>(MPO, OECD, 2016-2023)</w:t>
            </w:r>
          </w:p>
        </w:tc>
        <w:tc>
          <w:tcPr>
            <w:tcW w:w="1134" w:type="dxa"/>
          </w:tcPr>
          <w:p w:rsidR="009D2CAE" w:rsidRPr="007C0CDA" w:rsidRDefault="009D2CAE" w:rsidP="00B03681">
            <w:pPr>
              <w:overflowPunct/>
              <w:autoSpaceDE/>
              <w:autoSpaceDN/>
              <w:adjustRightInd/>
              <w:jc w:val="center"/>
              <w:textAlignment w:val="auto"/>
              <w:rPr>
                <w:rFonts w:cs="Calibri"/>
                <w:b/>
                <w:bCs/>
                <w:color w:val="FFFFFF"/>
                <w:sz w:val="19"/>
                <w:szCs w:val="22"/>
              </w:rPr>
            </w:pPr>
            <w:r w:rsidRPr="007C0CDA">
              <w:rPr>
                <w:rFonts w:cs="Calibri"/>
                <w:b/>
                <w:bCs/>
                <w:color w:val="FFFFFF"/>
                <w:sz w:val="19"/>
                <w:szCs w:val="22"/>
              </w:rPr>
              <w:t xml:space="preserve">Tržní selhání </w:t>
            </w:r>
          </w:p>
          <w:p w:rsidR="009D2CAE" w:rsidRPr="007C0CDA" w:rsidRDefault="009D2CAE" w:rsidP="00B03681">
            <w:pPr>
              <w:overflowPunct/>
              <w:autoSpaceDE/>
              <w:autoSpaceDN/>
              <w:adjustRightInd/>
              <w:jc w:val="center"/>
              <w:textAlignment w:val="auto"/>
              <w:rPr>
                <w:rFonts w:cs="Calibri"/>
                <w:b/>
                <w:bCs/>
                <w:color w:val="FFFFFF"/>
                <w:sz w:val="19"/>
                <w:szCs w:val="22"/>
              </w:rPr>
            </w:pPr>
            <w:r w:rsidRPr="007C0CDA">
              <w:rPr>
                <w:rFonts w:cs="Calibri"/>
                <w:b/>
                <w:bCs/>
                <w:color w:val="FFFFFF"/>
                <w:sz w:val="19"/>
                <w:szCs w:val="22"/>
              </w:rPr>
              <w:t>(EK)</w:t>
            </w:r>
          </w:p>
        </w:tc>
        <w:tc>
          <w:tcPr>
            <w:tcW w:w="1275" w:type="dxa"/>
          </w:tcPr>
          <w:p w:rsidR="009D2CAE" w:rsidRPr="007C0CDA" w:rsidRDefault="009D2CAE" w:rsidP="00B03681">
            <w:pPr>
              <w:overflowPunct/>
              <w:autoSpaceDE/>
              <w:autoSpaceDN/>
              <w:adjustRightInd/>
              <w:jc w:val="center"/>
              <w:textAlignment w:val="auto"/>
              <w:rPr>
                <w:rFonts w:cs="Calibri"/>
                <w:b/>
                <w:bCs/>
                <w:color w:val="FFFFFF"/>
                <w:sz w:val="19"/>
                <w:szCs w:val="22"/>
              </w:rPr>
            </w:pPr>
            <w:r w:rsidRPr="007C0CDA">
              <w:rPr>
                <w:rFonts w:cs="Calibri"/>
                <w:b/>
                <w:bCs/>
                <w:color w:val="FFFFFF"/>
                <w:sz w:val="19"/>
                <w:szCs w:val="22"/>
              </w:rPr>
              <w:t>Tržní selhání (dotazník)</w:t>
            </w:r>
          </w:p>
        </w:tc>
      </w:tr>
      <w:tr w:rsidR="009D2CAE" w:rsidRPr="007C0CDA" w:rsidTr="003B0EE7">
        <w:trPr>
          <w:trHeight w:val="315"/>
        </w:trPr>
        <w:tc>
          <w:tcPr>
            <w:tcW w:w="2863" w:type="dxa"/>
            <w:noWrap/>
          </w:tcPr>
          <w:p w:rsidR="009D2CAE" w:rsidRPr="007C0CDA" w:rsidRDefault="009D2CAE" w:rsidP="00B03681">
            <w:pPr>
              <w:overflowPunct/>
              <w:autoSpaceDE/>
              <w:autoSpaceDN/>
              <w:adjustRightInd/>
              <w:jc w:val="center"/>
              <w:textAlignment w:val="auto"/>
              <w:rPr>
                <w:rFonts w:cs="Calibri"/>
                <w:b/>
                <w:bCs/>
                <w:color w:val="000000"/>
                <w:sz w:val="19"/>
                <w:szCs w:val="22"/>
              </w:rPr>
            </w:pPr>
            <w:r w:rsidRPr="007C0CDA">
              <w:rPr>
                <w:rFonts w:cs="Calibri"/>
                <w:b/>
                <w:bCs/>
                <w:color w:val="000000"/>
                <w:sz w:val="19"/>
                <w:szCs w:val="22"/>
              </w:rPr>
              <w:t>Plánované investice</w:t>
            </w:r>
          </w:p>
        </w:tc>
        <w:tc>
          <w:tcPr>
            <w:tcW w:w="1701" w:type="dxa"/>
            <w:noWrap/>
          </w:tcPr>
          <w:p w:rsidR="009D2CAE" w:rsidRPr="007C0CDA" w:rsidRDefault="009D2CAE" w:rsidP="00B03681">
            <w:pPr>
              <w:overflowPunct/>
              <w:autoSpaceDE/>
              <w:autoSpaceDN/>
              <w:adjustRightInd/>
              <w:jc w:val="center"/>
              <w:textAlignment w:val="auto"/>
              <w:rPr>
                <w:rFonts w:cs="Calibri"/>
                <w:color w:val="000000"/>
                <w:sz w:val="19"/>
                <w:szCs w:val="22"/>
              </w:rPr>
            </w:pPr>
            <w:r w:rsidRPr="007C0CDA">
              <w:rPr>
                <w:rFonts w:cs="Calibri"/>
                <w:color w:val="000000"/>
                <w:sz w:val="19"/>
                <w:szCs w:val="22"/>
              </w:rPr>
              <w:t>10 300</w:t>
            </w:r>
          </w:p>
        </w:tc>
        <w:tc>
          <w:tcPr>
            <w:tcW w:w="2127" w:type="dxa"/>
            <w:noWrap/>
          </w:tcPr>
          <w:p w:rsidR="009D2CAE" w:rsidRPr="007C0CDA" w:rsidRDefault="009D2CAE" w:rsidP="00B03681">
            <w:pPr>
              <w:overflowPunct/>
              <w:autoSpaceDE/>
              <w:autoSpaceDN/>
              <w:adjustRightInd/>
              <w:jc w:val="center"/>
              <w:textAlignment w:val="auto"/>
              <w:rPr>
                <w:rFonts w:cs="Calibri"/>
                <w:color w:val="000000"/>
                <w:sz w:val="19"/>
                <w:szCs w:val="22"/>
              </w:rPr>
            </w:pPr>
            <w:r w:rsidRPr="007C0CDA">
              <w:rPr>
                <w:rFonts w:cs="Calibri"/>
                <w:color w:val="000000"/>
                <w:sz w:val="19"/>
                <w:szCs w:val="22"/>
              </w:rPr>
              <w:t>2 800 000</w:t>
            </w:r>
          </w:p>
        </w:tc>
        <w:tc>
          <w:tcPr>
            <w:tcW w:w="1134" w:type="dxa"/>
            <w:noWrap/>
          </w:tcPr>
          <w:p w:rsidR="009D2CAE" w:rsidRPr="007C0CDA" w:rsidRDefault="009D2CAE" w:rsidP="00B03681">
            <w:pPr>
              <w:overflowPunct/>
              <w:autoSpaceDE/>
              <w:autoSpaceDN/>
              <w:adjustRightInd/>
              <w:jc w:val="center"/>
              <w:textAlignment w:val="auto"/>
              <w:rPr>
                <w:rFonts w:cs="Calibri"/>
                <w:color w:val="000000"/>
                <w:sz w:val="19"/>
                <w:szCs w:val="22"/>
              </w:rPr>
            </w:pPr>
            <w:r w:rsidRPr="007C0CDA">
              <w:rPr>
                <w:rFonts w:cs="Calibri"/>
                <w:color w:val="000000"/>
                <w:sz w:val="19"/>
                <w:szCs w:val="22"/>
              </w:rPr>
              <w:t>142 800</w:t>
            </w:r>
          </w:p>
        </w:tc>
        <w:tc>
          <w:tcPr>
            <w:tcW w:w="1275" w:type="dxa"/>
            <w:noWrap/>
          </w:tcPr>
          <w:p w:rsidR="009D2CAE" w:rsidRPr="007C0CDA" w:rsidRDefault="009D2CAE" w:rsidP="00B84BA3">
            <w:pPr>
              <w:overflowPunct/>
              <w:autoSpaceDE/>
              <w:autoSpaceDN/>
              <w:adjustRightInd/>
              <w:jc w:val="center"/>
              <w:textAlignment w:val="auto"/>
              <w:rPr>
                <w:rFonts w:cs="Calibri"/>
                <w:color w:val="000000"/>
                <w:sz w:val="19"/>
                <w:szCs w:val="22"/>
              </w:rPr>
            </w:pPr>
            <w:r w:rsidRPr="007C0CDA">
              <w:rPr>
                <w:rFonts w:cs="Calibri"/>
                <w:color w:val="000000"/>
                <w:sz w:val="19"/>
                <w:szCs w:val="22"/>
              </w:rPr>
              <w:t>4</w:t>
            </w:r>
            <w:r w:rsidR="00B84BA3">
              <w:rPr>
                <w:rFonts w:cs="Calibri"/>
                <w:color w:val="000000"/>
                <w:sz w:val="19"/>
                <w:szCs w:val="22"/>
              </w:rPr>
              <w:t>50</w:t>
            </w:r>
            <w:r w:rsidRPr="007C0CDA">
              <w:rPr>
                <w:rFonts w:cs="Calibri"/>
                <w:color w:val="000000"/>
                <w:sz w:val="19"/>
                <w:szCs w:val="22"/>
              </w:rPr>
              <w:t xml:space="preserve"> </w:t>
            </w:r>
            <w:r w:rsidR="00B84BA3">
              <w:rPr>
                <w:rFonts w:cs="Calibri"/>
                <w:color w:val="000000"/>
                <w:sz w:val="19"/>
                <w:szCs w:val="22"/>
              </w:rPr>
              <w:t>000</w:t>
            </w:r>
          </w:p>
        </w:tc>
      </w:tr>
      <w:tr w:rsidR="009D2CAE" w:rsidRPr="007C0CDA" w:rsidTr="003B0EE7">
        <w:trPr>
          <w:trHeight w:val="540"/>
        </w:trPr>
        <w:tc>
          <w:tcPr>
            <w:tcW w:w="2863" w:type="dxa"/>
          </w:tcPr>
          <w:p w:rsidR="009D2CAE" w:rsidRPr="007C0CDA" w:rsidRDefault="009D2CAE" w:rsidP="00B03681">
            <w:pPr>
              <w:overflowPunct/>
              <w:autoSpaceDE/>
              <w:autoSpaceDN/>
              <w:adjustRightInd/>
              <w:jc w:val="center"/>
              <w:textAlignment w:val="auto"/>
              <w:rPr>
                <w:rFonts w:cs="Calibri"/>
                <w:b/>
                <w:bCs/>
                <w:color w:val="000000"/>
                <w:sz w:val="19"/>
                <w:szCs w:val="22"/>
              </w:rPr>
            </w:pPr>
            <w:r w:rsidRPr="007C0CDA">
              <w:rPr>
                <w:rFonts w:cs="Calibri"/>
                <w:b/>
                <w:bCs/>
                <w:color w:val="000000"/>
                <w:sz w:val="19"/>
                <w:szCs w:val="22"/>
              </w:rPr>
              <w:t>Absorpční kapacita úvěrových/záručních nástrojů</w:t>
            </w:r>
          </w:p>
        </w:tc>
        <w:tc>
          <w:tcPr>
            <w:tcW w:w="1701" w:type="dxa"/>
            <w:noWrap/>
          </w:tcPr>
          <w:p w:rsidR="009D2CAE" w:rsidRPr="007C0CDA" w:rsidRDefault="009D2CAE" w:rsidP="00B84BA3">
            <w:pPr>
              <w:overflowPunct/>
              <w:autoSpaceDE/>
              <w:autoSpaceDN/>
              <w:adjustRightInd/>
              <w:jc w:val="center"/>
              <w:textAlignment w:val="auto"/>
              <w:rPr>
                <w:rFonts w:cs="Calibri"/>
                <w:color w:val="000000"/>
                <w:sz w:val="19"/>
                <w:szCs w:val="22"/>
              </w:rPr>
            </w:pPr>
            <w:r w:rsidRPr="007C0CDA">
              <w:rPr>
                <w:rFonts w:cs="Calibri"/>
                <w:color w:val="000000"/>
                <w:sz w:val="19"/>
                <w:szCs w:val="22"/>
              </w:rPr>
              <w:t xml:space="preserve">2 </w:t>
            </w:r>
            <w:r w:rsidR="00B84BA3">
              <w:rPr>
                <w:rFonts w:cs="Calibri"/>
                <w:color w:val="000000"/>
                <w:sz w:val="19"/>
                <w:szCs w:val="22"/>
              </w:rPr>
              <w:t>2500</w:t>
            </w:r>
          </w:p>
        </w:tc>
        <w:tc>
          <w:tcPr>
            <w:tcW w:w="2127" w:type="dxa"/>
            <w:noWrap/>
          </w:tcPr>
          <w:p w:rsidR="009D2CAE" w:rsidRPr="007C0CDA" w:rsidRDefault="009D2CAE" w:rsidP="00B84BA3">
            <w:pPr>
              <w:overflowPunct/>
              <w:autoSpaceDE/>
              <w:autoSpaceDN/>
              <w:adjustRightInd/>
              <w:jc w:val="center"/>
              <w:textAlignment w:val="auto"/>
              <w:rPr>
                <w:rFonts w:cs="Calibri"/>
                <w:b/>
                <w:color w:val="000000"/>
                <w:sz w:val="19"/>
                <w:szCs w:val="22"/>
              </w:rPr>
            </w:pPr>
            <w:r w:rsidRPr="007C0CDA">
              <w:rPr>
                <w:rFonts w:cs="Calibri"/>
                <w:b/>
                <w:color w:val="000000"/>
                <w:sz w:val="19"/>
                <w:szCs w:val="22"/>
              </w:rPr>
              <w:t>660</w:t>
            </w:r>
            <w:r w:rsidR="00B84BA3">
              <w:rPr>
                <w:rFonts w:cs="Calibri"/>
                <w:b/>
                <w:color w:val="000000"/>
                <w:sz w:val="19"/>
                <w:szCs w:val="22"/>
              </w:rPr>
              <w:t xml:space="preserve"> 000</w:t>
            </w:r>
          </w:p>
        </w:tc>
        <w:tc>
          <w:tcPr>
            <w:tcW w:w="1134" w:type="dxa"/>
            <w:noWrap/>
          </w:tcPr>
          <w:p w:rsidR="009D2CAE" w:rsidRPr="007C0CDA" w:rsidRDefault="009D2CAE" w:rsidP="00B84BA3">
            <w:pPr>
              <w:overflowPunct/>
              <w:autoSpaceDE/>
              <w:autoSpaceDN/>
              <w:adjustRightInd/>
              <w:jc w:val="center"/>
              <w:textAlignment w:val="auto"/>
              <w:rPr>
                <w:rFonts w:cs="Calibri"/>
                <w:b/>
                <w:bCs/>
                <w:color w:val="000000"/>
                <w:sz w:val="19"/>
                <w:szCs w:val="22"/>
              </w:rPr>
            </w:pPr>
            <w:r w:rsidRPr="007C0CDA">
              <w:rPr>
                <w:rFonts w:cs="Calibri"/>
                <w:b/>
                <w:bCs/>
                <w:color w:val="000000"/>
                <w:sz w:val="19"/>
                <w:szCs w:val="22"/>
              </w:rPr>
              <w:t>3</w:t>
            </w:r>
            <w:r w:rsidR="00B84BA3">
              <w:rPr>
                <w:rFonts w:cs="Calibri"/>
                <w:b/>
                <w:bCs/>
                <w:color w:val="000000"/>
                <w:sz w:val="19"/>
                <w:szCs w:val="22"/>
              </w:rPr>
              <w:t>4</w:t>
            </w:r>
            <w:r w:rsidRPr="007C0CDA">
              <w:rPr>
                <w:rFonts w:cs="Calibri"/>
                <w:b/>
                <w:bCs/>
                <w:color w:val="000000"/>
                <w:sz w:val="19"/>
                <w:szCs w:val="22"/>
              </w:rPr>
              <w:t xml:space="preserve"> </w:t>
            </w:r>
            <w:r w:rsidR="00B84BA3">
              <w:rPr>
                <w:rFonts w:cs="Calibri"/>
                <w:b/>
                <w:bCs/>
                <w:color w:val="000000"/>
                <w:sz w:val="19"/>
                <w:szCs w:val="22"/>
              </w:rPr>
              <w:t>000</w:t>
            </w:r>
          </w:p>
        </w:tc>
        <w:tc>
          <w:tcPr>
            <w:tcW w:w="1275" w:type="dxa"/>
            <w:noWrap/>
          </w:tcPr>
          <w:p w:rsidR="009D2CAE" w:rsidRPr="007C0CDA" w:rsidRDefault="009D2CAE" w:rsidP="00B84BA3">
            <w:pPr>
              <w:overflowPunct/>
              <w:autoSpaceDE/>
              <w:autoSpaceDN/>
              <w:adjustRightInd/>
              <w:jc w:val="center"/>
              <w:textAlignment w:val="auto"/>
              <w:rPr>
                <w:rFonts w:cs="Calibri"/>
                <w:b/>
                <w:bCs/>
                <w:color w:val="000000"/>
                <w:sz w:val="19"/>
                <w:szCs w:val="22"/>
              </w:rPr>
            </w:pPr>
            <w:r w:rsidRPr="007C0CDA">
              <w:rPr>
                <w:rFonts w:cs="Calibri"/>
                <w:b/>
                <w:bCs/>
                <w:color w:val="000000"/>
                <w:sz w:val="19"/>
                <w:szCs w:val="22"/>
              </w:rPr>
              <w:t>10</w:t>
            </w:r>
            <w:r w:rsidR="00B84BA3">
              <w:rPr>
                <w:rFonts w:cs="Calibri"/>
                <w:b/>
                <w:bCs/>
                <w:color w:val="000000"/>
                <w:sz w:val="19"/>
                <w:szCs w:val="22"/>
              </w:rPr>
              <w:t>6</w:t>
            </w:r>
            <w:r w:rsidRPr="007C0CDA">
              <w:rPr>
                <w:rFonts w:cs="Calibri"/>
                <w:b/>
                <w:bCs/>
                <w:color w:val="000000"/>
                <w:sz w:val="19"/>
                <w:szCs w:val="22"/>
              </w:rPr>
              <w:t xml:space="preserve"> </w:t>
            </w:r>
            <w:r w:rsidR="00B84BA3">
              <w:rPr>
                <w:rFonts w:cs="Calibri"/>
                <w:b/>
                <w:bCs/>
                <w:color w:val="000000"/>
                <w:sz w:val="19"/>
                <w:szCs w:val="22"/>
              </w:rPr>
              <w:t>000</w:t>
            </w:r>
          </w:p>
        </w:tc>
      </w:tr>
    </w:tbl>
    <w:p w:rsidR="009D2CAE" w:rsidRPr="007C0CDA" w:rsidRDefault="009D2CAE" w:rsidP="00B21DA0"/>
    <w:p w:rsidR="009D2CAE" w:rsidRPr="007C0CDA" w:rsidRDefault="009D2CAE" w:rsidP="00777F5C">
      <w:r w:rsidRPr="007C0CDA">
        <w:t xml:space="preserve">V případě oblasti early stage MSP (fáze seed, start-up) je vycházeno z indikovaných investic dotazovaných startupů v minulém období a zájmu o kapitálové vstupy (střední hodnota ze zjištění GEM a dotazníku).  Extrapolace je provedena na základě údajů GEM o počtu nových inovujících podnikatelů v technologicky náročnějších odvětvích. Kvůli vyloučení neživotaschopných projektů je v potaz brána jedna desetina počtu, s projekcí do roku 2023 (index </w:t>
      </w:r>
      <w:r w:rsidR="00B135EB">
        <w:t>4</w:t>
      </w:r>
      <w:r w:rsidRPr="007C0CDA">
        <w:t>). Tržní selhání odvozujeme z poměru poptávaného a poskytnutého externího financování udávaného v</w:t>
      </w:r>
      <w:r w:rsidR="00B135EB">
        <w:t> </w:t>
      </w:r>
      <w:r w:rsidRPr="007C0CDA">
        <w:t>dotazníku</w:t>
      </w:r>
      <w:r w:rsidR="00B135EB">
        <w:t>, kterého se účastnili převžně pokročilé start-up projekty</w:t>
      </w:r>
      <w:r w:rsidRPr="007C0CDA">
        <w:t xml:space="preserve">. Na základě těchto předpokladů </w:t>
      </w:r>
      <w:r w:rsidRPr="007C0CDA">
        <w:rPr>
          <w:b/>
        </w:rPr>
        <w:t xml:space="preserve">odvozujeme poptávku po kapitálových vstupech v příštím období v minimální úrovni </w:t>
      </w:r>
      <w:r w:rsidR="00B135EB">
        <w:rPr>
          <w:b/>
        </w:rPr>
        <w:t>7</w:t>
      </w:r>
      <w:r w:rsidRPr="007C0CDA">
        <w:rPr>
          <w:b/>
        </w:rPr>
        <w:t xml:space="preserve"> mld. Kč, z toho je </w:t>
      </w:r>
      <w:r w:rsidR="00B135EB">
        <w:rPr>
          <w:b/>
        </w:rPr>
        <w:t>3,5</w:t>
      </w:r>
      <w:r w:rsidR="00B135EB" w:rsidRPr="007C0CDA">
        <w:rPr>
          <w:b/>
        </w:rPr>
        <w:t xml:space="preserve"> </w:t>
      </w:r>
      <w:r w:rsidRPr="007C0CDA">
        <w:rPr>
          <w:b/>
        </w:rPr>
        <w:t>ml</w:t>
      </w:r>
      <w:r w:rsidR="00B135EB">
        <w:rPr>
          <w:b/>
        </w:rPr>
        <w:t>d</w:t>
      </w:r>
      <w:r w:rsidRPr="007C0CDA">
        <w:rPr>
          <w:b/>
        </w:rPr>
        <w:t xml:space="preserve">. Kč </w:t>
      </w:r>
      <w:r w:rsidRPr="007C0CDA">
        <w:rPr>
          <w:b/>
        </w:rPr>
        <w:lastRenderedPageBreak/>
        <w:t>identifikováno jako tržní mezera pokrytelná finančním nástrojem.</w:t>
      </w:r>
      <w:r w:rsidR="00172EF4" w:rsidRPr="00172EF4" w:rsidDel="00172EF4">
        <w:t xml:space="preserve"> </w:t>
      </w:r>
      <w:r w:rsidRPr="007C0CDA">
        <w:t>Absorpční kapacitu může v příštím období pozitivně ovlivnit jak možný incentivizační efekt samotného finančního nástroje, tak další rozvoj měkké státní podpory v oblasti poradenství a podnikatelských inkubátorů. Výrazné navýšení absorpční kapacity pro finanční nástroj by znamenala úspěšná implementace nástroje v SC 1.2 proof-of-concept, které se nicméně může projevit až na konci programovacího období.</w:t>
      </w:r>
    </w:p>
    <w:tbl>
      <w:tblPr>
        <w:tblW w:w="8502" w:type="dxa"/>
        <w:tblBorders>
          <w:bottom w:val="single" w:sz="4" w:space="0" w:color="72C7E7"/>
          <w:insideH w:val="single" w:sz="4" w:space="0" w:color="72C7E7"/>
        </w:tblBorders>
        <w:tblCellMar>
          <w:top w:w="28" w:type="dxa"/>
          <w:left w:w="28" w:type="dxa"/>
          <w:bottom w:w="28" w:type="dxa"/>
          <w:right w:w="28" w:type="dxa"/>
        </w:tblCellMar>
        <w:tblLook w:val="00A0" w:firstRow="1" w:lastRow="0" w:firstColumn="1" w:lastColumn="0" w:noHBand="0" w:noVBand="0"/>
      </w:tblPr>
      <w:tblGrid>
        <w:gridCol w:w="1897"/>
        <w:gridCol w:w="2196"/>
        <w:gridCol w:w="2213"/>
        <w:gridCol w:w="2196"/>
      </w:tblGrid>
      <w:tr w:rsidR="009D2CAE" w:rsidRPr="007C0CDA" w:rsidTr="00B03681">
        <w:trPr>
          <w:trHeight w:val="225"/>
        </w:trPr>
        <w:tc>
          <w:tcPr>
            <w:tcW w:w="1897" w:type="dxa"/>
            <w:shd w:val="clear" w:color="auto" w:fill="72C7E7"/>
            <w:noWrap/>
          </w:tcPr>
          <w:p w:rsidR="009D2CAE" w:rsidRPr="007C0CDA" w:rsidRDefault="009D2CAE" w:rsidP="00B03681">
            <w:pPr>
              <w:overflowPunct/>
              <w:autoSpaceDE/>
              <w:autoSpaceDN/>
              <w:adjustRightInd/>
              <w:jc w:val="center"/>
              <w:textAlignment w:val="auto"/>
              <w:rPr>
                <w:b/>
                <w:bCs/>
                <w:color w:val="FFFFFF"/>
                <w:sz w:val="19"/>
                <w:szCs w:val="22"/>
              </w:rPr>
            </w:pPr>
            <w:r w:rsidRPr="007C0CDA">
              <w:rPr>
                <w:b/>
                <w:bCs/>
                <w:color w:val="FFFFFF"/>
                <w:sz w:val="19"/>
                <w:szCs w:val="22"/>
              </w:rPr>
              <w:t>Mil. Kč</w:t>
            </w:r>
          </w:p>
        </w:tc>
        <w:tc>
          <w:tcPr>
            <w:tcW w:w="2196" w:type="dxa"/>
            <w:shd w:val="clear" w:color="auto" w:fill="72C7E7"/>
          </w:tcPr>
          <w:p w:rsidR="009D2CAE" w:rsidRPr="007C0CDA" w:rsidRDefault="009D2CAE" w:rsidP="00B03681">
            <w:pPr>
              <w:overflowPunct/>
              <w:autoSpaceDE/>
              <w:autoSpaceDN/>
              <w:adjustRightInd/>
              <w:jc w:val="center"/>
              <w:textAlignment w:val="auto"/>
              <w:rPr>
                <w:b/>
                <w:bCs/>
                <w:color w:val="FFFFFF"/>
                <w:sz w:val="19"/>
                <w:szCs w:val="22"/>
              </w:rPr>
            </w:pPr>
            <w:r w:rsidRPr="007C0CDA">
              <w:rPr>
                <w:b/>
                <w:bCs/>
                <w:color w:val="FFFFFF"/>
                <w:sz w:val="19"/>
                <w:szCs w:val="22"/>
              </w:rPr>
              <w:t xml:space="preserve">Soubor z dotazníku </w:t>
            </w:r>
          </w:p>
          <w:p w:rsidR="009D2CAE" w:rsidRPr="007C0CDA" w:rsidRDefault="009D2CAE" w:rsidP="00B03681">
            <w:pPr>
              <w:overflowPunct/>
              <w:autoSpaceDE/>
              <w:autoSpaceDN/>
              <w:adjustRightInd/>
              <w:jc w:val="center"/>
              <w:textAlignment w:val="auto"/>
              <w:rPr>
                <w:b/>
                <w:bCs/>
                <w:color w:val="FFFFFF"/>
                <w:sz w:val="19"/>
                <w:szCs w:val="22"/>
              </w:rPr>
            </w:pPr>
            <w:r w:rsidRPr="007C0CDA">
              <w:rPr>
                <w:b/>
                <w:bCs/>
                <w:color w:val="FFFFFF"/>
                <w:sz w:val="19"/>
                <w:szCs w:val="22"/>
              </w:rPr>
              <w:t>(55)</w:t>
            </w:r>
          </w:p>
        </w:tc>
        <w:tc>
          <w:tcPr>
            <w:tcW w:w="2213" w:type="dxa"/>
            <w:shd w:val="clear" w:color="auto" w:fill="72C7E7"/>
          </w:tcPr>
          <w:p w:rsidR="009D2CAE" w:rsidRPr="007C0CDA" w:rsidRDefault="009D2CAE" w:rsidP="00B03681">
            <w:pPr>
              <w:overflowPunct/>
              <w:autoSpaceDE/>
              <w:autoSpaceDN/>
              <w:adjustRightInd/>
              <w:jc w:val="center"/>
              <w:textAlignment w:val="auto"/>
              <w:rPr>
                <w:b/>
                <w:bCs/>
                <w:color w:val="FFFFFF"/>
                <w:sz w:val="19"/>
                <w:szCs w:val="22"/>
              </w:rPr>
            </w:pPr>
            <w:r w:rsidRPr="007C0CDA">
              <w:rPr>
                <w:b/>
                <w:bCs/>
                <w:color w:val="FFFFFF"/>
                <w:sz w:val="19"/>
                <w:szCs w:val="22"/>
              </w:rPr>
              <w:t xml:space="preserve">Extrapolace </w:t>
            </w:r>
          </w:p>
          <w:p w:rsidR="009D2CAE" w:rsidRPr="007C0CDA" w:rsidRDefault="009D2CAE" w:rsidP="00B03681">
            <w:pPr>
              <w:overflowPunct/>
              <w:autoSpaceDE/>
              <w:autoSpaceDN/>
              <w:adjustRightInd/>
              <w:jc w:val="center"/>
              <w:textAlignment w:val="auto"/>
              <w:rPr>
                <w:b/>
                <w:bCs/>
                <w:color w:val="FFFFFF"/>
                <w:sz w:val="19"/>
                <w:szCs w:val="22"/>
              </w:rPr>
            </w:pPr>
            <w:r w:rsidRPr="007C0CDA">
              <w:rPr>
                <w:b/>
                <w:bCs/>
                <w:color w:val="FFFFFF"/>
                <w:sz w:val="19"/>
                <w:szCs w:val="22"/>
              </w:rPr>
              <w:t>(GEM 2013, do roku 2023)</w:t>
            </w:r>
          </w:p>
        </w:tc>
        <w:tc>
          <w:tcPr>
            <w:tcW w:w="2196" w:type="dxa"/>
            <w:shd w:val="clear" w:color="auto" w:fill="72C7E7"/>
          </w:tcPr>
          <w:p w:rsidR="009D2CAE" w:rsidRPr="007C0CDA" w:rsidRDefault="009D2CAE" w:rsidP="00B03681">
            <w:pPr>
              <w:overflowPunct/>
              <w:autoSpaceDE/>
              <w:autoSpaceDN/>
              <w:adjustRightInd/>
              <w:jc w:val="center"/>
              <w:textAlignment w:val="auto"/>
              <w:rPr>
                <w:b/>
                <w:bCs/>
                <w:color w:val="FFFFFF"/>
                <w:sz w:val="19"/>
                <w:szCs w:val="22"/>
              </w:rPr>
            </w:pPr>
            <w:r w:rsidRPr="007C0CDA">
              <w:rPr>
                <w:b/>
                <w:bCs/>
                <w:color w:val="FFFFFF"/>
                <w:sz w:val="19"/>
                <w:szCs w:val="22"/>
              </w:rPr>
              <w:t xml:space="preserve">Tržní selhání </w:t>
            </w:r>
          </w:p>
          <w:p w:rsidR="009D2CAE" w:rsidRPr="007C0CDA" w:rsidRDefault="009D2CAE" w:rsidP="00B03681">
            <w:pPr>
              <w:overflowPunct/>
              <w:autoSpaceDE/>
              <w:autoSpaceDN/>
              <w:adjustRightInd/>
              <w:jc w:val="center"/>
              <w:textAlignment w:val="auto"/>
              <w:rPr>
                <w:b/>
                <w:bCs/>
                <w:color w:val="FFFFFF"/>
                <w:sz w:val="19"/>
                <w:szCs w:val="22"/>
              </w:rPr>
            </w:pPr>
            <w:r w:rsidRPr="007C0CDA">
              <w:rPr>
                <w:b/>
                <w:bCs/>
                <w:color w:val="FFFFFF"/>
                <w:sz w:val="19"/>
                <w:szCs w:val="22"/>
              </w:rPr>
              <w:t>(dotazník)</w:t>
            </w:r>
          </w:p>
        </w:tc>
      </w:tr>
      <w:tr w:rsidR="00B135EB" w:rsidRPr="007C0CDA" w:rsidTr="002433DA">
        <w:trPr>
          <w:trHeight w:val="225"/>
        </w:trPr>
        <w:tc>
          <w:tcPr>
            <w:tcW w:w="1897" w:type="dxa"/>
            <w:noWrap/>
          </w:tcPr>
          <w:p w:rsidR="00B135EB" w:rsidRPr="007C0CDA" w:rsidRDefault="00B135EB" w:rsidP="00B03681">
            <w:pPr>
              <w:overflowPunct/>
              <w:autoSpaceDE/>
              <w:autoSpaceDN/>
              <w:adjustRightInd/>
              <w:jc w:val="center"/>
              <w:textAlignment w:val="auto"/>
              <w:rPr>
                <w:b/>
                <w:bCs/>
                <w:color w:val="000000"/>
                <w:sz w:val="19"/>
                <w:szCs w:val="22"/>
              </w:rPr>
            </w:pPr>
            <w:r w:rsidRPr="007C0CDA">
              <w:rPr>
                <w:b/>
                <w:bCs/>
                <w:color w:val="000000"/>
                <w:sz w:val="19"/>
                <w:szCs w:val="22"/>
              </w:rPr>
              <w:t>Investiční poptávka</w:t>
            </w:r>
          </w:p>
        </w:tc>
        <w:tc>
          <w:tcPr>
            <w:tcW w:w="2196" w:type="dxa"/>
            <w:noWrap/>
          </w:tcPr>
          <w:p w:rsidR="00B135EB" w:rsidRPr="007C0CDA" w:rsidRDefault="00B135EB" w:rsidP="00B03681">
            <w:pPr>
              <w:overflowPunct/>
              <w:autoSpaceDE/>
              <w:autoSpaceDN/>
              <w:adjustRightInd/>
              <w:jc w:val="center"/>
              <w:textAlignment w:val="auto"/>
              <w:rPr>
                <w:color w:val="000000"/>
                <w:sz w:val="19"/>
                <w:szCs w:val="22"/>
              </w:rPr>
            </w:pPr>
            <w:r w:rsidRPr="007C0CDA">
              <w:rPr>
                <w:color w:val="000000"/>
                <w:sz w:val="19"/>
                <w:szCs w:val="22"/>
              </w:rPr>
              <w:t>709</w:t>
            </w:r>
          </w:p>
        </w:tc>
        <w:tc>
          <w:tcPr>
            <w:tcW w:w="2213" w:type="dxa"/>
            <w:noWrap/>
            <w:vAlign w:val="center"/>
          </w:tcPr>
          <w:p w:rsidR="00B135EB" w:rsidRPr="007C0CDA" w:rsidRDefault="00B135EB" w:rsidP="00B135EB">
            <w:pPr>
              <w:overflowPunct/>
              <w:autoSpaceDE/>
              <w:autoSpaceDN/>
              <w:adjustRightInd/>
              <w:jc w:val="center"/>
              <w:textAlignment w:val="auto"/>
              <w:rPr>
                <w:color w:val="000000"/>
                <w:sz w:val="19"/>
                <w:szCs w:val="22"/>
              </w:rPr>
            </w:pPr>
            <w:r>
              <w:rPr>
                <w:rFonts w:cs="Calibri"/>
                <w:color w:val="000000"/>
                <w:szCs w:val="22"/>
              </w:rPr>
              <w:t xml:space="preserve">                                     69 000    </w:t>
            </w:r>
          </w:p>
        </w:tc>
        <w:tc>
          <w:tcPr>
            <w:tcW w:w="2196" w:type="dxa"/>
            <w:noWrap/>
            <w:vAlign w:val="center"/>
          </w:tcPr>
          <w:p w:rsidR="00B135EB" w:rsidRPr="007C0CDA" w:rsidRDefault="00B135EB" w:rsidP="00B135EB">
            <w:pPr>
              <w:overflowPunct/>
              <w:autoSpaceDE/>
              <w:autoSpaceDN/>
              <w:adjustRightInd/>
              <w:jc w:val="center"/>
              <w:textAlignment w:val="auto"/>
              <w:rPr>
                <w:color w:val="000000"/>
                <w:sz w:val="19"/>
                <w:szCs w:val="22"/>
              </w:rPr>
            </w:pPr>
            <w:r>
              <w:rPr>
                <w:rFonts w:cs="Calibri"/>
                <w:color w:val="000000"/>
                <w:szCs w:val="22"/>
              </w:rPr>
              <w:t xml:space="preserve">                                     33 000    </w:t>
            </w:r>
          </w:p>
        </w:tc>
      </w:tr>
      <w:tr w:rsidR="00B135EB" w:rsidRPr="007C0CDA" w:rsidTr="002433DA">
        <w:trPr>
          <w:trHeight w:val="225"/>
        </w:trPr>
        <w:tc>
          <w:tcPr>
            <w:tcW w:w="1897" w:type="dxa"/>
          </w:tcPr>
          <w:p w:rsidR="00B135EB" w:rsidRPr="007C0CDA" w:rsidRDefault="00B135EB" w:rsidP="00B03681">
            <w:pPr>
              <w:overflowPunct/>
              <w:autoSpaceDE/>
              <w:autoSpaceDN/>
              <w:adjustRightInd/>
              <w:jc w:val="center"/>
              <w:textAlignment w:val="auto"/>
              <w:rPr>
                <w:b/>
                <w:bCs/>
                <w:color w:val="000000"/>
                <w:sz w:val="19"/>
                <w:szCs w:val="22"/>
              </w:rPr>
            </w:pPr>
            <w:r w:rsidRPr="007C0CDA">
              <w:rPr>
                <w:b/>
                <w:bCs/>
                <w:color w:val="000000"/>
                <w:sz w:val="19"/>
                <w:szCs w:val="22"/>
              </w:rPr>
              <w:t>Externí financování</w:t>
            </w:r>
          </w:p>
        </w:tc>
        <w:tc>
          <w:tcPr>
            <w:tcW w:w="2196" w:type="dxa"/>
            <w:noWrap/>
          </w:tcPr>
          <w:p w:rsidR="00B135EB" w:rsidRPr="007C0CDA" w:rsidRDefault="00B135EB" w:rsidP="00B03681">
            <w:pPr>
              <w:overflowPunct/>
              <w:autoSpaceDE/>
              <w:autoSpaceDN/>
              <w:adjustRightInd/>
              <w:jc w:val="center"/>
              <w:textAlignment w:val="auto"/>
              <w:rPr>
                <w:color w:val="000000"/>
                <w:sz w:val="19"/>
                <w:szCs w:val="22"/>
              </w:rPr>
            </w:pPr>
            <w:r w:rsidRPr="007C0CDA">
              <w:rPr>
                <w:color w:val="000000"/>
                <w:sz w:val="19"/>
                <w:szCs w:val="22"/>
              </w:rPr>
              <w:t>378</w:t>
            </w:r>
          </w:p>
        </w:tc>
        <w:tc>
          <w:tcPr>
            <w:tcW w:w="2213" w:type="dxa"/>
            <w:noWrap/>
            <w:vAlign w:val="center"/>
          </w:tcPr>
          <w:p w:rsidR="00B135EB" w:rsidRPr="007C0CDA" w:rsidRDefault="00B135EB" w:rsidP="00B135EB">
            <w:pPr>
              <w:overflowPunct/>
              <w:autoSpaceDE/>
              <w:autoSpaceDN/>
              <w:adjustRightInd/>
              <w:jc w:val="center"/>
              <w:textAlignment w:val="auto"/>
              <w:rPr>
                <w:color w:val="000000"/>
                <w:sz w:val="19"/>
                <w:szCs w:val="22"/>
              </w:rPr>
            </w:pPr>
            <w:r>
              <w:rPr>
                <w:rFonts w:cs="Calibri"/>
                <w:color w:val="000000"/>
                <w:szCs w:val="22"/>
              </w:rPr>
              <w:t xml:space="preserve">                                     37 000    </w:t>
            </w:r>
          </w:p>
        </w:tc>
        <w:tc>
          <w:tcPr>
            <w:tcW w:w="2196" w:type="dxa"/>
            <w:noWrap/>
            <w:vAlign w:val="center"/>
          </w:tcPr>
          <w:p w:rsidR="00B135EB" w:rsidRPr="007C0CDA" w:rsidRDefault="00B135EB" w:rsidP="00B135EB">
            <w:pPr>
              <w:overflowPunct/>
              <w:autoSpaceDE/>
              <w:autoSpaceDN/>
              <w:adjustRightInd/>
              <w:jc w:val="center"/>
              <w:textAlignment w:val="auto"/>
              <w:rPr>
                <w:color w:val="000000"/>
                <w:sz w:val="19"/>
                <w:szCs w:val="22"/>
              </w:rPr>
            </w:pPr>
            <w:r>
              <w:rPr>
                <w:rFonts w:cs="Calibri"/>
                <w:color w:val="000000"/>
                <w:szCs w:val="22"/>
              </w:rPr>
              <w:t xml:space="preserve">                                     17 500    </w:t>
            </w:r>
          </w:p>
        </w:tc>
      </w:tr>
      <w:tr w:rsidR="00B135EB" w:rsidRPr="007C0CDA" w:rsidTr="002433DA">
        <w:trPr>
          <w:trHeight w:val="461"/>
        </w:trPr>
        <w:tc>
          <w:tcPr>
            <w:tcW w:w="1897" w:type="dxa"/>
          </w:tcPr>
          <w:p w:rsidR="00B135EB" w:rsidRPr="007C0CDA" w:rsidRDefault="00B135EB" w:rsidP="00B03681">
            <w:pPr>
              <w:overflowPunct/>
              <w:autoSpaceDE/>
              <w:autoSpaceDN/>
              <w:adjustRightInd/>
              <w:jc w:val="center"/>
              <w:textAlignment w:val="auto"/>
              <w:rPr>
                <w:b/>
                <w:bCs/>
                <w:color w:val="000000"/>
                <w:sz w:val="19"/>
                <w:szCs w:val="22"/>
              </w:rPr>
            </w:pPr>
            <w:r w:rsidRPr="007C0CDA">
              <w:rPr>
                <w:b/>
                <w:bCs/>
                <w:color w:val="000000"/>
                <w:sz w:val="19"/>
                <w:szCs w:val="22"/>
              </w:rPr>
              <w:t>Absorpční kapacita kapitálových vstupů</w:t>
            </w:r>
          </w:p>
        </w:tc>
        <w:tc>
          <w:tcPr>
            <w:tcW w:w="2196" w:type="dxa"/>
            <w:noWrap/>
          </w:tcPr>
          <w:p w:rsidR="00B135EB" w:rsidRPr="007C0CDA" w:rsidRDefault="00B135EB" w:rsidP="00B03681">
            <w:pPr>
              <w:overflowPunct/>
              <w:autoSpaceDE/>
              <w:autoSpaceDN/>
              <w:adjustRightInd/>
              <w:jc w:val="center"/>
              <w:textAlignment w:val="auto"/>
              <w:rPr>
                <w:color w:val="000000"/>
                <w:sz w:val="19"/>
                <w:szCs w:val="22"/>
              </w:rPr>
            </w:pPr>
            <w:r w:rsidRPr="007C0CDA">
              <w:rPr>
                <w:color w:val="000000"/>
                <w:sz w:val="19"/>
                <w:szCs w:val="22"/>
              </w:rPr>
              <w:t>74</w:t>
            </w:r>
          </w:p>
        </w:tc>
        <w:tc>
          <w:tcPr>
            <w:tcW w:w="2213" w:type="dxa"/>
            <w:noWrap/>
            <w:vAlign w:val="center"/>
          </w:tcPr>
          <w:p w:rsidR="00B135EB" w:rsidRPr="007C0CDA" w:rsidRDefault="00B135EB" w:rsidP="00B135EB">
            <w:pPr>
              <w:overflowPunct/>
              <w:autoSpaceDE/>
              <w:autoSpaceDN/>
              <w:adjustRightInd/>
              <w:jc w:val="center"/>
              <w:textAlignment w:val="auto"/>
              <w:rPr>
                <w:color w:val="000000"/>
                <w:sz w:val="19"/>
                <w:szCs w:val="22"/>
              </w:rPr>
            </w:pPr>
            <w:r>
              <w:rPr>
                <w:rFonts w:cs="Calibri"/>
                <w:color w:val="000000"/>
                <w:szCs w:val="22"/>
              </w:rPr>
              <w:t xml:space="preserve">                                        7 000    </w:t>
            </w:r>
          </w:p>
        </w:tc>
        <w:tc>
          <w:tcPr>
            <w:tcW w:w="2196" w:type="dxa"/>
            <w:noWrap/>
            <w:vAlign w:val="center"/>
          </w:tcPr>
          <w:p w:rsidR="00B135EB" w:rsidRPr="007C0CDA" w:rsidRDefault="00B135EB" w:rsidP="00B135EB">
            <w:pPr>
              <w:overflowPunct/>
              <w:autoSpaceDE/>
              <w:autoSpaceDN/>
              <w:adjustRightInd/>
              <w:jc w:val="center"/>
              <w:textAlignment w:val="auto"/>
              <w:rPr>
                <w:color w:val="000000"/>
                <w:sz w:val="19"/>
                <w:szCs w:val="22"/>
              </w:rPr>
            </w:pPr>
            <w:r>
              <w:rPr>
                <w:rFonts w:cs="Calibri"/>
                <w:color w:val="000000"/>
                <w:szCs w:val="22"/>
              </w:rPr>
              <w:t xml:space="preserve">                                       3 500    </w:t>
            </w:r>
          </w:p>
        </w:tc>
      </w:tr>
    </w:tbl>
    <w:p w:rsidR="009D2CAE" w:rsidRPr="002433DA" w:rsidRDefault="009D2CAE" w:rsidP="00777F5C"/>
    <w:p w:rsidR="009D2CAE" w:rsidRPr="00B675D6" w:rsidRDefault="009D2CAE" w:rsidP="002433DA">
      <w:pPr>
        <w:pStyle w:val="Nadpis3"/>
      </w:pPr>
      <w:bookmarkStart w:id="440" w:name="_Toc416447803"/>
      <w:r w:rsidRPr="00B675D6">
        <w:t>Analýza tržních selhání a suboptimální investiční situace</w:t>
      </w:r>
      <w:bookmarkEnd w:id="440"/>
    </w:p>
    <w:p w:rsidR="009D2CAE" w:rsidRPr="007C0CDA" w:rsidRDefault="009D2CAE" w:rsidP="00D92A2B">
      <w:pPr>
        <w:pStyle w:val="Neslovannadpisy"/>
      </w:pPr>
      <w:r w:rsidRPr="007C0CDA">
        <w:t>Financování rozvinutých MSP</w:t>
      </w:r>
    </w:p>
    <w:p w:rsidR="009D2CAE" w:rsidRPr="007C0CDA" w:rsidRDefault="009D2CAE" w:rsidP="00D92A2B">
      <w:r w:rsidRPr="007C0CDA">
        <w:t>Schopnost finančního trhu efektivně alokovat zdroje ve prospěch financování MSP lze odvodit od celkové výše úvěrů poskytnutých malým a středním podnikům za určité období, jejich počtu, podílu na celkovém počtu MSP, podílu MSP, které žádaly o financování a především odhadovaného podílu malých a středních podniků, které nezískaly potřebné financování, ačkoliv byly schopné předložit životaschopný obchodní plán (odmítnuté, nezískaly financování v plné výši nebo o něj nežádaly).</w:t>
      </w:r>
    </w:p>
    <w:p w:rsidR="009D2CAE" w:rsidRPr="007C0CDA" w:rsidRDefault="009D2CAE" w:rsidP="00871EC9">
      <w:pPr>
        <w:rPr>
          <w:b/>
        </w:rPr>
      </w:pPr>
    </w:p>
    <w:p w:rsidR="009D2CAE" w:rsidRPr="007C0CDA" w:rsidRDefault="009D2CAE" w:rsidP="00871EC9">
      <w:r w:rsidRPr="007C0CDA">
        <w:rPr>
          <w:b/>
        </w:rPr>
        <w:t>V dotazníkovém šetření k ex ante vyhodnocení 55 % dotazovaných malých a středních podniků uvádí, že dostupnost bankovního úvěrového financování je bezproblémová, nebo dobrá</w:t>
      </w:r>
      <w:r w:rsidRPr="007C0CDA">
        <w:t xml:space="preserve">, byť spojená s vícekolovým jednáním a administrativními nároky. Celkem </w:t>
      </w:r>
      <w:r w:rsidRPr="007C0CDA">
        <w:rPr>
          <w:b/>
        </w:rPr>
        <w:t>41 % respondentů se nesetkalo při hledání externího financování s žádnými komplikacemi</w:t>
      </w:r>
      <w:r w:rsidRPr="007C0CDA">
        <w:t xml:space="preserve">. </w:t>
      </w:r>
      <w:r w:rsidRPr="002433DA">
        <w:rPr>
          <w:color w:val="FF0000"/>
        </w:rPr>
        <w:t>Nespokojení dotazovaní se setkali s problémy způsobenými i jinými faktory, než dostupností kapitálu jako takového.</w:t>
      </w:r>
    </w:p>
    <w:p w:rsidR="009D2CAE" w:rsidRPr="007C0CDA" w:rsidRDefault="009D2CAE" w:rsidP="00871EC9">
      <w:pPr>
        <w:rPr>
          <w:b/>
        </w:rPr>
      </w:pPr>
    </w:p>
    <w:p w:rsidR="009D2CAE" w:rsidRPr="007C0CDA" w:rsidRDefault="009D2CAE" w:rsidP="00871EC9">
      <w:r w:rsidRPr="007C0CDA">
        <w:t xml:space="preserve">S těmito závěry korespondují i nezávislé analýzy, které dokládají relativně dobrý přístup MSP ke kapitálu. </w:t>
      </w:r>
      <w:r w:rsidRPr="007C0CDA">
        <w:rPr>
          <w:b/>
        </w:rPr>
        <w:t>Z analýzy Evropské komise vyplývá neuspokojená investiční potřeba životaschopných projektů mezi lety 2009 -2011 v rozmezí 124 – 871 mil. €</w:t>
      </w:r>
      <w:r w:rsidRPr="007C0CDA">
        <w:t xml:space="preserve">. Dále EK dochází k závěru, že </w:t>
      </w:r>
      <w:r w:rsidRPr="007C0CDA">
        <w:rPr>
          <w:b/>
        </w:rPr>
        <w:t>podíl finančně životaschopných MSP v České republice, které nezískaly potřebné financování, byl v období 2009-2011 5,1 %</w:t>
      </w:r>
      <w:r w:rsidRPr="007C0CDA">
        <w:rPr>
          <w:vertAlign w:val="superscript"/>
        </w:rPr>
        <w:footnoteReference w:id="16"/>
      </w:r>
      <w:r w:rsidRPr="007C0CDA">
        <w:t>.Úroveň úvěrů zůstávala od té doby konstantní kromě poklesu v roce 2013, který bude ale vzhledem k růstu hospodářství zřejmě korigován v dalších letech. Z hodnoty se tedy dá vycházet jako z referenční. Starší analýza EIF z roku 2007</w:t>
      </w:r>
      <w:r w:rsidRPr="007C0CDA">
        <w:rPr>
          <w:rStyle w:val="Znakapoznpodarou"/>
        </w:rPr>
        <w:footnoteReference w:id="17"/>
      </w:r>
      <w:r w:rsidRPr="007C0CDA">
        <w:t xml:space="preserve"> uvádí, že o komerční úvěr žádalo 60 % českých MSP, přičemž uspěly dvě třetiny z nich</w:t>
      </w:r>
      <w:r w:rsidRPr="007C0CDA">
        <w:rPr>
          <w:b/>
        </w:rPr>
        <w:t>.</w:t>
      </w:r>
      <w:r w:rsidRPr="007C0CDA">
        <w:t xml:space="preserve"> Nejčastějšími důvody nedokončení úvěrovacího procesu byly dle vyjádření žadatelů přílišné informační požadavky bank, složitá administrace úvěru a příliš dlouhá doba trvání vyřízení. V evropském průměru se dluhově financuje více než 50 % MSP.</w:t>
      </w:r>
    </w:p>
    <w:p w:rsidR="009D2CAE" w:rsidRPr="007C0CDA" w:rsidRDefault="009D2CAE" w:rsidP="00D92A2B"/>
    <w:p w:rsidR="009D2CAE" w:rsidRPr="007C0CDA" w:rsidRDefault="009D2CAE" w:rsidP="00A25D0A">
      <w:r w:rsidRPr="007C0CDA">
        <w:t xml:space="preserve">I jiné zdroje docházejí k podobným závěrům – v České republice není problémem přístup k financování MSP jako celku. V podmínkách České republiky lze hovořit spíše o suboptimálních investičních situacích než o přímých tržních selháních, neboť např. i podle závěrů OECD není celkově pozice podniků v přístupu k úvěrům v České republice významně ztížena. Suboptimální investiční situace však zakládají faktory ležící často mimo finanční trh.Útlum investic navazuje na ztížený odbyt na domácím trhu (spotřeba byla hlavní příčinou hospodářského poklesu ČR v roce 2013) i trzích hlavních obchodních partnerů. Malé a střední podniky tedy často své investiční aktivity nerealizují </w:t>
      </w:r>
      <w:r w:rsidRPr="007C0CDA">
        <w:lastRenderedPageBreak/>
        <w:t xml:space="preserve">vůbec, nebo je realizují jen v omezeném rozsahu z důvodu nejistoty spolehlivosti predikcí budoucího vývoje hospodářství a tedy i finančních toků a základních ekonomických parametrů investice. </w:t>
      </w:r>
      <w:r w:rsidRPr="007C0CDA">
        <w:rPr>
          <w:b/>
        </w:rPr>
        <w:t>Lze předpokládat poměrně značný podíl podniků, které svůj obchodní plán vůbec nepředložily</w:t>
      </w:r>
      <w:r w:rsidRPr="007C0CDA">
        <w:t xml:space="preserve">, </w:t>
      </w:r>
      <w:r w:rsidRPr="002433DA">
        <w:rPr>
          <w:b/>
        </w:rPr>
        <w:t>a to z důvodů ležících zejména mimo finanční trhy.</w:t>
      </w:r>
    </w:p>
    <w:p w:rsidR="009D2CAE" w:rsidRPr="007C0CDA" w:rsidRDefault="009D2CAE" w:rsidP="00003786">
      <w:pPr>
        <w:rPr>
          <w:b/>
        </w:rPr>
      </w:pPr>
    </w:p>
    <w:p w:rsidR="009D2CAE" w:rsidRPr="007C0CDA" w:rsidRDefault="009D2CAE" w:rsidP="00E74691">
      <w:r w:rsidRPr="007C0CDA">
        <w:t>Rozsah problémů se samotnou dostupností úvěrů pro MSP však v současné době může narůstat, i přes klesající úrokové sazby. Z vývoje sazeb je zřejmé, že i přes současný pokles depozitních sazeb se nutně musela snížit úroková marže bank. Bankovní sektor je současně pod tlakem opatření regulátora k posílení stability bank, což se projevilo na zvýšení ukazatele kapitálového poměru. Nákladové tlaky a tlaky na banky vedoucí k poklesu výnosů rostou. Současně  však neslábne tlak jejich akcionářů na ziskovost, která se u velkých bank drží v evropském srovnání na velmi vysoké úrovni. Z uvedených důvodů nezbytně roste úsilí bank o co nejvyšší míru zajištění úvěrů a tím i minimalizaci ztrát z úvěrů v případě defaultu klienta. I přes klesající úrokové sazby tedy může být pro některé MSP na současném trhu přístup k úvěrovému financování obtížnější.</w:t>
      </w:r>
    </w:p>
    <w:p w:rsidR="009D2CAE" w:rsidRPr="007C0CDA" w:rsidRDefault="009D2CAE" w:rsidP="00E74691">
      <w:r w:rsidRPr="007C0CDA">
        <w:t>Nutno také dodat, že relativně dobrou dostupnost úvěrů MSP v minulém období ovlivnila významně i veřejná podpora formou záručních a úvěrových nástrojů nabízených ČMZRB.</w:t>
      </w:r>
    </w:p>
    <w:p w:rsidR="009D2CAE" w:rsidRPr="007C0CDA" w:rsidRDefault="009D2CAE" w:rsidP="00003786"/>
    <w:p w:rsidR="009D2CAE" w:rsidRPr="007C0CDA" w:rsidRDefault="009D2CAE" w:rsidP="00A25D0A">
      <w:r w:rsidRPr="007C0CDA">
        <w:t>Podpora prostřednictvím záruk a zvýhodněných úvěrů může při vhodném nastavení pomoci efektivně zaplnit předpokládanou tržní mezeru z důvodu snížení rizika jak na straně úvěrující instituce, tak především i na straně úvěrovaného MSP, kterému pomůže snížit náklady na financování.</w:t>
      </w:r>
    </w:p>
    <w:p w:rsidR="009D2CAE" w:rsidRPr="007C0CDA" w:rsidRDefault="009D2CAE" w:rsidP="00D92A2B"/>
    <w:p w:rsidR="009D2CAE" w:rsidRPr="007C0CDA" w:rsidRDefault="009D2CAE" w:rsidP="00D740C1">
      <w:pPr>
        <w:pStyle w:val="Neslovannadpisy"/>
      </w:pPr>
      <w:r w:rsidRPr="007C0CDA">
        <w:t>Financování early stage</w:t>
      </w:r>
    </w:p>
    <w:p w:rsidR="009D2CAE" w:rsidRPr="007C0CDA" w:rsidRDefault="009D2CAE" w:rsidP="009A0183">
      <w:r w:rsidRPr="007C0CDA">
        <w:t>Rizikový kapitál a kvazi-kapitálové vstupy jsou pro firmy ve stádiu early-stage nejefektivnější formou financování z hlediska jejich rychlého růstu.</w:t>
      </w:r>
      <w:r w:rsidRPr="002433DA">
        <w:rPr>
          <w:b/>
        </w:rPr>
        <w:t>Malá rozvinutost českého trhu v</w:t>
      </w:r>
      <w:r w:rsidRPr="007C0CDA">
        <w:rPr>
          <w:b/>
        </w:rPr>
        <w:t> </w:t>
      </w:r>
      <w:r w:rsidRPr="002433DA">
        <w:rPr>
          <w:b/>
        </w:rPr>
        <w:t>této oblasti tak ukazuje na významné tržní selhání, které omezuje potenciál rozvoje nových inovativních podnikatelských projektů v</w:t>
      </w:r>
      <w:r w:rsidRPr="007C0CDA">
        <w:rPr>
          <w:b/>
        </w:rPr>
        <w:t> </w:t>
      </w:r>
      <w:r w:rsidRPr="002433DA">
        <w:rPr>
          <w:b/>
        </w:rPr>
        <w:t>ČR.</w:t>
      </w:r>
    </w:p>
    <w:p w:rsidR="009D2CAE" w:rsidRPr="007C0CDA" w:rsidRDefault="009D2CAE" w:rsidP="009A0183"/>
    <w:p w:rsidR="009D2CAE" w:rsidRPr="007C0CDA" w:rsidRDefault="009D2CAE" w:rsidP="009A0183">
      <w:r w:rsidRPr="007C0CDA">
        <w:t>Jak vyplývá z výše popsané analýzy trhu equity financování, je investiční aktivita v ČR v oblasti venture kapitálu velmi malá i přesto, že celkový trh PE je jinak v kontextu regionu relativně silný.</w:t>
      </w:r>
      <w:r w:rsidRPr="007C0CDA">
        <w:rPr>
          <w:rFonts w:cs="Calibri"/>
          <w:szCs w:val="24"/>
        </w:rPr>
        <w:t>To ukazuje na nezájem investorů o konkrétní segment venture investic. Také z rozhovorů s investory vyplývá, že problémem v oblasti early stage rizikového financování není obecný nedostatek kapitálu.</w:t>
      </w:r>
    </w:p>
    <w:p w:rsidR="009D2CAE" w:rsidRPr="007C0CDA" w:rsidRDefault="009D2CAE" w:rsidP="00A1045A"/>
    <w:p w:rsidR="009D2CAE" w:rsidRPr="007C0CDA" w:rsidRDefault="009D2CAE" w:rsidP="00A1045A">
      <w:r w:rsidRPr="007C0CDA">
        <w:t xml:space="preserve">Analýza příčin naznačuje existenci tržního selhání na straně investorů i příjemců. Kvůli nedostatečné manažerské zkušenosti a chybějícím poradenským službám nejsou často </w:t>
      </w:r>
      <w:r w:rsidR="00190C45">
        <w:t>autoři</w:t>
      </w:r>
      <w:r w:rsidR="00190C45" w:rsidRPr="007C0CDA">
        <w:t xml:space="preserve"> </w:t>
      </w:r>
      <w:r w:rsidRPr="007C0CDA">
        <w:t xml:space="preserve">projektů schopni prezentace, která by vzbudila zájem soukromých investorů. </w:t>
      </w:r>
      <w:r w:rsidRPr="002433DA">
        <w:rPr>
          <w:b/>
        </w:rPr>
        <w:t>Nabídka poradenských</w:t>
      </w:r>
      <w:r w:rsidR="00F81A36">
        <w:rPr>
          <w:b/>
        </w:rPr>
        <w:t xml:space="preserve"> a asistenčních</w:t>
      </w:r>
      <w:r w:rsidRPr="002433DA">
        <w:rPr>
          <w:b/>
        </w:rPr>
        <w:t xml:space="preserve"> služeb začínajícím podnikatelům se s</w:t>
      </w:r>
      <w:r w:rsidRPr="007C0CDA">
        <w:rPr>
          <w:b/>
        </w:rPr>
        <w:t> </w:t>
      </w:r>
      <w:r w:rsidRPr="002433DA">
        <w:rPr>
          <w:b/>
        </w:rPr>
        <w:t>aktivitami CzechEkoSystem a CzechAccelerator vládní agentury CzechInvest v</w:t>
      </w:r>
      <w:r w:rsidRPr="007C0CDA">
        <w:rPr>
          <w:b/>
        </w:rPr>
        <w:t> </w:t>
      </w:r>
      <w:r w:rsidRPr="002433DA">
        <w:rPr>
          <w:b/>
        </w:rPr>
        <w:t>posledním období znatelně zlepšila</w:t>
      </w:r>
      <w:r w:rsidRPr="007C0CDA">
        <w:rPr>
          <w:b/>
        </w:rPr>
        <w:t>. Výrazně se zvýšila také nabídka soukromých podnikatelských inkubátorů (např. StartupYard, Node5, StarCube)  a jiných programů (např. eClub, iCollege)</w:t>
      </w:r>
      <w:r w:rsidRPr="002433DA">
        <w:rPr>
          <w:b/>
        </w:rPr>
        <w:t>, další důraz na kultivaci prostředí a podporu podnikatelských inkubátorů je nicméně nezbytný</w:t>
      </w:r>
      <w:r w:rsidRPr="007C0CDA">
        <w:t>.</w:t>
      </w:r>
    </w:p>
    <w:p w:rsidR="009D2CAE" w:rsidRPr="007C0CDA" w:rsidRDefault="009D2CAE" w:rsidP="00A1045A"/>
    <w:p w:rsidR="009D2CAE" w:rsidRPr="007C0CDA" w:rsidRDefault="009D2CAE" w:rsidP="00A1045A">
      <w:r w:rsidRPr="007C0CDA">
        <w:rPr>
          <w:b/>
        </w:rPr>
        <w:t>Počet institucionálních investorů v oblasti rizikového kapitálu je v ČR stále velmi malý, byť se v poslední době zvyšuje</w:t>
      </w:r>
      <w:r w:rsidRPr="007C0CDA">
        <w:t>. Malá je též působnost zahraničních investorů na českém trhu, který obecně není dostatečně zajímavý a známý. Oba problémy vycházejí i ze specificky českých regulatorních bariér, které zamezují pensijním fondům v investování do těchto fondů.</w:t>
      </w:r>
    </w:p>
    <w:p w:rsidR="009D2CAE" w:rsidRPr="007C0CDA" w:rsidRDefault="009D2CAE" w:rsidP="00A1045A"/>
    <w:p w:rsidR="009D2CAE" w:rsidRPr="007C0CDA" w:rsidRDefault="009D2CAE" w:rsidP="00A1045A">
      <w:r w:rsidRPr="007C0CDA">
        <w:t xml:space="preserve">V oblasti rizikového kapitálu spatřujeme jen relativně malé tržní selhání na straně financování start-upů v kapitálově méně náročnějších sektorech ICT a inovativních služeb, kde již dnes působí několik venture fondů, případně business angels ochotných velmi nadějným projektům kapitál poskytovat. </w:t>
      </w:r>
      <w:r w:rsidRPr="002433DA">
        <w:rPr>
          <w:b/>
        </w:rPr>
        <w:t xml:space="preserve">Bariérou je </w:t>
      </w:r>
      <w:r w:rsidRPr="007C0CDA">
        <w:rPr>
          <w:b/>
        </w:rPr>
        <w:t xml:space="preserve">však i </w:t>
      </w:r>
      <w:r w:rsidRPr="002433DA">
        <w:rPr>
          <w:b/>
        </w:rPr>
        <w:t>zde stále vysoká averze investorů vůči</w:t>
      </w:r>
      <w:r w:rsidRPr="007C0CDA">
        <w:rPr>
          <w:b/>
        </w:rPr>
        <w:t> </w:t>
      </w:r>
      <w:r w:rsidRPr="002433DA">
        <w:rPr>
          <w:b/>
        </w:rPr>
        <w:t>riziku</w:t>
      </w:r>
      <w:r w:rsidRPr="007C0CDA">
        <w:t xml:space="preserve">, byť vychází i z nižší kvality a potenciálu mnoha projektů. Relativní dostatek kapitálu na straně investorů tedy hledá obtížně cestu </w:t>
      </w:r>
      <w:r w:rsidRPr="007C0CDA">
        <w:lastRenderedPageBreak/>
        <w:t xml:space="preserve">ke zhodnocení.Státní intervence na straně financování může pomoci především rozředěním rizika díky preferenčnímu nastavení. Může být též impulsem ke vzniku dalších investičních fondů s potřebným zaměřením a většímu zájmu ze zahraničí. </w:t>
      </w:r>
    </w:p>
    <w:p w:rsidR="009D2CAE" w:rsidRPr="007C0CDA" w:rsidRDefault="009D2CAE" w:rsidP="00A1045A"/>
    <w:p w:rsidR="009D2CAE" w:rsidRPr="007C0CDA" w:rsidRDefault="009D2CAE" w:rsidP="00A1045A">
      <w:r w:rsidRPr="002433DA">
        <w:rPr>
          <w:b/>
        </w:rPr>
        <w:t>Hlavní tržní selhání však pozorujeme v</w:t>
      </w:r>
      <w:r w:rsidRPr="007C0CDA">
        <w:rPr>
          <w:b/>
        </w:rPr>
        <w:t> </w:t>
      </w:r>
      <w:r w:rsidRPr="002433DA">
        <w:rPr>
          <w:b/>
        </w:rPr>
        <w:t>nedostatku podpořených i dostupných projektů v</w:t>
      </w:r>
      <w:r w:rsidRPr="007C0CDA">
        <w:rPr>
          <w:b/>
        </w:rPr>
        <w:t> </w:t>
      </w:r>
      <w:r w:rsidRPr="002433DA">
        <w:rPr>
          <w:b/>
        </w:rPr>
        <w:t>jiných vysoce inovativních oblastech</w:t>
      </w:r>
      <w:r w:rsidRPr="007C0CDA">
        <w:t>,</w:t>
      </w:r>
      <w:r w:rsidRPr="002433DA">
        <w:rPr>
          <w:b/>
        </w:rPr>
        <w:t xml:space="preserve"> kde jsou uplatnitelné výsledky veřejného </w:t>
      </w:r>
      <w:r w:rsidRPr="007C0CDA">
        <w:rPr>
          <w:b/>
        </w:rPr>
        <w:t>VaV</w:t>
      </w:r>
      <w:r w:rsidRPr="002433DA">
        <w:rPr>
          <w:b/>
        </w:rPr>
        <w:t>.</w:t>
      </w:r>
      <w:r w:rsidRPr="007C0CDA">
        <w:t xml:space="preserve"> Tato oblast stojí mimo zájem v ČR aktivních venture fondů kvůli vysokému riziku, investičním nákladům i složitosti specializované problematiky, stejně jako kvůli malému počtu kvalitních univerzitních spin-offů, do kterých by investice mohly jít. Významný díl tržního selhání přikládáme neschopnosti veřejných subjektů podporovat komercializaci záměrů ve výzkumných centrech vzniklých za využití veřejné podpory, vědeckotechnických parcích a při předních univerzitách. Význam tohoto problému se bude s dalšími intervencemi v oblasti seed financování násobit a pro správnou funkci celého systému je nutné jeho vyřešení.</w:t>
      </w:r>
    </w:p>
    <w:p w:rsidR="009D2CAE" w:rsidRPr="007C0CDA" w:rsidRDefault="009D2CAE" w:rsidP="00A1045A"/>
    <w:p w:rsidR="009D2CAE" w:rsidRPr="007C0CDA" w:rsidRDefault="009D2CAE">
      <w:pPr>
        <w:pStyle w:val="Neslovannadpisy"/>
      </w:pPr>
      <w:r w:rsidRPr="007C0CDA">
        <w:t>Dotazníkové šetření</w:t>
      </w:r>
    </w:p>
    <w:p w:rsidR="009D2CAE" w:rsidRPr="007C0CDA" w:rsidRDefault="009D2CAE" w:rsidP="00C500F0">
      <w:r w:rsidRPr="007C0CDA">
        <w:t xml:space="preserve">K bariérám v přístupu k financování se vyjadřovali také respondenti dotazníkového šetření v této studii. </w:t>
      </w:r>
      <w:r w:rsidRPr="007C0CDA">
        <w:rPr>
          <w:b/>
        </w:rPr>
        <w:t>Mezi nejčastější úskalí procesu získání úvěru patří nedostatečné zajištění, přílišná nákladnost financování a dlouhá doba návratnosti uvažovaného projektu</w:t>
      </w:r>
      <w:r w:rsidRPr="007C0CDA">
        <w:t xml:space="preserve">.O </w:t>
      </w:r>
      <w:r w:rsidRPr="007C0CDA">
        <w:rPr>
          <w:b/>
        </w:rPr>
        <w:t>informační bariéře</w:t>
      </w:r>
      <w:r w:rsidRPr="007C0CDA">
        <w:t xml:space="preserve"> v přístupu k bankovnímu financování, nutnosti přílišného zajištění a celkově špatných možnostech úvěrového financování hovořilo shodně kolem 15 % respondentů. Problémem bývá rovněž rizikový profil žadatele a projektu, nejčastěji z důvodu chybějící podnikatelské historie, aktuálního zadlužení a nejistého výsledku uvažovaného projektu.</w:t>
      </w:r>
    </w:p>
    <w:p w:rsidR="009D2CAE" w:rsidRPr="007C0CDA" w:rsidRDefault="009D2CAE" w:rsidP="00C500F0"/>
    <w:p w:rsidR="009D2CAE" w:rsidRPr="007C0CDA" w:rsidRDefault="009D2CAE" w:rsidP="00C500F0">
      <w:r w:rsidRPr="007C0CDA">
        <w:t xml:space="preserve">Poměrně velká část oslovených start-upů však udávala svůj nezájem o kapitálové vstupy, který vychází z neochoty dělit se o svůj podíl a kontrolu nad podnikáním. To dokládá </w:t>
      </w:r>
      <w:r w:rsidRPr="002433DA">
        <w:rPr>
          <w:b/>
        </w:rPr>
        <w:t>přetrvávající problém s</w:t>
      </w:r>
      <w:r w:rsidRPr="007C0CDA">
        <w:rPr>
          <w:b/>
        </w:rPr>
        <w:t> </w:t>
      </w:r>
      <w:r w:rsidRPr="002433DA">
        <w:rPr>
          <w:b/>
        </w:rPr>
        <w:t>konzervativním přístupem části podnikatelů k</w:t>
      </w:r>
      <w:r w:rsidRPr="007C0CDA">
        <w:rPr>
          <w:b/>
        </w:rPr>
        <w:t> </w:t>
      </w:r>
      <w:r w:rsidRPr="002433DA">
        <w:rPr>
          <w:b/>
        </w:rPr>
        <w:t>tomuto způsobu financování</w:t>
      </w:r>
      <w:r w:rsidRPr="007C0CDA">
        <w:t>, který je však typický pouze pro část podnikatelů.</w:t>
      </w:r>
    </w:p>
    <w:p w:rsidR="009D2CAE" w:rsidRPr="007C0CDA" w:rsidRDefault="009D2CAE" w:rsidP="00C500F0"/>
    <w:p w:rsidR="009D2CAE" w:rsidRPr="007C0CDA" w:rsidRDefault="009D2CAE" w:rsidP="00C500F0">
      <w:r w:rsidRPr="007C0CDA">
        <w:t xml:space="preserve">Nedostatečný ekonomický potenciál projektu byl překážkou poskytnutí úvěru v pěti procentech odmítnutých dotazovaných subjektů. Vzhledem ke komerčnímu, a nikoli společenskému měřítku aplikovanému při posuzování tržní situace v oblastech spadajících do specifického cíle 2.1 však toto nepovažujeme za selhání trhu, ale naopak důkaz jeho správného fungování. </w:t>
      </w:r>
    </w:p>
    <w:p w:rsidR="009D2CAE" w:rsidRPr="007C0CDA" w:rsidRDefault="009D2CAE" w:rsidP="00C500F0"/>
    <w:p w:rsidR="009D2CAE" w:rsidRPr="00854519" w:rsidRDefault="009D2CAE" w:rsidP="002433DA">
      <w:pPr>
        <w:pStyle w:val="Nadpis3"/>
      </w:pPr>
      <w:bookmarkStart w:id="441" w:name="_Toc416447804"/>
      <w:r w:rsidRPr="00B675D6">
        <w:t>Návrh opatření</w:t>
      </w:r>
      <w:bookmarkEnd w:id="441"/>
    </w:p>
    <w:p w:rsidR="009D2CAE" w:rsidRPr="007C0CDA" w:rsidRDefault="009D2CAE" w:rsidP="00DB7744">
      <w:r w:rsidRPr="007C0CDA">
        <w:t>Vzhledem k ziskovému potenciálu úspěšných projektů jednoznačně doporučujeme využití finančních nástrojů v obou analyzovaných oblastech SC 2.1.</w:t>
      </w:r>
    </w:p>
    <w:p w:rsidR="009D2CAE" w:rsidRPr="007C0CDA" w:rsidRDefault="009D2CAE" w:rsidP="00DB7744"/>
    <w:p w:rsidR="009D2CAE" w:rsidRPr="007C0CDA" w:rsidRDefault="009D2CAE" w:rsidP="00DB7744">
      <w:r w:rsidRPr="007C0CDA">
        <w:t xml:space="preserve">V oblasti financování rozvojových investic stabilizovaných a déle existujících MSP, kteří standardně hledají externí financování v podobě úvěrů, </w:t>
      </w:r>
      <w:r w:rsidRPr="002433DA">
        <w:rPr>
          <w:b/>
        </w:rPr>
        <w:t xml:space="preserve">se jeví vhodným navázání na dosavadní podporu zvýhodněných úvěrů a záruk </w:t>
      </w:r>
      <w:r w:rsidRPr="007C0CDA">
        <w:rPr>
          <w:b/>
        </w:rPr>
        <w:t>–</w:t>
      </w:r>
      <w:r w:rsidRPr="002433DA">
        <w:rPr>
          <w:b/>
        </w:rPr>
        <w:t xml:space="preserve"> jak v</w:t>
      </w:r>
      <w:r w:rsidRPr="007C0CDA">
        <w:rPr>
          <w:b/>
        </w:rPr>
        <w:t> </w:t>
      </w:r>
      <w:r w:rsidRPr="002433DA">
        <w:rPr>
          <w:b/>
        </w:rPr>
        <w:t>individuální a tak v</w:t>
      </w:r>
      <w:r w:rsidRPr="007C0CDA">
        <w:rPr>
          <w:b/>
        </w:rPr>
        <w:t> </w:t>
      </w:r>
      <w:r w:rsidRPr="002433DA">
        <w:rPr>
          <w:b/>
        </w:rPr>
        <w:t>portfoliové podobě</w:t>
      </w:r>
      <w:r w:rsidRPr="007C0CDA">
        <w:t>.</w:t>
      </w:r>
    </w:p>
    <w:p w:rsidR="009D2CAE" w:rsidRPr="007C0CDA" w:rsidRDefault="009D2CAE" w:rsidP="00DB7744">
      <w:pPr>
        <w:rPr>
          <w:b/>
        </w:rPr>
      </w:pPr>
    </w:p>
    <w:p w:rsidR="009D2CAE" w:rsidRPr="007C0CDA" w:rsidRDefault="009D2CAE" w:rsidP="00DB7744">
      <w:r w:rsidRPr="002433DA">
        <w:t>V</w:t>
      </w:r>
      <w:r w:rsidRPr="007C0CDA">
        <w:t> </w:t>
      </w:r>
      <w:r w:rsidRPr="002433DA">
        <w:t xml:space="preserve">případě segmentu nových inovativních podniků ve fázi early stage (seed, startup) mohou být účelnou formou podpory státem poskytované kapitálové vstupy </w:t>
      </w:r>
      <w:r w:rsidRPr="007C0CDA">
        <w:t>–</w:t>
      </w:r>
      <w:r w:rsidRPr="002433DA">
        <w:t xml:space="preserve"> ať už přímo do jednotlivých inovativních podniků, tak do investičních fondů rizikového kapitálu, které budou dodržovat investiční strategii určenou řídícím orgánem.</w:t>
      </w:r>
      <w:r w:rsidRPr="007C0CDA">
        <w:t xml:space="preserve"> Podmínkou každopádně musí být zapojení soukromého kapitálu na úrovni koinvestic či fondu. Veřejný fond rizikového kapitálu by neměl soukromým fondům konkurovat, ale vhodně je doplňovat a snižovat riziko společných investic.</w:t>
      </w:r>
    </w:p>
    <w:p w:rsidR="009D2CAE" w:rsidRPr="007C0CDA" w:rsidRDefault="009D2CAE" w:rsidP="00DB7744"/>
    <w:p w:rsidR="009D2CAE" w:rsidRPr="007C0CDA" w:rsidRDefault="009D2CAE" w:rsidP="00DB7744">
      <w:r w:rsidRPr="007C0CDA">
        <w:lastRenderedPageBreak/>
        <w:t>Jako velmi vhodné se zde jeví zacílení investiční strategie na segment seedového financování high-tech projektů využívajících výsledky VaV, kde je pozorována největší tržní mezera. V tomto ohledu je důležité paralelní fungování s nástrojem kapitálových vstupů pro fázi pre-seed, v SC 1.2. Důležité je také propojení s podporou programů poradenství a rozvoje podnikatelských dovedností agentury CzechInvest.</w:t>
      </w:r>
    </w:p>
    <w:p w:rsidR="009D2CAE" w:rsidRPr="002433DA" w:rsidRDefault="009D2CAE" w:rsidP="00DB7744"/>
    <w:p w:rsidR="009D2CAE" w:rsidRPr="007C0CDA" w:rsidRDefault="009D2CAE" w:rsidP="002433DA">
      <w:pPr>
        <w:pStyle w:val="Nadpis3"/>
      </w:pPr>
      <w:bookmarkStart w:id="442" w:name="_Toc416383815"/>
      <w:bookmarkStart w:id="443" w:name="_Toc416447805"/>
      <w:bookmarkStart w:id="444" w:name="_Toc416383816"/>
      <w:bookmarkStart w:id="445" w:name="_Toc416447806"/>
      <w:bookmarkStart w:id="446" w:name="_Toc416383817"/>
      <w:bookmarkStart w:id="447" w:name="_Toc416447807"/>
      <w:bookmarkStart w:id="448" w:name="_Toc416383818"/>
      <w:bookmarkStart w:id="449" w:name="_Toc416447808"/>
      <w:bookmarkStart w:id="450" w:name="_Toc416383819"/>
      <w:bookmarkStart w:id="451" w:name="_Toc416447809"/>
      <w:bookmarkStart w:id="452" w:name="_Toc416383820"/>
      <w:bookmarkStart w:id="453" w:name="_Toc416447810"/>
      <w:bookmarkStart w:id="454" w:name="_Toc416383821"/>
      <w:bookmarkStart w:id="455" w:name="_Toc416447811"/>
      <w:bookmarkStart w:id="456" w:name="_Toc416383822"/>
      <w:bookmarkStart w:id="457" w:name="_Toc416447812"/>
      <w:bookmarkStart w:id="458" w:name="_Toc416383823"/>
      <w:bookmarkStart w:id="459" w:name="_Toc416447813"/>
      <w:bookmarkStart w:id="460" w:name="_Toc416447814"/>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r w:rsidRPr="007C0CDA">
        <w:t>Posouzení přidané hodnoty finančních nástrojů</w:t>
      </w:r>
      <w:bookmarkEnd w:id="460"/>
    </w:p>
    <w:p w:rsidR="009D2CAE" w:rsidRPr="007C0CDA" w:rsidRDefault="009D2CAE" w:rsidP="00364968">
      <w:r w:rsidRPr="007C0CDA">
        <w:t>Projekty spadající do zásahu specifického cíle 2.1 se pojí se ziskovými záměry. Doba očekávané návratnosti v současnosti zvažovaných investic vyplývající z dotazníkového šetření se pohybuje v mezích volným trhem běžně akceptovaných. Očekávaná návratnost rozšiřujících investic je kratší než návratnost investic do začínajícího podnikání, i tyto jsou však ekonomicky smysluplné.</w:t>
      </w:r>
    </w:p>
    <w:p w:rsidR="009D2CAE" w:rsidRPr="007C0CDA" w:rsidRDefault="002D1138" w:rsidP="00364968">
      <w:r>
        <w:rPr>
          <w:noProof/>
        </w:rPr>
        <w:drawing>
          <wp:inline distT="0" distB="0" distL="0" distR="0" wp14:anchorId="7147C7FC" wp14:editId="69D00502">
            <wp:extent cx="5772150" cy="2114550"/>
            <wp:effectExtent l="0" t="0" r="0" b="0"/>
            <wp:docPr id="14"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2150" cy="2114550"/>
                    </a:xfrm>
                    <a:prstGeom prst="rect">
                      <a:avLst/>
                    </a:prstGeom>
                    <a:noFill/>
                    <a:ln>
                      <a:noFill/>
                    </a:ln>
                  </pic:spPr>
                </pic:pic>
              </a:graphicData>
            </a:graphic>
          </wp:inline>
        </w:drawing>
      </w:r>
    </w:p>
    <w:p w:rsidR="009D2CAE" w:rsidRPr="007C0CDA" w:rsidRDefault="009D2CAE" w:rsidP="00364968">
      <w:pPr>
        <w:pStyle w:val="Titulek"/>
        <w:jc w:val="center"/>
      </w:pPr>
      <w:r w:rsidRPr="007C0CDA">
        <w:t xml:space="preserve">Graf 10 - Očekávaná doba návratnosti </w:t>
      </w:r>
    </w:p>
    <w:p w:rsidR="009D2CAE" w:rsidRPr="002433DA" w:rsidRDefault="009D2CAE" w:rsidP="002433DA">
      <w:pPr>
        <w:rPr>
          <w:b/>
        </w:rPr>
      </w:pPr>
    </w:p>
    <w:p w:rsidR="009D2CAE" w:rsidRPr="002433DA" w:rsidRDefault="009D2CAE" w:rsidP="002433DA">
      <w:pPr>
        <w:rPr>
          <w:b/>
        </w:rPr>
      </w:pPr>
      <w:r w:rsidRPr="00B675D6">
        <w:t>Rozvojové etablované MSP</w:t>
      </w:r>
    </w:p>
    <w:p w:rsidR="009D2CAE" w:rsidRPr="007C0CDA" w:rsidRDefault="009D2CAE"/>
    <w:tbl>
      <w:tblPr>
        <w:tblpPr w:leftFromText="141" w:rightFromText="141" w:vertAnchor="text" w:horzAnchor="margin" w:tblpY="-23"/>
        <w:tblW w:w="8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60"/>
        <w:gridCol w:w="960"/>
        <w:gridCol w:w="2414"/>
        <w:gridCol w:w="2330"/>
        <w:gridCol w:w="2330"/>
      </w:tblGrid>
      <w:tr w:rsidR="009D2CAE" w:rsidRPr="007C0CDA" w:rsidTr="008A7685">
        <w:trPr>
          <w:trHeight w:val="315"/>
        </w:trPr>
        <w:tc>
          <w:tcPr>
            <w:tcW w:w="960" w:type="dxa"/>
            <w:shd w:val="clear" w:color="auto" w:fill="365F91"/>
            <w:noWrap/>
            <w:vAlign w:val="bottom"/>
          </w:tcPr>
          <w:p w:rsidR="009D2CAE" w:rsidRPr="007C0CDA" w:rsidRDefault="009D2CAE" w:rsidP="008A7685">
            <w:pPr>
              <w:jc w:val="left"/>
              <w:rPr>
                <w:rFonts w:ascii="Times New Roman" w:hAnsi="Times New Roman"/>
                <w:sz w:val="24"/>
                <w:szCs w:val="24"/>
              </w:rPr>
            </w:pPr>
          </w:p>
        </w:tc>
        <w:tc>
          <w:tcPr>
            <w:tcW w:w="960" w:type="dxa"/>
            <w:shd w:val="clear" w:color="auto" w:fill="365F91"/>
            <w:noWrap/>
            <w:vAlign w:val="bottom"/>
          </w:tcPr>
          <w:p w:rsidR="009D2CAE" w:rsidRPr="007C0CDA" w:rsidRDefault="009D2CAE" w:rsidP="008A7685">
            <w:pPr>
              <w:jc w:val="left"/>
              <w:rPr>
                <w:rFonts w:ascii="Times New Roman" w:hAnsi="Times New Roman"/>
                <w:color w:val="000000"/>
                <w:sz w:val="24"/>
                <w:szCs w:val="24"/>
              </w:rPr>
            </w:pPr>
            <w:r w:rsidRPr="007C0CDA">
              <w:rPr>
                <w:rFonts w:ascii="Times New Roman" w:hAnsi="Times New Roman"/>
                <w:color w:val="000000"/>
                <w:sz w:val="24"/>
                <w:szCs w:val="24"/>
              </w:rPr>
              <w:t> </w:t>
            </w:r>
          </w:p>
        </w:tc>
        <w:tc>
          <w:tcPr>
            <w:tcW w:w="4744" w:type="dxa"/>
            <w:gridSpan w:val="2"/>
            <w:shd w:val="clear" w:color="auto" w:fill="365F91"/>
            <w:noWrap/>
            <w:vAlign w:val="center"/>
          </w:tcPr>
          <w:p w:rsidR="009D2CAE" w:rsidRPr="007C0CDA" w:rsidRDefault="009D2CAE" w:rsidP="008A7685">
            <w:pPr>
              <w:jc w:val="center"/>
              <w:rPr>
                <w:b/>
                <w:bCs/>
                <w:color w:val="FFFFFF"/>
                <w:sz w:val="24"/>
                <w:szCs w:val="24"/>
              </w:rPr>
            </w:pPr>
            <w:r w:rsidRPr="007C0CDA">
              <w:rPr>
                <w:b/>
                <w:bCs/>
                <w:color w:val="FFFFFF"/>
                <w:sz w:val="24"/>
                <w:szCs w:val="24"/>
              </w:rPr>
              <w:t>Finanční nástroj</w:t>
            </w:r>
          </w:p>
        </w:tc>
        <w:tc>
          <w:tcPr>
            <w:tcW w:w="2330" w:type="dxa"/>
            <w:shd w:val="clear" w:color="auto" w:fill="365F91"/>
          </w:tcPr>
          <w:p w:rsidR="009D2CAE" w:rsidRPr="007C0CDA" w:rsidRDefault="009D2CAE" w:rsidP="008A7685">
            <w:pPr>
              <w:jc w:val="center"/>
              <w:rPr>
                <w:b/>
                <w:bCs/>
                <w:color w:val="FFFFFF"/>
                <w:sz w:val="24"/>
                <w:szCs w:val="24"/>
              </w:rPr>
            </w:pPr>
            <w:r w:rsidRPr="007C0CDA">
              <w:rPr>
                <w:b/>
                <w:bCs/>
                <w:color w:val="FFFFFF"/>
                <w:sz w:val="24"/>
                <w:szCs w:val="24"/>
              </w:rPr>
              <w:t>Dotace</w:t>
            </w:r>
          </w:p>
        </w:tc>
      </w:tr>
      <w:tr w:rsidR="009D2CAE" w:rsidRPr="007C0CDA" w:rsidTr="008A7685">
        <w:trPr>
          <w:trHeight w:val="315"/>
        </w:trPr>
        <w:tc>
          <w:tcPr>
            <w:tcW w:w="960" w:type="dxa"/>
            <w:shd w:val="clear" w:color="auto" w:fill="365F91"/>
            <w:noWrap/>
            <w:vAlign w:val="center"/>
          </w:tcPr>
          <w:p w:rsidR="009D2CAE" w:rsidRPr="007C0CDA" w:rsidRDefault="009D2CAE" w:rsidP="008A7685">
            <w:pPr>
              <w:jc w:val="center"/>
              <w:rPr>
                <w:b/>
                <w:bCs/>
                <w:color w:val="000000"/>
                <w:sz w:val="24"/>
                <w:szCs w:val="24"/>
              </w:rPr>
            </w:pPr>
          </w:p>
        </w:tc>
        <w:tc>
          <w:tcPr>
            <w:tcW w:w="960" w:type="dxa"/>
            <w:shd w:val="clear" w:color="auto" w:fill="365F91"/>
            <w:noWrap/>
            <w:vAlign w:val="center"/>
          </w:tcPr>
          <w:p w:rsidR="009D2CAE" w:rsidRPr="007C0CDA" w:rsidRDefault="009D2CAE" w:rsidP="008A7685">
            <w:pPr>
              <w:jc w:val="left"/>
              <w:rPr>
                <w:color w:val="000000"/>
                <w:sz w:val="24"/>
                <w:szCs w:val="24"/>
              </w:rPr>
            </w:pPr>
            <w:r w:rsidRPr="007C0CDA">
              <w:rPr>
                <w:color w:val="000000"/>
                <w:sz w:val="24"/>
                <w:szCs w:val="24"/>
              </w:rPr>
              <w:t> </w:t>
            </w:r>
          </w:p>
        </w:tc>
        <w:tc>
          <w:tcPr>
            <w:tcW w:w="2414" w:type="dxa"/>
            <w:shd w:val="clear" w:color="auto" w:fill="365F91"/>
            <w:vAlign w:val="center"/>
          </w:tcPr>
          <w:p w:rsidR="009D2CAE" w:rsidRPr="007C0CDA" w:rsidRDefault="009D2CAE" w:rsidP="008A7685">
            <w:pPr>
              <w:jc w:val="center"/>
              <w:rPr>
                <w:b/>
                <w:bCs/>
                <w:color w:val="FFFFFF"/>
                <w:sz w:val="24"/>
                <w:szCs w:val="24"/>
              </w:rPr>
            </w:pPr>
            <w:r w:rsidRPr="007C0CDA">
              <w:rPr>
                <w:b/>
                <w:bCs/>
                <w:color w:val="FFFFFF"/>
                <w:sz w:val="24"/>
                <w:szCs w:val="24"/>
              </w:rPr>
              <w:t>Záruční nástroj</w:t>
            </w:r>
          </w:p>
        </w:tc>
        <w:tc>
          <w:tcPr>
            <w:tcW w:w="2330" w:type="dxa"/>
            <w:shd w:val="clear" w:color="auto" w:fill="365F91"/>
            <w:vAlign w:val="center"/>
          </w:tcPr>
          <w:p w:rsidR="009D2CAE" w:rsidRPr="007C0CDA" w:rsidRDefault="009D2CAE" w:rsidP="008A7685">
            <w:pPr>
              <w:jc w:val="center"/>
              <w:rPr>
                <w:b/>
                <w:bCs/>
                <w:color w:val="FFFFFF"/>
                <w:sz w:val="24"/>
                <w:szCs w:val="24"/>
              </w:rPr>
            </w:pPr>
            <w:r w:rsidRPr="007C0CDA">
              <w:rPr>
                <w:b/>
                <w:bCs/>
                <w:color w:val="FFFFFF"/>
                <w:sz w:val="24"/>
                <w:szCs w:val="24"/>
              </w:rPr>
              <w:t>Zvýhodněný úvěr</w:t>
            </w:r>
          </w:p>
        </w:tc>
        <w:tc>
          <w:tcPr>
            <w:tcW w:w="2330" w:type="dxa"/>
            <w:shd w:val="clear" w:color="auto" w:fill="365F91"/>
          </w:tcPr>
          <w:p w:rsidR="009D2CAE" w:rsidRPr="007C0CDA" w:rsidRDefault="009D2CAE" w:rsidP="008A7685">
            <w:pPr>
              <w:jc w:val="center"/>
              <w:rPr>
                <w:b/>
                <w:bCs/>
                <w:color w:val="FFFFFF"/>
                <w:sz w:val="24"/>
                <w:szCs w:val="24"/>
              </w:rPr>
            </w:pPr>
          </w:p>
        </w:tc>
      </w:tr>
      <w:tr w:rsidR="009D2CAE" w:rsidRPr="007C0CDA" w:rsidTr="008A7685">
        <w:trPr>
          <w:trHeight w:val="720"/>
        </w:trPr>
        <w:tc>
          <w:tcPr>
            <w:tcW w:w="960" w:type="dxa"/>
            <w:vMerge w:val="restart"/>
            <w:shd w:val="clear" w:color="auto" w:fill="8DB3E2"/>
            <w:noWrap/>
            <w:textDirection w:val="btLr"/>
            <w:vAlign w:val="center"/>
          </w:tcPr>
          <w:p w:rsidR="009D2CAE" w:rsidRPr="007C0CDA" w:rsidRDefault="009D2CAE" w:rsidP="008A7685">
            <w:pPr>
              <w:jc w:val="center"/>
              <w:rPr>
                <w:b/>
                <w:bCs/>
                <w:color w:val="FFFFFF"/>
                <w:sz w:val="24"/>
                <w:szCs w:val="24"/>
              </w:rPr>
            </w:pPr>
            <w:r w:rsidRPr="007C0CDA">
              <w:rPr>
                <w:b/>
                <w:bCs/>
                <w:color w:val="FFFFFF"/>
                <w:sz w:val="24"/>
                <w:szCs w:val="24"/>
              </w:rPr>
              <w:t>Přidaná hodnota veřejné podpory pro příjemce a ŘO</w:t>
            </w:r>
          </w:p>
        </w:tc>
        <w:tc>
          <w:tcPr>
            <w:tcW w:w="960" w:type="dxa"/>
            <w:vMerge w:val="restart"/>
            <w:shd w:val="clear" w:color="auto" w:fill="8DB3E2"/>
            <w:noWrap/>
            <w:textDirection w:val="btLr"/>
            <w:vAlign w:val="center"/>
          </w:tcPr>
          <w:p w:rsidR="009D2CAE" w:rsidRPr="007C0CDA" w:rsidRDefault="009D2CAE" w:rsidP="008A7685">
            <w:pPr>
              <w:jc w:val="center"/>
              <w:rPr>
                <w:b/>
                <w:bCs/>
                <w:color w:val="FFFFFF"/>
                <w:sz w:val="24"/>
                <w:szCs w:val="24"/>
              </w:rPr>
            </w:pPr>
            <w:r w:rsidRPr="007C0CDA">
              <w:rPr>
                <w:b/>
                <w:bCs/>
                <w:color w:val="FFFFFF"/>
                <w:sz w:val="24"/>
                <w:szCs w:val="24"/>
              </w:rPr>
              <w:t>Konečný příjemce</w:t>
            </w:r>
          </w:p>
        </w:tc>
        <w:tc>
          <w:tcPr>
            <w:tcW w:w="2414" w:type="dxa"/>
            <w:shd w:val="clear" w:color="auto" w:fill="8DB3E2"/>
            <w:vAlign w:val="center"/>
          </w:tcPr>
          <w:p w:rsidR="009D2CAE" w:rsidRPr="007C0CDA" w:rsidRDefault="009D2CAE" w:rsidP="008A7685">
            <w:pPr>
              <w:jc w:val="center"/>
              <w:rPr>
                <w:b/>
                <w:color w:val="FFFFFF"/>
                <w:sz w:val="20"/>
              </w:rPr>
            </w:pPr>
            <w:r w:rsidRPr="007C0CDA">
              <w:rPr>
                <w:b/>
                <w:color w:val="FFFFFF"/>
                <w:sz w:val="20"/>
              </w:rPr>
              <w:t>Zpřístupnění nedosažitelného financování</w:t>
            </w:r>
          </w:p>
        </w:tc>
        <w:tc>
          <w:tcPr>
            <w:tcW w:w="2330" w:type="dxa"/>
            <w:shd w:val="clear" w:color="auto" w:fill="8DB3E2"/>
            <w:vAlign w:val="center"/>
          </w:tcPr>
          <w:p w:rsidR="009D2CAE" w:rsidRPr="007C0CDA" w:rsidRDefault="009D2CAE" w:rsidP="008A7685">
            <w:pPr>
              <w:jc w:val="center"/>
              <w:rPr>
                <w:b/>
                <w:color w:val="FFFFFF"/>
                <w:sz w:val="20"/>
              </w:rPr>
            </w:pPr>
            <w:r w:rsidRPr="007C0CDA">
              <w:rPr>
                <w:b/>
                <w:color w:val="FFFFFF"/>
                <w:sz w:val="20"/>
              </w:rPr>
              <w:t>Zpřístupnění vyšší míry externího financování</w:t>
            </w:r>
          </w:p>
        </w:tc>
        <w:tc>
          <w:tcPr>
            <w:tcW w:w="2330" w:type="dxa"/>
            <w:shd w:val="clear" w:color="auto" w:fill="8DB3E2"/>
          </w:tcPr>
          <w:p w:rsidR="009D2CAE" w:rsidRPr="007C0CDA" w:rsidRDefault="009D2CAE" w:rsidP="008A7685">
            <w:pPr>
              <w:jc w:val="center"/>
              <w:rPr>
                <w:b/>
                <w:color w:val="FFFFFF"/>
                <w:sz w:val="20"/>
              </w:rPr>
            </w:pPr>
            <w:r w:rsidRPr="007C0CDA">
              <w:rPr>
                <w:b/>
                <w:color w:val="FFFFFF"/>
                <w:sz w:val="20"/>
              </w:rPr>
              <w:t>Nevratný příspěvek na projekt</w:t>
            </w:r>
          </w:p>
        </w:tc>
      </w:tr>
      <w:tr w:rsidR="009D2CAE" w:rsidRPr="007C0CDA" w:rsidTr="008A7685">
        <w:trPr>
          <w:trHeight w:val="480"/>
        </w:trPr>
        <w:tc>
          <w:tcPr>
            <w:tcW w:w="960" w:type="dxa"/>
            <w:vMerge/>
            <w:shd w:val="clear" w:color="auto" w:fill="8DB3E2"/>
            <w:vAlign w:val="center"/>
          </w:tcPr>
          <w:p w:rsidR="009D2CAE" w:rsidRPr="007C0CDA" w:rsidRDefault="009D2CAE" w:rsidP="008A7685">
            <w:pPr>
              <w:jc w:val="left"/>
              <w:rPr>
                <w:b/>
                <w:bCs/>
                <w:color w:val="FFFFFF"/>
                <w:sz w:val="24"/>
                <w:szCs w:val="24"/>
              </w:rPr>
            </w:pPr>
          </w:p>
        </w:tc>
        <w:tc>
          <w:tcPr>
            <w:tcW w:w="960" w:type="dxa"/>
            <w:vMerge/>
            <w:shd w:val="clear" w:color="auto" w:fill="8DB3E2"/>
            <w:vAlign w:val="center"/>
          </w:tcPr>
          <w:p w:rsidR="009D2CAE" w:rsidRPr="007C0CDA" w:rsidRDefault="009D2CAE" w:rsidP="008A7685">
            <w:pPr>
              <w:jc w:val="left"/>
              <w:rPr>
                <w:b/>
                <w:bCs/>
                <w:color w:val="FFFFFF"/>
                <w:sz w:val="24"/>
                <w:szCs w:val="24"/>
              </w:rPr>
            </w:pPr>
          </w:p>
        </w:tc>
        <w:tc>
          <w:tcPr>
            <w:tcW w:w="2414" w:type="dxa"/>
            <w:shd w:val="clear" w:color="auto" w:fill="8DB3E2"/>
            <w:vAlign w:val="center"/>
          </w:tcPr>
          <w:p w:rsidR="009D2CAE" w:rsidRPr="007C0CDA" w:rsidRDefault="009D2CAE" w:rsidP="008A7685">
            <w:pPr>
              <w:jc w:val="center"/>
              <w:rPr>
                <w:b/>
                <w:color w:val="FFFFFF"/>
                <w:sz w:val="20"/>
              </w:rPr>
            </w:pPr>
            <w:r w:rsidRPr="007C0CDA">
              <w:rPr>
                <w:b/>
                <w:color w:val="FFFFFF"/>
                <w:sz w:val="20"/>
              </w:rPr>
              <w:t>Částečné snížení úrokové sazby snížením rizikové přirážky</w:t>
            </w:r>
          </w:p>
        </w:tc>
        <w:tc>
          <w:tcPr>
            <w:tcW w:w="2330" w:type="dxa"/>
            <w:shd w:val="clear" w:color="auto" w:fill="8DB3E2"/>
            <w:vAlign w:val="center"/>
          </w:tcPr>
          <w:p w:rsidR="009D2CAE" w:rsidRPr="007C0CDA" w:rsidRDefault="009D2CAE" w:rsidP="008A7685">
            <w:pPr>
              <w:jc w:val="center"/>
              <w:rPr>
                <w:b/>
                <w:color w:val="FFFFFF"/>
                <w:sz w:val="20"/>
              </w:rPr>
            </w:pPr>
            <w:r w:rsidRPr="007C0CDA">
              <w:rPr>
                <w:b/>
                <w:color w:val="FFFFFF"/>
                <w:sz w:val="20"/>
              </w:rPr>
              <w:t>Snížení úrokové sazby</w:t>
            </w:r>
          </w:p>
        </w:tc>
        <w:tc>
          <w:tcPr>
            <w:tcW w:w="2330" w:type="dxa"/>
            <w:shd w:val="clear" w:color="auto" w:fill="8DB3E2"/>
          </w:tcPr>
          <w:p w:rsidR="009D2CAE" w:rsidRPr="007C0CDA" w:rsidRDefault="009D2CAE" w:rsidP="002F7B85">
            <w:pPr>
              <w:jc w:val="center"/>
              <w:rPr>
                <w:b/>
                <w:color w:val="FFFFFF"/>
                <w:sz w:val="20"/>
              </w:rPr>
            </w:pPr>
            <w:r w:rsidRPr="007C0CDA">
              <w:rPr>
                <w:b/>
                <w:color w:val="FFFFFF"/>
                <w:sz w:val="20"/>
              </w:rPr>
              <w:t xml:space="preserve">Vysoce snížená doba návratnosti </w:t>
            </w:r>
          </w:p>
        </w:tc>
      </w:tr>
      <w:tr w:rsidR="009D2CAE" w:rsidRPr="007C0CDA" w:rsidTr="008A7685">
        <w:trPr>
          <w:trHeight w:val="720"/>
        </w:trPr>
        <w:tc>
          <w:tcPr>
            <w:tcW w:w="960" w:type="dxa"/>
            <w:vMerge/>
            <w:shd w:val="clear" w:color="auto" w:fill="8DB3E2"/>
            <w:vAlign w:val="center"/>
          </w:tcPr>
          <w:p w:rsidR="009D2CAE" w:rsidRPr="007C0CDA" w:rsidRDefault="009D2CAE" w:rsidP="008A7685">
            <w:pPr>
              <w:jc w:val="left"/>
              <w:rPr>
                <w:b/>
                <w:bCs/>
                <w:color w:val="FFFFFF"/>
                <w:sz w:val="24"/>
                <w:szCs w:val="24"/>
              </w:rPr>
            </w:pPr>
          </w:p>
        </w:tc>
        <w:tc>
          <w:tcPr>
            <w:tcW w:w="960" w:type="dxa"/>
            <w:vMerge/>
            <w:shd w:val="clear" w:color="auto" w:fill="8DB3E2"/>
            <w:vAlign w:val="center"/>
          </w:tcPr>
          <w:p w:rsidR="009D2CAE" w:rsidRPr="007C0CDA" w:rsidRDefault="009D2CAE" w:rsidP="008A7685">
            <w:pPr>
              <w:jc w:val="left"/>
              <w:rPr>
                <w:b/>
                <w:bCs/>
                <w:color w:val="FFFFFF"/>
                <w:sz w:val="24"/>
                <w:szCs w:val="24"/>
              </w:rPr>
            </w:pPr>
          </w:p>
        </w:tc>
        <w:tc>
          <w:tcPr>
            <w:tcW w:w="2414" w:type="dxa"/>
            <w:shd w:val="clear" w:color="auto" w:fill="8DB3E2"/>
            <w:vAlign w:val="center"/>
          </w:tcPr>
          <w:p w:rsidR="009D2CAE" w:rsidRPr="007C0CDA" w:rsidRDefault="009D2CAE" w:rsidP="008A7685">
            <w:pPr>
              <w:jc w:val="center"/>
              <w:rPr>
                <w:b/>
                <w:color w:val="FFFFFF"/>
                <w:sz w:val="20"/>
              </w:rPr>
            </w:pPr>
            <w:r w:rsidRPr="007C0CDA">
              <w:rPr>
                <w:b/>
                <w:color w:val="FFFFFF"/>
                <w:sz w:val="20"/>
              </w:rPr>
              <w:t>Snížení nároků na zástavu podniku</w:t>
            </w:r>
          </w:p>
        </w:tc>
        <w:tc>
          <w:tcPr>
            <w:tcW w:w="2330" w:type="dxa"/>
            <w:shd w:val="clear" w:color="auto" w:fill="8DB3E2"/>
            <w:vAlign w:val="center"/>
          </w:tcPr>
          <w:p w:rsidR="009D2CAE" w:rsidRPr="007C0CDA" w:rsidRDefault="009D2CAE" w:rsidP="008A7685">
            <w:pPr>
              <w:jc w:val="center"/>
              <w:rPr>
                <w:b/>
                <w:color w:val="FFFFFF"/>
                <w:sz w:val="20"/>
              </w:rPr>
            </w:pPr>
            <w:r w:rsidRPr="007C0CDA">
              <w:rPr>
                <w:b/>
                <w:color w:val="FFFFFF"/>
                <w:sz w:val="20"/>
              </w:rPr>
              <w:t>Delší doba splatnosti</w:t>
            </w:r>
          </w:p>
        </w:tc>
        <w:tc>
          <w:tcPr>
            <w:tcW w:w="2330" w:type="dxa"/>
            <w:shd w:val="clear" w:color="auto" w:fill="8DB3E2"/>
          </w:tcPr>
          <w:p w:rsidR="009D2CAE" w:rsidRPr="007C0CDA" w:rsidRDefault="009D2CAE" w:rsidP="008A7685">
            <w:pPr>
              <w:jc w:val="center"/>
              <w:rPr>
                <w:b/>
                <w:color w:val="FFFFFF"/>
                <w:sz w:val="20"/>
              </w:rPr>
            </w:pPr>
            <w:r w:rsidRPr="007C0CDA">
              <w:rPr>
                <w:b/>
                <w:color w:val="FFFFFF"/>
                <w:sz w:val="20"/>
              </w:rPr>
              <w:t>Snazší opatření úvěru na zbytek nákladů projektu</w:t>
            </w:r>
          </w:p>
        </w:tc>
      </w:tr>
      <w:tr w:rsidR="009D2CAE" w:rsidRPr="007C0CDA" w:rsidTr="008A7685">
        <w:trPr>
          <w:trHeight w:val="478"/>
        </w:trPr>
        <w:tc>
          <w:tcPr>
            <w:tcW w:w="960" w:type="dxa"/>
            <w:vMerge/>
            <w:shd w:val="clear" w:color="auto" w:fill="8DB3E2"/>
            <w:vAlign w:val="center"/>
          </w:tcPr>
          <w:p w:rsidR="009D2CAE" w:rsidRPr="007C0CDA" w:rsidRDefault="009D2CAE" w:rsidP="008A7685">
            <w:pPr>
              <w:jc w:val="left"/>
              <w:rPr>
                <w:b/>
                <w:bCs/>
                <w:color w:val="FFFFFF"/>
                <w:sz w:val="24"/>
                <w:szCs w:val="24"/>
              </w:rPr>
            </w:pPr>
          </w:p>
        </w:tc>
        <w:tc>
          <w:tcPr>
            <w:tcW w:w="960" w:type="dxa"/>
            <w:vMerge/>
            <w:shd w:val="clear" w:color="auto" w:fill="8DB3E2"/>
            <w:vAlign w:val="center"/>
          </w:tcPr>
          <w:p w:rsidR="009D2CAE" w:rsidRPr="007C0CDA" w:rsidRDefault="009D2CAE" w:rsidP="008A7685">
            <w:pPr>
              <w:jc w:val="left"/>
              <w:rPr>
                <w:b/>
                <w:bCs/>
                <w:color w:val="FFFFFF"/>
                <w:sz w:val="24"/>
                <w:szCs w:val="24"/>
              </w:rPr>
            </w:pPr>
          </w:p>
        </w:tc>
        <w:tc>
          <w:tcPr>
            <w:tcW w:w="2414" w:type="dxa"/>
            <w:shd w:val="clear" w:color="auto" w:fill="8DB3E2"/>
            <w:noWrap/>
            <w:vAlign w:val="center"/>
          </w:tcPr>
          <w:p w:rsidR="009D2CAE" w:rsidRPr="007C0CDA" w:rsidRDefault="009D2CAE" w:rsidP="008A7685">
            <w:pPr>
              <w:jc w:val="center"/>
              <w:rPr>
                <w:b/>
                <w:color w:val="FFFFFF"/>
                <w:sz w:val="20"/>
              </w:rPr>
            </w:pPr>
          </w:p>
        </w:tc>
        <w:tc>
          <w:tcPr>
            <w:tcW w:w="2330" w:type="dxa"/>
            <w:shd w:val="clear" w:color="auto" w:fill="8DB3E2"/>
            <w:vAlign w:val="center"/>
          </w:tcPr>
          <w:p w:rsidR="009D2CAE" w:rsidRPr="007C0CDA" w:rsidRDefault="009D2CAE" w:rsidP="008A7685">
            <w:pPr>
              <w:jc w:val="center"/>
              <w:rPr>
                <w:b/>
                <w:color w:val="FFFFFF"/>
                <w:sz w:val="20"/>
              </w:rPr>
            </w:pPr>
            <w:r w:rsidRPr="007C0CDA">
              <w:rPr>
                <w:b/>
                <w:color w:val="FFFFFF"/>
                <w:sz w:val="20"/>
              </w:rPr>
              <w:t>Snížená doba návratnosti</w:t>
            </w:r>
          </w:p>
        </w:tc>
        <w:tc>
          <w:tcPr>
            <w:tcW w:w="2330" w:type="dxa"/>
            <w:shd w:val="clear" w:color="auto" w:fill="8DB3E2"/>
          </w:tcPr>
          <w:p w:rsidR="009D2CAE" w:rsidRPr="007C0CDA" w:rsidRDefault="009D2CAE" w:rsidP="008A7685">
            <w:pPr>
              <w:jc w:val="center"/>
              <w:rPr>
                <w:b/>
                <w:color w:val="FFFFFF"/>
                <w:sz w:val="20"/>
              </w:rPr>
            </w:pPr>
            <w:r w:rsidRPr="007C0CDA">
              <w:rPr>
                <w:b/>
                <w:color w:val="FFFFFF"/>
                <w:sz w:val="20"/>
              </w:rPr>
              <w:t>Možnost investovat nadměrný zisk do dalších investic</w:t>
            </w:r>
          </w:p>
        </w:tc>
      </w:tr>
      <w:tr w:rsidR="009D2CAE" w:rsidRPr="007C0CDA" w:rsidTr="008A7685">
        <w:trPr>
          <w:trHeight w:val="680"/>
        </w:trPr>
        <w:tc>
          <w:tcPr>
            <w:tcW w:w="960" w:type="dxa"/>
            <w:vMerge/>
            <w:shd w:val="clear" w:color="auto" w:fill="8DB3E2"/>
            <w:vAlign w:val="center"/>
          </w:tcPr>
          <w:p w:rsidR="009D2CAE" w:rsidRPr="007C0CDA" w:rsidRDefault="009D2CAE" w:rsidP="008A7685">
            <w:pPr>
              <w:jc w:val="left"/>
              <w:rPr>
                <w:b/>
                <w:bCs/>
                <w:color w:val="FFFFFF"/>
                <w:sz w:val="24"/>
                <w:szCs w:val="24"/>
              </w:rPr>
            </w:pPr>
          </w:p>
        </w:tc>
        <w:tc>
          <w:tcPr>
            <w:tcW w:w="960" w:type="dxa"/>
            <w:vMerge/>
            <w:shd w:val="clear" w:color="auto" w:fill="8DB3E2"/>
            <w:vAlign w:val="center"/>
          </w:tcPr>
          <w:p w:rsidR="009D2CAE" w:rsidRPr="007C0CDA" w:rsidRDefault="009D2CAE" w:rsidP="008A7685">
            <w:pPr>
              <w:jc w:val="left"/>
              <w:rPr>
                <w:b/>
                <w:bCs/>
                <w:color w:val="FFFFFF"/>
                <w:sz w:val="24"/>
                <w:szCs w:val="24"/>
              </w:rPr>
            </w:pPr>
          </w:p>
        </w:tc>
        <w:tc>
          <w:tcPr>
            <w:tcW w:w="2414" w:type="dxa"/>
            <w:shd w:val="clear" w:color="auto" w:fill="8DB3E2"/>
            <w:vAlign w:val="center"/>
          </w:tcPr>
          <w:p w:rsidR="009D2CAE" w:rsidRPr="007C0CDA" w:rsidRDefault="009D2CAE" w:rsidP="008A7685">
            <w:pPr>
              <w:jc w:val="center"/>
              <w:rPr>
                <w:b/>
                <w:color w:val="FFFFFF"/>
                <w:sz w:val="20"/>
              </w:rPr>
            </w:pPr>
            <w:r w:rsidRPr="007C0CDA">
              <w:rPr>
                <w:b/>
                <w:color w:val="FFFFFF"/>
                <w:sz w:val="20"/>
              </w:rPr>
              <w:t>Platba v předstihu v podobě úvěru</w:t>
            </w:r>
          </w:p>
        </w:tc>
        <w:tc>
          <w:tcPr>
            <w:tcW w:w="2330" w:type="dxa"/>
            <w:shd w:val="clear" w:color="auto" w:fill="8DB3E2"/>
            <w:vAlign w:val="center"/>
          </w:tcPr>
          <w:p w:rsidR="009D2CAE" w:rsidRPr="007C0CDA" w:rsidRDefault="009D2CAE" w:rsidP="008A7685">
            <w:pPr>
              <w:jc w:val="center"/>
              <w:rPr>
                <w:b/>
                <w:color w:val="FFFFFF"/>
                <w:sz w:val="20"/>
              </w:rPr>
            </w:pPr>
            <w:r w:rsidRPr="007C0CDA">
              <w:rPr>
                <w:b/>
                <w:color w:val="FFFFFF"/>
                <w:sz w:val="20"/>
              </w:rPr>
              <w:t>Platba v předstihu v podobě úvěru</w:t>
            </w:r>
          </w:p>
        </w:tc>
        <w:tc>
          <w:tcPr>
            <w:tcW w:w="2330" w:type="dxa"/>
            <w:shd w:val="clear" w:color="auto" w:fill="8DB3E2"/>
          </w:tcPr>
          <w:p w:rsidR="009D2CAE" w:rsidRPr="007C0CDA" w:rsidRDefault="009D2CAE" w:rsidP="008A7685">
            <w:pPr>
              <w:jc w:val="center"/>
              <w:rPr>
                <w:b/>
                <w:color w:val="FFFFFF"/>
                <w:sz w:val="20"/>
              </w:rPr>
            </w:pPr>
          </w:p>
        </w:tc>
      </w:tr>
      <w:tr w:rsidR="009D2CAE" w:rsidRPr="007C0CDA" w:rsidTr="008A7685">
        <w:trPr>
          <w:trHeight w:val="690"/>
        </w:trPr>
        <w:tc>
          <w:tcPr>
            <w:tcW w:w="960" w:type="dxa"/>
            <w:vMerge/>
            <w:shd w:val="clear" w:color="auto" w:fill="8DB3E2"/>
            <w:vAlign w:val="center"/>
          </w:tcPr>
          <w:p w:rsidR="009D2CAE" w:rsidRPr="007C0CDA" w:rsidRDefault="009D2CAE" w:rsidP="008A7685">
            <w:pPr>
              <w:jc w:val="left"/>
              <w:rPr>
                <w:b/>
                <w:bCs/>
                <w:color w:val="FFFFFF"/>
                <w:sz w:val="24"/>
                <w:szCs w:val="24"/>
              </w:rPr>
            </w:pPr>
          </w:p>
        </w:tc>
        <w:tc>
          <w:tcPr>
            <w:tcW w:w="960" w:type="dxa"/>
            <w:vMerge/>
            <w:shd w:val="clear" w:color="auto" w:fill="8DB3E2"/>
            <w:vAlign w:val="center"/>
          </w:tcPr>
          <w:p w:rsidR="009D2CAE" w:rsidRPr="007C0CDA" w:rsidRDefault="009D2CAE" w:rsidP="008A7685">
            <w:pPr>
              <w:jc w:val="left"/>
              <w:rPr>
                <w:b/>
                <w:bCs/>
                <w:color w:val="FFFFFF"/>
                <w:sz w:val="24"/>
                <w:szCs w:val="24"/>
              </w:rPr>
            </w:pPr>
          </w:p>
        </w:tc>
        <w:tc>
          <w:tcPr>
            <w:tcW w:w="2414" w:type="dxa"/>
            <w:shd w:val="clear" w:color="auto" w:fill="8DB3E2"/>
            <w:vAlign w:val="center"/>
          </w:tcPr>
          <w:p w:rsidR="009D2CAE" w:rsidRPr="007C0CDA" w:rsidRDefault="009D2CAE" w:rsidP="008A7685">
            <w:pPr>
              <w:jc w:val="center"/>
              <w:rPr>
                <w:b/>
                <w:color w:val="FFFFFF"/>
                <w:sz w:val="20"/>
              </w:rPr>
            </w:pPr>
            <w:r w:rsidRPr="007C0CDA">
              <w:rPr>
                <w:b/>
                <w:color w:val="FFFFFF"/>
                <w:sz w:val="20"/>
              </w:rPr>
              <w:t>Nižší administrativní náročnost</w:t>
            </w:r>
          </w:p>
        </w:tc>
        <w:tc>
          <w:tcPr>
            <w:tcW w:w="2330" w:type="dxa"/>
            <w:shd w:val="clear" w:color="auto" w:fill="8DB3E2"/>
            <w:vAlign w:val="center"/>
          </w:tcPr>
          <w:p w:rsidR="009D2CAE" w:rsidRPr="007C0CDA" w:rsidRDefault="009D2CAE" w:rsidP="008A7685">
            <w:pPr>
              <w:jc w:val="center"/>
              <w:rPr>
                <w:b/>
                <w:color w:val="FFFFFF"/>
                <w:sz w:val="20"/>
              </w:rPr>
            </w:pPr>
            <w:r w:rsidRPr="007C0CDA">
              <w:rPr>
                <w:b/>
                <w:color w:val="FFFFFF"/>
                <w:sz w:val="20"/>
              </w:rPr>
              <w:t>Nižší administrativní náročnost</w:t>
            </w:r>
          </w:p>
        </w:tc>
        <w:tc>
          <w:tcPr>
            <w:tcW w:w="2330" w:type="dxa"/>
            <w:shd w:val="clear" w:color="auto" w:fill="8DB3E2"/>
          </w:tcPr>
          <w:p w:rsidR="009D2CAE" w:rsidRPr="007C0CDA" w:rsidRDefault="009D2CAE" w:rsidP="008A7685">
            <w:pPr>
              <w:jc w:val="left"/>
              <w:rPr>
                <w:rFonts w:ascii="Times New Roman" w:hAnsi="Times New Roman"/>
                <w:b/>
                <w:color w:val="FFFFFF"/>
                <w:sz w:val="20"/>
              </w:rPr>
            </w:pPr>
          </w:p>
        </w:tc>
      </w:tr>
      <w:tr w:rsidR="009D2CAE" w:rsidRPr="007C0CDA" w:rsidTr="008A7685">
        <w:trPr>
          <w:trHeight w:val="735"/>
        </w:trPr>
        <w:tc>
          <w:tcPr>
            <w:tcW w:w="960" w:type="dxa"/>
            <w:vMerge/>
            <w:shd w:val="clear" w:color="auto" w:fill="8DB3E2"/>
            <w:vAlign w:val="center"/>
          </w:tcPr>
          <w:p w:rsidR="009D2CAE" w:rsidRPr="007C0CDA" w:rsidRDefault="009D2CAE" w:rsidP="008A7685">
            <w:pPr>
              <w:jc w:val="left"/>
              <w:rPr>
                <w:b/>
                <w:bCs/>
                <w:color w:val="FFFFFF"/>
                <w:sz w:val="24"/>
                <w:szCs w:val="24"/>
              </w:rPr>
            </w:pPr>
          </w:p>
        </w:tc>
        <w:tc>
          <w:tcPr>
            <w:tcW w:w="960" w:type="dxa"/>
            <w:vMerge w:val="restart"/>
            <w:shd w:val="clear" w:color="auto" w:fill="8DB3E2"/>
            <w:noWrap/>
            <w:textDirection w:val="btLr"/>
            <w:vAlign w:val="center"/>
          </w:tcPr>
          <w:p w:rsidR="009D2CAE" w:rsidRPr="007C0CDA" w:rsidRDefault="009D2CAE" w:rsidP="008A7685">
            <w:pPr>
              <w:jc w:val="center"/>
              <w:rPr>
                <w:b/>
                <w:bCs/>
                <w:color w:val="FFFFFF"/>
                <w:sz w:val="24"/>
                <w:szCs w:val="24"/>
              </w:rPr>
            </w:pPr>
            <w:r w:rsidRPr="007C0CDA">
              <w:rPr>
                <w:b/>
                <w:bCs/>
                <w:color w:val="FFFFFF"/>
                <w:sz w:val="24"/>
                <w:szCs w:val="24"/>
              </w:rPr>
              <w:t>ŘO</w:t>
            </w:r>
          </w:p>
        </w:tc>
        <w:tc>
          <w:tcPr>
            <w:tcW w:w="2414" w:type="dxa"/>
            <w:shd w:val="clear" w:color="auto" w:fill="8DB3E2"/>
            <w:vAlign w:val="center"/>
          </w:tcPr>
          <w:p w:rsidR="009D2CAE" w:rsidRPr="007C0CDA" w:rsidRDefault="009D2CAE" w:rsidP="008A7685">
            <w:pPr>
              <w:jc w:val="center"/>
              <w:rPr>
                <w:b/>
                <w:color w:val="FFFFFF"/>
                <w:sz w:val="20"/>
              </w:rPr>
            </w:pPr>
            <w:r w:rsidRPr="007C0CDA">
              <w:rPr>
                <w:b/>
                <w:color w:val="FFFFFF"/>
                <w:sz w:val="20"/>
              </w:rPr>
              <w:t>Vysoký pákový efekt a širší objem podpořených projektů a investic</w:t>
            </w:r>
          </w:p>
        </w:tc>
        <w:tc>
          <w:tcPr>
            <w:tcW w:w="2330" w:type="dxa"/>
            <w:shd w:val="clear" w:color="auto" w:fill="8DB3E2"/>
            <w:vAlign w:val="center"/>
          </w:tcPr>
          <w:p w:rsidR="009D2CAE" w:rsidRPr="007C0CDA" w:rsidRDefault="009D2CAE" w:rsidP="008A7685">
            <w:pPr>
              <w:jc w:val="center"/>
              <w:rPr>
                <w:b/>
                <w:color w:val="FFFFFF"/>
                <w:sz w:val="20"/>
              </w:rPr>
            </w:pPr>
            <w:r w:rsidRPr="007C0CDA">
              <w:rPr>
                <w:b/>
                <w:color w:val="FFFFFF"/>
                <w:sz w:val="20"/>
              </w:rPr>
              <w:t>Vysoký revolvingový efekt a podpoření projektů v dalších cyklech</w:t>
            </w:r>
          </w:p>
        </w:tc>
        <w:tc>
          <w:tcPr>
            <w:tcW w:w="2330" w:type="dxa"/>
            <w:shd w:val="clear" w:color="auto" w:fill="8DB3E2"/>
          </w:tcPr>
          <w:p w:rsidR="009D2CAE" w:rsidRPr="007C0CDA" w:rsidRDefault="009D2CAE" w:rsidP="008A7685">
            <w:pPr>
              <w:jc w:val="center"/>
              <w:rPr>
                <w:b/>
                <w:color w:val="FFFFFF"/>
                <w:sz w:val="20"/>
              </w:rPr>
            </w:pPr>
          </w:p>
        </w:tc>
      </w:tr>
      <w:tr w:rsidR="009D2CAE" w:rsidRPr="007C0CDA" w:rsidTr="008A7685">
        <w:trPr>
          <w:trHeight w:val="735"/>
        </w:trPr>
        <w:tc>
          <w:tcPr>
            <w:tcW w:w="960" w:type="dxa"/>
            <w:vMerge/>
            <w:shd w:val="clear" w:color="auto" w:fill="8DB3E2"/>
            <w:vAlign w:val="center"/>
          </w:tcPr>
          <w:p w:rsidR="009D2CAE" w:rsidRPr="007C0CDA" w:rsidRDefault="009D2CAE" w:rsidP="008A7685">
            <w:pPr>
              <w:jc w:val="left"/>
              <w:rPr>
                <w:b/>
                <w:bCs/>
                <w:color w:val="FFFFFF"/>
                <w:sz w:val="18"/>
                <w:szCs w:val="18"/>
              </w:rPr>
            </w:pPr>
          </w:p>
        </w:tc>
        <w:tc>
          <w:tcPr>
            <w:tcW w:w="960" w:type="dxa"/>
            <w:vMerge/>
            <w:shd w:val="clear" w:color="auto" w:fill="8DB3E2"/>
            <w:noWrap/>
            <w:textDirection w:val="btLr"/>
            <w:vAlign w:val="center"/>
          </w:tcPr>
          <w:p w:rsidR="009D2CAE" w:rsidRPr="007C0CDA" w:rsidRDefault="009D2CAE" w:rsidP="008A7685">
            <w:pPr>
              <w:jc w:val="center"/>
              <w:rPr>
                <w:b/>
                <w:bCs/>
                <w:color w:val="FFFFFF"/>
                <w:sz w:val="18"/>
                <w:szCs w:val="18"/>
              </w:rPr>
            </w:pPr>
          </w:p>
        </w:tc>
        <w:tc>
          <w:tcPr>
            <w:tcW w:w="2414" w:type="dxa"/>
            <w:shd w:val="clear" w:color="auto" w:fill="8DB3E2"/>
            <w:vAlign w:val="center"/>
          </w:tcPr>
          <w:p w:rsidR="009D2CAE" w:rsidRPr="007C0CDA" w:rsidRDefault="009D2CAE" w:rsidP="008A7685">
            <w:pPr>
              <w:jc w:val="center"/>
              <w:rPr>
                <w:b/>
                <w:color w:val="FFFFFF"/>
                <w:sz w:val="20"/>
              </w:rPr>
            </w:pPr>
            <w:r w:rsidRPr="007C0CDA">
              <w:rPr>
                <w:b/>
                <w:color w:val="FFFFFF"/>
                <w:sz w:val="20"/>
              </w:rPr>
              <w:t>Možnost revolvingu v závislosti na rizikové strategii</w:t>
            </w:r>
          </w:p>
        </w:tc>
        <w:tc>
          <w:tcPr>
            <w:tcW w:w="2330" w:type="dxa"/>
            <w:shd w:val="clear" w:color="auto" w:fill="8DB3E2"/>
            <w:vAlign w:val="center"/>
          </w:tcPr>
          <w:p w:rsidR="009D2CAE" w:rsidRPr="007C0CDA" w:rsidRDefault="009D2CAE" w:rsidP="008A7685">
            <w:pPr>
              <w:jc w:val="center"/>
              <w:rPr>
                <w:b/>
                <w:color w:val="FFFFFF"/>
                <w:sz w:val="20"/>
              </w:rPr>
            </w:pPr>
            <w:r w:rsidRPr="007C0CDA">
              <w:rPr>
                <w:b/>
                <w:color w:val="FFFFFF"/>
                <w:sz w:val="20"/>
              </w:rPr>
              <w:t>Predikovatelné splátky</w:t>
            </w:r>
          </w:p>
        </w:tc>
        <w:tc>
          <w:tcPr>
            <w:tcW w:w="2330" w:type="dxa"/>
            <w:shd w:val="clear" w:color="auto" w:fill="8DB3E2"/>
          </w:tcPr>
          <w:p w:rsidR="009D2CAE" w:rsidRPr="007C0CDA" w:rsidRDefault="009D2CAE" w:rsidP="008A7685">
            <w:pPr>
              <w:jc w:val="center"/>
              <w:rPr>
                <w:b/>
                <w:color w:val="FFFFFF"/>
                <w:sz w:val="20"/>
              </w:rPr>
            </w:pPr>
          </w:p>
        </w:tc>
      </w:tr>
      <w:tr w:rsidR="009D2CAE" w:rsidRPr="007C0CDA" w:rsidTr="008A7685">
        <w:trPr>
          <w:trHeight w:val="311"/>
        </w:trPr>
        <w:tc>
          <w:tcPr>
            <w:tcW w:w="960" w:type="dxa"/>
            <w:vMerge/>
            <w:shd w:val="clear" w:color="auto" w:fill="8DB3E2"/>
            <w:vAlign w:val="center"/>
          </w:tcPr>
          <w:p w:rsidR="009D2CAE" w:rsidRPr="007C0CDA" w:rsidRDefault="009D2CAE" w:rsidP="008A7685">
            <w:pPr>
              <w:jc w:val="left"/>
              <w:rPr>
                <w:b/>
                <w:bCs/>
                <w:color w:val="FFFFFF"/>
                <w:sz w:val="18"/>
                <w:szCs w:val="18"/>
              </w:rPr>
            </w:pPr>
          </w:p>
        </w:tc>
        <w:tc>
          <w:tcPr>
            <w:tcW w:w="960" w:type="dxa"/>
            <w:vMerge/>
            <w:shd w:val="clear" w:color="auto" w:fill="8DB3E2"/>
            <w:noWrap/>
            <w:textDirection w:val="btLr"/>
            <w:vAlign w:val="center"/>
          </w:tcPr>
          <w:p w:rsidR="009D2CAE" w:rsidRPr="007C0CDA" w:rsidRDefault="009D2CAE" w:rsidP="008A7685">
            <w:pPr>
              <w:jc w:val="center"/>
              <w:rPr>
                <w:b/>
                <w:bCs/>
                <w:color w:val="FFFFFF"/>
                <w:sz w:val="18"/>
                <w:szCs w:val="18"/>
              </w:rPr>
            </w:pPr>
          </w:p>
        </w:tc>
        <w:tc>
          <w:tcPr>
            <w:tcW w:w="2414" w:type="dxa"/>
            <w:shd w:val="clear" w:color="auto" w:fill="8DB3E2"/>
            <w:vAlign w:val="center"/>
          </w:tcPr>
          <w:p w:rsidR="009D2CAE" w:rsidRPr="007C0CDA" w:rsidRDefault="009D2CAE" w:rsidP="008A7685">
            <w:pPr>
              <w:jc w:val="center"/>
              <w:rPr>
                <w:b/>
                <w:color w:val="FFFFFF"/>
                <w:sz w:val="20"/>
              </w:rPr>
            </w:pPr>
            <w:r w:rsidRPr="007C0CDA">
              <w:rPr>
                <w:b/>
                <w:color w:val="FFFFFF"/>
                <w:sz w:val="20"/>
              </w:rPr>
              <w:t>Rychlé čerpání</w:t>
            </w:r>
          </w:p>
        </w:tc>
        <w:tc>
          <w:tcPr>
            <w:tcW w:w="2330" w:type="dxa"/>
            <w:shd w:val="clear" w:color="auto" w:fill="8DB3E2"/>
            <w:vAlign w:val="center"/>
          </w:tcPr>
          <w:p w:rsidR="009D2CAE" w:rsidRPr="007C0CDA" w:rsidRDefault="009D2CAE" w:rsidP="008A7685">
            <w:pPr>
              <w:jc w:val="center"/>
              <w:rPr>
                <w:b/>
                <w:color w:val="FFFFFF"/>
                <w:sz w:val="20"/>
              </w:rPr>
            </w:pPr>
            <w:r w:rsidRPr="007C0CDA">
              <w:rPr>
                <w:b/>
                <w:color w:val="FFFFFF"/>
                <w:sz w:val="20"/>
              </w:rPr>
              <w:t>Rychlé čerpání</w:t>
            </w:r>
          </w:p>
        </w:tc>
        <w:tc>
          <w:tcPr>
            <w:tcW w:w="2330" w:type="dxa"/>
            <w:shd w:val="clear" w:color="auto" w:fill="8DB3E2"/>
          </w:tcPr>
          <w:p w:rsidR="009D2CAE" w:rsidRPr="007C0CDA" w:rsidRDefault="009D2CAE" w:rsidP="008A7685">
            <w:pPr>
              <w:jc w:val="center"/>
              <w:rPr>
                <w:b/>
                <w:color w:val="FFFFFF"/>
                <w:sz w:val="20"/>
              </w:rPr>
            </w:pPr>
          </w:p>
        </w:tc>
      </w:tr>
      <w:tr w:rsidR="009D2CAE" w:rsidRPr="007C0CDA" w:rsidTr="008A7685">
        <w:trPr>
          <w:trHeight w:val="735"/>
        </w:trPr>
        <w:tc>
          <w:tcPr>
            <w:tcW w:w="960" w:type="dxa"/>
            <w:vMerge w:val="restart"/>
            <w:shd w:val="clear" w:color="auto" w:fill="FF0000"/>
            <w:textDirection w:val="btLr"/>
            <w:vAlign w:val="center"/>
          </w:tcPr>
          <w:p w:rsidR="009D2CAE" w:rsidRPr="007C0CDA" w:rsidRDefault="009D2CAE" w:rsidP="007A392E">
            <w:pPr>
              <w:ind w:left="113" w:right="113"/>
              <w:jc w:val="center"/>
              <w:rPr>
                <w:b/>
                <w:bCs/>
                <w:color w:val="FFFFFF"/>
                <w:sz w:val="24"/>
                <w:szCs w:val="24"/>
              </w:rPr>
            </w:pPr>
            <w:r w:rsidRPr="007C0CDA">
              <w:rPr>
                <w:b/>
                <w:bCs/>
                <w:color w:val="FFFFFF"/>
                <w:sz w:val="24"/>
                <w:szCs w:val="24"/>
              </w:rPr>
              <w:t>Nevýhody a rizika</w:t>
            </w:r>
          </w:p>
        </w:tc>
        <w:tc>
          <w:tcPr>
            <w:tcW w:w="960" w:type="dxa"/>
            <w:vMerge w:val="restart"/>
            <w:shd w:val="clear" w:color="auto" w:fill="FF0000"/>
            <w:noWrap/>
            <w:textDirection w:val="btLr"/>
            <w:vAlign w:val="center"/>
          </w:tcPr>
          <w:p w:rsidR="009D2CAE" w:rsidRPr="007C0CDA" w:rsidRDefault="009D2CAE" w:rsidP="007A392E">
            <w:pPr>
              <w:jc w:val="center"/>
              <w:rPr>
                <w:b/>
                <w:bCs/>
                <w:color w:val="FFFFFF"/>
                <w:sz w:val="24"/>
                <w:szCs w:val="24"/>
              </w:rPr>
            </w:pPr>
            <w:r w:rsidRPr="007C0CDA">
              <w:rPr>
                <w:b/>
                <w:bCs/>
                <w:color w:val="FFFFFF"/>
                <w:sz w:val="24"/>
                <w:szCs w:val="24"/>
              </w:rPr>
              <w:t>Konečný příjemce</w:t>
            </w:r>
          </w:p>
        </w:tc>
        <w:tc>
          <w:tcPr>
            <w:tcW w:w="2414" w:type="dxa"/>
            <w:shd w:val="clear" w:color="auto" w:fill="FF0000"/>
            <w:vAlign w:val="center"/>
          </w:tcPr>
          <w:p w:rsidR="009D2CAE" w:rsidRPr="007C0CDA" w:rsidRDefault="009D2CAE" w:rsidP="007A392E">
            <w:pPr>
              <w:jc w:val="center"/>
              <w:rPr>
                <w:b/>
                <w:color w:val="FFFFFF"/>
                <w:sz w:val="20"/>
              </w:rPr>
            </w:pPr>
            <w:r w:rsidRPr="007C0CDA">
              <w:rPr>
                <w:b/>
                <w:color w:val="FFFFFF"/>
                <w:sz w:val="20"/>
              </w:rPr>
              <w:t>Nedostává peníze, musí splácet</w:t>
            </w:r>
          </w:p>
        </w:tc>
        <w:tc>
          <w:tcPr>
            <w:tcW w:w="2330" w:type="dxa"/>
            <w:shd w:val="clear" w:color="auto" w:fill="FF0000"/>
            <w:vAlign w:val="center"/>
          </w:tcPr>
          <w:p w:rsidR="009D2CAE" w:rsidRPr="007C0CDA" w:rsidRDefault="009D2CAE" w:rsidP="007A392E">
            <w:pPr>
              <w:jc w:val="center"/>
              <w:rPr>
                <w:b/>
                <w:color w:val="FFFFFF"/>
                <w:sz w:val="20"/>
              </w:rPr>
            </w:pPr>
            <w:r w:rsidRPr="007C0CDA">
              <w:rPr>
                <w:b/>
                <w:color w:val="FFFFFF"/>
                <w:sz w:val="20"/>
              </w:rPr>
              <w:t>Nedostává peníze, musí splácet</w:t>
            </w:r>
          </w:p>
        </w:tc>
        <w:tc>
          <w:tcPr>
            <w:tcW w:w="2330" w:type="dxa"/>
            <w:shd w:val="clear" w:color="auto" w:fill="FF0000"/>
          </w:tcPr>
          <w:p w:rsidR="009D2CAE" w:rsidRPr="007C0CDA" w:rsidRDefault="009D2CAE" w:rsidP="007A392E">
            <w:pPr>
              <w:jc w:val="center"/>
              <w:rPr>
                <w:b/>
                <w:color w:val="FFFFFF"/>
                <w:sz w:val="20"/>
              </w:rPr>
            </w:pPr>
            <w:r w:rsidRPr="007C0CDA">
              <w:rPr>
                <w:b/>
                <w:color w:val="FFFFFF"/>
                <w:sz w:val="20"/>
              </w:rPr>
              <w:t>Vysoká administrativní náročnost</w:t>
            </w:r>
          </w:p>
        </w:tc>
      </w:tr>
      <w:tr w:rsidR="009D2CAE" w:rsidRPr="007C0CDA" w:rsidTr="008A7685">
        <w:trPr>
          <w:trHeight w:val="735"/>
        </w:trPr>
        <w:tc>
          <w:tcPr>
            <w:tcW w:w="960" w:type="dxa"/>
            <w:vMerge/>
            <w:shd w:val="clear" w:color="auto" w:fill="FF0000"/>
            <w:vAlign w:val="center"/>
          </w:tcPr>
          <w:p w:rsidR="009D2CAE" w:rsidRPr="007C0CDA" w:rsidRDefault="009D2CAE" w:rsidP="007A392E">
            <w:pPr>
              <w:jc w:val="left"/>
              <w:rPr>
                <w:b/>
                <w:bCs/>
                <w:color w:val="000000"/>
                <w:sz w:val="24"/>
                <w:szCs w:val="24"/>
              </w:rPr>
            </w:pPr>
          </w:p>
        </w:tc>
        <w:tc>
          <w:tcPr>
            <w:tcW w:w="960" w:type="dxa"/>
            <w:vMerge/>
            <w:shd w:val="clear" w:color="auto" w:fill="FF0000"/>
            <w:noWrap/>
            <w:textDirection w:val="btLr"/>
            <w:vAlign w:val="center"/>
          </w:tcPr>
          <w:p w:rsidR="009D2CAE" w:rsidRPr="007C0CDA" w:rsidRDefault="009D2CAE" w:rsidP="007A392E">
            <w:pPr>
              <w:jc w:val="center"/>
              <w:rPr>
                <w:b/>
                <w:bCs/>
                <w:color w:val="000000"/>
                <w:sz w:val="24"/>
                <w:szCs w:val="24"/>
              </w:rPr>
            </w:pPr>
          </w:p>
        </w:tc>
        <w:tc>
          <w:tcPr>
            <w:tcW w:w="2414" w:type="dxa"/>
            <w:shd w:val="clear" w:color="auto" w:fill="FF0000"/>
            <w:vAlign w:val="center"/>
          </w:tcPr>
          <w:p w:rsidR="009D2CAE" w:rsidRPr="007C0CDA" w:rsidRDefault="009D2CAE" w:rsidP="007A392E">
            <w:pPr>
              <w:jc w:val="center"/>
              <w:rPr>
                <w:b/>
                <w:color w:val="FFFFFF"/>
                <w:sz w:val="20"/>
              </w:rPr>
            </w:pPr>
            <w:r w:rsidRPr="007C0CDA">
              <w:rPr>
                <w:b/>
                <w:color w:val="FFFFFF"/>
                <w:sz w:val="20"/>
              </w:rPr>
              <w:t>Malý efekt na snížení úroků</w:t>
            </w:r>
          </w:p>
        </w:tc>
        <w:tc>
          <w:tcPr>
            <w:tcW w:w="2330" w:type="dxa"/>
            <w:shd w:val="clear" w:color="auto" w:fill="FF0000"/>
            <w:vAlign w:val="center"/>
          </w:tcPr>
          <w:p w:rsidR="009D2CAE" w:rsidRPr="007C0CDA" w:rsidRDefault="009D2CAE" w:rsidP="007A392E">
            <w:pPr>
              <w:jc w:val="center"/>
              <w:rPr>
                <w:b/>
                <w:color w:val="FFFFFF"/>
                <w:sz w:val="20"/>
              </w:rPr>
            </w:pPr>
            <w:r w:rsidRPr="007C0CDA">
              <w:rPr>
                <w:b/>
                <w:color w:val="FFFFFF"/>
                <w:sz w:val="20"/>
              </w:rPr>
              <w:t>Nižší efekt na návratnost projektu v porovnání s dotací</w:t>
            </w:r>
          </w:p>
        </w:tc>
        <w:tc>
          <w:tcPr>
            <w:tcW w:w="2330" w:type="dxa"/>
            <w:shd w:val="clear" w:color="auto" w:fill="FF0000"/>
          </w:tcPr>
          <w:p w:rsidR="009D2CAE" w:rsidRPr="007C0CDA" w:rsidRDefault="009D2CAE" w:rsidP="007A392E">
            <w:pPr>
              <w:jc w:val="center"/>
              <w:rPr>
                <w:b/>
                <w:color w:val="FFFFFF"/>
                <w:sz w:val="20"/>
              </w:rPr>
            </w:pPr>
            <w:r w:rsidRPr="007C0CDA">
              <w:rPr>
                <w:b/>
                <w:color w:val="FFFFFF"/>
                <w:sz w:val="20"/>
              </w:rPr>
              <w:t>Regulovaná výběrová řízení na dodavatele – vyšší náklady</w:t>
            </w:r>
          </w:p>
        </w:tc>
      </w:tr>
      <w:tr w:rsidR="009D2CAE" w:rsidRPr="007C0CDA" w:rsidTr="008A7685">
        <w:trPr>
          <w:trHeight w:val="456"/>
        </w:trPr>
        <w:tc>
          <w:tcPr>
            <w:tcW w:w="960" w:type="dxa"/>
            <w:vMerge/>
            <w:shd w:val="clear" w:color="auto" w:fill="FF0000"/>
            <w:vAlign w:val="center"/>
          </w:tcPr>
          <w:p w:rsidR="009D2CAE" w:rsidRPr="007C0CDA" w:rsidRDefault="009D2CAE" w:rsidP="007A392E">
            <w:pPr>
              <w:jc w:val="left"/>
              <w:rPr>
                <w:b/>
                <w:bCs/>
                <w:color w:val="000000"/>
                <w:sz w:val="24"/>
                <w:szCs w:val="24"/>
              </w:rPr>
            </w:pPr>
          </w:p>
        </w:tc>
        <w:tc>
          <w:tcPr>
            <w:tcW w:w="960" w:type="dxa"/>
            <w:vMerge/>
            <w:shd w:val="clear" w:color="auto" w:fill="FF0000"/>
            <w:noWrap/>
            <w:textDirection w:val="btLr"/>
            <w:vAlign w:val="center"/>
          </w:tcPr>
          <w:p w:rsidR="009D2CAE" w:rsidRPr="007C0CDA" w:rsidRDefault="009D2CAE" w:rsidP="007A392E">
            <w:pPr>
              <w:jc w:val="center"/>
              <w:rPr>
                <w:b/>
                <w:bCs/>
                <w:color w:val="000000"/>
                <w:sz w:val="24"/>
                <w:szCs w:val="24"/>
              </w:rPr>
            </w:pPr>
          </w:p>
        </w:tc>
        <w:tc>
          <w:tcPr>
            <w:tcW w:w="2414" w:type="dxa"/>
            <w:shd w:val="clear" w:color="auto" w:fill="FF0000"/>
            <w:vAlign w:val="center"/>
          </w:tcPr>
          <w:p w:rsidR="009D2CAE" w:rsidRPr="007C0CDA" w:rsidRDefault="009D2CAE" w:rsidP="007A392E">
            <w:pPr>
              <w:jc w:val="center"/>
              <w:rPr>
                <w:b/>
                <w:color w:val="FFFFFF"/>
                <w:sz w:val="20"/>
              </w:rPr>
            </w:pPr>
          </w:p>
        </w:tc>
        <w:tc>
          <w:tcPr>
            <w:tcW w:w="2330" w:type="dxa"/>
            <w:shd w:val="clear" w:color="auto" w:fill="FF0000"/>
            <w:vAlign w:val="center"/>
          </w:tcPr>
          <w:p w:rsidR="009D2CAE" w:rsidRPr="007C0CDA" w:rsidRDefault="009D2CAE" w:rsidP="007A392E">
            <w:pPr>
              <w:jc w:val="center"/>
              <w:rPr>
                <w:b/>
                <w:color w:val="FFFFFF"/>
                <w:sz w:val="20"/>
              </w:rPr>
            </w:pPr>
            <w:r w:rsidRPr="007C0CDA">
              <w:rPr>
                <w:b/>
                <w:color w:val="FFFFFF"/>
                <w:sz w:val="20"/>
              </w:rPr>
              <w:t>Nižší efekt zpřístupnění financování pro velmi rizikové projekty</w:t>
            </w:r>
          </w:p>
        </w:tc>
        <w:tc>
          <w:tcPr>
            <w:tcW w:w="2330" w:type="dxa"/>
            <w:shd w:val="clear" w:color="auto" w:fill="FF0000"/>
          </w:tcPr>
          <w:p w:rsidR="009D2CAE" w:rsidRPr="007C0CDA" w:rsidRDefault="009D2CAE" w:rsidP="007A392E">
            <w:pPr>
              <w:jc w:val="center"/>
              <w:rPr>
                <w:b/>
                <w:color w:val="FFFFFF"/>
                <w:sz w:val="20"/>
              </w:rPr>
            </w:pPr>
            <w:r w:rsidRPr="007C0CDA">
              <w:rPr>
                <w:b/>
                <w:color w:val="FFFFFF"/>
                <w:sz w:val="20"/>
              </w:rPr>
              <w:t>Nutnost předfinancování – platba ex post</w:t>
            </w:r>
          </w:p>
        </w:tc>
      </w:tr>
      <w:tr w:rsidR="009D2CAE" w:rsidRPr="007C0CDA" w:rsidTr="008A7685">
        <w:trPr>
          <w:trHeight w:val="735"/>
        </w:trPr>
        <w:tc>
          <w:tcPr>
            <w:tcW w:w="960" w:type="dxa"/>
            <w:vMerge/>
            <w:shd w:val="clear" w:color="auto" w:fill="FF0000"/>
            <w:vAlign w:val="center"/>
          </w:tcPr>
          <w:p w:rsidR="009D2CAE" w:rsidRPr="007C0CDA" w:rsidRDefault="009D2CAE" w:rsidP="007A392E">
            <w:pPr>
              <w:jc w:val="left"/>
              <w:rPr>
                <w:b/>
                <w:bCs/>
                <w:color w:val="000000"/>
                <w:sz w:val="24"/>
                <w:szCs w:val="24"/>
              </w:rPr>
            </w:pPr>
          </w:p>
        </w:tc>
        <w:tc>
          <w:tcPr>
            <w:tcW w:w="960" w:type="dxa"/>
            <w:vMerge/>
            <w:shd w:val="clear" w:color="auto" w:fill="FF0000"/>
            <w:noWrap/>
            <w:textDirection w:val="btLr"/>
            <w:vAlign w:val="center"/>
          </w:tcPr>
          <w:p w:rsidR="009D2CAE" w:rsidRPr="007C0CDA" w:rsidRDefault="009D2CAE" w:rsidP="007A392E">
            <w:pPr>
              <w:jc w:val="center"/>
              <w:rPr>
                <w:b/>
                <w:bCs/>
                <w:color w:val="000000"/>
                <w:sz w:val="24"/>
                <w:szCs w:val="24"/>
              </w:rPr>
            </w:pPr>
          </w:p>
        </w:tc>
        <w:tc>
          <w:tcPr>
            <w:tcW w:w="2414" w:type="dxa"/>
            <w:shd w:val="clear" w:color="auto" w:fill="FF0000"/>
            <w:vAlign w:val="center"/>
          </w:tcPr>
          <w:p w:rsidR="009D2CAE" w:rsidRPr="007C0CDA" w:rsidRDefault="009D2CAE" w:rsidP="007A392E">
            <w:pPr>
              <w:jc w:val="center"/>
              <w:rPr>
                <w:b/>
                <w:color w:val="FFFFFF"/>
                <w:sz w:val="20"/>
              </w:rPr>
            </w:pPr>
          </w:p>
        </w:tc>
        <w:tc>
          <w:tcPr>
            <w:tcW w:w="2330" w:type="dxa"/>
            <w:shd w:val="clear" w:color="auto" w:fill="FF0000"/>
            <w:vAlign w:val="center"/>
          </w:tcPr>
          <w:p w:rsidR="009D2CAE" w:rsidRPr="007C0CDA" w:rsidRDefault="009D2CAE" w:rsidP="007A392E">
            <w:pPr>
              <w:jc w:val="center"/>
              <w:rPr>
                <w:b/>
                <w:color w:val="FFFFFF"/>
                <w:sz w:val="20"/>
              </w:rPr>
            </w:pPr>
          </w:p>
        </w:tc>
        <w:tc>
          <w:tcPr>
            <w:tcW w:w="2330" w:type="dxa"/>
            <w:shd w:val="clear" w:color="auto" w:fill="FF0000"/>
          </w:tcPr>
          <w:p w:rsidR="009D2CAE" w:rsidRPr="007C0CDA" w:rsidRDefault="009D2CAE" w:rsidP="007A392E">
            <w:pPr>
              <w:jc w:val="center"/>
              <w:rPr>
                <w:b/>
                <w:color w:val="FFFFFF"/>
                <w:sz w:val="20"/>
              </w:rPr>
            </w:pPr>
            <w:r w:rsidRPr="007C0CDA">
              <w:rPr>
                <w:b/>
                <w:color w:val="FFFFFF"/>
                <w:sz w:val="20"/>
              </w:rPr>
              <w:t>Riziko dodatečného odebrání dotace z důvodu chyb v projektu a nesplnění podmínek</w:t>
            </w:r>
          </w:p>
        </w:tc>
      </w:tr>
      <w:tr w:rsidR="009D2CAE" w:rsidRPr="007C0CDA" w:rsidTr="008A7685">
        <w:trPr>
          <w:trHeight w:val="735"/>
        </w:trPr>
        <w:tc>
          <w:tcPr>
            <w:tcW w:w="960" w:type="dxa"/>
            <w:vMerge/>
            <w:shd w:val="clear" w:color="auto" w:fill="FF0000"/>
            <w:vAlign w:val="center"/>
          </w:tcPr>
          <w:p w:rsidR="009D2CAE" w:rsidRPr="007C0CDA" w:rsidRDefault="009D2CAE" w:rsidP="007A392E">
            <w:pPr>
              <w:jc w:val="left"/>
              <w:rPr>
                <w:b/>
                <w:bCs/>
                <w:color w:val="000000"/>
                <w:sz w:val="24"/>
                <w:szCs w:val="24"/>
              </w:rPr>
            </w:pPr>
          </w:p>
        </w:tc>
        <w:tc>
          <w:tcPr>
            <w:tcW w:w="960" w:type="dxa"/>
            <w:vMerge w:val="restart"/>
            <w:shd w:val="clear" w:color="auto" w:fill="FF0000"/>
            <w:noWrap/>
            <w:textDirection w:val="btLr"/>
            <w:vAlign w:val="center"/>
          </w:tcPr>
          <w:p w:rsidR="009D2CAE" w:rsidRPr="007C0CDA" w:rsidRDefault="009D2CAE" w:rsidP="007A392E">
            <w:pPr>
              <w:jc w:val="center"/>
              <w:rPr>
                <w:b/>
                <w:bCs/>
                <w:color w:val="FFFFFF"/>
                <w:sz w:val="24"/>
                <w:szCs w:val="24"/>
              </w:rPr>
            </w:pPr>
            <w:r w:rsidRPr="007C0CDA">
              <w:rPr>
                <w:b/>
                <w:bCs/>
                <w:color w:val="FFFFFF"/>
                <w:sz w:val="24"/>
                <w:szCs w:val="24"/>
              </w:rPr>
              <w:t>ŘO</w:t>
            </w:r>
          </w:p>
        </w:tc>
        <w:tc>
          <w:tcPr>
            <w:tcW w:w="2414" w:type="dxa"/>
            <w:shd w:val="clear" w:color="auto" w:fill="FF0000"/>
            <w:vAlign w:val="center"/>
          </w:tcPr>
          <w:p w:rsidR="009D2CAE" w:rsidRPr="007C0CDA" w:rsidRDefault="009D2CAE" w:rsidP="00C767FC">
            <w:pPr>
              <w:jc w:val="center"/>
              <w:rPr>
                <w:b/>
                <w:color w:val="FFFFFF"/>
                <w:sz w:val="20"/>
              </w:rPr>
            </w:pPr>
            <w:r w:rsidRPr="007C0CDA">
              <w:rPr>
                <w:b/>
                <w:color w:val="FFFFFF"/>
                <w:sz w:val="20"/>
              </w:rPr>
              <w:t>Velmi nízký revolvingový efekt</w:t>
            </w:r>
          </w:p>
        </w:tc>
        <w:tc>
          <w:tcPr>
            <w:tcW w:w="2330" w:type="dxa"/>
            <w:shd w:val="clear" w:color="auto" w:fill="FF0000"/>
            <w:vAlign w:val="center"/>
          </w:tcPr>
          <w:p w:rsidR="009D2CAE" w:rsidRPr="007C0CDA" w:rsidRDefault="009D2CAE" w:rsidP="007A392E">
            <w:pPr>
              <w:jc w:val="center"/>
              <w:rPr>
                <w:b/>
                <w:color w:val="FFFFFF"/>
                <w:sz w:val="20"/>
              </w:rPr>
            </w:pPr>
            <w:r w:rsidRPr="007C0CDA">
              <w:rPr>
                <w:b/>
                <w:color w:val="FFFFFF"/>
                <w:sz w:val="20"/>
              </w:rPr>
              <w:t>Nižší pákový efekt než záruky</w:t>
            </w:r>
          </w:p>
        </w:tc>
        <w:tc>
          <w:tcPr>
            <w:tcW w:w="2330" w:type="dxa"/>
            <w:shd w:val="clear" w:color="auto" w:fill="FF0000"/>
          </w:tcPr>
          <w:p w:rsidR="009D2CAE" w:rsidRPr="007C0CDA" w:rsidRDefault="009D2CAE" w:rsidP="007A392E">
            <w:pPr>
              <w:jc w:val="center"/>
              <w:rPr>
                <w:b/>
                <w:color w:val="FFFFFF"/>
                <w:sz w:val="20"/>
              </w:rPr>
            </w:pPr>
            <w:r w:rsidRPr="007C0CDA">
              <w:rPr>
                <w:b/>
                <w:color w:val="FFFFFF"/>
                <w:sz w:val="20"/>
              </w:rPr>
              <w:t>Nenávratné výdaje</w:t>
            </w:r>
          </w:p>
        </w:tc>
      </w:tr>
      <w:tr w:rsidR="009D2CAE" w:rsidRPr="007C0CDA" w:rsidTr="008A7685">
        <w:trPr>
          <w:trHeight w:val="566"/>
        </w:trPr>
        <w:tc>
          <w:tcPr>
            <w:tcW w:w="960" w:type="dxa"/>
            <w:vMerge/>
            <w:shd w:val="clear" w:color="auto" w:fill="FF0000"/>
            <w:vAlign w:val="center"/>
          </w:tcPr>
          <w:p w:rsidR="009D2CAE" w:rsidRPr="007C0CDA" w:rsidRDefault="009D2CAE" w:rsidP="007A392E">
            <w:pPr>
              <w:jc w:val="left"/>
              <w:rPr>
                <w:b/>
                <w:bCs/>
                <w:color w:val="000000"/>
                <w:sz w:val="18"/>
                <w:szCs w:val="18"/>
              </w:rPr>
            </w:pPr>
          </w:p>
        </w:tc>
        <w:tc>
          <w:tcPr>
            <w:tcW w:w="960" w:type="dxa"/>
            <w:vMerge/>
            <w:shd w:val="clear" w:color="auto" w:fill="FF0000"/>
            <w:noWrap/>
            <w:textDirection w:val="btLr"/>
            <w:vAlign w:val="center"/>
          </w:tcPr>
          <w:p w:rsidR="009D2CAE" w:rsidRPr="007C0CDA" w:rsidRDefault="009D2CAE" w:rsidP="007A392E">
            <w:pPr>
              <w:jc w:val="center"/>
              <w:rPr>
                <w:b/>
                <w:bCs/>
                <w:color w:val="000000"/>
                <w:sz w:val="18"/>
                <w:szCs w:val="18"/>
              </w:rPr>
            </w:pPr>
          </w:p>
        </w:tc>
        <w:tc>
          <w:tcPr>
            <w:tcW w:w="2414" w:type="dxa"/>
            <w:shd w:val="clear" w:color="auto" w:fill="FF0000"/>
            <w:vAlign w:val="center"/>
          </w:tcPr>
          <w:p w:rsidR="009D2CAE" w:rsidRPr="007C0CDA" w:rsidRDefault="009D2CAE" w:rsidP="00C767FC">
            <w:pPr>
              <w:jc w:val="center"/>
              <w:rPr>
                <w:b/>
                <w:color w:val="FFFFFF"/>
                <w:sz w:val="20"/>
              </w:rPr>
            </w:pPr>
          </w:p>
        </w:tc>
        <w:tc>
          <w:tcPr>
            <w:tcW w:w="2330" w:type="dxa"/>
            <w:shd w:val="clear" w:color="auto" w:fill="FF0000"/>
            <w:vAlign w:val="center"/>
          </w:tcPr>
          <w:p w:rsidR="009D2CAE" w:rsidRPr="007C0CDA" w:rsidRDefault="009D2CAE" w:rsidP="007A392E">
            <w:pPr>
              <w:jc w:val="center"/>
              <w:rPr>
                <w:b/>
                <w:color w:val="FFFFFF"/>
                <w:sz w:val="20"/>
              </w:rPr>
            </w:pPr>
            <w:r w:rsidRPr="007C0CDA">
              <w:rPr>
                <w:b/>
                <w:color w:val="FFFFFF"/>
                <w:sz w:val="20"/>
              </w:rPr>
              <w:t>Revolving omezují poplatky zprostředkovatelskému subjektu</w:t>
            </w:r>
          </w:p>
        </w:tc>
        <w:tc>
          <w:tcPr>
            <w:tcW w:w="2330" w:type="dxa"/>
            <w:shd w:val="clear" w:color="auto" w:fill="FF0000"/>
          </w:tcPr>
          <w:p w:rsidR="009D2CAE" w:rsidRPr="007C0CDA" w:rsidRDefault="009D2CAE" w:rsidP="007A392E">
            <w:pPr>
              <w:jc w:val="center"/>
              <w:rPr>
                <w:b/>
                <w:color w:val="FFFFFF"/>
                <w:sz w:val="20"/>
              </w:rPr>
            </w:pPr>
            <w:r w:rsidRPr="007C0CDA">
              <w:rPr>
                <w:b/>
                <w:color w:val="FFFFFF"/>
                <w:sz w:val="20"/>
              </w:rPr>
              <w:t>Nižší počet podpořených projektů</w:t>
            </w:r>
          </w:p>
        </w:tc>
      </w:tr>
      <w:tr w:rsidR="009D2CAE" w:rsidRPr="007C0CDA" w:rsidTr="008A7685">
        <w:trPr>
          <w:trHeight w:val="264"/>
        </w:trPr>
        <w:tc>
          <w:tcPr>
            <w:tcW w:w="960" w:type="dxa"/>
            <w:vMerge/>
            <w:shd w:val="clear" w:color="auto" w:fill="FF0000"/>
            <w:vAlign w:val="center"/>
          </w:tcPr>
          <w:p w:rsidR="009D2CAE" w:rsidRPr="007C0CDA" w:rsidRDefault="009D2CAE" w:rsidP="007A392E">
            <w:pPr>
              <w:jc w:val="left"/>
              <w:rPr>
                <w:b/>
                <w:bCs/>
                <w:color w:val="000000"/>
                <w:sz w:val="18"/>
                <w:szCs w:val="18"/>
              </w:rPr>
            </w:pPr>
          </w:p>
        </w:tc>
        <w:tc>
          <w:tcPr>
            <w:tcW w:w="960" w:type="dxa"/>
            <w:vMerge/>
            <w:shd w:val="clear" w:color="auto" w:fill="FF0000"/>
            <w:noWrap/>
            <w:textDirection w:val="btLr"/>
            <w:vAlign w:val="center"/>
          </w:tcPr>
          <w:p w:rsidR="009D2CAE" w:rsidRPr="007C0CDA" w:rsidRDefault="009D2CAE" w:rsidP="007A392E">
            <w:pPr>
              <w:jc w:val="center"/>
              <w:rPr>
                <w:b/>
                <w:bCs/>
                <w:color w:val="000000"/>
                <w:sz w:val="18"/>
                <w:szCs w:val="18"/>
              </w:rPr>
            </w:pPr>
          </w:p>
        </w:tc>
        <w:tc>
          <w:tcPr>
            <w:tcW w:w="2414" w:type="dxa"/>
            <w:shd w:val="clear" w:color="auto" w:fill="FF0000"/>
            <w:vAlign w:val="center"/>
          </w:tcPr>
          <w:p w:rsidR="009D2CAE" w:rsidRPr="007C0CDA" w:rsidRDefault="009D2CAE" w:rsidP="007A392E">
            <w:pPr>
              <w:jc w:val="center"/>
              <w:rPr>
                <w:b/>
                <w:color w:val="FFFFFF"/>
                <w:sz w:val="20"/>
              </w:rPr>
            </w:pPr>
          </w:p>
        </w:tc>
        <w:tc>
          <w:tcPr>
            <w:tcW w:w="2330" w:type="dxa"/>
            <w:shd w:val="clear" w:color="auto" w:fill="FF0000"/>
            <w:vAlign w:val="center"/>
          </w:tcPr>
          <w:p w:rsidR="009D2CAE" w:rsidRPr="007C0CDA" w:rsidRDefault="009D2CAE" w:rsidP="007A392E">
            <w:pPr>
              <w:jc w:val="center"/>
              <w:rPr>
                <w:b/>
                <w:color w:val="FFFFFF"/>
                <w:sz w:val="20"/>
              </w:rPr>
            </w:pPr>
          </w:p>
        </w:tc>
        <w:tc>
          <w:tcPr>
            <w:tcW w:w="2330" w:type="dxa"/>
            <w:shd w:val="clear" w:color="auto" w:fill="FF0000"/>
          </w:tcPr>
          <w:p w:rsidR="009D2CAE" w:rsidRPr="007C0CDA" w:rsidRDefault="009D2CAE" w:rsidP="007A392E">
            <w:pPr>
              <w:keepNext/>
              <w:jc w:val="center"/>
              <w:rPr>
                <w:b/>
                <w:color w:val="FFFFFF"/>
                <w:sz w:val="20"/>
              </w:rPr>
            </w:pPr>
            <w:r w:rsidRPr="007C0CDA">
              <w:rPr>
                <w:b/>
                <w:color w:val="FFFFFF"/>
                <w:sz w:val="20"/>
              </w:rPr>
              <w:t>Pomalejší čerpání</w:t>
            </w:r>
          </w:p>
        </w:tc>
      </w:tr>
    </w:tbl>
    <w:p w:rsidR="009D2CAE" w:rsidRPr="007C0CDA" w:rsidRDefault="009D2CAE" w:rsidP="00B47049">
      <w:pPr>
        <w:pStyle w:val="Titulek"/>
      </w:pPr>
      <w:r w:rsidRPr="007C0CDA">
        <w:t xml:space="preserve">Tabulka </w:t>
      </w:r>
      <w:r w:rsidRPr="00B675D6">
        <w:fldChar w:fldCharType="begin"/>
      </w:r>
      <w:r w:rsidRPr="007C0CDA">
        <w:instrText xml:space="preserve"> SEQ Tabulka \* ARABIC </w:instrText>
      </w:r>
      <w:r w:rsidRPr="002433DA">
        <w:fldChar w:fldCharType="separate"/>
      </w:r>
      <w:r w:rsidRPr="007C0CDA">
        <w:rPr>
          <w:noProof/>
        </w:rPr>
        <w:t>7</w:t>
      </w:r>
      <w:r w:rsidRPr="00B675D6">
        <w:fldChar w:fldCharType="end"/>
      </w:r>
      <w:r w:rsidRPr="007C0CDA">
        <w:t>: Přidaná hodnota, nevýhody a rizika veřejné podpory pro příjemce a ŘO</w:t>
      </w:r>
    </w:p>
    <w:p w:rsidR="009D2CAE" w:rsidRPr="007C0CDA" w:rsidRDefault="009D2CAE" w:rsidP="008B3649"/>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9"/>
        <w:gridCol w:w="2694"/>
        <w:gridCol w:w="2268"/>
        <w:gridCol w:w="2268"/>
      </w:tblGrid>
      <w:tr w:rsidR="009D2CAE" w:rsidRPr="007C0CDA" w:rsidTr="002433DA">
        <w:tc>
          <w:tcPr>
            <w:tcW w:w="1729" w:type="dxa"/>
            <w:shd w:val="clear" w:color="auto" w:fill="8DB3E2" w:themeFill="text2" w:themeFillTint="66"/>
          </w:tcPr>
          <w:p w:rsidR="009D2CAE" w:rsidRPr="007C0CDA" w:rsidRDefault="009D2CAE" w:rsidP="00B03681">
            <w:pPr>
              <w:pStyle w:val="Highlight2"/>
              <w:jc w:val="center"/>
              <w:rPr>
                <w:rFonts w:ascii="Calibri" w:hAnsi="Calibri" w:cs="Calibri"/>
                <w:color w:val="FFFFFF"/>
                <w:sz w:val="22"/>
                <w:szCs w:val="22"/>
              </w:rPr>
            </w:pPr>
            <w:r w:rsidRPr="007C0CDA">
              <w:rPr>
                <w:rFonts w:ascii="Calibri" w:hAnsi="Calibri" w:cs="Calibri"/>
                <w:color w:val="FFFFFF"/>
                <w:sz w:val="22"/>
                <w:szCs w:val="22"/>
                <w:lang w:eastAsia="cs-CZ"/>
              </w:rPr>
              <w:t>Tržní selhání</w:t>
            </w:r>
          </w:p>
        </w:tc>
        <w:tc>
          <w:tcPr>
            <w:tcW w:w="2694" w:type="dxa"/>
            <w:shd w:val="clear" w:color="auto" w:fill="8DB3E2" w:themeFill="text2" w:themeFillTint="66"/>
          </w:tcPr>
          <w:p w:rsidR="009D2CAE" w:rsidRPr="007C0CDA" w:rsidRDefault="009D2CAE" w:rsidP="00B03681">
            <w:pPr>
              <w:pStyle w:val="Highlight2"/>
              <w:jc w:val="center"/>
              <w:rPr>
                <w:rFonts w:ascii="Calibri" w:hAnsi="Calibri" w:cs="Calibri"/>
                <w:bCs/>
                <w:color w:val="FFFFFF"/>
                <w:sz w:val="22"/>
                <w:szCs w:val="22"/>
                <w:lang w:eastAsia="cs-CZ"/>
              </w:rPr>
            </w:pPr>
            <w:r w:rsidRPr="007C0CDA">
              <w:rPr>
                <w:rFonts w:ascii="Calibri" w:hAnsi="Calibri" w:cs="Calibri"/>
                <w:bCs/>
                <w:color w:val="FFFFFF"/>
                <w:sz w:val="22"/>
                <w:szCs w:val="22"/>
                <w:lang w:eastAsia="cs-CZ"/>
              </w:rPr>
              <w:t>Záruční nástroj</w:t>
            </w:r>
          </w:p>
        </w:tc>
        <w:tc>
          <w:tcPr>
            <w:tcW w:w="2268" w:type="dxa"/>
            <w:shd w:val="clear" w:color="auto" w:fill="8DB3E2" w:themeFill="text2" w:themeFillTint="66"/>
          </w:tcPr>
          <w:p w:rsidR="009D2CAE" w:rsidRPr="007C0CDA" w:rsidRDefault="009D2CAE" w:rsidP="00B03681">
            <w:pPr>
              <w:pStyle w:val="Highlight2"/>
              <w:jc w:val="center"/>
              <w:rPr>
                <w:rFonts w:ascii="Calibri" w:hAnsi="Calibri" w:cs="Calibri"/>
                <w:color w:val="FFFFFF"/>
                <w:sz w:val="22"/>
                <w:szCs w:val="22"/>
              </w:rPr>
            </w:pPr>
            <w:r w:rsidRPr="007C0CDA">
              <w:rPr>
                <w:rFonts w:ascii="Calibri" w:hAnsi="Calibri" w:cs="Calibri"/>
                <w:bCs/>
                <w:color w:val="FFFFFF"/>
                <w:sz w:val="22"/>
                <w:szCs w:val="22"/>
                <w:lang w:eastAsia="cs-CZ"/>
              </w:rPr>
              <w:t>Zvýhodněný úvěr</w:t>
            </w:r>
          </w:p>
        </w:tc>
        <w:tc>
          <w:tcPr>
            <w:tcW w:w="2268" w:type="dxa"/>
            <w:shd w:val="clear" w:color="auto" w:fill="8DB3E2" w:themeFill="text2" w:themeFillTint="66"/>
          </w:tcPr>
          <w:p w:rsidR="009D2CAE" w:rsidRPr="007C0CDA" w:rsidRDefault="009D2CAE" w:rsidP="00B03681">
            <w:pPr>
              <w:pStyle w:val="Highlight2"/>
              <w:jc w:val="center"/>
              <w:rPr>
                <w:rFonts w:ascii="Calibri" w:hAnsi="Calibri" w:cs="Calibri"/>
                <w:bCs/>
                <w:color w:val="FFFFFF"/>
                <w:sz w:val="22"/>
                <w:szCs w:val="22"/>
                <w:lang w:eastAsia="cs-CZ"/>
              </w:rPr>
            </w:pPr>
            <w:r w:rsidRPr="007C0CDA">
              <w:rPr>
                <w:rFonts w:ascii="Calibri" w:hAnsi="Calibri" w:cs="Calibri"/>
                <w:bCs/>
                <w:color w:val="FFFFFF"/>
                <w:sz w:val="22"/>
                <w:szCs w:val="22"/>
                <w:lang w:eastAsia="cs-CZ"/>
              </w:rPr>
              <w:t>Dotace</w:t>
            </w:r>
          </w:p>
        </w:tc>
      </w:tr>
      <w:tr w:rsidR="009D2CAE" w:rsidRPr="007C0CDA" w:rsidTr="002433DA">
        <w:trPr>
          <w:trHeight w:val="793"/>
        </w:trPr>
        <w:tc>
          <w:tcPr>
            <w:tcW w:w="1729" w:type="dxa"/>
          </w:tcPr>
          <w:p w:rsidR="009D2CAE" w:rsidRPr="007C0CDA" w:rsidRDefault="009D2CAE" w:rsidP="00B03681">
            <w:pPr>
              <w:pStyle w:val="Highlight2"/>
              <w:jc w:val="left"/>
              <w:rPr>
                <w:rFonts w:ascii="Calibri" w:hAnsi="Calibri" w:cs="Calibri"/>
              </w:rPr>
            </w:pPr>
            <w:r w:rsidRPr="007C0CDA">
              <w:rPr>
                <w:rFonts w:ascii="Calibri" w:hAnsi="Calibri" w:cs="Calibri"/>
                <w:bCs/>
                <w:color w:val="000000"/>
                <w:lang w:eastAsia="cs-CZ"/>
              </w:rPr>
              <w:t>Zajištění úvěru</w:t>
            </w:r>
          </w:p>
        </w:tc>
        <w:tc>
          <w:tcPr>
            <w:tcW w:w="2694" w:type="dxa"/>
          </w:tcPr>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Řeší problém zajištění až do výše záruky, zpřístupňuje financování projektům MSP bez zástavy</w:t>
            </w:r>
          </w:p>
        </w:tc>
        <w:tc>
          <w:tcPr>
            <w:tcW w:w="2268" w:type="dxa"/>
          </w:tcPr>
          <w:p w:rsidR="009D2CAE" w:rsidRPr="007C0CDA" w:rsidRDefault="009D2CAE" w:rsidP="00B03681">
            <w:pPr>
              <w:pStyle w:val="Highlight2"/>
              <w:jc w:val="center"/>
              <w:rPr>
                <w:rFonts w:ascii="Calibri" w:hAnsi="Calibri" w:cs="Calibri"/>
                <w:b w:val="0"/>
              </w:rPr>
            </w:pPr>
            <w:r w:rsidRPr="007C0CDA">
              <w:rPr>
                <w:rFonts w:ascii="Calibri" w:hAnsi="Calibri" w:cs="Calibri"/>
                <w:b w:val="0"/>
                <w:color w:val="000000"/>
                <w:lang w:eastAsia="cs-CZ"/>
              </w:rPr>
              <w:t>Nutnost zajištění úvěru zůstává, možnost užití zástavy na komerční i zvýhodněný úvěr</w:t>
            </w:r>
          </w:p>
        </w:tc>
        <w:tc>
          <w:tcPr>
            <w:tcW w:w="2268" w:type="dxa"/>
          </w:tcPr>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Neřeší přímo zajištění, dotuje část investice, problém zajištění v případě úvěru na předfinancování a spoluúčast zůstává</w:t>
            </w:r>
          </w:p>
        </w:tc>
      </w:tr>
      <w:tr w:rsidR="009D2CAE" w:rsidRPr="007C0CDA" w:rsidTr="002433DA">
        <w:trPr>
          <w:trHeight w:val="1521"/>
        </w:trPr>
        <w:tc>
          <w:tcPr>
            <w:tcW w:w="1729" w:type="dxa"/>
          </w:tcPr>
          <w:p w:rsidR="009D2CAE" w:rsidRPr="007C0CDA" w:rsidRDefault="009D2CAE" w:rsidP="00B03681">
            <w:pPr>
              <w:pStyle w:val="Highlight2"/>
              <w:jc w:val="left"/>
              <w:rPr>
                <w:rFonts w:ascii="Calibri" w:hAnsi="Calibri" w:cs="Calibri"/>
                <w:bCs/>
                <w:color w:val="000000"/>
                <w:lang w:eastAsia="cs-CZ"/>
              </w:rPr>
            </w:pPr>
            <w:r w:rsidRPr="007C0CDA">
              <w:rPr>
                <w:rFonts w:ascii="Calibri" w:hAnsi="Calibri" w:cs="Calibri"/>
                <w:bCs/>
                <w:color w:val="000000"/>
                <w:lang w:eastAsia="cs-CZ"/>
              </w:rPr>
              <w:t>Riziko projektu</w:t>
            </w:r>
          </w:p>
        </w:tc>
        <w:tc>
          <w:tcPr>
            <w:tcW w:w="2694" w:type="dxa"/>
          </w:tcPr>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Rozděluje riziko mezi příjemce, banku a FN. Likvidnější zástava, výrazné snížení rizika pro úvěrující instituci</w:t>
            </w:r>
          </w:p>
          <w:p w:rsidR="009D2CAE" w:rsidRPr="007C0CDA" w:rsidRDefault="009D2CAE" w:rsidP="00B03681">
            <w:pPr>
              <w:pStyle w:val="Highlight2"/>
              <w:jc w:val="center"/>
              <w:rPr>
                <w:rFonts w:ascii="Calibri" w:hAnsi="Calibri" w:cs="Calibri"/>
                <w:b w:val="0"/>
                <w:color w:val="000000"/>
                <w:lang w:eastAsia="cs-CZ"/>
              </w:rPr>
            </w:pPr>
          </w:p>
          <w:p w:rsidR="009D2CAE" w:rsidRPr="007C0CDA" w:rsidRDefault="009D2CAE" w:rsidP="00B03681">
            <w:pPr>
              <w:pStyle w:val="Highlight2"/>
              <w:jc w:val="center"/>
              <w:rPr>
                <w:rFonts w:ascii="Calibri" w:hAnsi="Calibri" w:cs="Calibri"/>
                <w:b w:val="0"/>
                <w:color w:val="000000"/>
                <w:lang w:eastAsia="cs-CZ"/>
              </w:rPr>
            </w:pPr>
          </w:p>
        </w:tc>
        <w:tc>
          <w:tcPr>
            <w:tcW w:w="2268" w:type="dxa"/>
          </w:tcPr>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Rozděluje riziko mezi příjemce, banku a FN.</w:t>
            </w:r>
          </w:p>
          <w:p w:rsidR="009D2CAE" w:rsidRPr="007C0CDA" w:rsidRDefault="009D2CAE" w:rsidP="00B03681">
            <w:pPr>
              <w:pStyle w:val="Highlight2"/>
              <w:jc w:val="center"/>
              <w:rPr>
                <w:rFonts w:ascii="Calibri" w:hAnsi="Calibri" w:cs="Calibri"/>
                <w:b w:val="0"/>
                <w:color w:val="000000"/>
                <w:lang w:eastAsia="cs-CZ"/>
              </w:rPr>
            </w:pPr>
          </w:p>
        </w:tc>
        <w:tc>
          <w:tcPr>
            <w:tcW w:w="2268" w:type="dxa"/>
          </w:tcPr>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Zlepšením ekonomických parametrů projektu snižuje riziko defaultu. Zlepšená úvěrovatelnost dotovaných projektů</w:t>
            </w:r>
          </w:p>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Příjemce přebírá riziko jen do výše spoluúčasti způsobilých a nezpůsobilých nákladů.</w:t>
            </w:r>
          </w:p>
          <w:p w:rsidR="009D2CAE" w:rsidRPr="007C0CDA" w:rsidRDefault="009D2CAE" w:rsidP="00B03681">
            <w:pPr>
              <w:pStyle w:val="Highlight2"/>
              <w:jc w:val="center"/>
              <w:rPr>
                <w:rFonts w:ascii="Calibri" w:hAnsi="Calibri" w:cs="Calibri"/>
                <w:b w:val="0"/>
                <w:color w:val="000000"/>
                <w:lang w:eastAsia="cs-CZ"/>
              </w:rPr>
            </w:pPr>
          </w:p>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Efekt limitován rizikem odebráním dotace</w:t>
            </w:r>
          </w:p>
          <w:p w:rsidR="009D2CAE" w:rsidRPr="007C0CDA" w:rsidRDefault="009D2CAE" w:rsidP="00B03681">
            <w:pPr>
              <w:pStyle w:val="Highlight2"/>
              <w:jc w:val="center"/>
              <w:rPr>
                <w:rFonts w:ascii="Calibri" w:hAnsi="Calibri" w:cs="Calibri"/>
                <w:b w:val="0"/>
                <w:color w:val="000000"/>
                <w:lang w:eastAsia="cs-CZ"/>
              </w:rPr>
            </w:pPr>
          </w:p>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rPr>
              <w:t xml:space="preserve"> ŘO má předem dané ztráty do absolutní výše dotace.</w:t>
            </w:r>
          </w:p>
        </w:tc>
      </w:tr>
      <w:tr w:rsidR="009D2CAE" w:rsidRPr="007C0CDA" w:rsidTr="002433DA">
        <w:tc>
          <w:tcPr>
            <w:tcW w:w="1729" w:type="dxa"/>
          </w:tcPr>
          <w:p w:rsidR="009D2CAE" w:rsidRPr="007C0CDA" w:rsidRDefault="009D2CAE" w:rsidP="00B03681">
            <w:pPr>
              <w:pStyle w:val="Highlight2"/>
              <w:jc w:val="left"/>
              <w:rPr>
                <w:rFonts w:ascii="Calibri" w:hAnsi="Calibri" w:cs="Calibri"/>
              </w:rPr>
            </w:pPr>
            <w:r w:rsidRPr="007C0CDA">
              <w:rPr>
                <w:rFonts w:ascii="Calibri" w:hAnsi="Calibri" w:cs="Calibri"/>
                <w:bCs/>
                <w:color w:val="000000"/>
                <w:lang w:eastAsia="cs-CZ"/>
              </w:rPr>
              <w:t>Administrativní zátěž</w:t>
            </w:r>
          </w:p>
        </w:tc>
        <w:tc>
          <w:tcPr>
            <w:tcW w:w="2694" w:type="dxa"/>
          </w:tcPr>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Jednodušší administrace, bez rizika odebrání podpory z důvodu technických chyb</w:t>
            </w:r>
          </w:p>
          <w:p w:rsidR="009D2CAE" w:rsidRPr="007C0CDA" w:rsidRDefault="009D2CAE" w:rsidP="00B03681">
            <w:pPr>
              <w:pStyle w:val="Highlight2"/>
              <w:jc w:val="center"/>
              <w:rPr>
                <w:rFonts w:ascii="Calibri" w:hAnsi="Calibri" w:cs="Calibri"/>
                <w:b w:val="0"/>
                <w:color w:val="000000"/>
                <w:lang w:eastAsia="cs-CZ"/>
              </w:rPr>
            </w:pPr>
          </w:p>
        </w:tc>
        <w:tc>
          <w:tcPr>
            <w:tcW w:w="2268" w:type="dxa"/>
          </w:tcPr>
          <w:p w:rsidR="009D2CAE" w:rsidRPr="007C0CDA" w:rsidRDefault="009D2CAE" w:rsidP="00B03681">
            <w:pPr>
              <w:pStyle w:val="Highlight2"/>
              <w:jc w:val="center"/>
              <w:rPr>
                <w:rFonts w:ascii="Calibri" w:hAnsi="Calibri" w:cs="Calibri"/>
                <w:b w:val="0"/>
              </w:rPr>
            </w:pPr>
            <w:r w:rsidRPr="007C0CDA">
              <w:rPr>
                <w:rFonts w:ascii="Calibri" w:hAnsi="Calibri" w:cs="Calibri"/>
                <w:b w:val="0"/>
                <w:color w:val="000000"/>
                <w:lang w:eastAsia="cs-CZ"/>
              </w:rPr>
              <w:t>Jednodušší administrace, bez rizika odebrání podpory z důvodu technických chyb</w:t>
            </w:r>
          </w:p>
        </w:tc>
        <w:tc>
          <w:tcPr>
            <w:tcW w:w="2268" w:type="dxa"/>
          </w:tcPr>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 xml:space="preserve">Vysoká administrativní a regulační zátěž omezuje příjemce, zvyšuje náklady a přináší riziko odebrání dotace. </w:t>
            </w:r>
          </w:p>
        </w:tc>
      </w:tr>
      <w:tr w:rsidR="009D2CAE" w:rsidRPr="007C0CDA" w:rsidTr="002433DA">
        <w:trPr>
          <w:trHeight w:val="1474"/>
        </w:trPr>
        <w:tc>
          <w:tcPr>
            <w:tcW w:w="1729" w:type="dxa"/>
          </w:tcPr>
          <w:p w:rsidR="009D2CAE" w:rsidRPr="007C0CDA" w:rsidRDefault="009D2CAE" w:rsidP="00E45795">
            <w:pPr>
              <w:rPr>
                <w:sz w:val="19"/>
              </w:rPr>
            </w:pPr>
            <w:r w:rsidRPr="007C0CDA">
              <w:rPr>
                <w:b/>
                <w:sz w:val="20"/>
              </w:rPr>
              <w:lastRenderedPageBreak/>
              <w:t>Celkový efekt na Investiční aktivitu a absorpci v SC</w:t>
            </w:r>
          </w:p>
        </w:tc>
        <w:tc>
          <w:tcPr>
            <w:tcW w:w="2694" w:type="dxa"/>
          </w:tcPr>
          <w:p w:rsidR="009D2CAE" w:rsidRPr="007C0CDA" w:rsidRDefault="009D2CAE" w:rsidP="00B03681">
            <w:pPr>
              <w:pStyle w:val="Highlight2"/>
              <w:jc w:val="center"/>
              <w:rPr>
                <w:rFonts w:ascii="Calibri" w:hAnsi="Calibri" w:cs="Calibri"/>
                <w:b w:val="0"/>
                <w:bCs/>
                <w:color w:val="000000"/>
                <w:lang w:eastAsia="cs-CZ"/>
              </w:rPr>
            </w:pPr>
            <w:r w:rsidRPr="007C0CDA">
              <w:rPr>
                <w:rFonts w:ascii="Calibri" w:hAnsi="Calibri" w:cs="Calibri"/>
                <w:b w:val="0"/>
                <w:bCs/>
                <w:color w:val="000000"/>
                <w:lang w:eastAsia="cs-CZ"/>
              </w:rPr>
              <w:t xml:space="preserve">Pozitivní efekt zpřístupnění externího financování a snížení míry ručení </w:t>
            </w:r>
          </w:p>
          <w:p w:rsidR="009D2CAE" w:rsidRPr="007C0CDA" w:rsidRDefault="009D2CAE" w:rsidP="00B03681">
            <w:pPr>
              <w:pStyle w:val="Highlight2"/>
              <w:jc w:val="center"/>
              <w:rPr>
                <w:rFonts w:ascii="Calibri" w:hAnsi="Calibri" w:cs="Calibri"/>
                <w:b w:val="0"/>
                <w:bCs/>
                <w:color w:val="000000"/>
                <w:lang w:eastAsia="cs-CZ"/>
              </w:rPr>
            </w:pPr>
            <w:r w:rsidRPr="007C0CDA">
              <w:rPr>
                <w:rFonts w:ascii="Calibri" w:hAnsi="Calibri" w:cs="Calibri"/>
                <w:b w:val="0"/>
                <w:bCs/>
                <w:color w:val="000000"/>
                <w:lang w:eastAsia="cs-CZ"/>
              </w:rPr>
              <w:t>– podpora je adekvátní tržnímu selhání a povzbuzuje rozvojovou aktivitu MSP. Vysoce pákuje soukromé zdroje</w:t>
            </w:r>
          </w:p>
        </w:tc>
        <w:tc>
          <w:tcPr>
            <w:tcW w:w="2268" w:type="dxa"/>
          </w:tcPr>
          <w:p w:rsidR="009D2CAE" w:rsidRPr="007C0CDA" w:rsidRDefault="009D2CAE" w:rsidP="00E45795">
            <w:pPr>
              <w:rPr>
                <w:sz w:val="19"/>
              </w:rPr>
            </w:pPr>
            <w:r w:rsidRPr="007C0CDA">
              <w:rPr>
                <w:sz w:val="20"/>
              </w:rPr>
              <w:t>Výrazné snížení dluhové služby, umožňuje přístup k vyššímu externímu financování</w:t>
            </w:r>
          </w:p>
          <w:p w:rsidR="009D2CAE" w:rsidRPr="007C0CDA" w:rsidRDefault="009D2CAE" w:rsidP="00E45795">
            <w:pPr>
              <w:rPr>
                <w:b/>
                <w:sz w:val="19"/>
              </w:rPr>
            </w:pPr>
            <w:r w:rsidRPr="007C0CDA">
              <w:rPr>
                <w:rFonts w:cs="Calibri"/>
                <w:bCs/>
                <w:color w:val="000000"/>
                <w:sz w:val="20"/>
              </w:rPr>
              <w:t>– podpora je adekvátní tržnímu selhání a povzbuzuje rozvojovou aktivitu MSP. Díky revolvingu možnost podpoření více projektů</w:t>
            </w:r>
          </w:p>
        </w:tc>
        <w:tc>
          <w:tcPr>
            <w:tcW w:w="2268" w:type="dxa"/>
          </w:tcPr>
          <w:p w:rsidR="009D2CAE" w:rsidRPr="007C0CDA" w:rsidRDefault="009D2CAE" w:rsidP="00E45795">
            <w:pPr>
              <w:rPr>
                <w:color w:val="000000"/>
                <w:sz w:val="20"/>
              </w:rPr>
            </w:pPr>
            <w:r w:rsidRPr="007C0CDA">
              <w:rPr>
                <w:color w:val="000000"/>
                <w:sz w:val="20"/>
              </w:rPr>
              <w:t>Potenciál podpoření vyššího množství neudržitelných projektů.</w:t>
            </w:r>
          </w:p>
          <w:p w:rsidR="009D2CAE" w:rsidRPr="007C0CDA" w:rsidRDefault="009D2CAE" w:rsidP="00E45795">
            <w:pPr>
              <w:rPr>
                <w:color w:val="000000"/>
                <w:sz w:val="19"/>
              </w:rPr>
            </w:pPr>
            <w:r w:rsidRPr="007C0CDA">
              <w:rPr>
                <w:color w:val="000000"/>
                <w:sz w:val="20"/>
              </w:rPr>
              <w:t>Omezení kvůli administrativní složitosti.</w:t>
            </w:r>
          </w:p>
          <w:p w:rsidR="009D2CAE" w:rsidRPr="007C0CDA" w:rsidRDefault="009D2CAE" w:rsidP="00E45795">
            <w:pPr>
              <w:rPr>
                <w:color w:val="000000"/>
                <w:sz w:val="19"/>
              </w:rPr>
            </w:pPr>
            <w:r w:rsidRPr="007C0CDA">
              <w:rPr>
                <w:color w:val="000000"/>
                <w:sz w:val="20"/>
              </w:rPr>
              <w:t>Omezení dané nedostatkem disponibilních zdrojů snižuje efektivní podporu investiční poptávce.</w:t>
            </w:r>
          </w:p>
          <w:p w:rsidR="009D2CAE" w:rsidRPr="007C0CDA" w:rsidRDefault="009D2CAE" w:rsidP="00E45795">
            <w:pPr>
              <w:rPr>
                <w:b/>
                <w:color w:val="000000"/>
                <w:sz w:val="19"/>
              </w:rPr>
            </w:pPr>
          </w:p>
        </w:tc>
      </w:tr>
      <w:tr w:rsidR="009D2CAE" w:rsidRPr="007C0CDA" w:rsidTr="002433DA">
        <w:tc>
          <w:tcPr>
            <w:tcW w:w="1729" w:type="dxa"/>
          </w:tcPr>
          <w:p w:rsidR="009D2CAE" w:rsidRPr="007C0CDA" w:rsidRDefault="009D2CAE" w:rsidP="00B03681">
            <w:pPr>
              <w:pStyle w:val="Highlight2"/>
              <w:jc w:val="left"/>
              <w:rPr>
                <w:rFonts w:ascii="Calibri" w:hAnsi="Calibri" w:cs="Calibri"/>
                <w:bCs/>
                <w:color w:val="000000"/>
                <w:lang w:eastAsia="cs-CZ"/>
              </w:rPr>
            </w:pPr>
            <w:r w:rsidRPr="007C0CDA">
              <w:rPr>
                <w:rFonts w:ascii="Calibri" w:hAnsi="Calibri" w:cs="Calibri"/>
                <w:bCs/>
                <w:color w:val="000000"/>
                <w:lang w:eastAsia="cs-CZ"/>
              </w:rPr>
              <w:t>Efekt na narušení tržního prostředí</w:t>
            </w:r>
          </w:p>
        </w:tc>
        <w:tc>
          <w:tcPr>
            <w:tcW w:w="2694" w:type="dxa"/>
          </w:tcPr>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Malý vliv na tržní prostředí, zvyšují konkurenci odstraněním finanční bariéry pro menší subjekty, uvolnění rizikové politiky finančních institucí</w:t>
            </w:r>
          </w:p>
        </w:tc>
        <w:tc>
          <w:tcPr>
            <w:tcW w:w="2268" w:type="dxa"/>
          </w:tcPr>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Malý vliv na tržní prostředí, návratná podpora motivuje ekonomicky efektivní počínání subjektů</w:t>
            </w:r>
          </w:p>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Doplnění soukromého finančního trhu</w:t>
            </w:r>
          </w:p>
        </w:tc>
        <w:tc>
          <w:tcPr>
            <w:tcW w:w="2268" w:type="dxa"/>
          </w:tcPr>
          <w:p w:rsidR="009D2CAE" w:rsidRPr="007C0CDA" w:rsidRDefault="009D2CAE" w:rsidP="00B03681">
            <w:pPr>
              <w:pStyle w:val="Highlight2"/>
              <w:jc w:val="center"/>
              <w:rPr>
                <w:rFonts w:ascii="Calibri" w:hAnsi="Calibri" w:cs="Calibri"/>
                <w:b w:val="0"/>
                <w:bCs/>
                <w:color w:val="000000"/>
                <w:lang w:eastAsia="cs-CZ"/>
              </w:rPr>
            </w:pPr>
            <w:r w:rsidRPr="007C0CDA">
              <w:rPr>
                <w:rFonts w:ascii="Calibri" w:hAnsi="Calibri" w:cs="Calibri"/>
                <w:b w:val="0"/>
                <w:bCs/>
                <w:color w:val="000000"/>
                <w:lang w:eastAsia="cs-CZ"/>
              </w:rPr>
              <w:t>Výrazné finanční zvýhodnění pro příjemce, vytváří nižší tlak na ekonomické výsledky projektu</w:t>
            </w:r>
          </w:p>
          <w:p w:rsidR="009D2CAE" w:rsidRPr="007C0CDA" w:rsidRDefault="009D2CAE" w:rsidP="00B03681">
            <w:pPr>
              <w:pStyle w:val="Highlight2"/>
              <w:jc w:val="center"/>
              <w:rPr>
                <w:rFonts w:ascii="Calibri" w:hAnsi="Calibri" w:cs="Calibri"/>
                <w:b w:val="0"/>
                <w:bCs/>
                <w:color w:val="000000"/>
                <w:lang w:eastAsia="cs-CZ"/>
              </w:rPr>
            </w:pPr>
            <w:r w:rsidRPr="007C0CDA">
              <w:rPr>
                <w:rFonts w:ascii="Calibri" w:hAnsi="Calibri" w:cs="Calibri"/>
                <w:b w:val="0"/>
                <w:bCs/>
                <w:color w:val="000000"/>
                <w:lang w:eastAsia="cs-CZ"/>
              </w:rPr>
              <w:t>Podpoření i méně kvalitních projektů bez potenciálu dlouhodobé udržitelnosti a ziskovosti – omezení efektivnosti trhu</w:t>
            </w:r>
          </w:p>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bCs/>
                <w:color w:val="000000"/>
                <w:lang w:eastAsia="cs-CZ"/>
              </w:rPr>
              <w:t>Částečné vytlačení soukromých prostředků</w:t>
            </w:r>
          </w:p>
        </w:tc>
      </w:tr>
    </w:tbl>
    <w:p w:rsidR="009D2CAE" w:rsidRPr="007C0CDA" w:rsidRDefault="009D2CAE" w:rsidP="008B3649"/>
    <w:p w:rsidR="009D2CAE" w:rsidRPr="007C0CDA" w:rsidRDefault="009D2CAE" w:rsidP="00B47049">
      <w:pPr>
        <w:pStyle w:val="Titulek"/>
      </w:pPr>
      <w:r w:rsidRPr="007C0CDA">
        <w:t xml:space="preserve">Tabulka </w:t>
      </w:r>
      <w:r w:rsidRPr="00B675D6">
        <w:fldChar w:fldCharType="begin"/>
      </w:r>
      <w:r w:rsidRPr="007C0CDA">
        <w:instrText xml:space="preserve"> SEQ Tabulka \* ARABIC </w:instrText>
      </w:r>
      <w:r w:rsidRPr="002433DA">
        <w:fldChar w:fldCharType="separate"/>
      </w:r>
      <w:r w:rsidRPr="007C0CDA">
        <w:rPr>
          <w:noProof/>
        </w:rPr>
        <w:t>8</w:t>
      </w:r>
      <w:r w:rsidRPr="00B675D6">
        <w:fldChar w:fldCharType="end"/>
      </w:r>
      <w:r w:rsidRPr="007C0CDA">
        <w:t xml:space="preserve"> – Přidaná hodnota podpory pro cíle SC 2.1 (etablované MSP) OP PIK a vliv na tržní prostředí</w:t>
      </w:r>
    </w:p>
    <w:p w:rsidR="009D2CAE" w:rsidRPr="007C0CDA" w:rsidRDefault="009D2CAE" w:rsidP="00B8786C"/>
    <w:p w:rsidR="009D2CAE" w:rsidRPr="007C0CDA" w:rsidRDefault="009D2CAE" w:rsidP="00B8786C">
      <w:r w:rsidRPr="007C0CDA">
        <w:t>Ziskový potenciál projektů rozvoje MSP v SC 2.1 by měl být samozřejmou součástí těchto investic a nepovažujeme za účelné užívat pro tento typ projektů dotační podporu, která navíc MSP nadměrně zatěžuje administrativní náročností a omezením v rámci výběrových řízení. Vzhledem k identifikovanému tržnímu selhání i cíli co nejefektivněji využít prostředky OP PI k navýšení investiční aktivity se jako rozumným jeví kombinace úvěrového nástroje a záruk. Oba nástroje řeší problém dostupnosti financí pro MSP, zároveň představují vhodnou kombinaci v rámci pákového a revolvingového efektu. Záruky umožní vysoké množství aktivizovaných soukromých zdrojů, úvěry zajistí zdroje pro podporu MSP také pro další období.</w:t>
      </w:r>
    </w:p>
    <w:p w:rsidR="009D2CAE" w:rsidRPr="007C0CDA" w:rsidRDefault="009D2CAE" w:rsidP="00B5359D">
      <w:pPr>
        <w:pStyle w:val="Neslovannadpisy"/>
        <w:rPr>
          <w:lang w:eastAsia="en-US"/>
        </w:rPr>
      </w:pPr>
    </w:p>
    <w:p w:rsidR="009D2CAE" w:rsidRPr="007C0CDA" w:rsidRDefault="009D2CAE" w:rsidP="00B5359D">
      <w:pPr>
        <w:pStyle w:val="Neslovannadpisy"/>
        <w:rPr>
          <w:lang w:eastAsia="en-US"/>
        </w:rPr>
      </w:pPr>
      <w:r w:rsidRPr="007C0CDA">
        <w:rPr>
          <w:lang w:eastAsia="en-US"/>
        </w:rPr>
        <w:t>Začínající inovativní MSP</w:t>
      </w:r>
    </w:p>
    <w:p w:rsidR="009D2CAE" w:rsidRPr="007C0CDA" w:rsidRDefault="009D2CAE" w:rsidP="008671F3">
      <w:pPr>
        <w:pStyle w:val="Neslovannadpisy"/>
        <w:rPr>
          <w:lang w:eastAsia="en-US"/>
        </w:rPr>
      </w:pPr>
    </w:p>
    <w:tbl>
      <w:tblPr>
        <w:tblpPr w:leftFromText="141" w:rightFromText="141" w:vertAnchor="text" w:horzAnchor="margin" w:tblpY="-23"/>
        <w:tblW w:w="8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60"/>
        <w:gridCol w:w="960"/>
        <w:gridCol w:w="2414"/>
        <w:gridCol w:w="2330"/>
        <w:gridCol w:w="2330"/>
      </w:tblGrid>
      <w:tr w:rsidR="009D2CAE" w:rsidRPr="007C0CDA" w:rsidTr="00E45795">
        <w:trPr>
          <w:trHeight w:val="315"/>
        </w:trPr>
        <w:tc>
          <w:tcPr>
            <w:tcW w:w="960" w:type="dxa"/>
            <w:shd w:val="clear" w:color="auto" w:fill="365F91"/>
            <w:noWrap/>
            <w:vAlign w:val="bottom"/>
          </w:tcPr>
          <w:p w:rsidR="009D2CAE" w:rsidRPr="007C0CDA" w:rsidRDefault="009D2CAE" w:rsidP="00E45795">
            <w:pPr>
              <w:jc w:val="left"/>
              <w:rPr>
                <w:rFonts w:ascii="Times New Roman" w:hAnsi="Times New Roman"/>
                <w:sz w:val="24"/>
                <w:szCs w:val="24"/>
              </w:rPr>
            </w:pPr>
          </w:p>
        </w:tc>
        <w:tc>
          <w:tcPr>
            <w:tcW w:w="960" w:type="dxa"/>
            <w:shd w:val="clear" w:color="auto" w:fill="365F91"/>
            <w:noWrap/>
            <w:vAlign w:val="bottom"/>
          </w:tcPr>
          <w:p w:rsidR="009D2CAE" w:rsidRPr="007C0CDA" w:rsidRDefault="009D2CAE" w:rsidP="00E45795">
            <w:pPr>
              <w:jc w:val="left"/>
              <w:rPr>
                <w:rFonts w:ascii="Times New Roman" w:hAnsi="Times New Roman"/>
                <w:color w:val="000000"/>
                <w:sz w:val="24"/>
                <w:szCs w:val="24"/>
              </w:rPr>
            </w:pPr>
            <w:r w:rsidRPr="007C0CDA">
              <w:rPr>
                <w:rFonts w:ascii="Times New Roman" w:hAnsi="Times New Roman"/>
                <w:color w:val="000000"/>
                <w:sz w:val="24"/>
                <w:szCs w:val="24"/>
              </w:rPr>
              <w:t> </w:t>
            </w:r>
          </w:p>
        </w:tc>
        <w:tc>
          <w:tcPr>
            <w:tcW w:w="4744" w:type="dxa"/>
            <w:gridSpan w:val="2"/>
            <w:shd w:val="clear" w:color="auto" w:fill="365F91"/>
            <w:noWrap/>
            <w:vAlign w:val="center"/>
          </w:tcPr>
          <w:p w:rsidR="009D2CAE" w:rsidRPr="007C0CDA" w:rsidRDefault="009D2CAE" w:rsidP="00E45795">
            <w:pPr>
              <w:jc w:val="center"/>
              <w:rPr>
                <w:b/>
                <w:bCs/>
                <w:color w:val="FFFFFF"/>
                <w:sz w:val="24"/>
                <w:szCs w:val="24"/>
              </w:rPr>
            </w:pPr>
            <w:r w:rsidRPr="007C0CDA">
              <w:rPr>
                <w:b/>
                <w:bCs/>
                <w:color w:val="FFFFFF"/>
                <w:sz w:val="24"/>
                <w:szCs w:val="24"/>
              </w:rPr>
              <w:t>Finanční nástroj</w:t>
            </w:r>
          </w:p>
        </w:tc>
        <w:tc>
          <w:tcPr>
            <w:tcW w:w="2330" w:type="dxa"/>
            <w:shd w:val="clear" w:color="auto" w:fill="365F91"/>
          </w:tcPr>
          <w:p w:rsidR="009D2CAE" w:rsidRPr="007C0CDA" w:rsidRDefault="009D2CAE" w:rsidP="00E45795">
            <w:pPr>
              <w:jc w:val="center"/>
              <w:rPr>
                <w:b/>
                <w:bCs/>
                <w:color w:val="FFFFFF"/>
                <w:sz w:val="24"/>
                <w:szCs w:val="24"/>
              </w:rPr>
            </w:pPr>
            <w:r w:rsidRPr="007C0CDA">
              <w:rPr>
                <w:b/>
                <w:bCs/>
                <w:color w:val="FFFFFF"/>
                <w:sz w:val="24"/>
                <w:szCs w:val="24"/>
              </w:rPr>
              <w:t>Dotace</w:t>
            </w:r>
          </w:p>
        </w:tc>
      </w:tr>
      <w:tr w:rsidR="009D2CAE" w:rsidRPr="007C0CDA" w:rsidTr="002433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15"/>
        </w:trPr>
        <w:tc>
          <w:tcPr>
            <w:tcW w:w="960" w:type="dxa"/>
            <w:shd w:val="clear" w:color="auto" w:fill="8DB3E2" w:themeFill="text2" w:themeFillTint="66"/>
            <w:noWrap/>
          </w:tcPr>
          <w:p w:rsidR="009D2CAE" w:rsidRPr="007C0CDA" w:rsidRDefault="009D2CAE" w:rsidP="00A85B7C">
            <w:pPr>
              <w:jc w:val="center"/>
              <w:rPr>
                <w:b/>
                <w:bCs/>
                <w:color w:val="000000"/>
                <w:sz w:val="24"/>
                <w:szCs w:val="24"/>
              </w:rPr>
            </w:pPr>
          </w:p>
        </w:tc>
        <w:tc>
          <w:tcPr>
            <w:tcW w:w="960" w:type="dxa"/>
            <w:shd w:val="clear" w:color="auto" w:fill="8DB3E2" w:themeFill="text2" w:themeFillTint="66"/>
            <w:noWrap/>
          </w:tcPr>
          <w:p w:rsidR="009D2CAE" w:rsidRPr="007C0CDA" w:rsidRDefault="009D2CAE" w:rsidP="00A85B7C">
            <w:pPr>
              <w:jc w:val="left"/>
              <w:rPr>
                <w:color w:val="000000"/>
                <w:sz w:val="24"/>
                <w:szCs w:val="24"/>
              </w:rPr>
            </w:pPr>
            <w:r w:rsidRPr="007C0CDA">
              <w:rPr>
                <w:color w:val="000000"/>
                <w:sz w:val="24"/>
                <w:szCs w:val="24"/>
              </w:rPr>
              <w:t> </w:t>
            </w:r>
          </w:p>
        </w:tc>
        <w:tc>
          <w:tcPr>
            <w:tcW w:w="2414" w:type="dxa"/>
            <w:shd w:val="clear" w:color="auto" w:fill="8DB3E2" w:themeFill="text2" w:themeFillTint="66"/>
          </w:tcPr>
          <w:p w:rsidR="009D2CAE" w:rsidRPr="007C0CDA" w:rsidRDefault="009D2CAE" w:rsidP="00A85B7C">
            <w:pPr>
              <w:jc w:val="center"/>
              <w:rPr>
                <w:b/>
                <w:bCs/>
                <w:color w:val="FFFFFF"/>
                <w:sz w:val="24"/>
                <w:szCs w:val="24"/>
              </w:rPr>
            </w:pPr>
            <w:r w:rsidRPr="007C0CDA">
              <w:rPr>
                <w:b/>
                <w:bCs/>
                <w:color w:val="FFFFFF"/>
                <w:sz w:val="24"/>
                <w:szCs w:val="24"/>
              </w:rPr>
              <w:t>Kapitálové vstupy</w:t>
            </w:r>
          </w:p>
        </w:tc>
        <w:tc>
          <w:tcPr>
            <w:tcW w:w="2330" w:type="dxa"/>
            <w:shd w:val="clear" w:color="auto" w:fill="8DB3E2" w:themeFill="text2" w:themeFillTint="66"/>
          </w:tcPr>
          <w:p w:rsidR="009D2CAE" w:rsidRPr="007C0CDA" w:rsidRDefault="009D2CAE" w:rsidP="00A85B7C">
            <w:pPr>
              <w:jc w:val="center"/>
              <w:rPr>
                <w:b/>
                <w:bCs/>
                <w:color w:val="FFFFFF"/>
                <w:sz w:val="24"/>
                <w:szCs w:val="24"/>
              </w:rPr>
            </w:pPr>
            <w:r w:rsidRPr="007C0CDA">
              <w:rPr>
                <w:b/>
                <w:bCs/>
                <w:color w:val="FFFFFF"/>
                <w:sz w:val="24"/>
                <w:szCs w:val="24"/>
              </w:rPr>
              <w:t>Zvýhodněný úvěr</w:t>
            </w:r>
          </w:p>
        </w:tc>
        <w:tc>
          <w:tcPr>
            <w:tcW w:w="2330" w:type="dxa"/>
            <w:shd w:val="clear" w:color="auto" w:fill="8DB3E2" w:themeFill="text2" w:themeFillTint="66"/>
          </w:tcPr>
          <w:p w:rsidR="009D2CAE" w:rsidRPr="007C0CDA" w:rsidRDefault="009D2CAE" w:rsidP="00A85B7C">
            <w:pPr>
              <w:jc w:val="center"/>
              <w:rPr>
                <w:b/>
                <w:bCs/>
                <w:color w:val="FFFFFF"/>
                <w:sz w:val="24"/>
                <w:szCs w:val="24"/>
              </w:rPr>
            </w:pPr>
          </w:p>
        </w:tc>
      </w:tr>
      <w:tr w:rsidR="009D2CAE" w:rsidRPr="007C0CDA" w:rsidTr="002433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720"/>
        </w:trPr>
        <w:tc>
          <w:tcPr>
            <w:tcW w:w="960" w:type="dxa"/>
            <w:vMerge w:val="restart"/>
            <w:shd w:val="clear" w:color="auto" w:fill="8DB3E2" w:themeFill="text2" w:themeFillTint="66"/>
            <w:noWrap/>
            <w:textDirection w:val="btLr"/>
          </w:tcPr>
          <w:p w:rsidR="009D2CAE" w:rsidRPr="007C0CDA" w:rsidRDefault="009D2CAE" w:rsidP="00A85B7C">
            <w:pPr>
              <w:jc w:val="center"/>
              <w:rPr>
                <w:b/>
                <w:bCs/>
                <w:color w:val="FFFFFF"/>
                <w:sz w:val="24"/>
                <w:szCs w:val="24"/>
              </w:rPr>
            </w:pPr>
            <w:r w:rsidRPr="007C0CDA">
              <w:rPr>
                <w:b/>
                <w:bCs/>
                <w:color w:val="FFFFFF"/>
                <w:sz w:val="24"/>
                <w:szCs w:val="24"/>
              </w:rPr>
              <w:t>Přidaná hodnota veřejné podpory pro příjemce a ŘO</w:t>
            </w:r>
          </w:p>
        </w:tc>
        <w:tc>
          <w:tcPr>
            <w:tcW w:w="960" w:type="dxa"/>
            <w:vMerge w:val="restart"/>
            <w:shd w:val="clear" w:color="auto" w:fill="8DB3E2" w:themeFill="text2" w:themeFillTint="66"/>
            <w:noWrap/>
            <w:textDirection w:val="btLr"/>
          </w:tcPr>
          <w:p w:rsidR="009D2CAE" w:rsidRPr="007C0CDA" w:rsidRDefault="009D2CAE" w:rsidP="00A85B7C">
            <w:pPr>
              <w:jc w:val="center"/>
              <w:rPr>
                <w:b/>
                <w:bCs/>
                <w:color w:val="FFFFFF"/>
                <w:sz w:val="24"/>
                <w:szCs w:val="24"/>
              </w:rPr>
            </w:pPr>
            <w:r w:rsidRPr="007C0CDA">
              <w:rPr>
                <w:b/>
                <w:bCs/>
                <w:color w:val="FFFFFF"/>
                <w:sz w:val="24"/>
                <w:szCs w:val="24"/>
              </w:rPr>
              <w:t>Konečný příjemce</w:t>
            </w:r>
          </w:p>
        </w:tc>
        <w:tc>
          <w:tcPr>
            <w:tcW w:w="2414" w:type="dxa"/>
            <w:shd w:val="clear" w:color="auto" w:fill="8DB3E2" w:themeFill="text2" w:themeFillTint="66"/>
          </w:tcPr>
          <w:p w:rsidR="009D2CAE" w:rsidRPr="007C0CDA" w:rsidRDefault="009D2CAE" w:rsidP="00A85B7C">
            <w:pPr>
              <w:jc w:val="center"/>
              <w:rPr>
                <w:b/>
                <w:color w:val="FFFFFF"/>
                <w:sz w:val="20"/>
              </w:rPr>
            </w:pPr>
            <w:r w:rsidRPr="007C0CDA">
              <w:rPr>
                <w:b/>
                <w:color w:val="FFFFFF"/>
                <w:sz w:val="20"/>
              </w:rPr>
              <w:t>Poskytnutí kapitálu na rozvoj subjektu</w:t>
            </w:r>
          </w:p>
        </w:tc>
        <w:tc>
          <w:tcPr>
            <w:tcW w:w="2330" w:type="dxa"/>
            <w:shd w:val="clear" w:color="auto" w:fill="8DB3E2" w:themeFill="text2" w:themeFillTint="66"/>
          </w:tcPr>
          <w:p w:rsidR="009D2CAE" w:rsidRPr="007C0CDA" w:rsidRDefault="009D2CAE" w:rsidP="00A85B7C">
            <w:pPr>
              <w:jc w:val="center"/>
              <w:rPr>
                <w:b/>
                <w:color w:val="FFFFFF"/>
                <w:sz w:val="20"/>
              </w:rPr>
            </w:pPr>
            <w:r w:rsidRPr="007C0CDA">
              <w:rPr>
                <w:b/>
                <w:color w:val="FFFFFF"/>
                <w:sz w:val="20"/>
              </w:rPr>
              <w:t>Potenciální zpřístupnění financování</w:t>
            </w:r>
          </w:p>
        </w:tc>
        <w:tc>
          <w:tcPr>
            <w:tcW w:w="2330" w:type="dxa"/>
            <w:shd w:val="clear" w:color="auto" w:fill="8DB3E2" w:themeFill="text2" w:themeFillTint="66"/>
          </w:tcPr>
          <w:p w:rsidR="009D2CAE" w:rsidRPr="007C0CDA" w:rsidRDefault="009D2CAE" w:rsidP="00A85B7C">
            <w:pPr>
              <w:jc w:val="center"/>
              <w:rPr>
                <w:b/>
                <w:color w:val="FFFFFF"/>
                <w:sz w:val="20"/>
              </w:rPr>
            </w:pPr>
            <w:r w:rsidRPr="007C0CDA">
              <w:rPr>
                <w:b/>
                <w:color w:val="FFFFFF"/>
                <w:sz w:val="20"/>
              </w:rPr>
              <w:t>Nevratný příspěvek na projekt</w:t>
            </w:r>
          </w:p>
        </w:tc>
      </w:tr>
      <w:tr w:rsidR="009D2CAE" w:rsidRPr="007C0CDA" w:rsidTr="002433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80"/>
        </w:trPr>
        <w:tc>
          <w:tcPr>
            <w:tcW w:w="960" w:type="dxa"/>
            <w:vMerge/>
            <w:shd w:val="clear" w:color="auto" w:fill="8DB3E2" w:themeFill="text2" w:themeFillTint="66"/>
          </w:tcPr>
          <w:p w:rsidR="009D2CAE" w:rsidRPr="007C0CDA" w:rsidRDefault="009D2CAE" w:rsidP="00A85B7C">
            <w:pPr>
              <w:jc w:val="left"/>
              <w:rPr>
                <w:b/>
                <w:bCs/>
                <w:color w:val="FFFFFF"/>
                <w:sz w:val="24"/>
                <w:szCs w:val="24"/>
              </w:rPr>
            </w:pPr>
          </w:p>
        </w:tc>
        <w:tc>
          <w:tcPr>
            <w:tcW w:w="960" w:type="dxa"/>
            <w:vMerge/>
            <w:shd w:val="clear" w:color="auto" w:fill="8DB3E2" w:themeFill="text2" w:themeFillTint="66"/>
          </w:tcPr>
          <w:p w:rsidR="009D2CAE" w:rsidRPr="007C0CDA" w:rsidRDefault="009D2CAE" w:rsidP="00A85B7C">
            <w:pPr>
              <w:jc w:val="left"/>
              <w:rPr>
                <w:b/>
                <w:bCs/>
                <w:color w:val="FFFFFF"/>
                <w:sz w:val="24"/>
                <w:szCs w:val="24"/>
              </w:rPr>
            </w:pPr>
          </w:p>
        </w:tc>
        <w:tc>
          <w:tcPr>
            <w:tcW w:w="2414" w:type="dxa"/>
            <w:shd w:val="clear" w:color="auto" w:fill="8DB3E2" w:themeFill="text2" w:themeFillTint="66"/>
          </w:tcPr>
          <w:p w:rsidR="009D2CAE" w:rsidRPr="007C0CDA" w:rsidRDefault="009D2CAE" w:rsidP="00A85B7C">
            <w:pPr>
              <w:jc w:val="center"/>
              <w:rPr>
                <w:b/>
                <w:color w:val="FFFFFF"/>
                <w:sz w:val="20"/>
              </w:rPr>
            </w:pPr>
            <w:r w:rsidRPr="007C0CDA">
              <w:rPr>
                <w:b/>
                <w:color w:val="FFFFFF"/>
                <w:sz w:val="20"/>
              </w:rPr>
              <w:t>Možnost flexibilního nakládání s prostředky</w:t>
            </w:r>
          </w:p>
        </w:tc>
        <w:tc>
          <w:tcPr>
            <w:tcW w:w="2330" w:type="dxa"/>
            <w:shd w:val="clear" w:color="auto" w:fill="8DB3E2" w:themeFill="text2" w:themeFillTint="66"/>
          </w:tcPr>
          <w:p w:rsidR="009D2CAE" w:rsidRPr="007C0CDA" w:rsidRDefault="009D2CAE" w:rsidP="00A85B7C">
            <w:pPr>
              <w:jc w:val="center"/>
              <w:rPr>
                <w:b/>
                <w:color w:val="FFFFFF"/>
                <w:sz w:val="20"/>
              </w:rPr>
            </w:pPr>
            <w:r w:rsidRPr="007C0CDA">
              <w:rPr>
                <w:b/>
                <w:color w:val="FFFFFF"/>
                <w:sz w:val="20"/>
              </w:rPr>
              <w:t>Snížená dluhová služba</w:t>
            </w:r>
          </w:p>
        </w:tc>
        <w:tc>
          <w:tcPr>
            <w:tcW w:w="2330" w:type="dxa"/>
            <w:shd w:val="clear" w:color="auto" w:fill="8DB3E2" w:themeFill="text2" w:themeFillTint="66"/>
          </w:tcPr>
          <w:p w:rsidR="009D2CAE" w:rsidRPr="007C0CDA" w:rsidRDefault="009D2CAE" w:rsidP="00A85B7C">
            <w:pPr>
              <w:jc w:val="center"/>
              <w:rPr>
                <w:b/>
                <w:color w:val="FFFFFF"/>
                <w:sz w:val="20"/>
              </w:rPr>
            </w:pPr>
            <w:r w:rsidRPr="007C0CDA">
              <w:rPr>
                <w:b/>
                <w:color w:val="FFFFFF"/>
                <w:sz w:val="20"/>
              </w:rPr>
              <w:t>Vysoce snížené náklady investic</w:t>
            </w:r>
          </w:p>
        </w:tc>
      </w:tr>
      <w:tr w:rsidR="009D2CAE" w:rsidRPr="007C0CDA" w:rsidTr="002433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720"/>
        </w:trPr>
        <w:tc>
          <w:tcPr>
            <w:tcW w:w="960" w:type="dxa"/>
            <w:vMerge/>
            <w:shd w:val="clear" w:color="auto" w:fill="8DB3E2" w:themeFill="text2" w:themeFillTint="66"/>
          </w:tcPr>
          <w:p w:rsidR="009D2CAE" w:rsidRPr="007C0CDA" w:rsidRDefault="009D2CAE" w:rsidP="00A85B7C">
            <w:pPr>
              <w:jc w:val="left"/>
              <w:rPr>
                <w:b/>
                <w:bCs/>
                <w:color w:val="FFFFFF"/>
                <w:sz w:val="24"/>
                <w:szCs w:val="24"/>
              </w:rPr>
            </w:pPr>
          </w:p>
        </w:tc>
        <w:tc>
          <w:tcPr>
            <w:tcW w:w="960" w:type="dxa"/>
            <w:vMerge/>
            <w:shd w:val="clear" w:color="auto" w:fill="8DB3E2" w:themeFill="text2" w:themeFillTint="66"/>
          </w:tcPr>
          <w:p w:rsidR="009D2CAE" w:rsidRPr="007C0CDA" w:rsidRDefault="009D2CAE" w:rsidP="00A85B7C">
            <w:pPr>
              <w:jc w:val="left"/>
              <w:rPr>
                <w:b/>
                <w:bCs/>
                <w:color w:val="FFFFFF"/>
                <w:sz w:val="24"/>
                <w:szCs w:val="24"/>
              </w:rPr>
            </w:pPr>
          </w:p>
        </w:tc>
        <w:tc>
          <w:tcPr>
            <w:tcW w:w="2414" w:type="dxa"/>
            <w:shd w:val="clear" w:color="auto" w:fill="8DB3E2" w:themeFill="text2" w:themeFillTint="66"/>
          </w:tcPr>
          <w:p w:rsidR="009D2CAE" w:rsidRPr="007C0CDA" w:rsidRDefault="009D2CAE" w:rsidP="00A85B7C">
            <w:pPr>
              <w:jc w:val="center"/>
              <w:rPr>
                <w:b/>
                <w:color w:val="FFFFFF"/>
                <w:sz w:val="20"/>
              </w:rPr>
            </w:pPr>
            <w:r w:rsidRPr="007C0CDA">
              <w:rPr>
                <w:b/>
                <w:color w:val="FFFFFF"/>
                <w:sz w:val="20"/>
              </w:rPr>
              <w:t>Zvýšení potenciální úvěrovatelnosti kapitálově posíleného subjektu</w:t>
            </w:r>
          </w:p>
        </w:tc>
        <w:tc>
          <w:tcPr>
            <w:tcW w:w="2330" w:type="dxa"/>
            <w:shd w:val="clear" w:color="auto" w:fill="8DB3E2" w:themeFill="text2" w:themeFillTint="66"/>
          </w:tcPr>
          <w:p w:rsidR="009D2CAE" w:rsidRPr="007C0CDA" w:rsidRDefault="009D2CAE" w:rsidP="00A85B7C">
            <w:pPr>
              <w:jc w:val="center"/>
              <w:rPr>
                <w:b/>
                <w:color w:val="FFFFFF"/>
                <w:sz w:val="20"/>
              </w:rPr>
            </w:pPr>
            <w:r w:rsidRPr="007C0CDA">
              <w:rPr>
                <w:b/>
                <w:color w:val="FFFFFF"/>
                <w:sz w:val="20"/>
              </w:rPr>
              <w:t>Delší doba splatnosti</w:t>
            </w:r>
          </w:p>
        </w:tc>
        <w:tc>
          <w:tcPr>
            <w:tcW w:w="2330" w:type="dxa"/>
            <w:shd w:val="clear" w:color="auto" w:fill="8DB3E2" w:themeFill="text2" w:themeFillTint="66"/>
          </w:tcPr>
          <w:p w:rsidR="009D2CAE" w:rsidRPr="007C0CDA" w:rsidRDefault="009D2CAE" w:rsidP="00A85B7C">
            <w:pPr>
              <w:jc w:val="center"/>
              <w:rPr>
                <w:b/>
                <w:color w:val="FFFFFF"/>
                <w:sz w:val="20"/>
              </w:rPr>
            </w:pPr>
          </w:p>
        </w:tc>
      </w:tr>
      <w:tr w:rsidR="009D2CAE" w:rsidRPr="007C0CDA" w:rsidTr="002433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78"/>
        </w:trPr>
        <w:tc>
          <w:tcPr>
            <w:tcW w:w="960" w:type="dxa"/>
            <w:vMerge/>
            <w:shd w:val="clear" w:color="auto" w:fill="8DB3E2" w:themeFill="text2" w:themeFillTint="66"/>
          </w:tcPr>
          <w:p w:rsidR="009D2CAE" w:rsidRPr="007C0CDA" w:rsidRDefault="009D2CAE" w:rsidP="00A85B7C">
            <w:pPr>
              <w:jc w:val="left"/>
              <w:rPr>
                <w:b/>
                <w:bCs/>
                <w:color w:val="FFFFFF"/>
                <w:sz w:val="24"/>
                <w:szCs w:val="24"/>
              </w:rPr>
            </w:pPr>
          </w:p>
        </w:tc>
        <w:tc>
          <w:tcPr>
            <w:tcW w:w="960" w:type="dxa"/>
            <w:vMerge/>
            <w:shd w:val="clear" w:color="auto" w:fill="8DB3E2" w:themeFill="text2" w:themeFillTint="66"/>
          </w:tcPr>
          <w:p w:rsidR="009D2CAE" w:rsidRPr="007C0CDA" w:rsidRDefault="009D2CAE" w:rsidP="00A85B7C">
            <w:pPr>
              <w:jc w:val="left"/>
              <w:rPr>
                <w:b/>
                <w:bCs/>
                <w:color w:val="FFFFFF"/>
                <w:sz w:val="24"/>
                <w:szCs w:val="24"/>
              </w:rPr>
            </w:pPr>
          </w:p>
        </w:tc>
        <w:tc>
          <w:tcPr>
            <w:tcW w:w="2414" w:type="dxa"/>
            <w:shd w:val="clear" w:color="auto" w:fill="8DB3E2" w:themeFill="text2" w:themeFillTint="66"/>
            <w:noWrap/>
          </w:tcPr>
          <w:p w:rsidR="009D2CAE" w:rsidRPr="007C0CDA" w:rsidRDefault="009D2CAE" w:rsidP="00C767FC">
            <w:pPr>
              <w:jc w:val="center"/>
              <w:rPr>
                <w:b/>
                <w:color w:val="FFFFFF"/>
                <w:sz w:val="20"/>
              </w:rPr>
            </w:pPr>
            <w:r w:rsidRPr="007C0CDA">
              <w:rPr>
                <w:b/>
                <w:color w:val="FFFFFF"/>
                <w:sz w:val="20"/>
              </w:rPr>
              <w:t xml:space="preserve">Vysoký tlak na dosažení ziskovosti projektu </w:t>
            </w:r>
          </w:p>
        </w:tc>
        <w:tc>
          <w:tcPr>
            <w:tcW w:w="2330" w:type="dxa"/>
            <w:shd w:val="clear" w:color="auto" w:fill="8DB3E2" w:themeFill="text2" w:themeFillTint="66"/>
          </w:tcPr>
          <w:p w:rsidR="009D2CAE" w:rsidRPr="007C0CDA" w:rsidRDefault="009D2CAE" w:rsidP="001B1EEC">
            <w:pPr>
              <w:jc w:val="center"/>
              <w:rPr>
                <w:b/>
                <w:color w:val="FFFFFF"/>
                <w:sz w:val="20"/>
              </w:rPr>
            </w:pPr>
            <w:r w:rsidRPr="007C0CDA">
              <w:rPr>
                <w:b/>
                <w:color w:val="FFFFFF"/>
                <w:sz w:val="20"/>
              </w:rPr>
              <w:t>Platba v předstihu v podobě úvěru</w:t>
            </w:r>
          </w:p>
        </w:tc>
        <w:tc>
          <w:tcPr>
            <w:tcW w:w="2330" w:type="dxa"/>
            <w:shd w:val="clear" w:color="auto" w:fill="8DB3E2" w:themeFill="text2" w:themeFillTint="66"/>
          </w:tcPr>
          <w:p w:rsidR="009D2CAE" w:rsidRPr="007C0CDA" w:rsidRDefault="009D2CAE" w:rsidP="00A85B7C">
            <w:pPr>
              <w:jc w:val="center"/>
              <w:rPr>
                <w:b/>
                <w:color w:val="FFFFFF"/>
                <w:sz w:val="20"/>
              </w:rPr>
            </w:pPr>
          </w:p>
        </w:tc>
      </w:tr>
      <w:tr w:rsidR="009D2CAE" w:rsidRPr="007C0CDA" w:rsidTr="002433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680"/>
        </w:trPr>
        <w:tc>
          <w:tcPr>
            <w:tcW w:w="960" w:type="dxa"/>
            <w:vMerge/>
            <w:shd w:val="clear" w:color="auto" w:fill="8DB3E2" w:themeFill="text2" w:themeFillTint="66"/>
          </w:tcPr>
          <w:p w:rsidR="009D2CAE" w:rsidRPr="007C0CDA" w:rsidRDefault="009D2CAE" w:rsidP="00A85B7C">
            <w:pPr>
              <w:jc w:val="left"/>
              <w:rPr>
                <w:b/>
                <w:bCs/>
                <w:color w:val="FFFFFF"/>
                <w:sz w:val="24"/>
                <w:szCs w:val="24"/>
              </w:rPr>
            </w:pPr>
          </w:p>
        </w:tc>
        <w:tc>
          <w:tcPr>
            <w:tcW w:w="960" w:type="dxa"/>
            <w:vMerge/>
            <w:shd w:val="clear" w:color="auto" w:fill="8DB3E2" w:themeFill="text2" w:themeFillTint="66"/>
          </w:tcPr>
          <w:p w:rsidR="009D2CAE" w:rsidRPr="007C0CDA" w:rsidRDefault="009D2CAE" w:rsidP="00A85B7C">
            <w:pPr>
              <w:jc w:val="left"/>
              <w:rPr>
                <w:b/>
                <w:bCs/>
                <w:color w:val="FFFFFF"/>
                <w:sz w:val="24"/>
                <w:szCs w:val="24"/>
              </w:rPr>
            </w:pPr>
          </w:p>
        </w:tc>
        <w:tc>
          <w:tcPr>
            <w:tcW w:w="2414" w:type="dxa"/>
            <w:shd w:val="clear" w:color="auto" w:fill="8DB3E2" w:themeFill="text2" w:themeFillTint="66"/>
          </w:tcPr>
          <w:p w:rsidR="009D2CAE" w:rsidRPr="007C0CDA" w:rsidRDefault="009D2CAE" w:rsidP="00A85B7C">
            <w:pPr>
              <w:jc w:val="center"/>
              <w:rPr>
                <w:b/>
                <w:color w:val="FFFFFF"/>
                <w:sz w:val="20"/>
              </w:rPr>
            </w:pPr>
            <w:r w:rsidRPr="007C0CDA">
              <w:rPr>
                <w:b/>
                <w:color w:val="FFFFFF"/>
                <w:sz w:val="20"/>
              </w:rPr>
              <w:t>Know-how a kontakty ze strany investorů</w:t>
            </w:r>
          </w:p>
        </w:tc>
        <w:tc>
          <w:tcPr>
            <w:tcW w:w="2330" w:type="dxa"/>
            <w:shd w:val="clear" w:color="auto" w:fill="8DB3E2" w:themeFill="text2" w:themeFillTint="66"/>
          </w:tcPr>
          <w:p w:rsidR="009D2CAE" w:rsidRPr="007C0CDA" w:rsidRDefault="009D2CAE" w:rsidP="00A85B7C">
            <w:pPr>
              <w:jc w:val="center"/>
              <w:rPr>
                <w:b/>
                <w:color w:val="FFFFFF"/>
                <w:sz w:val="20"/>
              </w:rPr>
            </w:pPr>
            <w:r w:rsidRPr="007C0CDA">
              <w:rPr>
                <w:b/>
                <w:color w:val="FFFFFF"/>
                <w:sz w:val="20"/>
              </w:rPr>
              <w:t>Nižší administrativní náročnost</w:t>
            </w:r>
          </w:p>
        </w:tc>
        <w:tc>
          <w:tcPr>
            <w:tcW w:w="2330" w:type="dxa"/>
            <w:shd w:val="clear" w:color="auto" w:fill="8DB3E2" w:themeFill="text2" w:themeFillTint="66"/>
          </w:tcPr>
          <w:p w:rsidR="009D2CAE" w:rsidRPr="007C0CDA" w:rsidRDefault="009D2CAE" w:rsidP="00A85B7C">
            <w:pPr>
              <w:jc w:val="center"/>
              <w:rPr>
                <w:b/>
                <w:color w:val="FFFFFF"/>
                <w:sz w:val="20"/>
              </w:rPr>
            </w:pPr>
          </w:p>
        </w:tc>
      </w:tr>
      <w:tr w:rsidR="009D2CAE" w:rsidRPr="007C0CDA" w:rsidTr="002433DA">
        <w:trPr>
          <w:trHeight w:val="690"/>
        </w:trPr>
        <w:tc>
          <w:tcPr>
            <w:tcW w:w="960" w:type="dxa"/>
            <w:vMerge/>
            <w:shd w:val="clear" w:color="auto" w:fill="8DB3E2" w:themeFill="text2" w:themeFillTint="66"/>
            <w:vAlign w:val="center"/>
          </w:tcPr>
          <w:p w:rsidR="009D2CAE" w:rsidRPr="007C0CDA" w:rsidRDefault="009D2CAE" w:rsidP="0010532D">
            <w:pPr>
              <w:jc w:val="left"/>
              <w:rPr>
                <w:b/>
                <w:bCs/>
                <w:color w:val="FFFFFF"/>
                <w:sz w:val="24"/>
                <w:szCs w:val="24"/>
              </w:rPr>
            </w:pPr>
          </w:p>
        </w:tc>
        <w:tc>
          <w:tcPr>
            <w:tcW w:w="960" w:type="dxa"/>
            <w:vMerge/>
            <w:shd w:val="clear" w:color="auto" w:fill="8DB3E2" w:themeFill="text2" w:themeFillTint="66"/>
            <w:vAlign w:val="center"/>
          </w:tcPr>
          <w:p w:rsidR="009D2CAE" w:rsidRPr="007C0CDA" w:rsidRDefault="009D2CAE" w:rsidP="0010532D">
            <w:pPr>
              <w:jc w:val="left"/>
              <w:rPr>
                <w:b/>
                <w:bCs/>
                <w:color w:val="FFFFFF"/>
                <w:sz w:val="24"/>
                <w:szCs w:val="24"/>
              </w:rPr>
            </w:pPr>
          </w:p>
        </w:tc>
        <w:tc>
          <w:tcPr>
            <w:tcW w:w="2414" w:type="dxa"/>
            <w:shd w:val="clear" w:color="auto" w:fill="8DB3E2" w:themeFill="text2" w:themeFillTint="66"/>
            <w:vAlign w:val="center"/>
          </w:tcPr>
          <w:p w:rsidR="009D2CAE" w:rsidRPr="007C0CDA" w:rsidRDefault="009D2CAE" w:rsidP="0010532D">
            <w:pPr>
              <w:jc w:val="center"/>
              <w:rPr>
                <w:b/>
                <w:color w:val="FFFFFF"/>
                <w:sz w:val="20"/>
              </w:rPr>
            </w:pPr>
            <w:r w:rsidRPr="007C0CDA">
              <w:rPr>
                <w:b/>
                <w:color w:val="FFFFFF"/>
                <w:sz w:val="20"/>
              </w:rPr>
              <w:t>Vyšší atraktivita podniku pro další investory</w:t>
            </w:r>
          </w:p>
        </w:tc>
        <w:tc>
          <w:tcPr>
            <w:tcW w:w="2330" w:type="dxa"/>
            <w:shd w:val="clear" w:color="auto" w:fill="8DB3E2" w:themeFill="text2" w:themeFillTint="66"/>
            <w:vAlign w:val="center"/>
          </w:tcPr>
          <w:p w:rsidR="009D2CAE" w:rsidRPr="007C0CDA" w:rsidRDefault="009D2CAE" w:rsidP="0010532D">
            <w:pPr>
              <w:jc w:val="center"/>
              <w:rPr>
                <w:b/>
                <w:color w:val="FFFFFF"/>
                <w:sz w:val="20"/>
              </w:rPr>
            </w:pPr>
            <w:r w:rsidRPr="007C0CDA">
              <w:rPr>
                <w:b/>
                <w:color w:val="FFFFFF"/>
                <w:sz w:val="20"/>
              </w:rPr>
              <w:t>Absolutní kontrola nad získanými prostředky a podnikáním</w:t>
            </w:r>
          </w:p>
        </w:tc>
        <w:tc>
          <w:tcPr>
            <w:tcW w:w="2330" w:type="dxa"/>
            <w:shd w:val="clear" w:color="auto" w:fill="8DB3E2" w:themeFill="text2" w:themeFillTint="66"/>
          </w:tcPr>
          <w:p w:rsidR="009D2CAE" w:rsidRPr="007C0CDA" w:rsidRDefault="009D2CAE" w:rsidP="0010532D">
            <w:pPr>
              <w:jc w:val="left"/>
              <w:rPr>
                <w:rFonts w:ascii="Times New Roman" w:hAnsi="Times New Roman"/>
                <w:b/>
                <w:color w:val="FFFFFF"/>
                <w:sz w:val="20"/>
              </w:rPr>
            </w:pPr>
          </w:p>
        </w:tc>
      </w:tr>
      <w:tr w:rsidR="009D2CAE" w:rsidRPr="007C0CDA" w:rsidTr="002433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690"/>
        </w:trPr>
        <w:tc>
          <w:tcPr>
            <w:tcW w:w="960" w:type="dxa"/>
            <w:vMerge/>
            <w:shd w:val="clear" w:color="auto" w:fill="8DB3E2" w:themeFill="text2" w:themeFillTint="66"/>
          </w:tcPr>
          <w:p w:rsidR="009D2CAE" w:rsidRPr="007C0CDA" w:rsidRDefault="009D2CAE" w:rsidP="0010532D">
            <w:pPr>
              <w:jc w:val="left"/>
              <w:rPr>
                <w:b/>
                <w:bCs/>
                <w:color w:val="FFFFFF"/>
                <w:sz w:val="24"/>
                <w:szCs w:val="24"/>
              </w:rPr>
            </w:pPr>
          </w:p>
        </w:tc>
        <w:tc>
          <w:tcPr>
            <w:tcW w:w="960" w:type="dxa"/>
            <w:vMerge/>
            <w:shd w:val="clear" w:color="auto" w:fill="8DB3E2" w:themeFill="text2" w:themeFillTint="66"/>
          </w:tcPr>
          <w:p w:rsidR="009D2CAE" w:rsidRPr="007C0CDA" w:rsidRDefault="009D2CAE" w:rsidP="0010532D">
            <w:pPr>
              <w:jc w:val="left"/>
              <w:rPr>
                <w:b/>
                <w:bCs/>
                <w:color w:val="FFFFFF"/>
                <w:sz w:val="24"/>
                <w:szCs w:val="24"/>
              </w:rPr>
            </w:pPr>
          </w:p>
        </w:tc>
        <w:tc>
          <w:tcPr>
            <w:tcW w:w="2414" w:type="dxa"/>
            <w:shd w:val="clear" w:color="auto" w:fill="8DB3E2" w:themeFill="text2" w:themeFillTint="66"/>
          </w:tcPr>
          <w:p w:rsidR="009D2CAE" w:rsidRPr="007C0CDA" w:rsidRDefault="009D2CAE" w:rsidP="00C767FC">
            <w:pPr>
              <w:jc w:val="center"/>
              <w:rPr>
                <w:b/>
                <w:color w:val="FFFFFF"/>
                <w:sz w:val="20"/>
              </w:rPr>
            </w:pPr>
            <w:r w:rsidRPr="007C0CDA">
              <w:rPr>
                <w:b/>
                <w:color w:val="FFFFFF"/>
                <w:sz w:val="20"/>
              </w:rPr>
              <w:t>Možnost propojení s odbornou asistencí v oblasti rozvoje podnikání (CI)</w:t>
            </w:r>
          </w:p>
        </w:tc>
        <w:tc>
          <w:tcPr>
            <w:tcW w:w="2330" w:type="dxa"/>
            <w:shd w:val="clear" w:color="auto" w:fill="8DB3E2" w:themeFill="text2" w:themeFillTint="66"/>
          </w:tcPr>
          <w:p w:rsidR="009D2CAE" w:rsidRPr="007C0CDA" w:rsidRDefault="009D2CAE" w:rsidP="0010532D">
            <w:pPr>
              <w:jc w:val="center"/>
              <w:rPr>
                <w:b/>
                <w:color w:val="FFFFFF"/>
                <w:sz w:val="20"/>
              </w:rPr>
            </w:pPr>
            <w:r w:rsidRPr="007C0CDA">
              <w:rPr>
                <w:b/>
                <w:color w:val="FFFFFF"/>
                <w:sz w:val="20"/>
              </w:rPr>
              <w:t>Potenciální revolvingový efekt a podpoření projektů v dalších cyklech</w:t>
            </w:r>
          </w:p>
        </w:tc>
        <w:tc>
          <w:tcPr>
            <w:tcW w:w="2330" w:type="dxa"/>
            <w:shd w:val="clear" w:color="auto" w:fill="8DB3E2" w:themeFill="text2" w:themeFillTint="66"/>
          </w:tcPr>
          <w:p w:rsidR="009D2CAE" w:rsidRPr="007C0CDA" w:rsidRDefault="009D2CAE" w:rsidP="0010532D">
            <w:pPr>
              <w:jc w:val="left"/>
              <w:rPr>
                <w:rFonts w:ascii="Times New Roman" w:hAnsi="Times New Roman"/>
                <w:b/>
                <w:color w:val="FFFFFF"/>
                <w:sz w:val="20"/>
              </w:rPr>
            </w:pPr>
          </w:p>
        </w:tc>
      </w:tr>
      <w:tr w:rsidR="009D2CAE" w:rsidRPr="007C0CDA" w:rsidTr="002433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735"/>
        </w:trPr>
        <w:tc>
          <w:tcPr>
            <w:tcW w:w="960" w:type="dxa"/>
            <w:vMerge/>
            <w:shd w:val="clear" w:color="auto" w:fill="8DB3E2" w:themeFill="text2" w:themeFillTint="66"/>
          </w:tcPr>
          <w:p w:rsidR="009D2CAE" w:rsidRPr="007C0CDA" w:rsidRDefault="009D2CAE" w:rsidP="0010532D">
            <w:pPr>
              <w:jc w:val="left"/>
              <w:rPr>
                <w:b/>
                <w:bCs/>
                <w:color w:val="FFFFFF"/>
                <w:sz w:val="24"/>
                <w:szCs w:val="24"/>
              </w:rPr>
            </w:pPr>
          </w:p>
        </w:tc>
        <w:tc>
          <w:tcPr>
            <w:tcW w:w="960" w:type="dxa"/>
            <w:vMerge w:val="restart"/>
            <w:shd w:val="clear" w:color="auto" w:fill="8DB3E2" w:themeFill="text2" w:themeFillTint="66"/>
            <w:noWrap/>
            <w:textDirection w:val="btLr"/>
          </w:tcPr>
          <w:p w:rsidR="009D2CAE" w:rsidRPr="007C0CDA" w:rsidRDefault="009D2CAE" w:rsidP="0010532D">
            <w:pPr>
              <w:jc w:val="center"/>
              <w:rPr>
                <w:b/>
                <w:bCs/>
                <w:color w:val="FFFFFF"/>
                <w:sz w:val="24"/>
                <w:szCs w:val="24"/>
              </w:rPr>
            </w:pPr>
            <w:r w:rsidRPr="007C0CDA">
              <w:rPr>
                <w:b/>
                <w:bCs/>
                <w:color w:val="FFFFFF"/>
                <w:sz w:val="24"/>
                <w:szCs w:val="24"/>
              </w:rPr>
              <w:t>ŘO</w:t>
            </w:r>
          </w:p>
        </w:tc>
        <w:tc>
          <w:tcPr>
            <w:tcW w:w="2414" w:type="dxa"/>
            <w:shd w:val="clear" w:color="auto" w:fill="8DB3E2" w:themeFill="text2" w:themeFillTint="66"/>
          </w:tcPr>
          <w:p w:rsidR="009D2CAE" w:rsidRPr="007C0CDA" w:rsidRDefault="009D2CAE" w:rsidP="0010532D">
            <w:pPr>
              <w:jc w:val="center"/>
              <w:rPr>
                <w:b/>
                <w:color w:val="FFFFFF"/>
                <w:sz w:val="20"/>
              </w:rPr>
            </w:pPr>
            <w:r w:rsidRPr="007C0CDA">
              <w:rPr>
                <w:b/>
                <w:color w:val="FFFFFF"/>
                <w:sz w:val="20"/>
              </w:rPr>
              <w:t>Revolvingový potenciál</w:t>
            </w:r>
          </w:p>
        </w:tc>
        <w:tc>
          <w:tcPr>
            <w:tcW w:w="2330" w:type="dxa"/>
            <w:shd w:val="clear" w:color="auto" w:fill="8DB3E2" w:themeFill="text2" w:themeFillTint="66"/>
          </w:tcPr>
          <w:p w:rsidR="009D2CAE" w:rsidRPr="007C0CDA" w:rsidRDefault="009D2CAE" w:rsidP="0010532D">
            <w:pPr>
              <w:jc w:val="center"/>
              <w:rPr>
                <w:b/>
                <w:color w:val="FFFFFF"/>
                <w:sz w:val="20"/>
              </w:rPr>
            </w:pPr>
            <w:r w:rsidRPr="007C0CDA">
              <w:rPr>
                <w:b/>
                <w:color w:val="FFFFFF"/>
                <w:sz w:val="20"/>
              </w:rPr>
              <w:t>Predikovatelné splátky</w:t>
            </w:r>
          </w:p>
        </w:tc>
        <w:tc>
          <w:tcPr>
            <w:tcW w:w="2330" w:type="dxa"/>
            <w:shd w:val="clear" w:color="auto" w:fill="8DB3E2" w:themeFill="text2" w:themeFillTint="66"/>
          </w:tcPr>
          <w:p w:rsidR="009D2CAE" w:rsidRPr="007C0CDA" w:rsidRDefault="009D2CAE" w:rsidP="0010532D">
            <w:pPr>
              <w:jc w:val="center"/>
              <w:rPr>
                <w:b/>
                <w:color w:val="FFFFFF"/>
                <w:sz w:val="20"/>
              </w:rPr>
            </w:pPr>
          </w:p>
        </w:tc>
      </w:tr>
      <w:tr w:rsidR="009D2CAE" w:rsidRPr="007C0CDA" w:rsidTr="002433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735"/>
        </w:trPr>
        <w:tc>
          <w:tcPr>
            <w:tcW w:w="960" w:type="dxa"/>
            <w:vMerge/>
            <w:shd w:val="clear" w:color="auto" w:fill="8DB3E2" w:themeFill="text2" w:themeFillTint="66"/>
          </w:tcPr>
          <w:p w:rsidR="009D2CAE" w:rsidRPr="007C0CDA" w:rsidRDefault="009D2CAE" w:rsidP="0010532D">
            <w:pPr>
              <w:jc w:val="left"/>
              <w:rPr>
                <w:b/>
                <w:bCs/>
                <w:color w:val="FFFFFF"/>
                <w:sz w:val="18"/>
                <w:szCs w:val="18"/>
              </w:rPr>
            </w:pPr>
          </w:p>
        </w:tc>
        <w:tc>
          <w:tcPr>
            <w:tcW w:w="960" w:type="dxa"/>
            <w:vMerge/>
            <w:shd w:val="clear" w:color="auto" w:fill="8DB3E2" w:themeFill="text2" w:themeFillTint="66"/>
            <w:noWrap/>
            <w:textDirection w:val="btLr"/>
          </w:tcPr>
          <w:p w:rsidR="009D2CAE" w:rsidRPr="007C0CDA" w:rsidRDefault="009D2CAE" w:rsidP="0010532D">
            <w:pPr>
              <w:jc w:val="center"/>
              <w:rPr>
                <w:b/>
                <w:bCs/>
                <w:color w:val="FFFFFF"/>
                <w:sz w:val="18"/>
                <w:szCs w:val="18"/>
              </w:rPr>
            </w:pPr>
          </w:p>
        </w:tc>
        <w:tc>
          <w:tcPr>
            <w:tcW w:w="2414" w:type="dxa"/>
            <w:shd w:val="clear" w:color="auto" w:fill="8DB3E2" w:themeFill="text2" w:themeFillTint="66"/>
          </w:tcPr>
          <w:p w:rsidR="009D2CAE" w:rsidRPr="007C0CDA" w:rsidRDefault="009D2CAE" w:rsidP="0010532D">
            <w:pPr>
              <w:jc w:val="center"/>
              <w:rPr>
                <w:b/>
                <w:color w:val="FFFFFF"/>
                <w:sz w:val="20"/>
              </w:rPr>
            </w:pPr>
            <w:r w:rsidRPr="007C0CDA">
              <w:rPr>
                <w:b/>
                <w:color w:val="FFFFFF"/>
                <w:sz w:val="20"/>
              </w:rPr>
              <w:t>Efektivní prostředek k rozvoji trhu PE</w:t>
            </w:r>
          </w:p>
        </w:tc>
        <w:tc>
          <w:tcPr>
            <w:tcW w:w="2330" w:type="dxa"/>
            <w:shd w:val="clear" w:color="auto" w:fill="8DB3E2" w:themeFill="text2" w:themeFillTint="66"/>
          </w:tcPr>
          <w:p w:rsidR="009D2CAE" w:rsidRPr="007C0CDA" w:rsidRDefault="009D2CAE" w:rsidP="0010532D">
            <w:pPr>
              <w:jc w:val="center"/>
              <w:rPr>
                <w:b/>
                <w:color w:val="FFFFFF"/>
                <w:sz w:val="20"/>
              </w:rPr>
            </w:pPr>
            <w:r w:rsidRPr="007C0CDA">
              <w:rPr>
                <w:b/>
                <w:color w:val="FFFFFF"/>
                <w:sz w:val="20"/>
              </w:rPr>
              <w:t>Rychlé čerpání</w:t>
            </w:r>
          </w:p>
        </w:tc>
        <w:tc>
          <w:tcPr>
            <w:tcW w:w="2330" w:type="dxa"/>
            <w:shd w:val="clear" w:color="auto" w:fill="8DB3E2" w:themeFill="text2" w:themeFillTint="66"/>
          </w:tcPr>
          <w:p w:rsidR="009D2CAE" w:rsidRPr="007C0CDA" w:rsidRDefault="009D2CAE" w:rsidP="0010532D">
            <w:pPr>
              <w:jc w:val="center"/>
              <w:rPr>
                <w:b/>
                <w:color w:val="FFFFFF"/>
                <w:sz w:val="20"/>
              </w:rPr>
            </w:pPr>
          </w:p>
        </w:tc>
      </w:tr>
      <w:tr w:rsidR="009D2CAE" w:rsidRPr="007C0CDA" w:rsidTr="002433DA">
        <w:trPr>
          <w:trHeight w:val="311"/>
        </w:trPr>
        <w:tc>
          <w:tcPr>
            <w:tcW w:w="960" w:type="dxa"/>
            <w:vMerge/>
            <w:shd w:val="clear" w:color="auto" w:fill="8DB3E2" w:themeFill="text2" w:themeFillTint="66"/>
            <w:vAlign w:val="center"/>
          </w:tcPr>
          <w:p w:rsidR="009D2CAE" w:rsidRPr="007C0CDA" w:rsidRDefault="009D2CAE" w:rsidP="0010532D">
            <w:pPr>
              <w:jc w:val="left"/>
              <w:rPr>
                <w:b/>
                <w:bCs/>
                <w:color w:val="FFFFFF"/>
                <w:sz w:val="18"/>
                <w:szCs w:val="18"/>
              </w:rPr>
            </w:pPr>
          </w:p>
        </w:tc>
        <w:tc>
          <w:tcPr>
            <w:tcW w:w="960" w:type="dxa"/>
            <w:vMerge/>
            <w:shd w:val="clear" w:color="auto" w:fill="8DB3E2" w:themeFill="text2" w:themeFillTint="66"/>
            <w:noWrap/>
            <w:textDirection w:val="btLr"/>
            <w:vAlign w:val="center"/>
          </w:tcPr>
          <w:p w:rsidR="009D2CAE" w:rsidRPr="007C0CDA" w:rsidRDefault="009D2CAE" w:rsidP="0010532D">
            <w:pPr>
              <w:jc w:val="center"/>
              <w:rPr>
                <w:b/>
                <w:bCs/>
                <w:color w:val="FFFFFF"/>
                <w:sz w:val="18"/>
                <w:szCs w:val="18"/>
              </w:rPr>
            </w:pPr>
          </w:p>
        </w:tc>
        <w:tc>
          <w:tcPr>
            <w:tcW w:w="2414" w:type="dxa"/>
            <w:shd w:val="clear" w:color="auto" w:fill="8DB3E2" w:themeFill="text2" w:themeFillTint="66"/>
            <w:vAlign w:val="center"/>
          </w:tcPr>
          <w:p w:rsidR="009D2CAE" w:rsidRPr="007C0CDA" w:rsidRDefault="009D2CAE" w:rsidP="0010532D">
            <w:pPr>
              <w:jc w:val="center"/>
              <w:rPr>
                <w:b/>
                <w:color w:val="FFFFFF"/>
                <w:sz w:val="20"/>
              </w:rPr>
            </w:pPr>
            <w:r w:rsidRPr="007C0CDA">
              <w:rPr>
                <w:b/>
                <w:color w:val="FFFFFF"/>
                <w:sz w:val="20"/>
              </w:rPr>
              <w:t>Možnost provázání s pre-seed fondem SC 1.2.</w:t>
            </w:r>
          </w:p>
        </w:tc>
        <w:tc>
          <w:tcPr>
            <w:tcW w:w="2330" w:type="dxa"/>
            <w:shd w:val="clear" w:color="auto" w:fill="8DB3E2" w:themeFill="text2" w:themeFillTint="66"/>
            <w:vAlign w:val="center"/>
          </w:tcPr>
          <w:p w:rsidR="009D2CAE" w:rsidRPr="007C0CDA" w:rsidRDefault="009D2CAE" w:rsidP="0010532D">
            <w:pPr>
              <w:jc w:val="center"/>
              <w:rPr>
                <w:b/>
                <w:color w:val="FFFFFF"/>
                <w:sz w:val="20"/>
              </w:rPr>
            </w:pPr>
          </w:p>
        </w:tc>
        <w:tc>
          <w:tcPr>
            <w:tcW w:w="2330" w:type="dxa"/>
            <w:shd w:val="clear" w:color="auto" w:fill="8DB3E2" w:themeFill="text2" w:themeFillTint="66"/>
          </w:tcPr>
          <w:p w:rsidR="009D2CAE" w:rsidRPr="007C0CDA" w:rsidRDefault="009D2CAE" w:rsidP="0010532D">
            <w:pPr>
              <w:jc w:val="center"/>
              <w:rPr>
                <w:b/>
                <w:color w:val="FFFFFF"/>
                <w:sz w:val="20"/>
              </w:rPr>
            </w:pPr>
          </w:p>
        </w:tc>
      </w:tr>
      <w:tr w:rsidR="009D2CAE" w:rsidRPr="007C0CDA" w:rsidTr="002433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11"/>
        </w:trPr>
        <w:tc>
          <w:tcPr>
            <w:tcW w:w="960" w:type="dxa"/>
            <w:vMerge/>
            <w:shd w:val="clear" w:color="auto" w:fill="8DB3E2" w:themeFill="text2" w:themeFillTint="66"/>
          </w:tcPr>
          <w:p w:rsidR="009D2CAE" w:rsidRPr="007C0CDA" w:rsidRDefault="009D2CAE" w:rsidP="0010532D">
            <w:pPr>
              <w:jc w:val="left"/>
              <w:rPr>
                <w:b/>
                <w:bCs/>
                <w:color w:val="FFFFFF"/>
                <w:sz w:val="18"/>
                <w:szCs w:val="18"/>
              </w:rPr>
            </w:pPr>
          </w:p>
        </w:tc>
        <w:tc>
          <w:tcPr>
            <w:tcW w:w="960" w:type="dxa"/>
            <w:vMerge/>
            <w:shd w:val="clear" w:color="auto" w:fill="8DB3E2" w:themeFill="text2" w:themeFillTint="66"/>
            <w:noWrap/>
            <w:textDirection w:val="btLr"/>
          </w:tcPr>
          <w:p w:rsidR="009D2CAE" w:rsidRPr="007C0CDA" w:rsidRDefault="009D2CAE" w:rsidP="0010532D">
            <w:pPr>
              <w:jc w:val="center"/>
              <w:rPr>
                <w:b/>
                <w:bCs/>
                <w:color w:val="FFFFFF"/>
                <w:sz w:val="18"/>
                <w:szCs w:val="18"/>
              </w:rPr>
            </w:pPr>
          </w:p>
        </w:tc>
        <w:tc>
          <w:tcPr>
            <w:tcW w:w="2414" w:type="dxa"/>
            <w:shd w:val="clear" w:color="auto" w:fill="8DB3E2" w:themeFill="text2" w:themeFillTint="66"/>
          </w:tcPr>
          <w:p w:rsidR="009D2CAE" w:rsidRPr="007C0CDA" w:rsidRDefault="009D2CAE" w:rsidP="00C767FC">
            <w:pPr>
              <w:jc w:val="center"/>
              <w:rPr>
                <w:b/>
                <w:color w:val="FFFFFF"/>
                <w:sz w:val="20"/>
              </w:rPr>
            </w:pPr>
            <w:r w:rsidRPr="007C0CDA">
              <w:rPr>
                <w:b/>
                <w:color w:val="FFFFFF"/>
                <w:sz w:val="20"/>
              </w:rPr>
              <w:t>Vyšší možnost kontroly investovaných prostředků</w:t>
            </w:r>
          </w:p>
        </w:tc>
        <w:tc>
          <w:tcPr>
            <w:tcW w:w="2330" w:type="dxa"/>
            <w:shd w:val="clear" w:color="auto" w:fill="8DB3E2" w:themeFill="text2" w:themeFillTint="66"/>
          </w:tcPr>
          <w:p w:rsidR="009D2CAE" w:rsidRPr="007C0CDA" w:rsidRDefault="009D2CAE" w:rsidP="0010532D">
            <w:pPr>
              <w:jc w:val="center"/>
              <w:rPr>
                <w:b/>
                <w:color w:val="FFFFFF"/>
                <w:sz w:val="20"/>
              </w:rPr>
            </w:pPr>
          </w:p>
        </w:tc>
        <w:tc>
          <w:tcPr>
            <w:tcW w:w="2330" w:type="dxa"/>
            <w:shd w:val="clear" w:color="auto" w:fill="8DB3E2" w:themeFill="text2" w:themeFillTint="66"/>
          </w:tcPr>
          <w:p w:rsidR="009D2CAE" w:rsidRPr="007C0CDA" w:rsidRDefault="009D2CAE" w:rsidP="0010532D">
            <w:pPr>
              <w:jc w:val="center"/>
              <w:rPr>
                <w:b/>
                <w:color w:val="FFFFFF"/>
                <w:sz w:val="20"/>
              </w:rPr>
            </w:pPr>
          </w:p>
        </w:tc>
      </w:tr>
      <w:tr w:rsidR="009D2CAE" w:rsidRPr="007C0CDA" w:rsidTr="002433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735"/>
        </w:trPr>
        <w:tc>
          <w:tcPr>
            <w:tcW w:w="960" w:type="dxa"/>
            <w:vMerge w:val="restart"/>
            <w:shd w:val="clear" w:color="auto" w:fill="FF0000"/>
            <w:textDirection w:val="btLr"/>
          </w:tcPr>
          <w:p w:rsidR="009D2CAE" w:rsidRPr="007C0CDA" w:rsidRDefault="009D2CAE" w:rsidP="0010532D">
            <w:pPr>
              <w:ind w:left="113" w:right="113"/>
              <w:jc w:val="center"/>
              <w:rPr>
                <w:b/>
                <w:bCs/>
                <w:color w:val="FFFFFF"/>
                <w:sz w:val="24"/>
                <w:szCs w:val="24"/>
              </w:rPr>
            </w:pPr>
            <w:r w:rsidRPr="007C0CDA">
              <w:rPr>
                <w:b/>
                <w:bCs/>
                <w:color w:val="FFFFFF"/>
                <w:sz w:val="24"/>
                <w:szCs w:val="24"/>
              </w:rPr>
              <w:t>Nevýhody a rizika</w:t>
            </w:r>
          </w:p>
        </w:tc>
        <w:tc>
          <w:tcPr>
            <w:tcW w:w="960" w:type="dxa"/>
            <w:vMerge w:val="restart"/>
            <w:shd w:val="clear" w:color="auto" w:fill="FF0000"/>
            <w:noWrap/>
            <w:textDirection w:val="btLr"/>
          </w:tcPr>
          <w:p w:rsidR="009D2CAE" w:rsidRPr="007C0CDA" w:rsidRDefault="009D2CAE" w:rsidP="0010532D">
            <w:pPr>
              <w:jc w:val="center"/>
              <w:rPr>
                <w:b/>
                <w:bCs/>
                <w:color w:val="FFFFFF"/>
                <w:sz w:val="24"/>
                <w:szCs w:val="24"/>
              </w:rPr>
            </w:pPr>
            <w:r w:rsidRPr="007C0CDA">
              <w:rPr>
                <w:b/>
                <w:bCs/>
                <w:color w:val="FFFFFF"/>
                <w:sz w:val="24"/>
                <w:szCs w:val="24"/>
              </w:rPr>
              <w:t>Konečný příjemce</w:t>
            </w:r>
          </w:p>
        </w:tc>
        <w:tc>
          <w:tcPr>
            <w:tcW w:w="2414" w:type="dxa"/>
            <w:shd w:val="clear" w:color="auto" w:fill="FF0000"/>
          </w:tcPr>
          <w:p w:rsidR="009D2CAE" w:rsidRPr="007C0CDA" w:rsidRDefault="009D2CAE" w:rsidP="0010532D">
            <w:pPr>
              <w:jc w:val="center"/>
              <w:rPr>
                <w:b/>
                <w:color w:val="FFFFFF"/>
                <w:sz w:val="20"/>
              </w:rPr>
            </w:pPr>
            <w:r w:rsidRPr="007C0CDA">
              <w:rPr>
                <w:b/>
                <w:color w:val="FFFFFF"/>
                <w:sz w:val="20"/>
              </w:rPr>
              <w:t>Ztráta části podílu ve společnosti</w:t>
            </w:r>
          </w:p>
        </w:tc>
        <w:tc>
          <w:tcPr>
            <w:tcW w:w="2330" w:type="dxa"/>
            <w:shd w:val="clear" w:color="auto" w:fill="FF0000"/>
          </w:tcPr>
          <w:p w:rsidR="009D2CAE" w:rsidRPr="007C0CDA" w:rsidRDefault="009D2CAE" w:rsidP="0010532D">
            <w:pPr>
              <w:jc w:val="center"/>
              <w:rPr>
                <w:b/>
                <w:color w:val="FFFFFF"/>
                <w:sz w:val="20"/>
              </w:rPr>
            </w:pPr>
            <w:r w:rsidRPr="007C0CDA">
              <w:rPr>
                <w:b/>
                <w:color w:val="FFFFFF"/>
                <w:sz w:val="20"/>
              </w:rPr>
              <w:t>Zatížení nového podniku dluhovou službou</w:t>
            </w:r>
          </w:p>
        </w:tc>
        <w:tc>
          <w:tcPr>
            <w:tcW w:w="2330" w:type="dxa"/>
            <w:shd w:val="clear" w:color="auto" w:fill="FF0000"/>
          </w:tcPr>
          <w:p w:rsidR="009D2CAE" w:rsidRPr="007C0CDA" w:rsidRDefault="009D2CAE" w:rsidP="0010532D">
            <w:pPr>
              <w:jc w:val="center"/>
              <w:rPr>
                <w:b/>
                <w:color w:val="FFFFFF"/>
                <w:sz w:val="20"/>
              </w:rPr>
            </w:pPr>
            <w:r w:rsidRPr="007C0CDA">
              <w:rPr>
                <w:b/>
                <w:color w:val="FFFFFF"/>
                <w:sz w:val="20"/>
              </w:rPr>
              <w:t>Vysoká administrativní náročnost – vysoké náklady na externí služby</w:t>
            </w:r>
          </w:p>
        </w:tc>
      </w:tr>
      <w:tr w:rsidR="009D2CAE" w:rsidRPr="007C0CDA" w:rsidTr="002433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735"/>
        </w:trPr>
        <w:tc>
          <w:tcPr>
            <w:tcW w:w="960" w:type="dxa"/>
            <w:vMerge/>
            <w:shd w:val="clear" w:color="auto" w:fill="FF0000"/>
          </w:tcPr>
          <w:p w:rsidR="009D2CAE" w:rsidRPr="007C0CDA" w:rsidRDefault="009D2CAE" w:rsidP="0010532D">
            <w:pPr>
              <w:jc w:val="left"/>
              <w:rPr>
                <w:b/>
                <w:bCs/>
                <w:color w:val="000000"/>
                <w:sz w:val="24"/>
                <w:szCs w:val="24"/>
              </w:rPr>
            </w:pPr>
          </w:p>
        </w:tc>
        <w:tc>
          <w:tcPr>
            <w:tcW w:w="960" w:type="dxa"/>
            <w:vMerge/>
            <w:shd w:val="clear" w:color="auto" w:fill="FF0000"/>
            <w:noWrap/>
            <w:textDirection w:val="btLr"/>
          </w:tcPr>
          <w:p w:rsidR="009D2CAE" w:rsidRPr="007C0CDA" w:rsidRDefault="009D2CAE" w:rsidP="0010532D">
            <w:pPr>
              <w:jc w:val="center"/>
              <w:rPr>
                <w:b/>
                <w:bCs/>
                <w:color w:val="000000"/>
                <w:sz w:val="24"/>
                <w:szCs w:val="24"/>
              </w:rPr>
            </w:pPr>
          </w:p>
        </w:tc>
        <w:tc>
          <w:tcPr>
            <w:tcW w:w="2414" w:type="dxa"/>
            <w:shd w:val="clear" w:color="auto" w:fill="FF0000"/>
          </w:tcPr>
          <w:p w:rsidR="009D2CAE" w:rsidRPr="007C0CDA" w:rsidRDefault="009D2CAE" w:rsidP="0010532D">
            <w:pPr>
              <w:jc w:val="center"/>
              <w:rPr>
                <w:b/>
                <w:color w:val="FFFFFF"/>
                <w:sz w:val="20"/>
              </w:rPr>
            </w:pPr>
            <w:r w:rsidRPr="007C0CDA">
              <w:rPr>
                <w:b/>
                <w:color w:val="FFFFFF"/>
                <w:sz w:val="20"/>
              </w:rPr>
              <w:t>Omezení ve vlastním řízení firmy</w:t>
            </w:r>
          </w:p>
        </w:tc>
        <w:tc>
          <w:tcPr>
            <w:tcW w:w="2330" w:type="dxa"/>
            <w:shd w:val="clear" w:color="auto" w:fill="FF0000"/>
          </w:tcPr>
          <w:p w:rsidR="009D2CAE" w:rsidRPr="007C0CDA" w:rsidRDefault="009D2CAE" w:rsidP="0010532D">
            <w:pPr>
              <w:jc w:val="center"/>
              <w:rPr>
                <w:b/>
                <w:color w:val="FFFFFF"/>
                <w:sz w:val="20"/>
              </w:rPr>
            </w:pPr>
            <w:r w:rsidRPr="007C0CDA">
              <w:rPr>
                <w:b/>
                <w:color w:val="FFFFFF"/>
                <w:sz w:val="20"/>
              </w:rPr>
              <w:t>Vysoký tlak na splácení a generování rychlých zisků</w:t>
            </w:r>
          </w:p>
        </w:tc>
        <w:tc>
          <w:tcPr>
            <w:tcW w:w="2330" w:type="dxa"/>
            <w:shd w:val="clear" w:color="auto" w:fill="FF0000"/>
          </w:tcPr>
          <w:p w:rsidR="009D2CAE" w:rsidRPr="007C0CDA" w:rsidRDefault="009D2CAE" w:rsidP="0010532D">
            <w:pPr>
              <w:jc w:val="center"/>
              <w:rPr>
                <w:b/>
                <w:color w:val="FFFFFF"/>
                <w:sz w:val="20"/>
              </w:rPr>
            </w:pPr>
            <w:r w:rsidRPr="007C0CDA">
              <w:rPr>
                <w:b/>
                <w:color w:val="FFFFFF"/>
                <w:sz w:val="20"/>
              </w:rPr>
              <w:t>Nutnost předfinancování – platba ex post</w:t>
            </w:r>
          </w:p>
        </w:tc>
      </w:tr>
      <w:tr w:rsidR="009D2CAE" w:rsidRPr="007C0CDA" w:rsidTr="002433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56"/>
        </w:trPr>
        <w:tc>
          <w:tcPr>
            <w:tcW w:w="960" w:type="dxa"/>
            <w:vMerge/>
            <w:shd w:val="clear" w:color="auto" w:fill="FF0000"/>
          </w:tcPr>
          <w:p w:rsidR="009D2CAE" w:rsidRPr="007C0CDA" w:rsidRDefault="009D2CAE" w:rsidP="0010532D">
            <w:pPr>
              <w:jc w:val="left"/>
              <w:rPr>
                <w:b/>
                <w:bCs/>
                <w:color w:val="000000"/>
                <w:sz w:val="24"/>
                <w:szCs w:val="24"/>
              </w:rPr>
            </w:pPr>
          </w:p>
        </w:tc>
        <w:tc>
          <w:tcPr>
            <w:tcW w:w="960" w:type="dxa"/>
            <w:vMerge/>
            <w:shd w:val="clear" w:color="auto" w:fill="FF0000"/>
            <w:noWrap/>
            <w:textDirection w:val="btLr"/>
          </w:tcPr>
          <w:p w:rsidR="009D2CAE" w:rsidRPr="007C0CDA" w:rsidRDefault="009D2CAE" w:rsidP="0010532D">
            <w:pPr>
              <w:jc w:val="center"/>
              <w:rPr>
                <w:b/>
                <w:bCs/>
                <w:color w:val="000000"/>
                <w:sz w:val="24"/>
                <w:szCs w:val="24"/>
              </w:rPr>
            </w:pPr>
          </w:p>
        </w:tc>
        <w:tc>
          <w:tcPr>
            <w:tcW w:w="2414" w:type="dxa"/>
            <w:shd w:val="clear" w:color="auto" w:fill="FF0000"/>
          </w:tcPr>
          <w:p w:rsidR="009D2CAE" w:rsidRPr="007C0CDA" w:rsidRDefault="009D2CAE" w:rsidP="0010532D">
            <w:pPr>
              <w:jc w:val="center"/>
              <w:rPr>
                <w:b/>
                <w:color w:val="FFFFFF"/>
                <w:sz w:val="20"/>
              </w:rPr>
            </w:pPr>
          </w:p>
        </w:tc>
        <w:tc>
          <w:tcPr>
            <w:tcW w:w="2330" w:type="dxa"/>
            <w:shd w:val="clear" w:color="auto" w:fill="FF0000"/>
          </w:tcPr>
          <w:p w:rsidR="009D2CAE" w:rsidRPr="007C0CDA" w:rsidRDefault="009D2CAE" w:rsidP="0010532D">
            <w:pPr>
              <w:jc w:val="center"/>
              <w:rPr>
                <w:b/>
                <w:color w:val="FFFFFF"/>
                <w:sz w:val="20"/>
              </w:rPr>
            </w:pPr>
            <w:r w:rsidRPr="007C0CDA">
              <w:rPr>
                <w:b/>
                <w:color w:val="FFFFFF"/>
                <w:sz w:val="20"/>
              </w:rPr>
              <w:t>Nutnost ručení</w:t>
            </w:r>
          </w:p>
        </w:tc>
        <w:tc>
          <w:tcPr>
            <w:tcW w:w="2330" w:type="dxa"/>
            <w:shd w:val="clear" w:color="auto" w:fill="FF0000"/>
          </w:tcPr>
          <w:p w:rsidR="009D2CAE" w:rsidRPr="007C0CDA" w:rsidRDefault="009D2CAE" w:rsidP="0010532D">
            <w:pPr>
              <w:jc w:val="center"/>
              <w:rPr>
                <w:b/>
                <w:color w:val="FFFFFF"/>
                <w:sz w:val="20"/>
              </w:rPr>
            </w:pPr>
            <w:r w:rsidRPr="007C0CDA">
              <w:rPr>
                <w:b/>
                <w:color w:val="FFFFFF"/>
                <w:sz w:val="20"/>
              </w:rPr>
              <w:t>Riziko dodatečného odebrání dotace z důvodu chyb v projektu a nesplnění podmínek</w:t>
            </w:r>
          </w:p>
        </w:tc>
      </w:tr>
      <w:tr w:rsidR="009D2CAE" w:rsidRPr="007C0CDA" w:rsidTr="002433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735"/>
        </w:trPr>
        <w:tc>
          <w:tcPr>
            <w:tcW w:w="960" w:type="dxa"/>
            <w:vMerge/>
            <w:shd w:val="clear" w:color="auto" w:fill="FF0000"/>
          </w:tcPr>
          <w:p w:rsidR="009D2CAE" w:rsidRPr="007C0CDA" w:rsidRDefault="009D2CAE" w:rsidP="0010532D">
            <w:pPr>
              <w:jc w:val="left"/>
              <w:rPr>
                <w:b/>
                <w:bCs/>
                <w:color w:val="000000"/>
                <w:sz w:val="24"/>
                <w:szCs w:val="24"/>
              </w:rPr>
            </w:pPr>
          </w:p>
        </w:tc>
        <w:tc>
          <w:tcPr>
            <w:tcW w:w="960" w:type="dxa"/>
            <w:vMerge/>
            <w:shd w:val="clear" w:color="auto" w:fill="FF0000"/>
            <w:noWrap/>
            <w:textDirection w:val="btLr"/>
          </w:tcPr>
          <w:p w:rsidR="009D2CAE" w:rsidRPr="007C0CDA" w:rsidRDefault="009D2CAE" w:rsidP="0010532D">
            <w:pPr>
              <w:jc w:val="center"/>
              <w:rPr>
                <w:b/>
                <w:bCs/>
                <w:color w:val="000000"/>
                <w:sz w:val="24"/>
                <w:szCs w:val="24"/>
              </w:rPr>
            </w:pPr>
          </w:p>
        </w:tc>
        <w:tc>
          <w:tcPr>
            <w:tcW w:w="2414" w:type="dxa"/>
            <w:shd w:val="clear" w:color="auto" w:fill="FF0000"/>
          </w:tcPr>
          <w:p w:rsidR="009D2CAE" w:rsidRPr="007C0CDA" w:rsidRDefault="009D2CAE" w:rsidP="0010532D">
            <w:pPr>
              <w:jc w:val="center"/>
              <w:rPr>
                <w:b/>
                <w:color w:val="FFFFFF"/>
                <w:sz w:val="20"/>
              </w:rPr>
            </w:pPr>
          </w:p>
        </w:tc>
        <w:tc>
          <w:tcPr>
            <w:tcW w:w="2330" w:type="dxa"/>
            <w:shd w:val="clear" w:color="auto" w:fill="FF0000"/>
          </w:tcPr>
          <w:p w:rsidR="009D2CAE" w:rsidRPr="007C0CDA" w:rsidRDefault="009D2CAE" w:rsidP="0010532D">
            <w:pPr>
              <w:jc w:val="center"/>
              <w:rPr>
                <w:b/>
                <w:color w:val="FFFFFF"/>
                <w:sz w:val="20"/>
              </w:rPr>
            </w:pPr>
          </w:p>
        </w:tc>
        <w:tc>
          <w:tcPr>
            <w:tcW w:w="2330" w:type="dxa"/>
            <w:shd w:val="clear" w:color="auto" w:fill="FF0000"/>
          </w:tcPr>
          <w:p w:rsidR="009D2CAE" w:rsidRPr="007C0CDA" w:rsidRDefault="009D2CAE" w:rsidP="0010532D">
            <w:pPr>
              <w:jc w:val="center"/>
              <w:rPr>
                <w:b/>
                <w:color w:val="FFFFFF"/>
                <w:sz w:val="20"/>
              </w:rPr>
            </w:pPr>
            <w:r w:rsidRPr="007C0CDA">
              <w:rPr>
                <w:b/>
                <w:color w:val="FFFFFF"/>
                <w:sz w:val="20"/>
              </w:rPr>
              <w:t xml:space="preserve">Omezení pro další fungování – veřejné </w:t>
            </w:r>
          </w:p>
        </w:tc>
      </w:tr>
      <w:tr w:rsidR="009D2CAE" w:rsidRPr="007C0CDA" w:rsidTr="002433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735"/>
        </w:trPr>
        <w:tc>
          <w:tcPr>
            <w:tcW w:w="960" w:type="dxa"/>
            <w:vMerge/>
            <w:shd w:val="clear" w:color="auto" w:fill="FF0000"/>
          </w:tcPr>
          <w:p w:rsidR="009D2CAE" w:rsidRPr="007C0CDA" w:rsidRDefault="009D2CAE" w:rsidP="0010532D">
            <w:pPr>
              <w:jc w:val="left"/>
              <w:rPr>
                <w:b/>
                <w:bCs/>
                <w:color w:val="000000"/>
                <w:sz w:val="24"/>
                <w:szCs w:val="24"/>
              </w:rPr>
            </w:pPr>
          </w:p>
        </w:tc>
        <w:tc>
          <w:tcPr>
            <w:tcW w:w="960" w:type="dxa"/>
            <w:vMerge w:val="restart"/>
            <w:shd w:val="clear" w:color="auto" w:fill="FF0000"/>
            <w:noWrap/>
            <w:textDirection w:val="btLr"/>
          </w:tcPr>
          <w:p w:rsidR="009D2CAE" w:rsidRPr="007C0CDA" w:rsidRDefault="009D2CAE" w:rsidP="0010532D">
            <w:pPr>
              <w:jc w:val="center"/>
              <w:rPr>
                <w:b/>
                <w:bCs/>
                <w:color w:val="FFFFFF"/>
                <w:sz w:val="24"/>
                <w:szCs w:val="24"/>
              </w:rPr>
            </w:pPr>
            <w:r w:rsidRPr="007C0CDA">
              <w:rPr>
                <w:b/>
                <w:bCs/>
                <w:color w:val="FFFFFF"/>
                <w:sz w:val="24"/>
                <w:szCs w:val="24"/>
              </w:rPr>
              <w:t>ŘO</w:t>
            </w:r>
          </w:p>
        </w:tc>
        <w:tc>
          <w:tcPr>
            <w:tcW w:w="2414" w:type="dxa"/>
            <w:shd w:val="clear" w:color="auto" w:fill="FF0000"/>
          </w:tcPr>
          <w:p w:rsidR="009D2CAE" w:rsidRPr="007C0CDA" w:rsidRDefault="009D2CAE" w:rsidP="0010532D">
            <w:pPr>
              <w:jc w:val="center"/>
              <w:rPr>
                <w:b/>
                <w:color w:val="FFFFFF"/>
                <w:sz w:val="20"/>
              </w:rPr>
            </w:pPr>
            <w:r w:rsidRPr="007C0CDA">
              <w:rPr>
                <w:b/>
                <w:color w:val="FFFFFF"/>
                <w:sz w:val="20"/>
              </w:rPr>
              <w:t>Vysoké nároky na odborné řízení</w:t>
            </w:r>
          </w:p>
        </w:tc>
        <w:tc>
          <w:tcPr>
            <w:tcW w:w="2330" w:type="dxa"/>
            <w:shd w:val="clear" w:color="auto" w:fill="FF0000"/>
          </w:tcPr>
          <w:p w:rsidR="009D2CAE" w:rsidRPr="007C0CDA" w:rsidRDefault="009D2CAE" w:rsidP="0010532D">
            <w:pPr>
              <w:jc w:val="center"/>
              <w:rPr>
                <w:b/>
                <w:color w:val="FFFFFF"/>
                <w:sz w:val="20"/>
              </w:rPr>
            </w:pPr>
            <w:r w:rsidRPr="007C0CDA">
              <w:rPr>
                <w:b/>
                <w:color w:val="FFFFFF"/>
                <w:sz w:val="20"/>
              </w:rPr>
              <w:t>Nulový efekt na aktivizaci trhu PE – spíše vytěsňování</w:t>
            </w:r>
          </w:p>
        </w:tc>
        <w:tc>
          <w:tcPr>
            <w:tcW w:w="2330" w:type="dxa"/>
            <w:shd w:val="clear" w:color="auto" w:fill="FF0000"/>
          </w:tcPr>
          <w:p w:rsidR="009D2CAE" w:rsidRPr="007C0CDA" w:rsidRDefault="009D2CAE" w:rsidP="0010532D">
            <w:pPr>
              <w:jc w:val="center"/>
              <w:rPr>
                <w:b/>
                <w:color w:val="FFFFFF"/>
                <w:sz w:val="20"/>
              </w:rPr>
            </w:pPr>
            <w:r w:rsidRPr="007C0CDA">
              <w:rPr>
                <w:b/>
                <w:color w:val="FFFFFF"/>
                <w:sz w:val="20"/>
              </w:rPr>
              <w:t>Nenávratné výdaje</w:t>
            </w:r>
          </w:p>
        </w:tc>
      </w:tr>
      <w:tr w:rsidR="009D2CAE" w:rsidRPr="007C0CDA" w:rsidTr="002433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566"/>
        </w:trPr>
        <w:tc>
          <w:tcPr>
            <w:tcW w:w="960" w:type="dxa"/>
            <w:vMerge/>
            <w:shd w:val="clear" w:color="auto" w:fill="FF0000"/>
          </w:tcPr>
          <w:p w:rsidR="009D2CAE" w:rsidRPr="007C0CDA" w:rsidRDefault="009D2CAE" w:rsidP="0010532D">
            <w:pPr>
              <w:jc w:val="left"/>
              <w:rPr>
                <w:b/>
                <w:bCs/>
                <w:color w:val="000000"/>
                <w:sz w:val="18"/>
                <w:szCs w:val="18"/>
              </w:rPr>
            </w:pPr>
          </w:p>
        </w:tc>
        <w:tc>
          <w:tcPr>
            <w:tcW w:w="960" w:type="dxa"/>
            <w:vMerge/>
            <w:shd w:val="clear" w:color="auto" w:fill="FF0000"/>
            <w:noWrap/>
            <w:textDirection w:val="btLr"/>
          </w:tcPr>
          <w:p w:rsidR="009D2CAE" w:rsidRPr="007C0CDA" w:rsidRDefault="009D2CAE" w:rsidP="0010532D">
            <w:pPr>
              <w:jc w:val="center"/>
              <w:rPr>
                <w:b/>
                <w:bCs/>
                <w:color w:val="000000"/>
                <w:sz w:val="18"/>
                <w:szCs w:val="18"/>
              </w:rPr>
            </w:pPr>
          </w:p>
        </w:tc>
        <w:tc>
          <w:tcPr>
            <w:tcW w:w="2414" w:type="dxa"/>
            <w:shd w:val="clear" w:color="auto" w:fill="FF0000"/>
          </w:tcPr>
          <w:p w:rsidR="009D2CAE" w:rsidRPr="007C0CDA" w:rsidRDefault="009D2CAE" w:rsidP="0010532D">
            <w:pPr>
              <w:jc w:val="center"/>
              <w:rPr>
                <w:b/>
                <w:color w:val="FFFFFF"/>
                <w:sz w:val="20"/>
              </w:rPr>
            </w:pPr>
            <w:r w:rsidRPr="007C0CDA">
              <w:rPr>
                <w:b/>
                <w:color w:val="FFFFFF"/>
                <w:sz w:val="20"/>
              </w:rPr>
              <w:t>Velmi nejistý potenciál revolvingu</w:t>
            </w:r>
          </w:p>
        </w:tc>
        <w:tc>
          <w:tcPr>
            <w:tcW w:w="2330" w:type="dxa"/>
            <w:shd w:val="clear" w:color="auto" w:fill="FF0000"/>
          </w:tcPr>
          <w:p w:rsidR="009D2CAE" w:rsidRPr="007C0CDA" w:rsidRDefault="009D2CAE" w:rsidP="0010532D">
            <w:pPr>
              <w:jc w:val="center"/>
              <w:rPr>
                <w:b/>
                <w:color w:val="FFFFFF"/>
                <w:sz w:val="20"/>
              </w:rPr>
            </w:pPr>
            <w:r w:rsidRPr="007C0CDA">
              <w:rPr>
                <w:b/>
                <w:color w:val="FFFFFF"/>
                <w:sz w:val="20"/>
              </w:rPr>
              <w:t>Nízký revolving</w:t>
            </w:r>
          </w:p>
        </w:tc>
        <w:tc>
          <w:tcPr>
            <w:tcW w:w="2330" w:type="dxa"/>
            <w:shd w:val="clear" w:color="auto" w:fill="FF0000"/>
          </w:tcPr>
          <w:p w:rsidR="009D2CAE" w:rsidRPr="007C0CDA" w:rsidRDefault="009D2CAE" w:rsidP="0010532D">
            <w:pPr>
              <w:jc w:val="center"/>
              <w:rPr>
                <w:b/>
                <w:color w:val="FFFFFF"/>
                <w:sz w:val="20"/>
              </w:rPr>
            </w:pPr>
            <w:r w:rsidRPr="007C0CDA">
              <w:rPr>
                <w:b/>
                <w:color w:val="FFFFFF"/>
                <w:sz w:val="20"/>
              </w:rPr>
              <w:t>Nižší počet podpořených projektů</w:t>
            </w:r>
          </w:p>
        </w:tc>
      </w:tr>
      <w:tr w:rsidR="009D2CAE" w:rsidRPr="007C0CDA" w:rsidTr="002433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4"/>
        </w:trPr>
        <w:tc>
          <w:tcPr>
            <w:tcW w:w="960" w:type="dxa"/>
            <w:vMerge/>
            <w:shd w:val="clear" w:color="auto" w:fill="FF0000"/>
          </w:tcPr>
          <w:p w:rsidR="009D2CAE" w:rsidRPr="007C0CDA" w:rsidRDefault="009D2CAE" w:rsidP="009846E9">
            <w:pPr>
              <w:jc w:val="left"/>
              <w:rPr>
                <w:b/>
                <w:bCs/>
                <w:color w:val="000000"/>
                <w:sz w:val="18"/>
                <w:szCs w:val="18"/>
              </w:rPr>
            </w:pPr>
          </w:p>
        </w:tc>
        <w:tc>
          <w:tcPr>
            <w:tcW w:w="960" w:type="dxa"/>
            <w:vMerge/>
            <w:shd w:val="clear" w:color="auto" w:fill="FF0000"/>
            <w:noWrap/>
            <w:textDirection w:val="btLr"/>
          </w:tcPr>
          <w:p w:rsidR="009D2CAE" w:rsidRPr="007C0CDA" w:rsidRDefault="009D2CAE" w:rsidP="009846E9">
            <w:pPr>
              <w:jc w:val="center"/>
              <w:rPr>
                <w:b/>
                <w:bCs/>
                <w:color w:val="000000"/>
                <w:sz w:val="18"/>
                <w:szCs w:val="18"/>
              </w:rPr>
            </w:pPr>
          </w:p>
        </w:tc>
        <w:tc>
          <w:tcPr>
            <w:tcW w:w="2414" w:type="dxa"/>
            <w:shd w:val="clear" w:color="auto" w:fill="FF0000"/>
          </w:tcPr>
          <w:p w:rsidR="009D2CAE" w:rsidRPr="007C0CDA" w:rsidRDefault="009D2CAE" w:rsidP="009846E9">
            <w:pPr>
              <w:jc w:val="center"/>
              <w:rPr>
                <w:b/>
                <w:color w:val="FFFFFF"/>
                <w:sz w:val="20"/>
              </w:rPr>
            </w:pPr>
          </w:p>
        </w:tc>
        <w:tc>
          <w:tcPr>
            <w:tcW w:w="2330" w:type="dxa"/>
            <w:shd w:val="clear" w:color="auto" w:fill="FF0000"/>
          </w:tcPr>
          <w:p w:rsidR="009D2CAE" w:rsidRPr="007C0CDA" w:rsidRDefault="009D2CAE" w:rsidP="009846E9">
            <w:pPr>
              <w:jc w:val="center"/>
              <w:rPr>
                <w:b/>
                <w:color w:val="FFFFFF"/>
                <w:sz w:val="20"/>
              </w:rPr>
            </w:pPr>
          </w:p>
        </w:tc>
        <w:tc>
          <w:tcPr>
            <w:tcW w:w="2330" w:type="dxa"/>
            <w:shd w:val="clear" w:color="auto" w:fill="FF0000"/>
            <w:vAlign w:val="center"/>
          </w:tcPr>
          <w:p w:rsidR="009D2CAE" w:rsidRPr="007C0CDA" w:rsidRDefault="009D2CAE" w:rsidP="009846E9">
            <w:pPr>
              <w:keepNext/>
              <w:jc w:val="center"/>
              <w:rPr>
                <w:b/>
                <w:color w:val="FFFFFF"/>
                <w:sz w:val="20"/>
              </w:rPr>
            </w:pPr>
            <w:r w:rsidRPr="007C0CDA">
              <w:rPr>
                <w:b/>
                <w:color w:val="FFFFFF"/>
                <w:sz w:val="20"/>
              </w:rPr>
              <w:t>Nulový efekt na aktivizaci trhu PE – spíše vytěsňování</w:t>
            </w:r>
          </w:p>
        </w:tc>
      </w:tr>
      <w:tr w:rsidR="009D2CAE" w:rsidRPr="007C0CDA" w:rsidTr="00E45795">
        <w:trPr>
          <w:trHeight w:val="264"/>
        </w:trPr>
        <w:tc>
          <w:tcPr>
            <w:tcW w:w="960" w:type="dxa"/>
            <w:vMerge/>
            <w:shd w:val="clear" w:color="auto" w:fill="FF0000"/>
            <w:vAlign w:val="center"/>
          </w:tcPr>
          <w:p w:rsidR="009D2CAE" w:rsidRPr="007C0CDA" w:rsidRDefault="009D2CAE" w:rsidP="009846E9">
            <w:pPr>
              <w:jc w:val="left"/>
              <w:rPr>
                <w:b/>
                <w:bCs/>
                <w:color w:val="000000"/>
                <w:sz w:val="18"/>
                <w:szCs w:val="18"/>
              </w:rPr>
            </w:pPr>
          </w:p>
        </w:tc>
        <w:tc>
          <w:tcPr>
            <w:tcW w:w="960" w:type="dxa"/>
            <w:vMerge/>
            <w:shd w:val="clear" w:color="auto" w:fill="FF0000"/>
            <w:noWrap/>
            <w:textDirection w:val="btLr"/>
            <w:vAlign w:val="center"/>
          </w:tcPr>
          <w:p w:rsidR="009D2CAE" w:rsidRPr="007C0CDA" w:rsidRDefault="009D2CAE" w:rsidP="009846E9">
            <w:pPr>
              <w:jc w:val="center"/>
              <w:rPr>
                <w:b/>
                <w:bCs/>
                <w:color w:val="000000"/>
                <w:sz w:val="18"/>
                <w:szCs w:val="18"/>
              </w:rPr>
            </w:pPr>
          </w:p>
        </w:tc>
        <w:tc>
          <w:tcPr>
            <w:tcW w:w="2414" w:type="dxa"/>
            <w:shd w:val="clear" w:color="auto" w:fill="FF0000"/>
            <w:vAlign w:val="center"/>
          </w:tcPr>
          <w:p w:rsidR="009D2CAE" w:rsidRPr="007C0CDA" w:rsidRDefault="009D2CAE" w:rsidP="009846E9">
            <w:pPr>
              <w:jc w:val="center"/>
              <w:rPr>
                <w:b/>
                <w:color w:val="FFFFFF"/>
                <w:sz w:val="20"/>
              </w:rPr>
            </w:pPr>
          </w:p>
        </w:tc>
        <w:tc>
          <w:tcPr>
            <w:tcW w:w="2330" w:type="dxa"/>
            <w:shd w:val="clear" w:color="auto" w:fill="FF0000"/>
            <w:vAlign w:val="center"/>
          </w:tcPr>
          <w:p w:rsidR="009D2CAE" w:rsidRPr="007C0CDA" w:rsidRDefault="009D2CAE" w:rsidP="009846E9">
            <w:pPr>
              <w:jc w:val="center"/>
              <w:rPr>
                <w:b/>
                <w:color w:val="FFFFFF"/>
                <w:sz w:val="20"/>
              </w:rPr>
            </w:pPr>
          </w:p>
        </w:tc>
        <w:tc>
          <w:tcPr>
            <w:tcW w:w="2330" w:type="dxa"/>
            <w:shd w:val="clear" w:color="auto" w:fill="FF0000"/>
          </w:tcPr>
          <w:p w:rsidR="009D2CAE" w:rsidRPr="007C0CDA" w:rsidRDefault="009D2CAE" w:rsidP="009846E9">
            <w:pPr>
              <w:keepNext/>
              <w:jc w:val="center"/>
              <w:rPr>
                <w:b/>
                <w:color w:val="FFFFFF"/>
                <w:sz w:val="20"/>
              </w:rPr>
            </w:pPr>
            <w:r w:rsidRPr="007C0CDA">
              <w:rPr>
                <w:b/>
                <w:color w:val="FFFFFF"/>
                <w:sz w:val="20"/>
              </w:rPr>
              <w:t>Pomalejší čerpání</w:t>
            </w:r>
          </w:p>
        </w:tc>
      </w:tr>
    </w:tbl>
    <w:p w:rsidR="009D2CAE" w:rsidRPr="007C0CDA" w:rsidRDefault="009D2CAE" w:rsidP="00795173">
      <w:pPr>
        <w:pStyle w:val="Titulek"/>
      </w:pPr>
      <w:r w:rsidRPr="007C0CDA">
        <w:t xml:space="preserve">Tabulka </w:t>
      </w:r>
      <w:r w:rsidRPr="00B675D6">
        <w:fldChar w:fldCharType="begin"/>
      </w:r>
      <w:r w:rsidRPr="007C0CDA">
        <w:instrText xml:space="preserve"> SEQ Tabulka \* ARABIC </w:instrText>
      </w:r>
      <w:r w:rsidRPr="002433DA">
        <w:fldChar w:fldCharType="separate"/>
      </w:r>
      <w:r w:rsidRPr="007C0CDA">
        <w:rPr>
          <w:noProof/>
        </w:rPr>
        <w:t>9</w:t>
      </w:r>
      <w:r w:rsidRPr="00B675D6">
        <w:fldChar w:fldCharType="end"/>
      </w:r>
      <w:r w:rsidRPr="007C0CDA">
        <w:t>: Přidaná hodnota, nevýhody a rizika veřejné podpory pro příjemce a ŘO</w:t>
      </w:r>
    </w:p>
    <w:p w:rsidR="009D2CAE" w:rsidRPr="007C0CDA" w:rsidRDefault="009D2CAE" w:rsidP="008671F3">
      <w:pPr>
        <w:pStyle w:val="Neslovannadpisy"/>
        <w:rPr>
          <w:lang w:eastAsia="en-US"/>
        </w:rPr>
      </w:pP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A0" w:firstRow="1" w:lastRow="0" w:firstColumn="1" w:lastColumn="0" w:noHBand="0" w:noVBand="0"/>
      </w:tblPr>
      <w:tblGrid>
        <w:gridCol w:w="1729"/>
        <w:gridCol w:w="2694"/>
        <w:gridCol w:w="2268"/>
        <w:gridCol w:w="2268"/>
      </w:tblGrid>
      <w:tr w:rsidR="009D2CAE" w:rsidRPr="007C0CDA" w:rsidTr="00B03681">
        <w:tc>
          <w:tcPr>
            <w:tcW w:w="1729" w:type="dxa"/>
            <w:shd w:val="clear" w:color="auto" w:fill="548DD4"/>
            <w:vAlign w:val="center"/>
          </w:tcPr>
          <w:p w:rsidR="009D2CAE" w:rsidRPr="007C0CDA" w:rsidRDefault="009D2CAE" w:rsidP="00B03681">
            <w:pPr>
              <w:pStyle w:val="Highlight2"/>
              <w:jc w:val="center"/>
              <w:rPr>
                <w:rFonts w:ascii="Calibri" w:hAnsi="Calibri" w:cs="Calibri"/>
                <w:color w:val="FFFFFF"/>
                <w:sz w:val="22"/>
                <w:szCs w:val="22"/>
              </w:rPr>
            </w:pPr>
            <w:r w:rsidRPr="007C0CDA">
              <w:rPr>
                <w:rFonts w:ascii="Calibri" w:hAnsi="Calibri" w:cs="Calibri"/>
                <w:color w:val="FFFFFF"/>
                <w:sz w:val="22"/>
                <w:szCs w:val="22"/>
                <w:lang w:eastAsia="cs-CZ"/>
              </w:rPr>
              <w:t>Tržní selhání</w:t>
            </w:r>
          </w:p>
        </w:tc>
        <w:tc>
          <w:tcPr>
            <w:tcW w:w="2694" w:type="dxa"/>
            <w:shd w:val="clear" w:color="auto" w:fill="548DD4"/>
            <w:vAlign w:val="center"/>
          </w:tcPr>
          <w:p w:rsidR="009D2CAE" w:rsidRPr="007C0CDA" w:rsidRDefault="009D2CAE" w:rsidP="00B03681">
            <w:pPr>
              <w:pStyle w:val="Highlight2"/>
              <w:jc w:val="center"/>
              <w:rPr>
                <w:rFonts w:ascii="Calibri" w:hAnsi="Calibri" w:cs="Calibri"/>
                <w:bCs/>
                <w:color w:val="FFFFFF"/>
                <w:sz w:val="22"/>
                <w:szCs w:val="22"/>
                <w:lang w:eastAsia="cs-CZ"/>
              </w:rPr>
            </w:pPr>
            <w:r w:rsidRPr="007C0CDA">
              <w:rPr>
                <w:rFonts w:ascii="Calibri" w:hAnsi="Calibri" w:cs="Calibri"/>
                <w:bCs/>
                <w:color w:val="FFFFFF"/>
                <w:sz w:val="22"/>
                <w:szCs w:val="22"/>
                <w:lang w:eastAsia="cs-CZ"/>
              </w:rPr>
              <w:t>Kapitálové vstupy</w:t>
            </w:r>
          </w:p>
        </w:tc>
        <w:tc>
          <w:tcPr>
            <w:tcW w:w="2268" w:type="dxa"/>
            <w:shd w:val="clear" w:color="auto" w:fill="548DD4"/>
            <w:vAlign w:val="center"/>
          </w:tcPr>
          <w:p w:rsidR="009D2CAE" w:rsidRPr="007C0CDA" w:rsidRDefault="009D2CAE" w:rsidP="00B03681">
            <w:pPr>
              <w:pStyle w:val="Highlight2"/>
              <w:jc w:val="center"/>
              <w:rPr>
                <w:rFonts w:ascii="Calibri" w:hAnsi="Calibri" w:cs="Calibri"/>
                <w:color w:val="FFFFFF"/>
                <w:sz w:val="22"/>
                <w:szCs w:val="22"/>
              </w:rPr>
            </w:pPr>
            <w:r w:rsidRPr="007C0CDA">
              <w:rPr>
                <w:rFonts w:ascii="Calibri" w:hAnsi="Calibri" w:cs="Calibri"/>
                <w:bCs/>
                <w:color w:val="FFFFFF"/>
                <w:sz w:val="22"/>
                <w:szCs w:val="22"/>
                <w:lang w:eastAsia="cs-CZ"/>
              </w:rPr>
              <w:t>Zvýhodněný úvěr</w:t>
            </w:r>
          </w:p>
        </w:tc>
        <w:tc>
          <w:tcPr>
            <w:tcW w:w="2268" w:type="dxa"/>
            <w:shd w:val="clear" w:color="auto" w:fill="548DD4"/>
            <w:vAlign w:val="center"/>
          </w:tcPr>
          <w:p w:rsidR="009D2CAE" w:rsidRPr="007C0CDA" w:rsidRDefault="009D2CAE" w:rsidP="00B03681">
            <w:pPr>
              <w:pStyle w:val="Highlight2"/>
              <w:jc w:val="center"/>
              <w:rPr>
                <w:rFonts w:ascii="Calibri" w:hAnsi="Calibri" w:cs="Calibri"/>
                <w:bCs/>
                <w:color w:val="FFFFFF"/>
                <w:sz w:val="22"/>
                <w:szCs w:val="22"/>
                <w:lang w:eastAsia="cs-CZ"/>
              </w:rPr>
            </w:pPr>
            <w:r w:rsidRPr="007C0CDA">
              <w:rPr>
                <w:rFonts w:ascii="Calibri" w:hAnsi="Calibri" w:cs="Calibri"/>
                <w:bCs/>
                <w:color w:val="FFFFFF"/>
                <w:sz w:val="22"/>
                <w:szCs w:val="22"/>
                <w:lang w:eastAsia="cs-CZ"/>
              </w:rPr>
              <w:t>Dotace</w:t>
            </w:r>
          </w:p>
        </w:tc>
      </w:tr>
      <w:tr w:rsidR="009D2CAE" w:rsidRPr="007C0CDA" w:rsidTr="00B03681">
        <w:trPr>
          <w:trHeight w:val="793"/>
        </w:trPr>
        <w:tc>
          <w:tcPr>
            <w:tcW w:w="1729" w:type="dxa"/>
            <w:shd w:val="clear" w:color="auto" w:fill="FFFFFF"/>
            <w:vAlign w:val="center"/>
          </w:tcPr>
          <w:p w:rsidR="009D2CAE" w:rsidRPr="007C0CDA" w:rsidRDefault="009D2CAE" w:rsidP="00B03681">
            <w:pPr>
              <w:pStyle w:val="Highlight2"/>
              <w:jc w:val="left"/>
              <w:rPr>
                <w:rFonts w:ascii="Calibri" w:hAnsi="Calibri" w:cs="Calibri"/>
              </w:rPr>
            </w:pPr>
            <w:r w:rsidRPr="007C0CDA">
              <w:rPr>
                <w:rFonts w:ascii="Calibri" w:hAnsi="Calibri" w:cs="Calibri"/>
                <w:bCs/>
                <w:color w:val="000000"/>
                <w:lang w:eastAsia="cs-CZ"/>
              </w:rPr>
              <w:t>Přístup k financování inovativních start-upů</w:t>
            </w:r>
          </w:p>
        </w:tc>
        <w:tc>
          <w:tcPr>
            <w:tcW w:w="2694" w:type="dxa"/>
            <w:shd w:val="clear" w:color="auto" w:fill="FFFFFF"/>
            <w:vAlign w:val="center"/>
          </w:tcPr>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Kapitálový vstup investora přináší flexibilní prostředky na rozvoj podnikání</w:t>
            </w:r>
          </w:p>
        </w:tc>
        <w:tc>
          <w:tcPr>
            <w:tcW w:w="2268" w:type="dxa"/>
            <w:shd w:val="clear" w:color="auto" w:fill="FFFFFF"/>
            <w:vAlign w:val="center"/>
          </w:tcPr>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Částečné zpřístupnění financování, avšak ne pro vysoce rizikové podniky, obecně seed fázi</w:t>
            </w:r>
          </w:p>
          <w:p w:rsidR="009D2CAE" w:rsidRPr="007C0CDA" w:rsidRDefault="009D2CAE" w:rsidP="00B03681">
            <w:pPr>
              <w:pStyle w:val="Highlight2"/>
              <w:jc w:val="center"/>
              <w:rPr>
                <w:rFonts w:ascii="Calibri" w:hAnsi="Calibri" w:cs="Calibri"/>
                <w:b w:val="0"/>
              </w:rPr>
            </w:pPr>
            <w:r w:rsidRPr="007C0CDA">
              <w:rPr>
                <w:rFonts w:ascii="Calibri" w:hAnsi="Calibri" w:cs="Calibri"/>
                <w:b w:val="0"/>
                <w:color w:val="000000"/>
                <w:lang w:eastAsia="cs-CZ"/>
              </w:rPr>
              <w:t>Prostředky s nutností splácení, snížení nákladů na úroky</w:t>
            </w:r>
          </w:p>
        </w:tc>
        <w:tc>
          <w:tcPr>
            <w:tcW w:w="2268" w:type="dxa"/>
            <w:shd w:val="clear" w:color="auto" w:fill="FFFFFF"/>
            <w:vAlign w:val="center"/>
          </w:tcPr>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Nevratné prostředky, avšak s nutností předfinancování a spolufinancování</w:t>
            </w:r>
          </w:p>
        </w:tc>
      </w:tr>
      <w:tr w:rsidR="009D2CAE" w:rsidRPr="007C0CDA" w:rsidTr="00B03681">
        <w:trPr>
          <w:trHeight w:val="1521"/>
        </w:trPr>
        <w:tc>
          <w:tcPr>
            <w:tcW w:w="1729" w:type="dxa"/>
            <w:shd w:val="clear" w:color="auto" w:fill="FFFFFF"/>
            <w:vAlign w:val="center"/>
          </w:tcPr>
          <w:p w:rsidR="009D2CAE" w:rsidRPr="007C0CDA" w:rsidRDefault="009D2CAE" w:rsidP="00B03681">
            <w:pPr>
              <w:pStyle w:val="Highlight2"/>
              <w:jc w:val="left"/>
              <w:rPr>
                <w:rFonts w:ascii="Calibri" w:hAnsi="Calibri" w:cs="Calibri"/>
                <w:bCs/>
                <w:color w:val="000000"/>
                <w:lang w:eastAsia="cs-CZ"/>
              </w:rPr>
            </w:pPr>
            <w:r w:rsidRPr="007C0CDA">
              <w:rPr>
                <w:rFonts w:ascii="Calibri" w:hAnsi="Calibri" w:cs="Calibri"/>
                <w:bCs/>
                <w:color w:val="000000"/>
                <w:lang w:eastAsia="cs-CZ"/>
              </w:rPr>
              <w:t>Odborné vedení projektu, know-how a kontakty</w:t>
            </w:r>
          </w:p>
        </w:tc>
        <w:tc>
          <w:tcPr>
            <w:tcW w:w="2694" w:type="dxa"/>
            <w:shd w:val="clear" w:color="auto" w:fill="FFFFFF"/>
            <w:vAlign w:val="center"/>
          </w:tcPr>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Rizikové investice zpravidla přinášejí tzv. smart money – know-how zkušených podnikatelů i kontakty. Možnost preferenčního přístupu ke službám CI</w:t>
            </w:r>
          </w:p>
        </w:tc>
        <w:tc>
          <w:tcPr>
            <w:tcW w:w="2268" w:type="dxa"/>
            <w:shd w:val="clear" w:color="auto" w:fill="FFFFFF"/>
            <w:vAlign w:val="center"/>
          </w:tcPr>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Bankovní subjekty se neangažují v rozvoji podniku</w:t>
            </w:r>
          </w:p>
        </w:tc>
        <w:tc>
          <w:tcPr>
            <w:tcW w:w="2268" w:type="dxa"/>
            <w:shd w:val="clear" w:color="auto" w:fill="FFFFFF"/>
            <w:vAlign w:val="center"/>
          </w:tcPr>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Nemá vliv na vedení projektu, výjimkou příspěvek na odborné poradenství</w:t>
            </w:r>
          </w:p>
        </w:tc>
      </w:tr>
      <w:tr w:rsidR="009D2CAE" w:rsidRPr="007C0CDA" w:rsidTr="00B03681">
        <w:trPr>
          <w:trHeight w:val="1521"/>
        </w:trPr>
        <w:tc>
          <w:tcPr>
            <w:tcW w:w="1729" w:type="dxa"/>
            <w:shd w:val="clear" w:color="auto" w:fill="FFFFFF"/>
            <w:vAlign w:val="center"/>
          </w:tcPr>
          <w:p w:rsidR="009D2CAE" w:rsidRPr="007C0CDA" w:rsidRDefault="009D2CAE" w:rsidP="00B03681">
            <w:pPr>
              <w:pStyle w:val="Highlight2"/>
              <w:jc w:val="left"/>
              <w:rPr>
                <w:rFonts w:ascii="Calibri" w:hAnsi="Calibri" w:cs="Calibri"/>
                <w:bCs/>
                <w:color w:val="000000"/>
                <w:lang w:eastAsia="cs-CZ"/>
              </w:rPr>
            </w:pPr>
            <w:r w:rsidRPr="007C0CDA">
              <w:rPr>
                <w:rFonts w:ascii="Calibri" w:hAnsi="Calibri" w:cs="Calibri"/>
                <w:bCs/>
                <w:color w:val="000000"/>
                <w:lang w:eastAsia="cs-CZ"/>
              </w:rPr>
              <w:t>Riziko projektu</w:t>
            </w:r>
          </w:p>
        </w:tc>
        <w:tc>
          <w:tcPr>
            <w:tcW w:w="2694" w:type="dxa"/>
            <w:shd w:val="clear" w:color="auto" w:fill="FFFFFF"/>
            <w:vAlign w:val="center"/>
          </w:tcPr>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Investiční výběr počítá s vysokým rizikem, avšak vybírá potenciální velmi nadějné a životaschopné projekty</w:t>
            </w:r>
          </w:p>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Veřejný kapitál a preferenční nastavení vůči soukromému koinvestorovi umožňují snížit averzi investora k riziku</w:t>
            </w:r>
          </w:p>
          <w:p w:rsidR="009D2CAE" w:rsidRPr="007C0CDA" w:rsidRDefault="009D2CAE" w:rsidP="00B03681">
            <w:pPr>
              <w:pStyle w:val="Highlight2"/>
              <w:jc w:val="center"/>
              <w:rPr>
                <w:rFonts w:ascii="Calibri" w:hAnsi="Calibri" w:cs="Calibri"/>
                <w:b w:val="0"/>
                <w:color w:val="000000"/>
                <w:lang w:eastAsia="cs-CZ"/>
              </w:rPr>
            </w:pPr>
          </w:p>
          <w:p w:rsidR="009D2CAE" w:rsidRPr="007C0CDA" w:rsidRDefault="009D2CAE" w:rsidP="00B03681">
            <w:pPr>
              <w:pStyle w:val="Highlight2"/>
              <w:jc w:val="center"/>
              <w:rPr>
                <w:rFonts w:ascii="Calibri" w:hAnsi="Calibri" w:cs="Calibri"/>
                <w:b w:val="0"/>
                <w:color w:val="000000"/>
                <w:lang w:eastAsia="cs-CZ"/>
              </w:rPr>
            </w:pPr>
          </w:p>
        </w:tc>
        <w:tc>
          <w:tcPr>
            <w:tcW w:w="2268" w:type="dxa"/>
            <w:shd w:val="clear" w:color="auto" w:fill="FFFFFF"/>
            <w:vAlign w:val="center"/>
          </w:tcPr>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Kvůli riziku projektů je i úvěrovatelnost omezená, neřeší problém</w:t>
            </w:r>
          </w:p>
          <w:p w:rsidR="009D2CAE" w:rsidRPr="007C0CDA" w:rsidRDefault="009D2CAE" w:rsidP="00B03681">
            <w:pPr>
              <w:pStyle w:val="Highlight2"/>
              <w:jc w:val="center"/>
              <w:rPr>
                <w:rFonts w:ascii="Calibri" w:hAnsi="Calibri" w:cs="Calibri"/>
                <w:b w:val="0"/>
                <w:color w:val="000000"/>
                <w:lang w:eastAsia="cs-CZ"/>
              </w:rPr>
            </w:pPr>
          </w:p>
        </w:tc>
        <w:tc>
          <w:tcPr>
            <w:tcW w:w="2268" w:type="dxa"/>
            <w:shd w:val="clear" w:color="auto" w:fill="FFFFFF"/>
            <w:vAlign w:val="center"/>
          </w:tcPr>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 xml:space="preserve">Zlepšením ekonomických parametrů projektu snižuje riziko defaultu. </w:t>
            </w:r>
          </w:p>
          <w:p w:rsidR="009D2CAE" w:rsidRPr="007C0CDA" w:rsidRDefault="009D2CAE" w:rsidP="00B03681">
            <w:pPr>
              <w:pStyle w:val="Highlight2"/>
              <w:jc w:val="center"/>
              <w:rPr>
                <w:rFonts w:ascii="Calibri" w:hAnsi="Calibri" w:cs="Calibri"/>
                <w:b w:val="0"/>
                <w:color w:val="000000"/>
                <w:lang w:eastAsia="cs-CZ"/>
              </w:rPr>
            </w:pPr>
          </w:p>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Příjemce přebírá riziko jen do výše spoluúčasti způsobilých a nezpůsobilých nákladů.</w:t>
            </w:r>
          </w:p>
          <w:p w:rsidR="009D2CAE" w:rsidRPr="007C0CDA" w:rsidRDefault="009D2CAE" w:rsidP="00B03681">
            <w:pPr>
              <w:pStyle w:val="Highlight2"/>
              <w:jc w:val="center"/>
              <w:rPr>
                <w:rFonts w:ascii="Calibri" w:hAnsi="Calibri" w:cs="Calibri"/>
                <w:b w:val="0"/>
                <w:color w:val="000000"/>
                <w:lang w:eastAsia="cs-CZ"/>
              </w:rPr>
            </w:pPr>
          </w:p>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Efekt limitován rizikem odebráním dotace</w:t>
            </w:r>
          </w:p>
          <w:p w:rsidR="009D2CAE" w:rsidRPr="007C0CDA" w:rsidRDefault="009D2CAE" w:rsidP="00B03681">
            <w:pPr>
              <w:pStyle w:val="Highlight2"/>
              <w:jc w:val="center"/>
              <w:rPr>
                <w:rFonts w:ascii="Calibri" w:hAnsi="Calibri" w:cs="Calibri"/>
                <w:b w:val="0"/>
                <w:color w:val="000000"/>
                <w:lang w:eastAsia="cs-CZ"/>
              </w:rPr>
            </w:pPr>
          </w:p>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rPr>
              <w:t xml:space="preserve"> ŘO má předem dané ztráty do absolutní výše dotace.</w:t>
            </w:r>
          </w:p>
        </w:tc>
      </w:tr>
      <w:tr w:rsidR="009D2CAE" w:rsidRPr="007C0CDA" w:rsidTr="00B03681">
        <w:trPr>
          <w:trHeight w:val="1474"/>
        </w:trPr>
        <w:tc>
          <w:tcPr>
            <w:tcW w:w="1729" w:type="dxa"/>
            <w:shd w:val="clear" w:color="auto" w:fill="FFFFFF"/>
            <w:vAlign w:val="center"/>
          </w:tcPr>
          <w:p w:rsidR="009D2CAE" w:rsidRPr="007C0CDA" w:rsidRDefault="009D2CAE" w:rsidP="00E45795">
            <w:pPr>
              <w:rPr>
                <w:sz w:val="19"/>
              </w:rPr>
            </w:pPr>
            <w:r w:rsidRPr="007C0CDA">
              <w:rPr>
                <w:b/>
                <w:sz w:val="20"/>
              </w:rPr>
              <w:t>Celkový efekt na Investiční aktivitu a absorpci v SC</w:t>
            </w:r>
          </w:p>
        </w:tc>
        <w:tc>
          <w:tcPr>
            <w:tcW w:w="2694" w:type="dxa"/>
            <w:shd w:val="clear" w:color="auto" w:fill="FFFFFF"/>
            <w:vAlign w:val="center"/>
          </w:tcPr>
          <w:p w:rsidR="009D2CAE" w:rsidRPr="007C0CDA" w:rsidRDefault="009D2CAE" w:rsidP="00B03681">
            <w:pPr>
              <w:pStyle w:val="Highlight2"/>
              <w:jc w:val="center"/>
              <w:rPr>
                <w:rFonts w:ascii="Calibri" w:hAnsi="Calibri" w:cs="Calibri"/>
                <w:b w:val="0"/>
                <w:bCs/>
                <w:color w:val="000000"/>
                <w:lang w:eastAsia="cs-CZ"/>
              </w:rPr>
            </w:pPr>
            <w:r w:rsidRPr="007C0CDA">
              <w:rPr>
                <w:rFonts w:ascii="Calibri" w:hAnsi="Calibri" w:cs="Calibri"/>
                <w:b w:val="0"/>
                <w:bCs/>
                <w:color w:val="000000"/>
                <w:lang w:eastAsia="cs-CZ"/>
              </w:rPr>
              <w:t>Pozitivní efekt zpřístupnění rizikového kapitálu nadějným podnikům, obligatorní spolupráce se soukromými investory zaručuje aktivizaci soukromého kapitálu, potenciální rozvoj celého trhu PE v cílových segmentech a širší zpřístupnění financování pro start-upy</w:t>
            </w:r>
          </w:p>
        </w:tc>
        <w:tc>
          <w:tcPr>
            <w:tcW w:w="2268" w:type="dxa"/>
            <w:shd w:val="clear" w:color="auto" w:fill="FFFFFF"/>
            <w:vAlign w:val="center"/>
          </w:tcPr>
          <w:p w:rsidR="009D2CAE" w:rsidRPr="007C0CDA" w:rsidRDefault="009D2CAE" w:rsidP="00E45795">
            <w:pPr>
              <w:rPr>
                <w:b/>
                <w:sz w:val="19"/>
              </w:rPr>
            </w:pPr>
            <w:r w:rsidRPr="007C0CDA">
              <w:rPr>
                <w:sz w:val="20"/>
              </w:rPr>
              <w:t>Jen omezený efekt na efektivní přístup inovativních start-upů k potřebnému druhu financování, nízká proveditelnost pro projekty v early-stage fázi</w:t>
            </w:r>
          </w:p>
        </w:tc>
        <w:tc>
          <w:tcPr>
            <w:tcW w:w="2268" w:type="dxa"/>
            <w:shd w:val="clear" w:color="auto" w:fill="FFFFFF"/>
            <w:vAlign w:val="center"/>
          </w:tcPr>
          <w:p w:rsidR="009D2CAE" w:rsidRPr="007C0CDA" w:rsidRDefault="009D2CAE" w:rsidP="00E45795">
            <w:pPr>
              <w:rPr>
                <w:color w:val="000000"/>
                <w:sz w:val="20"/>
              </w:rPr>
            </w:pPr>
            <w:r w:rsidRPr="007C0CDA">
              <w:rPr>
                <w:color w:val="000000"/>
                <w:sz w:val="20"/>
              </w:rPr>
              <w:t>Neefektivní druh podpory z hlediska výběru udržitelných projektů a podpory jejich konkurenceschopnosti, nízká aktivizace soukromého sektoru, vytěsňování soukromých investic</w:t>
            </w:r>
          </w:p>
          <w:p w:rsidR="009D2CAE" w:rsidRPr="007C0CDA" w:rsidRDefault="009D2CAE" w:rsidP="00E45795">
            <w:pPr>
              <w:rPr>
                <w:color w:val="000000"/>
                <w:sz w:val="20"/>
              </w:rPr>
            </w:pPr>
          </w:p>
          <w:p w:rsidR="009D2CAE" w:rsidRPr="007C0CDA" w:rsidRDefault="009D2CAE" w:rsidP="00E45795">
            <w:pPr>
              <w:rPr>
                <w:b/>
                <w:color w:val="000000"/>
                <w:sz w:val="19"/>
              </w:rPr>
            </w:pPr>
          </w:p>
        </w:tc>
      </w:tr>
      <w:tr w:rsidR="009D2CAE" w:rsidRPr="007C0CDA" w:rsidTr="00B03681">
        <w:tc>
          <w:tcPr>
            <w:tcW w:w="1729" w:type="dxa"/>
            <w:shd w:val="clear" w:color="auto" w:fill="FFFFFF"/>
            <w:vAlign w:val="center"/>
          </w:tcPr>
          <w:p w:rsidR="009D2CAE" w:rsidRPr="007C0CDA" w:rsidRDefault="009D2CAE" w:rsidP="00B03681">
            <w:pPr>
              <w:pStyle w:val="Highlight2"/>
              <w:jc w:val="left"/>
              <w:rPr>
                <w:rFonts w:ascii="Calibri" w:hAnsi="Calibri" w:cs="Calibri"/>
                <w:bCs/>
                <w:color w:val="000000"/>
                <w:lang w:eastAsia="cs-CZ"/>
              </w:rPr>
            </w:pPr>
            <w:r w:rsidRPr="007C0CDA">
              <w:rPr>
                <w:rFonts w:ascii="Calibri" w:hAnsi="Calibri" w:cs="Calibri"/>
                <w:bCs/>
                <w:color w:val="000000"/>
                <w:lang w:eastAsia="cs-CZ"/>
              </w:rPr>
              <w:t>Efekt na narušení tržního prostředí</w:t>
            </w:r>
          </w:p>
        </w:tc>
        <w:tc>
          <w:tcPr>
            <w:tcW w:w="2694" w:type="dxa"/>
            <w:shd w:val="clear" w:color="auto" w:fill="FFFFFF"/>
            <w:vAlign w:val="center"/>
          </w:tcPr>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Při správném nastavení podporuje rozvoj soukromého PE trhu. Riziko existuje v případě neodborného výběru projektů a příliš velké alokace – zaplavení malého trhu neodborně rozdělovaným veřejným kapitálem může mít vážné důsledky na tržní efektivitu</w:t>
            </w:r>
          </w:p>
        </w:tc>
        <w:tc>
          <w:tcPr>
            <w:tcW w:w="2268" w:type="dxa"/>
            <w:shd w:val="clear" w:color="auto" w:fill="FFFFFF"/>
            <w:vAlign w:val="center"/>
          </w:tcPr>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Malý vliv na tržní prostředí, návratná podpora motivuje ekonomicky efektivní počínání subjektů</w:t>
            </w:r>
          </w:p>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Doplnění soukromého finančního trhu</w:t>
            </w:r>
          </w:p>
        </w:tc>
        <w:tc>
          <w:tcPr>
            <w:tcW w:w="2268" w:type="dxa"/>
            <w:shd w:val="clear" w:color="auto" w:fill="FFFFFF"/>
            <w:vAlign w:val="center"/>
          </w:tcPr>
          <w:p w:rsidR="009D2CAE" w:rsidRPr="007C0CDA" w:rsidRDefault="009D2CAE" w:rsidP="00B03681">
            <w:pPr>
              <w:pStyle w:val="Highlight2"/>
              <w:jc w:val="center"/>
              <w:rPr>
                <w:rFonts w:ascii="Calibri" w:hAnsi="Calibri" w:cs="Calibri"/>
                <w:b w:val="0"/>
                <w:bCs/>
                <w:color w:val="000000"/>
                <w:lang w:eastAsia="cs-CZ"/>
              </w:rPr>
            </w:pPr>
            <w:r w:rsidRPr="007C0CDA">
              <w:rPr>
                <w:rFonts w:ascii="Calibri" w:hAnsi="Calibri" w:cs="Calibri"/>
                <w:b w:val="0"/>
                <w:bCs/>
                <w:color w:val="000000"/>
                <w:lang w:eastAsia="cs-CZ"/>
              </w:rPr>
              <w:t>Narušuje tržní prostředí neadekvátní podporou a vytěsňováním soukromého financování</w:t>
            </w:r>
          </w:p>
          <w:p w:rsidR="009D2CAE" w:rsidRPr="007C0CDA" w:rsidRDefault="009D2CAE" w:rsidP="00B03681">
            <w:pPr>
              <w:pStyle w:val="Highlight2"/>
              <w:jc w:val="center"/>
              <w:rPr>
                <w:rFonts w:ascii="Calibri" w:hAnsi="Calibri" w:cs="Calibri"/>
                <w:b w:val="0"/>
                <w:bCs/>
                <w:color w:val="000000"/>
                <w:lang w:eastAsia="cs-CZ"/>
              </w:rPr>
            </w:pPr>
            <w:r w:rsidRPr="007C0CDA">
              <w:rPr>
                <w:rFonts w:ascii="Calibri" w:hAnsi="Calibri" w:cs="Calibri"/>
                <w:b w:val="0"/>
                <w:bCs/>
                <w:color w:val="000000"/>
                <w:lang w:eastAsia="cs-CZ"/>
              </w:rPr>
              <w:t>Podpoření i méně kvalitních projektů bez potenciálu udržitelnosti a ziskovosti – omezení efektivnosti trhu</w:t>
            </w:r>
          </w:p>
        </w:tc>
      </w:tr>
    </w:tbl>
    <w:p w:rsidR="009D2CAE" w:rsidRPr="007C0CDA" w:rsidRDefault="009D2CAE" w:rsidP="00B47049">
      <w:pPr>
        <w:pStyle w:val="Titulek"/>
      </w:pPr>
      <w:r w:rsidRPr="007C0CDA">
        <w:t xml:space="preserve">Tabulka </w:t>
      </w:r>
      <w:r w:rsidRPr="00854519">
        <w:fldChar w:fldCharType="begin"/>
      </w:r>
      <w:r w:rsidRPr="007C0CDA">
        <w:instrText xml:space="preserve"> SEQ Tabulka \* ARABIC </w:instrText>
      </w:r>
      <w:r w:rsidRPr="002433DA">
        <w:fldChar w:fldCharType="separate"/>
      </w:r>
      <w:r w:rsidRPr="007C0CDA">
        <w:rPr>
          <w:noProof/>
        </w:rPr>
        <w:t>9</w:t>
      </w:r>
      <w:r w:rsidRPr="00854519">
        <w:fldChar w:fldCharType="end"/>
      </w:r>
      <w:r w:rsidRPr="007C0CDA">
        <w:t xml:space="preserve"> – Přidaná hodnota podpory pro cíle SC 2.1 (začínající inovativní MSP) OP PIK a vliv na tržní prostředí</w:t>
      </w:r>
    </w:p>
    <w:p w:rsidR="009D2CAE" w:rsidRPr="007C0CDA" w:rsidRDefault="009D2CAE" w:rsidP="008671F3">
      <w:pPr>
        <w:pStyle w:val="Neslovannadpisy"/>
        <w:rPr>
          <w:lang w:eastAsia="en-US"/>
        </w:rPr>
      </w:pPr>
    </w:p>
    <w:p w:rsidR="009D2CAE" w:rsidRPr="009D2CAE" w:rsidRDefault="009D2CAE">
      <w:pPr>
        <w:rPr>
          <w:b/>
        </w:rPr>
      </w:pPr>
      <w:r w:rsidRPr="002433DA">
        <w:rPr>
          <w:lang w:eastAsia="en-US"/>
        </w:rPr>
        <w:lastRenderedPageBreak/>
        <w:t>Pro rozvoj inovativních firem ve fázi early-stage je podpora kapitálovými vstupy nejefektivnějším nástrojem z hlediska potenciálu úspěchu projektů i rozvoje celého odvětví jejich financování. Rizikem je především nutnost odborného řízení nástroje a případné negativní důsledky na tržní prostředí v případě jeho absence a nadproporční alokace.</w:t>
      </w:r>
    </w:p>
    <w:p w:rsidR="009D2CAE" w:rsidRPr="007C0CDA" w:rsidDel="00364968" w:rsidRDefault="009D2CAE" w:rsidP="008B3649"/>
    <w:p w:rsidR="009D2CAE" w:rsidRPr="007C0CDA" w:rsidRDefault="009D2CAE" w:rsidP="00E866EA">
      <w:pPr>
        <w:pStyle w:val="Neslovannadpisy"/>
      </w:pPr>
      <w:r w:rsidRPr="007C0CDA">
        <w:t>Veřejná podpora</w:t>
      </w:r>
    </w:p>
    <w:p w:rsidR="009D2CAE" w:rsidRPr="007C0CDA" w:rsidRDefault="009D2CAE" w:rsidP="00FA1CE0">
      <w:r w:rsidRPr="007C0CDA">
        <w:t>Pro finanční nástroje zvýhodněných úvěrů a záruk vstupů lze řešit veřejnou podporu využitím pravidla de minimis nebo ustanovení Obecného nařízení o blokových výjimkách.</w:t>
      </w:r>
    </w:p>
    <w:p w:rsidR="009D2CAE" w:rsidRPr="007C0CDA" w:rsidRDefault="009D2CAE" w:rsidP="00E866EA"/>
    <w:p w:rsidR="009D2CAE" w:rsidRPr="007C0CDA" w:rsidRDefault="009D2CAE" w:rsidP="00E866EA">
      <w:r w:rsidRPr="007C0CDA">
        <w:t>Pro finanční nástroj kapitálových vstupů lze řešit veřejnou podporu využitím ustanovení Obecného nařízení o blokových výjimkách.</w:t>
      </w:r>
    </w:p>
    <w:p w:rsidR="009D2CAE" w:rsidRPr="007C0CDA" w:rsidRDefault="009D2CAE" w:rsidP="008B3649">
      <w:pPr>
        <w:rPr>
          <w:noProof/>
        </w:rPr>
      </w:pPr>
    </w:p>
    <w:p w:rsidR="009D2CAE" w:rsidRPr="002433DA" w:rsidRDefault="009D2CAE" w:rsidP="008B3649">
      <w:pPr>
        <w:rPr>
          <w:b/>
          <w:noProof/>
        </w:rPr>
      </w:pPr>
      <w:r w:rsidRPr="002433DA">
        <w:rPr>
          <w:b/>
          <w:noProof/>
        </w:rPr>
        <w:t>Komplementarity a synergie</w:t>
      </w:r>
    </w:p>
    <w:p w:rsidR="009D2CAE" w:rsidRPr="0038688B" w:rsidRDefault="009D2CAE" w:rsidP="002433DA">
      <w:r w:rsidRPr="00854519">
        <w:rPr>
          <w:noProof/>
        </w:rPr>
        <w:t xml:space="preserve">Podporu </w:t>
      </w:r>
      <w:r w:rsidRPr="0038688B">
        <w:t>kapitálových vstupů rizikového kapitálu je třeba vnímat v </w:t>
      </w:r>
      <w:r w:rsidRPr="00EB326E">
        <w:t>širším kontextu potřeb rozvoje inovační firmy. Podpora tak navazuje</w:t>
      </w:r>
      <w:r w:rsidRPr="00197F96">
        <w:t xml:space="preserve"> zejména na podporu proof-of-concept, ale i podporu </w:t>
      </w:r>
      <w:r w:rsidRPr="007C2066">
        <w:t xml:space="preserve">specializovaných </w:t>
      </w:r>
      <w:r w:rsidRPr="00183F1E">
        <w:t xml:space="preserve">poradenských služeb, které </w:t>
      </w:r>
      <w:r w:rsidRPr="007B2DEF">
        <w:t>firmám pomohou společně s</w:t>
      </w:r>
      <w:r w:rsidRPr="002F7B85">
        <w:t> </w:t>
      </w:r>
      <w:r w:rsidRPr="002433DA">
        <w:t>prostředky od investorů posunout se do další fáze podnikání (programy OP</w:t>
      </w:r>
      <w:r w:rsidR="004153D2">
        <w:t xml:space="preserve"> </w:t>
      </w:r>
      <w:r w:rsidRPr="004153D2">
        <w:t>PIK Služby infrastruktury, Poradenství a Marketing).</w:t>
      </w:r>
    </w:p>
    <w:p w:rsidR="009D2CAE" w:rsidRPr="00EB326E" w:rsidRDefault="009D2CAE" w:rsidP="002433DA"/>
    <w:p w:rsidR="009D2CAE" w:rsidRPr="007B2DEF" w:rsidRDefault="009D2CAE" w:rsidP="002433DA">
      <w:pPr>
        <w:rPr>
          <w:bCs/>
        </w:rPr>
      </w:pPr>
      <w:r w:rsidRPr="00EB326E">
        <w:t>Klíčovo</w:t>
      </w:r>
      <w:r w:rsidRPr="00197F96">
        <w:t>u komplementaritou je pak provázanost s</w:t>
      </w:r>
      <w:r w:rsidRPr="007C2066">
        <w:t> </w:t>
      </w:r>
      <w:r w:rsidRPr="00183F1E">
        <w:t>podporou kapitálových vstupů</w:t>
      </w:r>
      <w:r w:rsidRPr="007B2DEF">
        <w:t xml:space="preserve"> poskytovanou MHMP prostřednictvím OP</w:t>
      </w:r>
      <w:r w:rsidR="004153D2">
        <w:t xml:space="preserve"> </w:t>
      </w:r>
      <w:r w:rsidRPr="004153D2">
        <w:t xml:space="preserve">PPR. </w:t>
      </w:r>
      <w:r w:rsidRPr="0038688B">
        <w:t>Vzhledem k omezené velikosti českého trhu je zahrnutí rovněž podpory z</w:t>
      </w:r>
      <w:r w:rsidRPr="00EB326E">
        <w:t> hlavního</w:t>
      </w:r>
      <w:r w:rsidRPr="00197F96">
        <w:t xml:space="preserve"> </w:t>
      </w:r>
      <w:r w:rsidRPr="007C2066">
        <w:t xml:space="preserve">města </w:t>
      </w:r>
      <w:r w:rsidRPr="00183F1E">
        <w:t xml:space="preserve">Prahy klíčové. </w:t>
      </w:r>
      <w:r w:rsidRPr="007B2DEF">
        <w:t>Jednoznačným doporučením předběžného posouze</w:t>
      </w:r>
      <w:r w:rsidRPr="002F7B85">
        <w:t>ní FN OP</w:t>
      </w:r>
      <w:r w:rsidR="004153D2">
        <w:t xml:space="preserve"> </w:t>
      </w:r>
      <w:r w:rsidRPr="004153D2">
        <w:t>PIK je proto vytvoření jednotného systému podpory</w:t>
      </w:r>
      <w:r w:rsidRPr="0038688B">
        <w:t xml:space="preserve"> kapitálových vstupů, </w:t>
      </w:r>
      <w:r w:rsidRPr="00EB326E">
        <w:t>který bude využitelný pro firmy a investory z</w:t>
      </w:r>
      <w:r w:rsidRPr="00197F96">
        <w:t> </w:t>
      </w:r>
      <w:r w:rsidRPr="007C2066">
        <w:t>celé České republiky</w:t>
      </w:r>
      <w:r w:rsidRPr="00183F1E">
        <w:t>.</w:t>
      </w:r>
    </w:p>
    <w:p w:rsidR="009D2CAE" w:rsidRPr="002F7B85" w:rsidRDefault="009D2CAE" w:rsidP="002433DA">
      <w:pPr>
        <w:rPr>
          <w:bCs/>
        </w:rPr>
      </w:pPr>
    </w:p>
    <w:p w:rsidR="009D2CAE" w:rsidRPr="002433DA" w:rsidRDefault="009D2CAE" w:rsidP="002433DA">
      <w:pPr>
        <w:rPr>
          <w:bCs/>
        </w:rPr>
      </w:pPr>
      <w:r w:rsidRPr="002433DA">
        <w:t>Lze vnímat i komplementaritu s uvažovaným Středoevropským fondem fondů EIF,který by umožnil firmám v navazujících fázích later stage a growth stage kapitálu získat prostředky na další rozvoj, přičemž je v jednání zapojení vedle České republiky též Slovenska, Maďarska, Rakouska a Slovinska.</w:t>
      </w:r>
    </w:p>
    <w:p w:rsidR="009D2CAE" w:rsidRPr="002433DA" w:rsidRDefault="009D2CAE" w:rsidP="002433DA">
      <w:pPr>
        <w:rPr>
          <w:bCs/>
        </w:rPr>
      </w:pPr>
    </w:p>
    <w:p w:rsidR="009D2CAE" w:rsidRPr="007C0CDA" w:rsidRDefault="009D2CAE" w:rsidP="003C3B8D">
      <w:pPr>
        <w:rPr>
          <w:lang w:eastAsia="en-US"/>
        </w:rPr>
      </w:pPr>
      <w:r w:rsidRPr="007C0CDA">
        <w:rPr>
          <w:lang w:eastAsia="en-US"/>
        </w:rPr>
        <w:t>Důležitou komplementaritu představuje také možnost zapojení Investičního plánu pro Evropu a Evropského fondu pro strategické investice.</w:t>
      </w:r>
    </w:p>
    <w:p w:rsidR="009D2CAE" w:rsidRPr="00B675D6" w:rsidDel="00364968" w:rsidRDefault="009D2CAE" w:rsidP="002433DA"/>
    <w:p w:rsidR="009D2CAE" w:rsidRPr="007C0CDA" w:rsidRDefault="009D2CAE" w:rsidP="00B21DA0"/>
    <w:p w:rsidR="009D2CAE" w:rsidRPr="007C0CDA" w:rsidRDefault="009D2CAE" w:rsidP="00B21DA0"/>
    <w:p w:rsidR="009D2CAE" w:rsidRPr="00854519" w:rsidRDefault="009D2CAE" w:rsidP="002433DA">
      <w:pPr>
        <w:pStyle w:val="Nadpis2"/>
        <w:rPr>
          <w:lang w:eastAsia="en-US"/>
        </w:rPr>
      </w:pPr>
      <w:bookmarkStart w:id="461" w:name="_Toc416447815"/>
      <w:r w:rsidRPr="00B675D6">
        <w:rPr>
          <w:lang w:eastAsia="en-US"/>
        </w:rPr>
        <w:t>Specifický cíl 2.3 - Zvýšit využitelnost infrastruktury pro podnikání</w:t>
      </w:r>
      <w:bookmarkEnd w:id="461"/>
    </w:p>
    <w:p w:rsidR="009D2CAE" w:rsidRPr="007C0CDA" w:rsidRDefault="009D2CAE" w:rsidP="009E112A">
      <w:pPr>
        <w:pStyle w:val="Neslovannadpisy"/>
      </w:pPr>
      <w:r w:rsidRPr="007C0CDA">
        <w:t>Podporované aktivity:</w:t>
      </w:r>
    </w:p>
    <w:p w:rsidR="009D2CAE" w:rsidRPr="007C0CDA" w:rsidRDefault="009D2CAE" w:rsidP="002433DA">
      <w:pPr>
        <w:pStyle w:val="Odstavecseseznamem"/>
        <w:numPr>
          <w:ilvl w:val="0"/>
          <w:numId w:val="12"/>
        </w:numPr>
      </w:pPr>
      <w:r w:rsidRPr="007C0CDA">
        <w:t>Technické a stavební rekonstrukce brownfieldů (bez výdajů na odstranění rizikových ekologických zátěží) a jejich přeměna na moderní podnikatelské objekty a vznik nově zrekonstruovatelných podnikatelských ploch,</w:t>
      </w:r>
    </w:p>
    <w:p w:rsidR="009D2CAE" w:rsidRPr="007C0CDA" w:rsidRDefault="009D2CAE" w:rsidP="002433DA">
      <w:pPr>
        <w:pStyle w:val="Odstavecseseznamem"/>
        <w:numPr>
          <w:ilvl w:val="0"/>
          <w:numId w:val="12"/>
        </w:numPr>
      </w:pPr>
      <w:r w:rsidRPr="007C0CDA">
        <w:t>realizace komplexních stavebně-technických opatření vedoucích k rekonstrukcím technicky nevyhovující podnikatelské nemovitostí nebo brownfieldů na podnikatelský objekt a vzniku nově zrekonstruovaných podnikatelských ploch.</w:t>
      </w:r>
    </w:p>
    <w:p w:rsidR="009D2CAE" w:rsidRPr="007C0CDA" w:rsidRDefault="009D2CAE" w:rsidP="00DF6E0B">
      <w:pPr>
        <w:pStyle w:val="Odstavecseseznamem"/>
      </w:pPr>
    </w:p>
    <w:p w:rsidR="009D2CAE" w:rsidRPr="007C0CDA" w:rsidRDefault="009D2CAE" w:rsidP="009E112A">
      <w:pPr>
        <w:pStyle w:val="Neslovannadpisy"/>
      </w:pPr>
      <w:r w:rsidRPr="007C0CDA">
        <w:t xml:space="preserve">Hlavní cílová skupina: </w:t>
      </w:r>
    </w:p>
    <w:p w:rsidR="009D2CAE" w:rsidRPr="007C0CDA" w:rsidRDefault="009D2CAE" w:rsidP="009E112A">
      <w:r w:rsidRPr="007C0CDA">
        <w:t>Podnikatelské subjekty (malé, střední), municipality</w:t>
      </w:r>
    </w:p>
    <w:p w:rsidR="009D2CAE" w:rsidRPr="007C0CDA" w:rsidRDefault="009D2CAE" w:rsidP="009E112A"/>
    <w:p w:rsidR="009D2CAE" w:rsidRPr="007C0CDA" w:rsidRDefault="009D2CAE" w:rsidP="009E112A">
      <w:pPr>
        <w:pStyle w:val="Neslovannadpisy"/>
      </w:pPr>
      <w:r w:rsidRPr="007C0CDA">
        <w:t>Cílové území:</w:t>
      </w:r>
    </w:p>
    <w:p w:rsidR="009D2CAE" w:rsidRPr="007C0CDA" w:rsidRDefault="009D2CAE" w:rsidP="009E112A">
      <w:r w:rsidRPr="007C0CDA">
        <w:lastRenderedPageBreak/>
        <w:t>Všechny regiony v ČR kromě hl. m. Prahy, zaměření na urbánní území</w:t>
      </w:r>
    </w:p>
    <w:p w:rsidR="009D2CAE" w:rsidRPr="007C0CDA" w:rsidRDefault="009D2CAE" w:rsidP="00835456">
      <w:pPr>
        <w:pStyle w:val="Neslovannadpisy"/>
      </w:pPr>
    </w:p>
    <w:p w:rsidR="009D2CAE" w:rsidRPr="007C0CDA" w:rsidRDefault="009D2CAE" w:rsidP="00835456">
      <w:pPr>
        <w:pStyle w:val="Neslovannadpisy"/>
      </w:pPr>
      <w:r w:rsidRPr="007C0CDA">
        <w:t>Výběr aktivit k posouzení vhodnosti finančního nástroje</w:t>
      </w:r>
    </w:p>
    <w:p w:rsidR="009D2CAE" w:rsidRPr="007C0CDA" w:rsidRDefault="009D2CAE" w:rsidP="009E112A">
      <w:r w:rsidRPr="007C0CDA">
        <w:t>K bližšímu posouzení byl vybrán celý cíl SC 2.3. Podnikatelské objekty pro výrobu MSP mají ve většině případů návratný ziskový potenciál a jsou tedy i potenciálně vhodné pro využití návratné formy podpory.</w:t>
      </w:r>
    </w:p>
    <w:p w:rsidR="009D2CAE" w:rsidRPr="007C0CDA" w:rsidRDefault="009D2CAE" w:rsidP="004E6079">
      <w:pPr>
        <w:rPr>
          <w:b/>
          <w:lang w:eastAsia="en-US"/>
        </w:rPr>
      </w:pPr>
    </w:p>
    <w:p w:rsidR="009D2CAE" w:rsidRPr="007C0CDA" w:rsidRDefault="009D2CAE" w:rsidP="00034FDD">
      <w:r w:rsidRPr="007C0CDA">
        <w:t>Rozvoj nových a inovativních podnikatelských aktivit MSP je limitován nevhodnými parametry zastaralé podnikatelské infrastruktury, jejíž provoz navíc vyžaduje vysoké režijní náklady. V regionech ČR se zároveň vyskytuje řada lokalit typu brownfield (BF), které by bylo možné regenerovat a opětovně využít pro ekonomické aktivity MSP. Specifickým cílem je proto zlepšit kvalitu a zvýšit využitelnost podnikatelské infrastruktury typu brownfield, a umožnit tak MSP realizovat své rozvojové podnikatelské záměry, které mohou vést nejen k rozšiřování výroby, ale také k posunu podniků směrem výše v rámci hodnotového řetězce.</w:t>
      </w:r>
    </w:p>
    <w:p w:rsidR="009D2CAE" w:rsidRPr="007C0CDA" w:rsidRDefault="009D2CAE" w:rsidP="00034FDD">
      <w:pPr>
        <w:rPr>
          <w:lang w:eastAsia="en-US"/>
        </w:rPr>
      </w:pPr>
    </w:p>
    <w:p w:rsidR="009D2CAE" w:rsidRPr="007C0CDA" w:rsidRDefault="009D2CAE" w:rsidP="00034FDD">
      <w:pPr>
        <w:rPr>
          <w:lang w:eastAsia="en-US"/>
        </w:rPr>
      </w:pPr>
      <w:r w:rsidRPr="007C0CDA">
        <w:rPr>
          <w:lang w:eastAsia="en-US"/>
        </w:rPr>
        <w:t>Vymezení cílových lokalit v SC 2.3 je poměrně široké a zasahuje spektrum typů objektů a ploch na různém stupni zchátralosti a využívanosti. Podobně široká je i definice BF v Národní strategii regenerace brownfieldů z roku 2008, která BF definuje jako „</w:t>
      </w:r>
      <w:r w:rsidRPr="007C0CDA">
        <w:rPr>
          <w:b/>
          <w:lang w:eastAsia="en-US"/>
        </w:rPr>
        <w:t>nemovitost (pozemek, objekt, areál), která je nedostatečně využívaná, zanedbaná a může být i kontaminovaná. Vzniká jako pozůstatek průmyslové, zemědělské, rezidenční, vojenské či jiné aktivity. Brownfield nelze vhodně a efektivně využívat, aniž by proběhl proces jeho regenerace“</w:t>
      </w:r>
      <w:r w:rsidRPr="007C0CDA">
        <w:rPr>
          <w:lang w:eastAsia="en-US"/>
        </w:rPr>
        <w:t>. Základním společným jmenovatelem podporovaných projektů je tedy současný nevyhovující stav nemovitosti k podnikání a přeměna na moderní podnikatelskou infrastrukturu MSP.</w:t>
      </w:r>
    </w:p>
    <w:p w:rsidR="009D2CAE" w:rsidRPr="00854519" w:rsidRDefault="009D2CAE" w:rsidP="002433DA">
      <w:pPr>
        <w:pStyle w:val="Nadpis3"/>
        <w:rPr>
          <w:lang w:eastAsia="en-US"/>
        </w:rPr>
      </w:pPr>
      <w:bookmarkStart w:id="462" w:name="_Toc416447816"/>
      <w:r w:rsidRPr="00B675D6">
        <w:rPr>
          <w:lang w:eastAsia="en-US"/>
        </w:rPr>
        <w:t>Tržní analýza</w:t>
      </w:r>
      <w:bookmarkEnd w:id="462"/>
    </w:p>
    <w:p w:rsidR="009D2CAE" w:rsidRPr="007C0CDA" w:rsidRDefault="009D2CAE" w:rsidP="002413B6">
      <w:pPr>
        <w:pStyle w:val="Nadpis3"/>
      </w:pPr>
      <w:bookmarkStart w:id="463" w:name="_Toc416447817"/>
      <w:r w:rsidRPr="007C0CDA">
        <w:t>Zaměření specifického cíle</w:t>
      </w:r>
      <w:bookmarkEnd w:id="463"/>
    </w:p>
    <w:p w:rsidR="009D2CAE" w:rsidRPr="007C0CDA" w:rsidRDefault="009D2CAE" w:rsidP="002433DA">
      <w:pPr>
        <w:pStyle w:val="Neslovannadpisy"/>
        <w:rPr>
          <w:lang w:eastAsia="en-US"/>
        </w:rPr>
      </w:pPr>
      <w:r w:rsidRPr="007C0CDA">
        <w:rPr>
          <w:lang w:eastAsia="en-US"/>
        </w:rPr>
        <w:t>Výskyt lokalit BF a jejich nabídka</w:t>
      </w:r>
    </w:p>
    <w:p w:rsidR="009D2CAE" w:rsidRPr="007C0CDA" w:rsidRDefault="009D2CAE" w:rsidP="002433DA">
      <w:pPr>
        <w:rPr>
          <w:b/>
          <w:bCs/>
          <w:i/>
          <w:color w:val="17365D"/>
          <w:sz w:val="16"/>
        </w:rPr>
      </w:pPr>
      <w:r w:rsidRPr="007C0CDA">
        <w:rPr>
          <w:lang w:eastAsia="en-US"/>
        </w:rPr>
        <w:t xml:space="preserve">Pro základní informace o brownfieldech je k dispozici materiál státní agentury CzechInvest (CI) Národní strategie regenerace brownfieldů z roku 2008, jejíž aktualizace právě probíhá. Historicky první strategie pro BF zpracovaná v letech 2003 až 2004 přinesla nové informace o pravděpodobné velikosti a povaze BF v ČR. </w:t>
      </w:r>
      <w:r w:rsidRPr="007C0CDA">
        <w:rPr>
          <w:b/>
          <w:lang w:eastAsia="en-US"/>
        </w:rPr>
        <w:t>V roce 2007 bylo zmapováno 2355 lokalit. Jejich celkový přibližný počet se podle různých odhadů může pohybovat mezi 8-12 000 lokalit s plochou přesahující 25 tis. ha.</w:t>
      </w:r>
      <w:r w:rsidRPr="007C0CDA">
        <w:rPr>
          <w:lang w:eastAsia="en-US"/>
        </w:rPr>
        <w:t>Studie se zaměřila pouze na lokality s velikostí plochy větší než 1 ha a zastavěnou plochou více než</w:t>
      </w:r>
      <w:r w:rsidR="0038688B">
        <w:rPr>
          <w:lang w:eastAsia="en-US"/>
        </w:rPr>
        <w:t xml:space="preserve"> </w:t>
      </w:r>
      <w:r w:rsidRPr="007C0CDA">
        <w:rPr>
          <w:lang w:eastAsia="en-US"/>
        </w:rPr>
        <w:t>500m</w:t>
      </w:r>
      <w:r w:rsidRPr="007C0CDA">
        <w:rPr>
          <w:vertAlign w:val="superscript"/>
          <w:lang w:eastAsia="en-US"/>
        </w:rPr>
        <w:t>2</w:t>
      </w:r>
      <w:r w:rsidRPr="007C0CDA">
        <w:rPr>
          <w:lang w:eastAsia="en-US"/>
        </w:rPr>
        <w:t>.</w:t>
      </w:r>
    </w:p>
    <w:tbl>
      <w:tblPr>
        <w:tblW w:w="6765" w:type="dxa"/>
        <w:jc w:val="center"/>
        <w:tblBorders>
          <w:bottom w:val="single" w:sz="4" w:space="0" w:color="00A1DE"/>
          <w:insideH w:val="single" w:sz="4" w:space="0" w:color="00A1DE"/>
        </w:tblBorders>
        <w:tblLayout w:type="fixed"/>
        <w:tblCellMar>
          <w:left w:w="0" w:type="dxa"/>
          <w:right w:w="0" w:type="dxa"/>
        </w:tblCellMar>
        <w:tblLook w:val="00A0" w:firstRow="1" w:lastRow="0" w:firstColumn="1" w:lastColumn="0" w:noHBand="0" w:noVBand="0"/>
      </w:tblPr>
      <w:tblGrid>
        <w:gridCol w:w="1815"/>
        <w:gridCol w:w="737"/>
        <w:gridCol w:w="1152"/>
        <w:gridCol w:w="1417"/>
        <w:gridCol w:w="1644"/>
      </w:tblGrid>
      <w:tr w:rsidR="009D2CAE" w:rsidRPr="007C0CDA" w:rsidTr="00416BF2">
        <w:trPr>
          <w:trHeight w:val="20"/>
          <w:jc w:val="center"/>
        </w:trPr>
        <w:tc>
          <w:tcPr>
            <w:tcW w:w="1814" w:type="dxa"/>
            <w:tcBorders>
              <w:top w:val="nil"/>
              <w:left w:val="nil"/>
              <w:right w:val="nil"/>
            </w:tcBorders>
            <w:shd w:val="clear" w:color="auto" w:fill="00A1DE"/>
            <w:noWrap/>
          </w:tcPr>
          <w:p w:rsidR="009D2CAE" w:rsidRPr="007C0CDA" w:rsidRDefault="009D2CAE">
            <w:pPr>
              <w:keepNext/>
              <w:rPr>
                <w:rFonts w:ascii="Arial" w:hAnsi="Arial" w:cs="Arial"/>
                <w:b/>
                <w:color w:val="FFFFFF"/>
                <w:sz w:val="18"/>
                <w:szCs w:val="18"/>
              </w:rPr>
            </w:pPr>
            <w:r w:rsidRPr="007C0CDA">
              <w:rPr>
                <w:b/>
                <w:color w:val="FFFFFF"/>
                <w:sz w:val="18"/>
                <w:szCs w:val="18"/>
              </w:rPr>
              <w:t>Předchozí využití lokality</w:t>
            </w:r>
          </w:p>
        </w:tc>
        <w:tc>
          <w:tcPr>
            <w:tcW w:w="737" w:type="dxa"/>
            <w:tcBorders>
              <w:top w:val="nil"/>
              <w:left w:val="nil"/>
              <w:right w:val="nil"/>
            </w:tcBorders>
            <w:shd w:val="clear" w:color="auto" w:fill="00A1DE"/>
            <w:noWrap/>
          </w:tcPr>
          <w:p w:rsidR="009D2CAE" w:rsidRPr="007C0CDA" w:rsidRDefault="009D2CAE">
            <w:pPr>
              <w:keepNext/>
              <w:rPr>
                <w:rFonts w:ascii="Arial" w:hAnsi="Arial" w:cs="Arial"/>
                <w:b/>
                <w:color w:val="FFFFFF"/>
                <w:sz w:val="18"/>
                <w:szCs w:val="18"/>
              </w:rPr>
            </w:pPr>
            <w:r w:rsidRPr="007C0CDA">
              <w:rPr>
                <w:b/>
                <w:color w:val="FFFFFF"/>
                <w:sz w:val="18"/>
                <w:szCs w:val="18"/>
              </w:rPr>
              <w:t>Četnost</w:t>
            </w:r>
          </w:p>
        </w:tc>
        <w:tc>
          <w:tcPr>
            <w:tcW w:w="1152" w:type="dxa"/>
            <w:tcBorders>
              <w:top w:val="nil"/>
              <w:left w:val="nil"/>
              <w:right w:val="nil"/>
            </w:tcBorders>
            <w:shd w:val="clear" w:color="auto" w:fill="00A1DE"/>
            <w:noWrap/>
          </w:tcPr>
          <w:p w:rsidR="009D2CAE" w:rsidRPr="007C0CDA" w:rsidRDefault="009D2CAE">
            <w:pPr>
              <w:keepNext/>
              <w:rPr>
                <w:rFonts w:ascii="Arial" w:hAnsi="Arial" w:cs="Arial"/>
                <w:b/>
                <w:color w:val="FFFFFF"/>
                <w:sz w:val="18"/>
                <w:szCs w:val="18"/>
              </w:rPr>
            </w:pPr>
            <w:r w:rsidRPr="007C0CDA">
              <w:rPr>
                <w:b/>
                <w:color w:val="FFFFFF"/>
                <w:sz w:val="18"/>
                <w:szCs w:val="18"/>
              </w:rPr>
              <w:t>Podíl v %</w:t>
            </w:r>
          </w:p>
        </w:tc>
        <w:tc>
          <w:tcPr>
            <w:tcW w:w="1417" w:type="dxa"/>
            <w:tcBorders>
              <w:top w:val="nil"/>
              <w:left w:val="nil"/>
              <w:right w:val="nil"/>
            </w:tcBorders>
            <w:shd w:val="clear" w:color="auto" w:fill="00A1DE"/>
            <w:noWrap/>
          </w:tcPr>
          <w:p w:rsidR="009D2CAE" w:rsidRPr="007C0CDA" w:rsidRDefault="009D2CAE">
            <w:pPr>
              <w:keepNext/>
              <w:rPr>
                <w:rFonts w:ascii="Arial" w:hAnsi="Arial" w:cs="Arial"/>
                <w:b/>
                <w:color w:val="FFFFFF"/>
                <w:sz w:val="18"/>
                <w:szCs w:val="18"/>
              </w:rPr>
            </w:pPr>
            <w:r w:rsidRPr="007C0CDA">
              <w:rPr>
                <w:b/>
                <w:color w:val="FFFFFF"/>
                <w:sz w:val="18"/>
                <w:szCs w:val="18"/>
              </w:rPr>
              <w:t>Celková rozloha lokalit (ha)</w:t>
            </w:r>
          </w:p>
        </w:tc>
        <w:tc>
          <w:tcPr>
            <w:tcW w:w="1644" w:type="dxa"/>
            <w:tcBorders>
              <w:top w:val="nil"/>
              <w:left w:val="nil"/>
              <w:right w:val="nil"/>
            </w:tcBorders>
            <w:shd w:val="clear" w:color="auto" w:fill="00A1DE"/>
            <w:noWrap/>
          </w:tcPr>
          <w:p w:rsidR="009D2CAE" w:rsidRPr="007C0CDA" w:rsidRDefault="009D2CAE">
            <w:pPr>
              <w:keepNext/>
              <w:rPr>
                <w:rFonts w:ascii="Arial" w:hAnsi="Arial" w:cs="Arial"/>
                <w:b/>
                <w:color w:val="FFFFFF"/>
                <w:sz w:val="18"/>
                <w:szCs w:val="18"/>
              </w:rPr>
            </w:pPr>
            <w:r w:rsidRPr="007C0CDA">
              <w:rPr>
                <w:b/>
                <w:color w:val="FFFFFF"/>
                <w:sz w:val="18"/>
                <w:szCs w:val="18"/>
              </w:rPr>
              <w:t>Průměrná rozloha jedné lokality (ha)</w:t>
            </w:r>
          </w:p>
        </w:tc>
      </w:tr>
      <w:tr w:rsidR="009D2CAE" w:rsidRPr="007C0CDA" w:rsidTr="00416BF2">
        <w:trPr>
          <w:trHeight w:val="20"/>
          <w:jc w:val="center"/>
        </w:trPr>
        <w:tc>
          <w:tcPr>
            <w:tcW w:w="1814" w:type="dxa"/>
            <w:tcBorders>
              <w:left w:val="nil"/>
              <w:right w:val="nil"/>
            </w:tcBorders>
            <w:shd w:val="clear" w:color="auto" w:fill="FFFFFF"/>
            <w:noWrap/>
          </w:tcPr>
          <w:p w:rsidR="009D2CAE" w:rsidRPr="007C0CDA" w:rsidRDefault="009D2CAE">
            <w:pPr>
              <w:keepNext/>
              <w:rPr>
                <w:rFonts w:ascii="Arial" w:hAnsi="Arial" w:cs="Arial"/>
                <w:sz w:val="18"/>
                <w:szCs w:val="18"/>
              </w:rPr>
            </w:pPr>
            <w:r w:rsidRPr="007C0CDA">
              <w:rPr>
                <w:sz w:val="18"/>
                <w:szCs w:val="18"/>
              </w:rPr>
              <w:t>Zemědělství</w:t>
            </w:r>
          </w:p>
        </w:tc>
        <w:tc>
          <w:tcPr>
            <w:tcW w:w="737" w:type="dxa"/>
            <w:tcBorders>
              <w:left w:val="nil"/>
              <w:right w:val="nil"/>
            </w:tcBorders>
            <w:shd w:val="clear" w:color="auto" w:fill="FFFFFF"/>
            <w:noWrap/>
          </w:tcPr>
          <w:p w:rsidR="009D2CAE" w:rsidRPr="007C0CDA" w:rsidRDefault="009D2CAE">
            <w:pPr>
              <w:keepNext/>
              <w:jc w:val="right"/>
              <w:rPr>
                <w:rFonts w:ascii="Arial" w:hAnsi="Arial" w:cs="Arial"/>
                <w:sz w:val="18"/>
                <w:szCs w:val="18"/>
              </w:rPr>
            </w:pPr>
            <w:r w:rsidRPr="007C0CDA">
              <w:rPr>
                <w:sz w:val="18"/>
                <w:szCs w:val="18"/>
              </w:rPr>
              <w:t>821</w:t>
            </w:r>
          </w:p>
        </w:tc>
        <w:tc>
          <w:tcPr>
            <w:tcW w:w="1152" w:type="dxa"/>
            <w:tcBorders>
              <w:left w:val="nil"/>
              <w:right w:val="nil"/>
            </w:tcBorders>
            <w:shd w:val="clear" w:color="auto" w:fill="FFFFFF"/>
            <w:noWrap/>
          </w:tcPr>
          <w:p w:rsidR="009D2CAE" w:rsidRPr="007C0CDA" w:rsidRDefault="009D2CAE">
            <w:pPr>
              <w:keepNext/>
              <w:jc w:val="right"/>
              <w:rPr>
                <w:rFonts w:ascii="Arial" w:hAnsi="Arial" w:cs="Arial"/>
                <w:sz w:val="18"/>
                <w:szCs w:val="18"/>
              </w:rPr>
            </w:pPr>
            <w:r w:rsidRPr="007C0CDA">
              <w:rPr>
                <w:sz w:val="18"/>
                <w:szCs w:val="18"/>
              </w:rPr>
              <w:t>34,9%</w:t>
            </w:r>
          </w:p>
        </w:tc>
        <w:tc>
          <w:tcPr>
            <w:tcW w:w="1417" w:type="dxa"/>
            <w:tcBorders>
              <w:left w:val="nil"/>
              <w:right w:val="nil"/>
            </w:tcBorders>
            <w:shd w:val="clear" w:color="auto" w:fill="FFFFFF"/>
            <w:noWrap/>
          </w:tcPr>
          <w:p w:rsidR="009D2CAE" w:rsidRPr="007C0CDA" w:rsidRDefault="009D2CAE">
            <w:pPr>
              <w:keepNext/>
              <w:jc w:val="right"/>
              <w:rPr>
                <w:rFonts w:ascii="Arial" w:hAnsi="Arial" w:cs="Arial"/>
                <w:sz w:val="18"/>
                <w:szCs w:val="18"/>
              </w:rPr>
            </w:pPr>
            <w:r w:rsidRPr="007C0CDA">
              <w:rPr>
                <w:sz w:val="18"/>
                <w:szCs w:val="18"/>
              </w:rPr>
              <w:t>1 840,4</w:t>
            </w:r>
          </w:p>
        </w:tc>
        <w:tc>
          <w:tcPr>
            <w:tcW w:w="1644" w:type="dxa"/>
            <w:tcBorders>
              <w:left w:val="nil"/>
              <w:right w:val="nil"/>
            </w:tcBorders>
            <w:shd w:val="clear" w:color="auto" w:fill="FFFFFF"/>
            <w:noWrap/>
          </w:tcPr>
          <w:p w:rsidR="009D2CAE" w:rsidRPr="007C0CDA" w:rsidRDefault="009D2CAE">
            <w:pPr>
              <w:keepNext/>
              <w:jc w:val="right"/>
              <w:rPr>
                <w:rFonts w:ascii="Arial" w:hAnsi="Arial" w:cs="Arial"/>
                <w:sz w:val="18"/>
                <w:szCs w:val="18"/>
              </w:rPr>
            </w:pPr>
            <w:r w:rsidRPr="007C0CDA">
              <w:rPr>
                <w:sz w:val="18"/>
                <w:szCs w:val="18"/>
              </w:rPr>
              <w:t>2,2</w:t>
            </w:r>
          </w:p>
        </w:tc>
      </w:tr>
      <w:tr w:rsidR="009D2CAE" w:rsidRPr="007C0CDA" w:rsidTr="00416BF2">
        <w:trPr>
          <w:trHeight w:val="20"/>
          <w:jc w:val="center"/>
        </w:trPr>
        <w:tc>
          <w:tcPr>
            <w:tcW w:w="1814" w:type="dxa"/>
            <w:tcBorders>
              <w:left w:val="nil"/>
              <w:right w:val="nil"/>
            </w:tcBorders>
            <w:shd w:val="clear" w:color="auto" w:fill="FFFFFF"/>
            <w:noWrap/>
          </w:tcPr>
          <w:p w:rsidR="009D2CAE" w:rsidRPr="007C0CDA" w:rsidRDefault="009D2CAE">
            <w:pPr>
              <w:keepNext/>
              <w:rPr>
                <w:rFonts w:ascii="Arial" w:hAnsi="Arial" w:cs="Arial"/>
                <w:sz w:val="18"/>
                <w:szCs w:val="18"/>
              </w:rPr>
            </w:pPr>
            <w:r w:rsidRPr="007C0CDA">
              <w:rPr>
                <w:sz w:val="18"/>
                <w:szCs w:val="18"/>
              </w:rPr>
              <w:t>Průmysl</w:t>
            </w:r>
          </w:p>
        </w:tc>
        <w:tc>
          <w:tcPr>
            <w:tcW w:w="737" w:type="dxa"/>
            <w:tcBorders>
              <w:left w:val="nil"/>
              <w:right w:val="nil"/>
            </w:tcBorders>
            <w:shd w:val="clear" w:color="auto" w:fill="FFFFFF"/>
            <w:noWrap/>
          </w:tcPr>
          <w:p w:rsidR="009D2CAE" w:rsidRPr="007C0CDA" w:rsidRDefault="009D2CAE">
            <w:pPr>
              <w:keepNext/>
              <w:jc w:val="right"/>
              <w:rPr>
                <w:rFonts w:ascii="Arial" w:hAnsi="Arial" w:cs="Arial"/>
                <w:sz w:val="18"/>
                <w:szCs w:val="18"/>
              </w:rPr>
            </w:pPr>
            <w:r w:rsidRPr="007C0CDA">
              <w:rPr>
                <w:sz w:val="18"/>
                <w:szCs w:val="18"/>
              </w:rPr>
              <w:t>785</w:t>
            </w:r>
          </w:p>
        </w:tc>
        <w:tc>
          <w:tcPr>
            <w:tcW w:w="1152" w:type="dxa"/>
            <w:tcBorders>
              <w:left w:val="nil"/>
              <w:right w:val="nil"/>
            </w:tcBorders>
            <w:shd w:val="clear" w:color="auto" w:fill="FFFFFF"/>
            <w:noWrap/>
          </w:tcPr>
          <w:p w:rsidR="009D2CAE" w:rsidRPr="007C0CDA" w:rsidRDefault="009D2CAE">
            <w:pPr>
              <w:keepNext/>
              <w:jc w:val="right"/>
              <w:rPr>
                <w:rFonts w:ascii="Arial" w:hAnsi="Arial" w:cs="Arial"/>
                <w:sz w:val="18"/>
                <w:szCs w:val="18"/>
              </w:rPr>
            </w:pPr>
            <w:r w:rsidRPr="007C0CDA">
              <w:rPr>
                <w:sz w:val="18"/>
                <w:szCs w:val="18"/>
              </w:rPr>
              <w:t>33,3%</w:t>
            </w:r>
          </w:p>
        </w:tc>
        <w:tc>
          <w:tcPr>
            <w:tcW w:w="1417" w:type="dxa"/>
            <w:tcBorders>
              <w:left w:val="nil"/>
              <w:right w:val="nil"/>
            </w:tcBorders>
            <w:shd w:val="clear" w:color="auto" w:fill="FFFFFF"/>
            <w:noWrap/>
          </w:tcPr>
          <w:p w:rsidR="009D2CAE" w:rsidRPr="007C0CDA" w:rsidRDefault="009D2CAE">
            <w:pPr>
              <w:keepNext/>
              <w:jc w:val="right"/>
              <w:rPr>
                <w:rFonts w:ascii="Arial" w:hAnsi="Arial" w:cs="Arial"/>
                <w:sz w:val="18"/>
                <w:szCs w:val="18"/>
              </w:rPr>
            </w:pPr>
            <w:r w:rsidRPr="007C0CDA">
              <w:rPr>
                <w:sz w:val="18"/>
                <w:szCs w:val="18"/>
              </w:rPr>
              <w:t>4 423,2</w:t>
            </w:r>
          </w:p>
        </w:tc>
        <w:tc>
          <w:tcPr>
            <w:tcW w:w="1644" w:type="dxa"/>
            <w:tcBorders>
              <w:left w:val="nil"/>
              <w:right w:val="nil"/>
            </w:tcBorders>
            <w:shd w:val="clear" w:color="auto" w:fill="FFFFFF"/>
            <w:noWrap/>
          </w:tcPr>
          <w:p w:rsidR="009D2CAE" w:rsidRPr="007C0CDA" w:rsidRDefault="009D2CAE">
            <w:pPr>
              <w:keepNext/>
              <w:jc w:val="right"/>
              <w:rPr>
                <w:rFonts w:ascii="Arial" w:hAnsi="Arial" w:cs="Arial"/>
                <w:sz w:val="18"/>
                <w:szCs w:val="18"/>
              </w:rPr>
            </w:pPr>
            <w:r w:rsidRPr="007C0CDA">
              <w:rPr>
                <w:sz w:val="18"/>
                <w:szCs w:val="18"/>
              </w:rPr>
              <w:t>5,6</w:t>
            </w:r>
          </w:p>
        </w:tc>
      </w:tr>
      <w:tr w:rsidR="009D2CAE" w:rsidRPr="007C0CDA" w:rsidTr="00416BF2">
        <w:trPr>
          <w:trHeight w:val="20"/>
          <w:jc w:val="center"/>
        </w:trPr>
        <w:tc>
          <w:tcPr>
            <w:tcW w:w="1814" w:type="dxa"/>
            <w:tcBorders>
              <w:left w:val="nil"/>
              <w:right w:val="nil"/>
            </w:tcBorders>
            <w:shd w:val="clear" w:color="auto" w:fill="FFFFFF"/>
            <w:noWrap/>
          </w:tcPr>
          <w:p w:rsidR="009D2CAE" w:rsidRPr="007C0CDA" w:rsidRDefault="009D2CAE">
            <w:pPr>
              <w:keepNext/>
              <w:rPr>
                <w:rFonts w:ascii="Arial" w:hAnsi="Arial" w:cs="Arial"/>
                <w:sz w:val="18"/>
                <w:szCs w:val="18"/>
              </w:rPr>
            </w:pPr>
            <w:r w:rsidRPr="007C0CDA">
              <w:rPr>
                <w:sz w:val="18"/>
                <w:szCs w:val="18"/>
              </w:rPr>
              <w:t>Občanská vybavenost</w:t>
            </w:r>
          </w:p>
        </w:tc>
        <w:tc>
          <w:tcPr>
            <w:tcW w:w="737" w:type="dxa"/>
            <w:tcBorders>
              <w:left w:val="nil"/>
              <w:right w:val="nil"/>
            </w:tcBorders>
            <w:shd w:val="clear" w:color="auto" w:fill="FFFFFF"/>
            <w:noWrap/>
          </w:tcPr>
          <w:p w:rsidR="009D2CAE" w:rsidRPr="007C0CDA" w:rsidRDefault="009D2CAE">
            <w:pPr>
              <w:keepNext/>
              <w:jc w:val="right"/>
              <w:rPr>
                <w:rFonts w:ascii="Arial" w:hAnsi="Arial" w:cs="Arial"/>
                <w:sz w:val="18"/>
                <w:szCs w:val="18"/>
              </w:rPr>
            </w:pPr>
            <w:r w:rsidRPr="007C0CDA">
              <w:rPr>
                <w:sz w:val="18"/>
                <w:szCs w:val="18"/>
              </w:rPr>
              <w:t>304</w:t>
            </w:r>
          </w:p>
        </w:tc>
        <w:tc>
          <w:tcPr>
            <w:tcW w:w="1152" w:type="dxa"/>
            <w:tcBorders>
              <w:left w:val="nil"/>
              <w:right w:val="nil"/>
            </w:tcBorders>
            <w:shd w:val="clear" w:color="auto" w:fill="FFFFFF"/>
            <w:noWrap/>
          </w:tcPr>
          <w:p w:rsidR="009D2CAE" w:rsidRPr="007C0CDA" w:rsidRDefault="009D2CAE">
            <w:pPr>
              <w:keepNext/>
              <w:jc w:val="right"/>
              <w:rPr>
                <w:rFonts w:ascii="Arial" w:hAnsi="Arial" w:cs="Arial"/>
                <w:sz w:val="18"/>
                <w:szCs w:val="18"/>
              </w:rPr>
            </w:pPr>
            <w:r w:rsidRPr="007C0CDA">
              <w:rPr>
                <w:sz w:val="18"/>
                <w:szCs w:val="18"/>
              </w:rPr>
              <w:t>12,9%</w:t>
            </w:r>
          </w:p>
        </w:tc>
        <w:tc>
          <w:tcPr>
            <w:tcW w:w="1417" w:type="dxa"/>
            <w:tcBorders>
              <w:left w:val="nil"/>
              <w:right w:val="nil"/>
            </w:tcBorders>
            <w:shd w:val="clear" w:color="auto" w:fill="FFFFFF"/>
            <w:noWrap/>
          </w:tcPr>
          <w:p w:rsidR="009D2CAE" w:rsidRPr="007C0CDA" w:rsidRDefault="009D2CAE">
            <w:pPr>
              <w:keepNext/>
              <w:jc w:val="right"/>
              <w:rPr>
                <w:rFonts w:ascii="Arial" w:hAnsi="Arial" w:cs="Arial"/>
                <w:sz w:val="18"/>
                <w:szCs w:val="18"/>
              </w:rPr>
            </w:pPr>
            <w:r w:rsidRPr="007C0CDA">
              <w:rPr>
                <w:sz w:val="18"/>
                <w:szCs w:val="18"/>
              </w:rPr>
              <w:t>413,3</w:t>
            </w:r>
          </w:p>
        </w:tc>
        <w:tc>
          <w:tcPr>
            <w:tcW w:w="1644" w:type="dxa"/>
            <w:tcBorders>
              <w:left w:val="nil"/>
              <w:right w:val="nil"/>
            </w:tcBorders>
            <w:shd w:val="clear" w:color="auto" w:fill="FFFFFF"/>
            <w:noWrap/>
          </w:tcPr>
          <w:p w:rsidR="009D2CAE" w:rsidRPr="007C0CDA" w:rsidRDefault="009D2CAE">
            <w:pPr>
              <w:keepNext/>
              <w:jc w:val="right"/>
              <w:rPr>
                <w:rFonts w:ascii="Arial" w:hAnsi="Arial" w:cs="Arial"/>
                <w:sz w:val="18"/>
                <w:szCs w:val="18"/>
              </w:rPr>
            </w:pPr>
            <w:r w:rsidRPr="007C0CDA">
              <w:rPr>
                <w:sz w:val="18"/>
                <w:szCs w:val="18"/>
              </w:rPr>
              <w:t>1,4</w:t>
            </w:r>
          </w:p>
        </w:tc>
      </w:tr>
      <w:tr w:rsidR="009D2CAE" w:rsidRPr="007C0CDA" w:rsidTr="00416BF2">
        <w:trPr>
          <w:trHeight w:val="20"/>
          <w:jc w:val="center"/>
        </w:trPr>
        <w:tc>
          <w:tcPr>
            <w:tcW w:w="1814" w:type="dxa"/>
            <w:tcBorders>
              <w:left w:val="nil"/>
              <w:right w:val="nil"/>
            </w:tcBorders>
            <w:shd w:val="clear" w:color="auto" w:fill="FFFFFF"/>
            <w:noWrap/>
          </w:tcPr>
          <w:p w:rsidR="009D2CAE" w:rsidRPr="007C0CDA" w:rsidRDefault="009D2CAE">
            <w:pPr>
              <w:keepNext/>
              <w:rPr>
                <w:rFonts w:ascii="Arial" w:hAnsi="Arial" w:cs="Arial"/>
                <w:sz w:val="18"/>
                <w:szCs w:val="18"/>
              </w:rPr>
            </w:pPr>
            <w:r w:rsidRPr="007C0CDA">
              <w:rPr>
                <w:sz w:val="18"/>
                <w:szCs w:val="18"/>
              </w:rPr>
              <w:t>Armáda</w:t>
            </w:r>
          </w:p>
        </w:tc>
        <w:tc>
          <w:tcPr>
            <w:tcW w:w="737" w:type="dxa"/>
            <w:tcBorders>
              <w:left w:val="nil"/>
              <w:right w:val="nil"/>
            </w:tcBorders>
            <w:shd w:val="clear" w:color="auto" w:fill="FFFFFF"/>
            <w:noWrap/>
          </w:tcPr>
          <w:p w:rsidR="009D2CAE" w:rsidRPr="007C0CDA" w:rsidRDefault="009D2CAE">
            <w:pPr>
              <w:keepNext/>
              <w:jc w:val="right"/>
              <w:rPr>
                <w:rFonts w:ascii="Arial" w:hAnsi="Arial" w:cs="Arial"/>
                <w:sz w:val="18"/>
                <w:szCs w:val="18"/>
              </w:rPr>
            </w:pPr>
            <w:r w:rsidRPr="007C0CDA">
              <w:rPr>
                <w:sz w:val="18"/>
                <w:szCs w:val="18"/>
              </w:rPr>
              <w:t>151</w:t>
            </w:r>
          </w:p>
        </w:tc>
        <w:tc>
          <w:tcPr>
            <w:tcW w:w="1152" w:type="dxa"/>
            <w:tcBorders>
              <w:left w:val="nil"/>
              <w:right w:val="nil"/>
            </w:tcBorders>
            <w:shd w:val="clear" w:color="auto" w:fill="FFFFFF"/>
            <w:noWrap/>
          </w:tcPr>
          <w:p w:rsidR="009D2CAE" w:rsidRPr="007C0CDA" w:rsidRDefault="009D2CAE">
            <w:pPr>
              <w:keepNext/>
              <w:jc w:val="right"/>
              <w:rPr>
                <w:rFonts w:ascii="Arial" w:hAnsi="Arial" w:cs="Arial"/>
                <w:sz w:val="18"/>
                <w:szCs w:val="18"/>
              </w:rPr>
            </w:pPr>
            <w:r w:rsidRPr="007C0CDA">
              <w:rPr>
                <w:sz w:val="18"/>
                <w:szCs w:val="18"/>
              </w:rPr>
              <w:t>6,4%</w:t>
            </w:r>
          </w:p>
        </w:tc>
        <w:tc>
          <w:tcPr>
            <w:tcW w:w="1417" w:type="dxa"/>
            <w:tcBorders>
              <w:left w:val="nil"/>
              <w:right w:val="nil"/>
            </w:tcBorders>
            <w:shd w:val="clear" w:color="auto" w:fill="FFFFFF"/>
            <w:noWrap/>
          </w:tcPr>
          <w:p w:rsidR="009D2CAE" w:rsidRPr="007C0CDA" w:rsidRDefault="009D2CAE">
            <w:pPr>
              <w:keepNext/>
              <w:jc w:val="right"/>
              <w:rPr>
                <w:rFonts w:ascii="Arial" w:hAnsi="Arial" w:cs="Arial"/>
                <w:sz w:val="18"/>
                <w:szCs w:val="18"/>
              </w:rPr>
            </w:pPr>
            <w:r w:rsidRPr="007C0CDA">
              <w:rPr>
                <w:sz w:val="18"/>
                <w:szCs w:val="18"/>
              </w:rPr>
              <w:t>2 394,1</w:t>
            </w:r>
          </w:p>
        </w:tc>
        <w:tc>
          <w:tcPr>
            <w:tcW w:w="1644" w:type="dxa"/>
            <w:tcBorders>
              <w:left w:val="nil"/>
              <w:right w:val="nil"/>
            </w:tcBorders>
            <w:shd w:val="clear" w:color="auto" w:fill="FFFFFF"/>
            <w:noWrap/>
          </w:tcPr>
          <w:p w:rsidR="009D2CAE" w:rsidRPr="007C0CDA" w:rsidRDefault="009D2CAE">
            <w:pPr>
              <w:keepNext/>
              <w:jc w:val="right"/>
              <w:rPr>
                <w:rFonts w:ascii="Arial" w:hAnsi="Arial" w:cs="Arial"/>
                <w:sz w:val="18"/>
                <w:szCs w:val="18"/>
              </w:rPr>
            </w:pPr>
            <w:r w:rsidRPr="007C0CDA">
              <w:rPr>
                <w:sz w:val="18"/>
                <w:szCs w:val="18"/>
              </w:rPr>
              <w:t>15,9</w:t>
            </w:r>
          </w:p>
        </w:tc>
      </w:tr>
      <w:tr w:rsidR="009D2CAE" w:rsidRPr="007C0CDA" w:rsidTr="00416BF2">
        <w:trPr>
          <w:trHeight w:val="20"/>
          <w:jc w:val="center"/>
        </w:trPr>
        <w:tc>
          <w:tcPr>
            <w:tcW w:w="1814" w:type="dxa"/>
            <w:tcBorders>
              <w:left w:val="nil"/>
              <w:right w:val="nil"/>
            </w:tcBorders>
            <w:shd w:val="clear" w:color="auto" w:fill="FFFFFF"/>
            <w:noWrap/>
          </w:tcPr>
          <w:p w:rsidR="009D2CAE" w:rsidRPr="007C0CDA" w:rsidRDefault="009D2CAE">
            <w:pPr>
              <w:keepNext/>
              <w:rPr>
                <w:rFonts w:ascii="Arial" w:hAnsi="Arial" w:cs="Arial"/>
                <w:sz w:val="18"/>
                <w:szCs w:val="18"/>
              </w:rPr>
            </w:pPr>
            <w:r w:rsidRPr="007C0CDA">
              <w:rPr>
                <w:sz w:val="18"/>
                <w:szCs w:val="18"/>
              </w:rPr>
              <w:t>Bydlení</w:t>
            </w:r>
          </w:p>
        </w:tc>
        <w:tc>
          <w:tcPr>
            <w:tcW w:w="737" w:type="dxa"/>
            <w:tcBorders>
              <w:left w:val="nil"/>
              <w:right w:val="nil"/>
            </w:tcBorders>
            <w:shd w:val="clear" w:color="auto" w:fill="FFFFFF"/>
            <w:noWrap/>
          </w:tcPr>
          <w:p w:rsidR="009D2CAE" w:rsidRPr="007C0CDA" w:rsidRDefault="009D2CAE">
            <w:pPr>
              <w:keepNext/>
              <w:jc w:val="right"/>
              <w:rPr>
                <w:rFonts w:ascii="Arial" w:hAnsi="Arial" w:cs="Arial"/>
                <w:sz w:val="18"/>
                <w:szCs w:val="18"/>
              </w:rPr>
            </w:pPr>
            <w:r w:rsidRPr="007C0CDA">
              <w:rPr>
                <w:sz w:val="18"/>
                <w:szCs w:val="18"/>
              </w:rPr>
              <w:t>95</w:t>
            </w:r>
          </w:p>
        </w:tc>
        <w:tc>
          <w:tcPr>
            <w:tcW w:w="1152" w:type="dxa"/>
            <w:tcBorders>
              <w:left w:val="nil"/>
              <w:right w:val="nil"/>
            </w:tcBorders>
            <w:shd w:val="clear" w:color="auto" w:fill="FFFFFF"/>
            <w:noWrap/>
          </w:tcPr>
          <w:p w:rsidR="009D2CAE" w:rsidRPr="007C0CDA" w:rsidRDefault="009D2CAE">
            <w:pPr>
              <w:keepNext/>
              <w:jc w:val="right"/>
              <w:rPr>
                <w:rFonts w:ascii="Arial" w:hAnsi="Arial" w:cs="Arial"/>
                <w:sz w:val="18"/>
                <w:szCs w:val="18"/>
              </w:rPr>
            </w:pPr>
            <w:r w:rsidRPr="007C0CDA">
              <w:rPr>
                <w:sz w:val="18"/>
                <w:szCs w:val="18"/>
              </w:rPr>
              <w:t>4,0%</w:t>
            </w:r>
          </w:p>
        </w:tc>
        <w:tc>
          <w:tcPr>
            <w:tcW w:w="1417" w:type="dxa"/>
            <w:tcBorders>
              <w:left w:val="nil"/>
              <w:right w:val="nil"/>
            </w:tcBorders>
            <w:shd w:val="clear" w:color="auto" w:fill="FFFFFF"/>
            <w:noWrap/>
          </w:tcPr>
          <w:p w:rsidR="009D2CAE" w:rsidRPr="007C0CDA" w:rsidRDefault="009D2CAE">
            <w:pPr>
              <w:keepNext/>
              <w:jc w:val="right"/>
              <w:rPr>
                <w:rFonts w:ascii="Arial" w:hAnsi="Arial" w:cs="Arial"/>
                <w:sz w:val="18"/>
                <w:szCs w:val="18"/>
              </w:rPr>
            </w:pPr>
            <w:r w:rsidRPr="007C0CDA">
              <w:rPr>
                <w:sz w:val="18"/>
                <w:szCs w:val="18"/>
              </w:rPr>
              <w:t>88,3</w:t>
            </w:r>
          </w:p>
        </w:tc>
        <w:tc>
          <w:tcPr>
            <w:tcW w:w="1644" w:type="dxa"/>
            <w:tcBorders>
              <w:left w:val="nil"/>
              <w:right w:val="nil"/>
            </w:tcBorders>
            <w:shd w:val="clear" w:color="auto" w:fill="FFFFFF"/>
            <w:noWrap/>
          </w:tcPr>
          <w:p w:rsidR="009D2CAE" w:rsidRPr="007C0CDA" w:rsidRDefault="009D2CAE">
            <w:pPr>
              <w:keepNext/>
              <w:jc w:val="right"/>
              <w:rPr>
                <w:rFonts w:ascii="Arial" w:hAnsi="Arial" w:cs="Arial"/>
                <w:sz w:val="18"/>
                <w:szCs w:val="18"/>
              </w:rPr>
            </w:pPr>
            <w:r w:rsidRPr="007C0CDA">
              <w:rPr>
                <w:sz w:val="18"/>
                <w:szCs w:val="18"/>
              </w:rPr>
              <w:t>0,9</w:t>
            </w:r>
          </w:p>
        </w:tc>
      </w:tr>
      <w:tr w:rsidR="009D2CAE" w:rsidRPr="007C0CDA" w:rsidTr="00416BF2">
        <w:trPr>
          <w:trHeight w:val="20"/>
          <w:jc w:val="center"/>
        </w:trPr>
        <w:tc>
          <w:tcPr>
            <w:tcW w:w="1814" w:type="dxa"/>
            <w:tcBorders>
              <w:left w:val="nil"/>
              <w:right w:val="nil"/>
            </w:tcBorders>
            <w:shd w:val="clear" w:color="auto" w:fill="FFFFFF"/>
            <w:noWrap/>
          </w:tcPr>
          <w:p w:rsidR="009D2CAE" w:rsidRPr="007C0CDA" w:rsidRDefault="009D2CAE">
            <w:pPr>
              <w:keepNext/>
              <w:rPr>
                <w:rFonts w:ascii="Arial" w:hAnsi="Arial" w:cs="Arial"/>
                <w:sz w:val="18"/>
                <w:szCs w:val="18"/>
              </w:rPr>
            </w:pPr>
            <w:r w:rsidRPr="007C0CDA">
              <w:rPr>
                <w:sz w:val="18"/>
                <w:szCs w:val="18"/>
              </w:rPr>
              <w:t>Cestovní ruch</w:t>
            </w:r>
          </w:p>
        </w:tc>
        <w:tc>
          <w:tcPr>
            <w:tcW w:w="737" w:type="dxa"/>
            <w:tcBorders>
              <w:left w:val="nil"/>
              <w:right w:val="nil"/>
            </w:tcBorders>
            <w:shd w:val="clear" w:color="auto" w:fill="FFFFFF"/>
            <w:noWrap/>
          </w:tcPr>
          <w:p w:rsidR="009D2CAE" w:rsidRPr="007C0CDA" w:rsidRDefault="009D2CAE">
            <w:pPr>
              <w:keepNext/>
              <w:jc w:val="right"/>
              <w:rPr>
                <w:rFonts w:ascii="Arial" w:hAnsi="Arial" w:cs="Arial"/>
                <w:sz w:val="18"/>
                <w:szCs w:val="18"/>
              </w:rPr>
            </w:pPr>
            <w:r w:rsidRPr="007C0CDA">
              <w:rPr>
                <w:sz w:val="18"/>
                <w:szCs w:val="18"/>
              </w:rPr>
              <w:t>22</w:t>
            </w:r>
          </w:p>
        </w:tc>
        <w:tc>
          <w:tcPr>
            <w:tcW w:w="1152" w:type="dxa"/>
            <w:tcBorders>
              <w:left w:val="nil"/>
              <w:right w:val="nil"/>
            </w:tcBorders>
            <w:shd w:val="clear" w:color="auto" w:fill="FFFFFF"/>
            <w:noWrap/>
          </w:tcPr>
          <w:p w:rsidR="009D2CAE" w:rsidRPr="007C0CDA" w:rsidRDefault="009D2CAE">
            <w:pPr>
              <w:keepNext/>
              <w:jc w:val="right"/>
              <w:rPr>
                <w:rFonts w:ascii="Arial" w:hAnsi="Arial" w:cs="Arial"/>
                <w:sz w:val="18"/>
                <w:szCs w:val="18"/>
              </w:rPr>
            </w:pPr>
            <w:r w:rsidRPr="007C0CDA">
              <w:rPr>
                <w:sz w:val="18"/>
                <w:szCs w:val="18"/>
              </w:rPr>
              <w:t>0,9%</w:t>
            </w:r>
          </w:p>
        </w:tc>
        <w:tc>
          <w:tcPr>
            <w:tcW w:w="1417" w:type="dxa"/>
            <w:tcBorders>
              <w:left w:val="nil"/>
              <w:right w:val="nil"/>
            </w:tcBorders>
            <w:shd w:val="clear" w:color="auto" w:fill="FFFFFF"/>
            <w:noWrap/>
          </w:tcPr>
          <w:p w:rsidR="009D2CAE" w:rsidRPr="007C0CDA" w:rsidRDefault="009D2CAE">
            <w:pPr>
              <w:keepNext/>
              <w:jc w:val="right"/>
              <w:rPr>
                <w:rFonts w:ascii="Arial" w:hAnsi="Arial" w:cs="Arial"/>
                <w:sz w:val="18"/>
                <w:szCs w:val="18"/>
              </w:rPr>
            </w:pPr>
            <w:r w:rsidRPr="007C0CDA">
              <w:rPr>
                <w:sz w:val="18"/>
                <w:szCs w:val="18"/>
              </w:rPr>
              <w:t>22,4</w:t>
            </w:r>
          </w:p>
        </w:tc>
        <w:tc>
          <w:tcPr>
            <w:tcW w:w="1644" w:type="dxa"/>
            <w:tcBorders>
              <w:left w:val="nil"/>
              <w:right w:val="nil"/>
            </w:tcBorders>
            <w:shd w:val="clear" w:color="auto" w:fill="FFFFFF"/>
            <w:noWrap/>
          </w:tcPr>
          <w:p w:rsidR="009D2CAE" w:rsidRPr="007C0CDA" w:rsidRDefault="009D2CAE">
            <w:pPr>
              <w:keepNext/>
              <w:jc w:val="right"/>
              <w:rPr>
                <w:rFonts w:ascii="Arial" w:hAnsi="Arial" w:cs="Arial"/>
                <w:sz w:val="18"/>
                <w:szCs w:val="18"/>
              </w:rPr>
            </w:pPr>
            <w:r w:rsidRPr="007C0CDA">
              <w:rPr>
                <w:sz w:val="18"/>
                <w:szCs w:val="18"/>
              </w:rPr>
              <w:t>1,0</w:t>
            </w:r>
          </w:p>
        </w:tc>
      </w:tr>
      <w:tr w:rsidR="009D2CAE" w:rsidRPr="007C0CDA" w:rsidTr="00416BF2">
        <w:trPr>
          <w:trHeight w:val="20"/>
          <w:jc w:val="center"/>
        </w:trPr>
        <w:tc>
          <w:tcPr>
            <w:tcW w:w="1814" w:type="dxa"/>
            <w:tcBorders>
              <w:left w:val="nil"/>
              <w:right w:val="nil"/>
            </w:tcBorders>
            <w:shd w:val="clear" w:color="auto" w:fill="FFFFFF"/>
            <w:noWrap/>
          </w:tcPr>
          <w:p w:rsidR="009D2CAE" w:rsidRPr="007C0CDA" w:rsidRDefault="009D2CAE">
            <w:pPr>
              <w:keepNext/>
              <w:rPr>
                <w:rFonts w:ascii="Arial" w:hAnsi="Arial" w:cs="Arial"/>
                <w:sz w:val="18"/>
                <w:szCs w:val="18"/>
              </w:rPr>
            </w:pPr>
            <w:r w:rsidRPr="007C0CDA">
              <w:rPr>
                <w:sz w:val="18"/>
                <w:szCs w:val="18"/>
              </w:rPr>
              <w:t>Jiné</w:t>
            </w:r>
          </w:p>
        </w:tc>
        <w:tc>
          <w:tcPr>
            <w:tcW w:w="737" w:type="dxa"/>
            <w:tcBorders>
              <w:left w:val="nil"/>
              <w:right w:val="nil"/>
            </w:tcBorders>
            <w:shd w:val="clear" w:color="auto" w:fill="FFFFFF"/>
            <w:noWrap/>
          </w:tcPr>
          <w:p w:rsidR="009D2CAE" w:rsidRPr="007C0CDA" w:rsidRDefault="009D2CAE">
            <w:pPr>
              <w:keepNext/>
              <w:jc w:val="right"/>
              <w:rPr>
                <w:rFonts w:ascii="Arial" w:hAnsi="Arial" w:cs="Arial"/>
                <w:sz w:val="18"/>
                <w:szCs w:val="18"/>
              </w:rPr>
            </w:pPr>
            <w:r w:rsidRPr="007C0CDA">
              <w:rPr>
                <w:sz w:val="18"/>
                <w:szCs w:val="18"/>
              </w:rPr>
              <w:t>177</w:t>
            </w:r>
          </w:p>
        </w:tc>
        <w:tc>
          <w:tcPr>
            <w:tcW w:w="1152" w:type="dxa"/>
            <w:tcBorders>
              <w:left w:val="nil"/>
              <w:right w:val="nil"/>
            </w:tcBorders>
            <w:shd w:val="clear" w:color="auto" w:fill="FFFFFF"/>
            <w:noWrap/>
          </w:tcPr>
          <w:p w:rsidR="009D2CAE" w:rsidRPr="007C0CDA" w:rsidRDefault="009D2CAE">
            <w:pPr>
              <w:keepNext/>
              <w:jc w:val="right"/>
              <w:rPr>
                <w:rFonts w:ascii="Arial" w:hAnsi="Arial" w:cs="Arial"/>
                <w:sz w:val="18"/>
                <w:szCs w:val="18"/>
              </w:rPr>
            </w:pPr>
            <w:r w:rsidRPr="007C0CDA">
              <w:rPr>
                <w:sz w:val="18"/>
                <w:szCs w:val="18"/>
              </w:rPr>
              <w:t>7,5%</w:t>
            </w:r>
          </w:p>
        </w:tc>
        <w:tc>
          <w:tcPr>
            <w:tcW w:w="1417" w:type="dxa"/>
            <w:tcBorders>
              <w:left w:val="nil"/>
              <w:right w:val="nil"/>
            </w:tcBorders>
            <w:shd w:val="clear" w:color="auto" w:fill="FFFFFF"/>
            <w:noWrap/>
          </w:tcPr>
          <w:p w:rsidR="009D2CAE" w:rsidRPr="007C0CDA" w:rsidRDefault="009D2CAE">
            <w:pPr>
              <w:keepNext/>
              <w:jc w:val="right"/>
              <w:rPr>
                <w:rFonts w:ascii="Arial" w:hAnsi="Arial" w:cs="Arial"/>
                <w:sz w:val="18"/>
                <w:szCs w:val="18"/>
              </w:rPr>
            </w:pPr>
            <w:r w:rsidRPr="007C0CDA">
              <w:rPr>
                <w:sz w:val="18"/>
                <w:szCs w:val="18"/>
              </w:rPr>
              <w:t>1 144,3</w:t>
            </w:r>
          </w:p>
        </w:tc>
        <w:tc>
          <w:tcPr>
            <w:tcW w:w="1644" w:type="dxa"/>
            <w:tcBorders>
              <w:left w:val="nil"/>
              <w:right w:val="nil"/>
            </w:tcBorders>
            <w:shd w:val="clear" w:color="auto" w:fill="FFFFFF"/>
            <w:noWrap/>
          </w:tcPr>
          <w:p w:rsidR="009D2CAE" w:rsidRPr="007C0CDA" w:rsidRDefault="009D2CAE">
            <w:pPr>
              <w:keepNext/>
              <w:jc w:val="right"/>
              <w:rPr>
                <w:rFonts w:ascii="Arial" w:hAnsi="Arial" w:cs="Arial"/>
                <w:sz w:val="18"/>
                <w:szCs w:val="18"/>
              </w:rPr>
            </w:pPr>
            <w:r w:rsidRPr="007C0CDA">
              <w:rPr>
                <w:sz w:val="18"/>
                <w:szCs w:val="18"/>
              </w:rPr>
              <w:t>6,5</w:t>
            </w:r>
          </w:p>
        </w:tc>
      </w:tr>
      <w:tr w:rsidR="009D2CAE" w:rsidRPr="007C0CDA" w:rsidTr="00416BF2">
        <w:trPr>
          <w:trHeight w:val="20"/>
          <w:jc w:val="center"/>
        </w:trPr>
        <w:tc>
          <w:tcPr>
            <w:tcW w:w="1814" w:type="dxa"/>
            <w:tcBorders>
              <w:left w:val="nil"/>
              <w:right w:val="nil"/>
            </w:tcBorders>
            <w:shd w:val="clear" w:color="auto" w:fill="9BBB59"/>
            <w:noWrap/>
          </w:tcPr>
          <w:p w:rsidR="009D2CAE" w:rsidRPr="007C0CDA" w:rsidRDefault="009D2CAE">
            <w:pPr>
              <w:keepNext/>
              <w:rPr>
                <w:rFonts w:ascii="Arial" w:hAnsi="Arial" w:cs="Arial"/>
                <w:b/>
                <w:bCs/>
                <w:sz w:val="18"/>
                <w:szCs w:val="18"/>
              </w:rPr>
            </w:pPr>
            <w:r w:rsidRPr="007C0CDA">
              <w:rPr>
                <w:b/>
                <w:bCs/>
                <w:sz w:val="18"/>
                <w:szCs w:val="18"/>
              </w:rPr>
              <w:t>Celkem</w:t>
            </w:r>
          </w:p>
        </w:tc>
        <w:tc>
          <w:tcPr>
            <w:tcW w:w="737" w:type="dxa"/>
            <w:tcBorders>
              <w:left w:val="nil"/>
              <w:right w:val="nil"/>
            </w:tcBorders>
            <w:shd w:val="clear" w:color="auto" w:fill="9BBB59"/>
            <w:noWrap/>
          </w:tcPr>
          <w:p w:rsidR="009D2CAE" w:rsidRPr="007C0CDA" w:rsidRDefault="009D2CAE">
            <w:pPr>
              <w:keepNext/>
              <w:jc w:val="right"/>
              <w:rPr>
                <w:rFonts w:ascii="Arial" w:hAnsi="Arial" w:cs="Arial"/>
                <w:b/>
                <w:bCs/>
                <w:sz w:val="18"/>
                <w:szCs w:val="18"/>
              </w:rPr>
            </w:pPr>
            <w:r w:rsidRPr="007C0CDA">
              <w:rPr>
                <w:b/>
                <w:bCs/>
                <w:sz w:val="18"/>
                <w:szCs w:val="18"/>
              </w:rPr>
              <w:t>2 355</w:t>
            </w:r>
          </w:p>
        </w:tc>
        <w:tc>
          <w:tcPr>
            <w:tcW w:w="1152" w:type="dxa"/>
            <w:tcBorders>
              <w:left w:val="nil"/>
              <w:right w:val="nil"/>
            </w:tcBorders>
            <w:shd w:val="clear" w:color="auto" w:fill="9BBB59"/>
            <w:noWrap/>
          </w:tcPr>
          <w:p w:rsidR="009D2CAE" w:rsidRPr="007C0CDA" w:rsidRDefault="009D2CAE">
            <w:pPr>
              <w:keepNext/>
              <w:jc w:val="right"/>
              <w:rPr>
                <w:rFonts w:ascii="Arial" w:hAnsi="Arial" w:cs="Arial"/>
                <w:b/>
                <w:bCs/>
                <w:sz w:val="18"/>
                <w:szCs w:val="18"/>
              </w:rPr>
            </w:pPr>
            <w:r w:rsidRPr="007C0CDA">
              <w:rPr>
                <w:b/>
                <w:bCs/>
                <w:sz w:val="18"/>
                <w:szCs w:val="18"/>
              </w:rPr>
              <w:t>100,0%</w:t>
            </w:r>
          </w:p>
        </w:tc>
        <w:tc>
          <w:tcPr>
            <w:tcW w:w="1417" w:type="dxa"/>
            <w:tcBorders>
              <w:left w:val="nil"/>
              <w:right w:val="nil"/>
            </w:tcBorders>
            <w:shd w:val="clear" w:color="auto" w:fill="9BBB59"/>
            <w:noWrap/>
          </w:tcPr>
          <w:p w:rsidR="009D2CAE" w:rsidRPr="007C0CDA" w:rsidRDefault="009D2CAE">
            <w:pPr>
              <w:keepNext/>
              <w:jc w:val="right"/>
              <w:rPr>
                <w:rFonts w:ascii="Arial" w:hAnsi="Arial" w:cs="Arial"/>
                <w:b/>
                <w:bCs/>
                <w:sz w:val="18"/>
                <w:szCs w:val="18"/>
              </w:rPr>
            </w:pPr>
            <w:r w:rsidRPr="007C0CDA">
              <w:rPr>
                <w:b/>
                <w:bCs/>
                <w:sz w:val="18"/>
                <w:szCs w:val="18"/>
              </w:rPr>
              <w:t>10 326</w:t>
            </w:r>
          </w:p>
        </w:tc>
        <w:tc>
          <w:tcPr>
            <w:tcW w:w="1644" w:type="dxa"/>
            <w:tcBorders>
              <w:left w:val="nil"/>
              <w:right w:val="nil"/>
            </w:tcBorders>
            <w:shd w:val="clear" w:color="auto" w:fill="9BBB59"/>
            <w:noWrap/>
          </w:tcPr>
          <w:p w:rsidR="009D2CAE" w:rsidRPr="007C0CDA" w:rsidRDefault="009D2CAE">
            <w:pPr>
              <w:keepNext/>
              <w:jc w:val="right"/>
              <w:rPr>
                <w:rFonts w:ascii="Arial" w:hAnsi="Arial" w:cs="Arial"/>
                <w:b/>
                <w:bCs/>
                <w:sz w:val="18"/>
                <w:szCs w:val="18"/>
              </w:rPr>
            </w:pPr>
            <w:r w:rsidRPr="007C0CDA">
              <w:rPr>
                <w:b/>
                <w:bCs/>
                <w:sz w:val="18"/>
                <w:szCs w:val="18"/>
              </w:rPr>
              <w:t>4,4</w:t>
            </w:r>
          </w:p>
        </w:tc>
      </w:tr>
    </w:tbl>
    <w:p w:rsidR="009D2CAE" w:rsidRPr="007C0CDA" w:rsidRDefault="009D2CAE">
      <w:pPr>
        <w:pStyle w:val="Titulek"/>
        <w:jc w:val="center"/>
      </w:pPr>
      <w:r w:rsidRPr="007C0CDA">
        <w:t>Tabulka 8: Dělení BF podle předchozího využití</w:t>
      </w:r>
    </w:p>
    <w:p w:rsidR="009D2CAE" w:rsidRPr="007C0CDA" w:rsidRDefault="009D2CAE" w:rsidP="00DF6E0B">
      <w:pPr>
        <w:pStyle w:val="Titulek"/>
        <w:jc w:val="center"/>
      </w:pPr>
      <w:r w:rsidRPr="007C0CDA">
        <w:t>Zdroj: Urbanizmus a územní rozvoj (odborný časopis)</w:t>
      </w:r>
    </w:p>
    <w:p w:rsidR="009D2CAE" w:rsidRPr="007C0CDA" w:rsidRDefault="002D1138" w:rsidP="00416BF2">
      <w:pPr>
        <w:rPr>
          <w:lang w:eastAsia="en-US"/>
        </w:rPr>
      </w:pPr>
      <w:r>
        <w:rPr>
          <w:noProof/>
        </w:rPr>
        <w:lastRenderedPageBreak/>
        <w:drawing>
          <wp:anchor distT="0" distB="0" distL="114300" distR="114300" simplePos="0" relativeHeight="251658752" behindDoc="0" locked="0" layoutInCell="1" allowOverlap="1" wp14:anchorId="1789F4FE" wp14:editId="22886235">
            <wp:simplePos x="0" y="0"/>
            <wp:positionH relativeFrom="margin">
              <wp:posOffset>101600</wp:posOffset>
            </wp:positionH>
            <wp:positionV relativeFrom="margin">
              <wp:posOffset>4855845</wp:posOffset>
            </wp:positionV>
            <wp:extent cx="2726055" cy="2493010"/>
            <wp:effectExtent l="0" t="0" r="0" b="2540"/>
            <wp:wrapSquare wrapText="bothSides"/>
            <wp:docPr id="87" name="Obrázek 57" descr="tabu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7" descr="tabul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6055" cy="2493010"/>
                    </a:xfrm>
                    <a:prstGeom prst="rect">
                      <a:avLst/>
                    </a:prstGeom>
                    <a:noFill/>
                  </pic:spPr>
                </pic:pic>
              </a:graphicData>
            </a:graphic>
            <wp14:sizeRelH relativeFrom="page">
              <wp14:pctWidth>0</wp14:pctWidth>
            </wp14:sizeRelH>
            <wp14:sizeRelV relativeFrom="page">
              <wp14:pctHeight>0</wp14:pctHeight>
            </wp14:sizeRelV>
          </wp:anchor>
        </w:drawing>
      </w:r>
    </w:p>
    <w:p w:rsidR="009D2CAE" w:rsidRPr="007C0CDA" w:rsidRDefault="009D2CAE" w:rsidP="00416BF2"/>
    <w:p w:rsidR="009D2CAE" w:rsidRPr="007C0CDA" w:rsidRDefault="009D2CAE" w:rsidP="00416BF2"/>
    <w:p w:rsidR="009D2CAE" w:rsidRPr="007C0CDA" w:rsidRDefault="002D1138" w:rsidP="00416BF2">
      <w:pPr>
        <w:rPr>
          <w:b/>
          <w:lang w:eastAsia="en-US"/>
        </w:rPr>
      </w:pPr>
      <w:r>
        <w:rPr>
          <w:noProof/>
        </w:rPr>
        <w:drawing>
          <wp:anchor distT="0" distB="0" distL="114300" distR="114300" simplePos="0" relativeHeight="251657728" behindDoc="0" locked="0" layoutInCell="1" allowOverlap="1" wp14:anchorId="23161359" wp14:editId="20F10125">
            <wp:simplePos x="0" y="0"/>
            <wp:positionH relativeFrom="margin">
              <wp:posOffset>835660</wp:posOffset>
            </wp:positionH>
            <wp:positionV relativeFrom="margin">
              <wp:posOffset>909320</wp:posOffset>
            </wp:positionV>
            <wp:extent cx="2835275" cy="2380615"/>
            <wp:effectExtent l="0" t="0" r="3175" b="635"/>
            <wp:wrapSquare wrapText="bothSides"/>
            <wp:docPr id="86"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5275" cy="2380615"/>
                    </a:xfrm>
                    <a:prstGeom prst="rect">
                      <a:avLst/>
                    </a:prstGeom>
                    <a:noFill/>
                  </pic:spPr>
                </pic:pic>
              </a:graphicData>
            </a:graphic>
            <wp14:sizeRelH relativeFrom="page">
              <wp14:pctWidth>0</wp14:pctWidth>
            </wp14:sizeRelH>
            <wp14:sizeRelV relativeFrom="page">
              <wp14:pctHeight>0</wp14:pctHeight>
            </wp14:sizeRelV>
          </wp:anchor>
        </w:drawing>
      </w:r>
      <w:r w:rsidR="009D2CAE" w:rsidRPr="007C0CDA">
        <w:rPr>
          <w:lang w:eastAsia="en-US"/>
        </w:rPr>
        <w:t>Z tabulky je patrné, že nejpočetnější lokality BF jsou bývalá zemědělské družstva v menších obcích. Druhý nejčetnější výskyt se prokázal při průmyslových objektech, které tvoří největší rozlohu zmiňovaných lokalit a právě tento aspekt je předurčuje k využívání zdrojů z OP PIK (nebo OPPI). Nejvyšší hodnoty, co se týče velikosti jedné jednotky, jsou pozorovány při armádních lokalitách, jejichž regenerace/revitalizace je z velké části v gesci MMR (speciální dotační program pro nevyužívané armádní nemovitosti). Tabulka 9 znázorňuje předpokládané využití BF dle analýzy CI.</w:t>
      </w:r>
    </w:p>
    <w:p w:rsidR="009D2CAE" w:rsidRPr="007C0CDA" w:rsidRDefault="009D2CAE">
      <w:pPr>
        <w:keepNext/>
      </w:pPr>
    </w:p>
    <w:p w:rsidR="009D2CAE" w:rsidRPr="007C0CDA" w:rsidRDefault="009D2CAE" w:rsidP="004F1DF4">
      <w:pPr>
        <w:pStyle w:val="Titulek"/>
      </w:pPr>
    </w:p>
    <w:p w:rsidR="009D2CAE" w:rsidRPr="007C0CDA" w:rsidRDefault="009D2CAE" w:rsidP="004F1DF4">
      <w:pPr>
        <w:pStyle w:val="Titulek"/>
      </w:pPr>
      <w:r w:rsidRPr="007C0CDA">
        <w:t>Tabulka 9: Předpokládané způsoby využití lokalit BF</w:t>
      </w:r>
    </w:p>
    <w:p w:rsidR="009D2CAE" w:rsidRPr="007C0CDA" w:rsidRDefault="009D2CAE" w:rsidP="004F1DF4">
      <w:pPr>
        <w:pStyle w:val="Titulek"/>
      </w:pPr>
      <w:r w:rsidRPr="007C0CDA">
        <w:t>Zdroj: CI</w:t>
      </w:r>
    </w:p>
    <w:p w:rsidR="009D2CAE" w:rsidRPr="007C0CDA" w:rsidRDefault="002D1138" w:rsidP="00416BF2">
      <w:pPr>
        <w:rPr>
          <w:lang w:eastAsia="en-US"/>
        </w:rPr>
      </w:pPr>
      <w:r>
        <w:rPr>
          <w:noProof/>
        </w:rPr>
        <w:drawing>
          <wp:inline distT="0" distB="0" distL="0" distR="0" wp14:anchorId="254995C2" wp14:editId="1302FAA9">
            <wp:extent cx="2781300" cy="2343150"/>
            <wp:effectExtent l="0" t="0" r="0" b="0"/>
            <wp:docPr id="17"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1300" cy="2343150"/>
                    </a:xfrm>
                    <a:prstGeom prst="rect">
                      <a:avLst/>
                    </a:prstGeom>
                    <a:noFill/>
                    <a:ln>
                      <a:noFill/>
                    </a:ln>
                  </pic:spPr>
                </pic:pic>
              </a:graphicData>
            </a:graphic>
          </wp:inline>
        </w:drawing>
      </w:r>
    </w:p>
    <w:p w:rsidR="009D2CAE" w:rsidRDefault="009D2CAE">
      <w:pPr>
        <w:pStyle w:val="Neslovannadpisy"/>
        <w:rPr>
          <w:lang w:eastAsia="en-US"/>
        </w:rPr>
      </w:pPr>
    </w:p>
    <w:p w:rsidR="003376D5" w:rsidRPr="007C0CDA" w:rsidRDefault="003376D5">
      <w:pPr>
        <w:pStyle w:val="Neslovannadpisy"/>
        <w:rPr>
          <w:lang w:eastAsia="en-US"/>
        </w:rPr>
      </w:pPr>
      <w:r w:rsidRPr="007C0CDA">
        <w:rPr>
          <w:b w:val="0"/>
          <w:lang w:eastAsia="en-US"/>
        </w:rPr>
        <w:t>V národní databázi brownfieldů</w:t>
      </w:r>
      <w:r>
        <w:rPr>
          <w:b w:val="0"/>
          <w:lang w:eastAsia="en-US"/>
        </w:rPr>
        <w:t>, která představuje veřejnou evidenci přihlášených lokalit,</w:t>
      </w:r>
      <w:r w:rsidRPr="007C0CDA">
        <w:rPr>
          <w:b w:val="0"/>
          <w:lang w:eastAsia="en-US"/>
        </w:rPr>
        <w:t xml:space="preserve"> bylo ke dni 2. 4. 2015 nabízeno 528 lokalit BF</w:t>
      </w:r>
      <w:r>
        <w:rPr>
          <w:b w:val="0"/>
          <w:lang w:eastAsia="en-US"/>
        </w:rPr>
        <w:t>. Z toho bylo</w:t>
      </w:r>
      <w:r>
        <w:rPr>
          <w:lang w:eastAsia="en-US"/>
        </w:rPr>
        <w:t xml:space="preserve"> 40 lokalit s rozlohou nad 10 he.</w:t>
      </w:r>
      <w:r w:rsidRPr="007C0CDA">
        <w:rPr>
          <w:b w:val="0"/>
          <w:lang w:eastAsia="en-US"/>
        </w:rPr>
        <w:t xml:space="preserve"> </w:t>
      </w:r>
      <w:r>
        <w:rPr>
          <w:b w:val="0"/>
          <w:lang w:eastAsia="en-US"/>
        </w:rPr>
        <w:t xml:space="preserve">Databáze </w:t>
      </w:r>
      <w:r w:rsidRPr="007C0CDA">
        <w:rPr>
          <w:b w:val="0"/>
          <w:lang w:eastAsia="en-US"/>
        </w:rPr>
        <w:t>celkem registruje přes 3000 BF o rozloze 15 000 ha</w:t>
      </w:r>
      <w:r>
        <w:rPr>
          <w:b w:val="0"/>
          <w:lang w:eastAsia="en-US"/>
        </w:rPr>
        <w:t xml:space="preserve"> (část z nich v neveřejném módu)</w:t>
      </w:r>
      <w:r w:rsidRPr="007C0CDA">
        <w:rPr>
          <w:lang w:eastAsia="en-US"/>
        </w:rPr>
        <w:t>.</w:t>
      </w:r>
    </w:p>
    <w:p w:rsidR="009D2CAE" w:rsidRPr="007C0CDA" w:rsidRDefault="009D2CAE">
      <w:pPr>
        <w:pStyle w:val="Neslovannadpisy"/>
        <w:rPr>
          <w:lang w:eastAsia="en-US"/>
        </w:rPr>
      </w:pPr>
      <w:r w:rsidRPr="007C0CDA">
        <w:rPr>
          <w:lang w:eastAsia="en-US"/>
        </w:rPr>
        <w:t>Poptávka po BF a jejich rekonstrukci</w:t>
      </w:r>
    </w:p>
    <w:p w:rsidR="009D2CAE" w:rsidRPr="007C0CDA" w:rsidRDefault="009D2CAE" w:rsidP="00677639">
      <w:pPr>
        <w:rPr>
          <w:lang w:eastAsia="en-US"/>
        </w:rPr>
      </w:pPr>
      <w:r w:rsidRPr="007C0CDA">
        <w:rPr>
          <w:lang w:eastAsia="en-US"/>
        </w:rPr>
        <w:t xml:space="preserve">Expertní odhad CI dle předběžných analýz do aktualizované národní strategie brownfieldů udává, že </w:t>
      </w:r>
      <w:r w:rsidRPr="007C0CDA">
        <w:rPr>
          <w:b/>
          <w:lang w:eastAsia="en-US"/>
        </w:rPr>
        <w:t>v období 2007-2013 bylo regenerováno kolem 15 % odhadovaného celkového počtu BF. Odhady počtu BF z roku 2007 je tedy možné úměrně redukovat</w:t>
      </w:r>
      <w:r w:rsidRPr="007C0CDA">
        <w:rPr>
          <w:lang w:eastAsia="en-US"/>
        </w:rPr>
        <w:t>. Mnohem větší počet BF se regeneruje ve městech, na venkově jen malá část – což je dáno i prostou vyšší četností ve městech. V oficiálně evidovaných plochách lze pozorovat růst počtu BF, ale úbytek jejich celkové plochy.</w:t>
      </w:r>
      <w:r w:rsidR="00BA671A">
        <w:rPr>
          <w:lang w:eastAsia="en-US"/>
        </w:rPr>
        <w:t xml:space="preserve"> </w:t>
      </w:r>
      <w:r w:rsidR="00BA671A">
        <w:rPr>
          <w:b/>
          <w:lang w:eastAsia="en-US"/>
        </w:rPr>
        <w:t xml:space="preserve">Problémy s komplexním regenerováním velkých ploch nad 10 he však zůstávají, tržní aktivita se v tomto segmentu omezuje na </w:t>
      </w:r>
      <w:r w:rsidR="003376D5">
        <w:rPr>
          <w:b/>
          <w:lang w:eastAsia="en-US"/>
        </w:rPr>
        <w:t>jednotlivé případy lukrativních lokalit</w:t>
      </w:r>
      <w:r w:rsidR="00BA671A">
        <w:rPr>
          <w:b/>
          <w:lang w:eastAsia="en-US"/>
        </w:rPr>
        <w:t>.</w:t>
      </w:r>
    </w:p>
    <w:p w:rsidR="009D2CAE" w:rsidRPr="007C0CDA" w:rsidRDefault="009D2CAE" w:rsidP="00416BF2">
      <w:pPr>
        <w:rPr>
          <w:lang w:eastAsia="en-US"/>
        </w:rPr>
      </w:pPr>
    </w:p>
    <w:p w:rsidR="009D2CAE" w:rsidRPr="007C0CDA" w:rsidRDefault="009D2CAE" w:rsidP="00416BF2">
      <w:pPr>
        <w:rPr>
          <w:lang w:eastAsia="en-US"/>
        </w:rPr>
      </w:pPr>
      <w:r w:rsidRPr="007C0CDA">
        <w:rPr>
          <w:b/>
          <w:lang w:eastAsia="en-US"/>
        </w:rPr>
        <w:t>Z údajů CI vyplývá, že velká část BF byla v minulém období regenerována bez státní podpory na tržním principu</w:t>
      </w:r>
      <w:r w:rsidRPr="007C0CDA">
        <w:rPr>
          <w:lang w:eastAsia="en-US"/>
        </w:rPr>
        <w:t>. V rámci OP</w:t>
      </w:r>
      <w:r w:rsidR="00BA671A">
        <w:rPr>
          <w:lang w:eastAsia="en-US"/>
        </w:rPr>
        <w:t xml:space="preserve"> </w:t>
      </w:r>
      <w:r w:rsidRPr="007C0CDA">
        <w:rPr>
          <w:lang w:eastAsia="en-US"/>
        </w:rPr>
        <w:t>PI bylo podle odhadů CI z odhadovaných až 15 % BF regenerováno cca 3 %. Je nutné připočíst další operační programy, které se BF dotýkaly (viz veřejné zdroje financování), i tak byla nicméně soukromá tržní aktivita významná.</w:t>
      </w:r>
    </w:p>
    <w:p w:rsidR="009D2CAE" w:rsidRPr="007C0CDA" w:rsidRDefault="009D2CAE" w:rsidP="00416BF2">
      <w:pPr>
        <w:rPr>
          <w:lang w:eastAsia="en-US"/>
        </w:rPr>
      </w:pPr>
    </w:p>
    <w:p w:rsidR="009D2CAE" w:rsidRPr="007C0CDA" w:rsidRDefault="009D2CAE" w:rsidP="00416BF2">
      <w:pPr>
        <w:rPr>
          <w:lang w:eastAsia="en-US"/>
        </w:rPr>
      </w:pPr>
      <w:r w:rsidRPr="007C0CDA">
        <w:rPr>
          <w:lang w:eastAsia="en-US"/>
        </w:rPr>
        <w:t xml:space="preserve">Je nicméně nutné dodat, že </w:t>
      </w:r>
      <w:r w:rsidRPr="002433DA">
        <w:rPr>
          <w:b/>
          <w:lang w:eastAsia="en-US"/>
        </w:rPr>
        <w:t>v rámci tržně zregenerovaných BF v</w:t>
      </w:r>
      <w:r w:rsidRPr="007C0CDA">
        <w:rPr>
          <w:b/>
          <w:lang w:eastAsia="en-US"/>
        </w:rPr>
        <w:t> </w:t>
      </w:r>
      <w:r w:rsidRPr="002433DA">
        <w:rPr>
          <w:b/>
          <w:lang w:eastAsia="en-US"/>
        </w:rPr>
        <w:t>minulém období se jednalo typicky o tzv. áčkové plochy, tz</w:t>
      </w:r>
      <w:r w:rsidRPr="007C0CDA">
        <w:rPr>
          <w:b/>
          <w:lang w:eastAsia="en-US"/>
        </w:rPr>
        <w:t>n</w:t>
      </w:r>
      <w:r w:rsidRPr="002433DA">
        <w:rPr>
          <w:b/>
          <w:lang w:eastAsia="en-US"/>
        </w:rPr>
        <w:t>. ty nejsnadnější a nejvýnosnější BF</w:t>
      </w:r>
      <w:r w:rsidRPr="007C0CDA">
        <w:rPr>
          <w:lang w:eastAsia="en-US"/>
        </w:rPr>
        <w:t>, často na lukrativních městských plochách, případně s dobrou dopravní dostupností a menší rozlohou. Dá se tedy očekávat, že pro aktuální programovací období bude těchto potenciálně snadněji regenerovaných BF méně, naopak zbývají obtížnější projekty s potřebou podpory. Mnohé zanedbané nemovitosti zažívají nulovou poptávku a je možné, že pokud v jejich okolí není žádný expandující subjekt a dopravní infrastruktura je špatná, změní se jejich status na pozemky určené k asanaci a rekultivaci.</w:t>
      </w:r>
    </w:p>
    <w:p w:rsidR="009D2CAE" w:rsidRPr="007C0CDA" w:rsidRDefault="009D2CAE" w:rsidP="00511130">
      <w:pPr>
        <w:rPr>
          <w:lang w:eastAsia="en-US"/>
        </w:rPr>
      </w:pPr>
    </w:p>
    <w:p w:rsidR="009D2CAE" w:rsidRPr="007C0CDA" w:rsidRDefault="009D2CAE" w:rsidP="00511130">
      <w:pPr>
        <w:rPr>
          <w:lang w:eastAsia="en-US"/>
        </w:rPr>
      </w:pPr>
      <w:r w:rsidRPr="002433DA">
        <w:rPr>
          <w:b/>
          <w:lang w:eastAsia="en-US"/>
        </w:rPr>
        <w:t>Problematika investic do regenerace, rekonstrukce nebo revitalizace BF vykazuje významně nižší dynamiku, co se týče ročně generovaných investic, než je možné pozorovat například při výstavbě projektů na zelené louce (greenfields)</w:t>
      </w:r>
      <w:r w:rsidRPr="007C0CDA">
        <w:rPr>
          <w:lang w:eastAsia="en-US"/>
        </w:rPr>
        <w:t>. Na tzv. greenfieldech (GF) je realizována hlavní část nabídky podnikatelských nemovitostí. Hlavními aktéry na trhu jsou společnosti jako CTPark, ProLogis, Panattoni či VGP.Dle analýzy dostupných informací a pohovorů se zástupci veřejného i soukromého sektoru je klíčovým prvkem rozhodování při investicích do BF dostupnost dotačního titulu a jeho výše.</w:t>
      </w:r>
    </w:p>
    <w:p w:rsidR="009D2CAE" w:rsidRPr="007C0CDA" w:rsidRDefault="009D2CAE" w:rsidP="00416BF2">
      <w:pPr>
        <w:rPr>
          <w:lang w:eastAsia="en-US"/>
        </w:rPr>
      </w:pPr>
    </w:p>
    <w:p w:rsidR="009D2CAE" w:rsidRPr="007C0CDA" w:rsidRDefault="002D1138">
      <w:pPr>
        <w:keepNext/>
        <w:jc w:val="center"/>
      </w:pPr>
      <w:r>
        <w:rPr>
          <w:rFonts w:ascii="Arial" w:hAnsi="Arial" w:cs="Arial"/>
          <w:noProof/>
          <w:color w:val="1F497D"/>
          <w:sz w:val="24"/>
          <w:szCs w:val="24"/>
        </w:rPr>
        <w:drawing>
          <wp:inline distT="0" distB="0" distL="0" distR="0" wp14:anchorId="5E27F884" wp14:editId="3E75C57B">
            <wp:extent cx="2419350" cy="1514475"/>
            <wp:effectExtent l="0" t="0" r="0" b="9525"/>
            <wp:docPr id="18"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
                    <pic:cNvPicPr>
                      <a:picLocks noChangeAspect="1" noChangeArrowheads="1"/>
                    </pic:cNvPicPr>
                  </pic:nvPicPr>
                  <pic:blipFill>
                    <a:blip r:embed="rId26">
                      <a:extLst>
                        <a:ext uri="{28A0092B-C50C-407E-A947-70E740481C1C}">
                          <a14:useLocalDpi xmlns:a14="http://schemas.microsoft.com/office/drawing/2010/main" val="0"/>
                        </a:ext>
                      </a:extLst>
                    </a:blip>
                    <a:srcRect l="2582"/>
                    <a:stretch>
                      <a:fillRect/>
                    </a:stretch>
                  </pic:blipFill>
                  <pic:spPr bwMode="auto">
                    <a:xfrm>
                      <a:off x="0" y="0"/>
                      <a:ext cx="2419350" cy="1514475"/>
                    </a:xfrm>
                    <a:prstGeom prst="rect">
                      <a:avLst/>
                    </a:prstGeom>
                    <a:noFill/>
                    <a:ln>
                      <a:noFill/>
                    </a:ln>
                  </pic:spPr>
                </pic:pic>
              </a:graphicData>
            </a:graphic>
          </wp:inline>
        </w:drawing>
      </w:r>
    </w:p>
    <w:p w:rsidR="009D2CAE" w:rsidRPr="007C0CDA" w:rsidRDefault="002D1138" w:rsidP="00DF6E0B">
      <w:pPr>
        <w:pStyle w:val="Titulek"/>
        <w:jc w:val="center"/>
      </w:pPr>
      <w:r>
        <w:rPr>
          <w:noProof/>
          <w:color w:val="1F497D"/>
          <w:sz w:val="24"/>
          <w:szCs w:val="24"/>
          <w:lang w:eastAsia="cs-CZ"/>
        </w:rPr>
        <w:drawing>
          <wp:inline distT="0" distB="0" distL="0" distR="0" wp14:anchorId="4725DE3E" wp14:editId="12CBD335">
            <wp:extent cx="3724275" cy="180975"/>
            <wp:effectExtent l="0" t="0" r="9525" b="9525"/>
            <wp:docPr id="19"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24275" cy="180975"/>
                    </a:xfrm>
                    <a:prstGeom prst="rect">
                      <a:avLst/>
                    </a:prstGeom>
                    <a:noFill/>
                    <a:ln>
                      <a:noFill/>
                    </a:ln>
                  </pic:spPr>
                </pic:pic>
              </a:graphicData>
            </a:graphic>
          </wp:inline>
        </w:drawing>
      </w:r>
    </w:p>
    <w:p w:rsidR="009D2CAE" w:rsidRPr="007C0CDA" w:rsidRDefault="009D2CAE" w:rsidP="00DF6E0B">
      <w:pPr>
        <w:pStyle w:val="Titulek"/>
        <w:jc w:val="left"/>
      </w:pPr>
      <w:r w:rsidRPr="007C0CDA">
        <w:t xml:space="preserve">Graf č. 11:  Rozložení poptávky po nemovitostech v 1. pololetí 2014 </w:t>
      </w:r>
    </w:p>
    <w:p w:rsidR="009D2CAE" w:rsidRPr="007C0CDA" w:rsidRDefault="009D2CAE" w:rsidP="00DF6E0B">
      <w:pPr>
        <w:pStyle w:val="Titulek"/>
        <w:jc w:val="left"/>
      </w:pPr>
      <w:r w:rsidRPr="007C0CDA">
        <w:t>Zdroj: CI 2014</w:t>
      </w:r>
    </w:p>
    <w:p w:rsidR="009D2CAE" w:rsidRPr="002433DA" w:rsidRDefault="009D2CAE" w:rsidP="002433DA">
      <w:pPr>
        <w:rPr>
          <w:b/>
          <w:bCs/>
        </w:rPr>
      </w:pPr>
    </w:p>
    <w:p w:rsidR="009D2CAE" w:rsidRPr="007C0CDA" w:rsidRDefault="009D2CAE" w:rsidP="009C2E9F">
      <w:pPr>
        <w:rPr>
          <w:lang w:eastAsia="en-US"/>
        </w:rPr>
      </w:pPr>
      <w:r w:rsidRPr="007C0CDA">
        <w:rPr>
          <w:b/>
          <w:lang w:eastAsia="en-US"/>
        </w:rPr>
        <w:t>Specifická poptávka po BF je přímo úměrná poptávce po nemovitostech</w:t>
      </w:r>
      <w:r w:rsidRPr="007C0CDA">
        <w:rPr>
          <w:lang w:eastAsia="en-US"/>
        </w:rPr>
        <w:t>, s růstem trhu nemovitostí stoupá i trh BF. Po krizovém období se tedy aktivita na trhu v roce 2014 opět zvyšuje. Podíl BF na celkové poptávce po nemovitostech je poměrně stabilní, na úrovni 20 % (viz graf č. 11)</w:t>
      </w:r>
    </w:p>
    <w:tbl>
      <w:tblPr>
        <w:tblW w:w="7870" w:type="dxa"/>
        <w:tblLook w:val="00A0" w:firstRow="1" w:lastRow="0" w:firstColumn="1" w:lastColumn="0" w:noHBand="0" w:noVBand="0"/>
      </w:tblPr>
      <w:tblGrid>
        <w:gridCol w:w="2037"/>
        <w:gridCol w:w="1722"/>
        <w:gridCol w:w="1134"/>
        <w:gridCol w:w="1559"/>
        <w:gridCol w:w="1418"/>
      </w:tblGrid>
      <w:tr w:rsidR="009D2CAE" w:rsidRPr="007C0CDA" w:rsidTr="00A577A4">
        <w:trPr>
          <w:trHeight w:val="300"/>
        </w:trPr>
        <w:tc>
          <w:tcPr>
            <w:tcW w:w="2037" w:type="dxa"/>
            <w:noWrap/>
          </w:tcPr>
          <w:p w:rsidR="009D2CAE" w:rsidRPr="007C0CDA" w:rsidRDefault="009D2CAE" w:rsidP="00A577A4">
            <w:pPr>
              <w:rPr>
                <w:rFonts w:cs="Calibri"/>
                <w:b/>
                <w:bCs/>
                <w:color w:val="000000"/>
                <w:szCs w:val="22"/>
              </w:rPr>
            </w:pPr>
            <w:r w:rsidRPr="007C0CDA">
              <w:rPr>
                <w:b/>
                <w:bCs/>
                <w:color w:val="000000"/>
              </w:rPr>
              <w:t>ČR</w:t>
            </w:r>
          </w:p>
        </w:tc>
        <w:tc>
          <w:tcPr>
            <w:tcW w:w="1722" w:type="dxa"/>
            <w:noWrap/>
          </w:tcPr>
          <w:p w:rsidR="009D2CAE" w:rsidRPr="007C0CDA" w:rsidRDefault="009D2CAE" w:rsidP="00A577A4">
            <w:pPr>
              <w:jc w:val="right"/>
              <w:rPr>
                <w:rFonts w:cs="Calibri"/>
                <w:b/>
                <w:bCs/>
                <w:color w:val="000000"/>
                <w:szCs w:val="22"/>
              </w:rPr>
            </w:pPr>
            <w:r w:rsidRPr="007C0CDA">
              <w:rPr>
                <w:b/>
                <w:bCs/>
                <w:color w:val="000000"/>
              </w:rPr>
              <w:t>28</w:t>
            </w:r>
          </w:p>
        </w:tc>
        <w:tc>
          <w:tcPr>
            <w:tcW w:w="1134" w:type="dxa"/>
            <w:noWrap/>
          </w:tcPr>
          <w:p w:rsidR="009D2CAE" w:rsidRPr="007C0CDA" w:rsidRDefault="009D2CAE" w:rsidP="00A577A4">
            <w:pPr>
              <w:jc w:val="right"/>
              <w:rPr>
                <w:rFonts w:cs="Calibri"/>
                <w:color w:val="000000"/>
                <w:szCs w:val="22"/>
              </w:rPr>
            </w:pPr>
            <w:r w:rsidRPr="007C0CDA">
              <w:rPr>
                <w:color w:val="000000"/>
              </w:rPr>
              <w:t>100%</w:t>
            </w:r>
          </w:p>
        </w:tc>
        <w:tc>
          <w:tcPr>
            <w:tcW w:w="1559" w:type="dxa"/>
          </w:tcPr>
          <w:p w:rsidR="009D2CAE" w:rsidRPr="007C0CDA" w:rsidRDefault="009D2CAE" w:rsidP="00A577A4">
            <w:pPr>
              <w:jc w:val="right"/>
              <w:rPr>
                <w:color w:val="000000"/>
              </w:rPr>
            </w:pPr>
            <w:r w:rsidRPr="007C0CDA">
              <w:rPr>
                <w:color w:val="000000"/>
              </w:rPr>
              <w:t>34</w:t>
            </w:r>
          </w:p>
        </w:tc>
        <w:tc>
          <w:tcPr>
            <w:tcW w:w="1418" w:type="dxa"/>
          </w:tcPr>
          <w:p w:rsidR="009D2CAE" w:rsidRPr="007C0CDA" w:rsidRDefault="009D2CAE" w:rsidP="00A577A4">
            <w:pPr>
              <w:jc w:val="right"/>
              <w:rPr>
                <w:color w:val="000000"/>
              </w:rPr>
            </w:pPr>
            <w:r w:rsidRPr="007C0CDA">
              <w:rPr>
                <w:color w:val="000000"/>
              </w:rPr>
              <w:t>100%</w:t>
            </w:r>
          </w:p>
        </w:tc>
      </w:tr>
      <w:tr w:rsidR="009D2CAE" w:rsidRPr="007C0CDA" w:rsidTr="00A577A4">
        <w:trPr>
          <w:trHeight w:val="300"/>
        </w:trPr>
        <w:tc>
          <w:tcPr>
            <w:tcW w:w="2037" w:type="dxa"/>
            <w:noWrap/>
          </w:tcPr>
          <w:p w:rsidR="009D2CAE" w:rsidRPr="007C0CDA" w:rsidRDefault="009D2CAE" w:rsidP="00A577A4">
            <w:pPr>
              <w:rPr>
                <w:rFonts w:cs="Calibri"/>
                <w:color w:val="000000"/>
                <w:szCs w:val="22"/>
              </w:rPr>
            </w:pPr>
            <w:r w:rsidRPr="007C0CDA">
              <w:rPr>
                <w:color w:val="000000"/>
              </w:rPr>
              <w:t>Moravskoslezský</w:t>
            </w:r>
          </w:p>
        </w:tc>
        <w:tc>
          <w:tcPr>
            <w:tcW w:w="1722" w:type="dxa"/>
            <w:noWrap/>
          </w:tcPr>
          <w:p w:rsidR="009D2CAE" w:rsidRPr="007C0CDA" w:rsidRDefault="009D2CAE" w:rsidP="00A577A4">
            <w:pPr>
              <w:jc w:val="right"/>
              <w:rPr>
                <w:rFonts w:cs="Calibri"/>
                <w:color w:val="000000"/>
                <w:szCs w:val="22"/>
              </w:rPr>
            </w:pPr>
            <w:r w:rsidRPr="007C0CDA">
              <w:rPr>
                <w:color w:val="000000"/>
              </w:rPr>
              <w:t>6</w:t>
            </w:r>
          </w:p>
        </w:tc>
        <w:tc>
          <w:tcPr>
            <w:tcW w:w="1134" w:type="dxa"/>
            <w:noWrap/>
          </w:tcPr>
          <w:p w:rsidR="009D2CAE" w:rsidRPr="007C0CDA" w:rsidRDefault="009D2CAE" w:rsidP="00A577A4">
            <w:pPr>
              <w:jc w:val="right"/>
              <w:rPr>
                <w:rFonts w:cs="Calibri"/>
                <w:color w:val="000000"/>
                <w:szCs w:val="22"/>
              </w:rPr>
            </w:pPr>
            <w:r w:rsidRPr="007C0CDA">
              <w:rPr>
                <w:color w:val="000000"/>
              </w:rPr>
              <w:t>21,4%</w:t>
            </w:r>
          </w:p>
        </w:tc>
        <w:tc>
          <w:tcPr>
            <w:tcW w:w="1559" w:type="dxa"/>
          </w:tcPr>
          <w:p w:rsidR="009D2CAE" w:rsidRPr="007C0CDA" w:rsidRDefault="009D2CAE" w:rsidP="00A577A4">
            <w:pPr>
              <w:jc w:val="right"/>
              <w:rPr>
                <w:color w:val="000000"/>
              </w:rPr>
            </w:pPr>
            <w:r w:rsidRPr="007C0CDA">
              <w:rPr>
                <w:color w:val="000000"/>
              </w:rPr>
              <w:t>2</w:t>
            </w:r>
          </w:p>
        </w:tc>
        <w:tc>
          <w:tcPr>
            <w:tcW w:w="1418" w:type="dxa"/>
          </w:tcPr>
          <w:p w:rsidR="009D2CAE" w:rsidRPr="007C0CDA" w:rsidRDefault="009D2CAE" w:rsidP="00A577A4">
            <w:pPr>
              <w:jc w:val="right"/>
              <w:rPr>
                <w:color w:val="000000"/>
              </w:rPr>
            </w:pPr>
            <w:r w:rsidRPr="007C0CDA">
              <w:rPr>
                <w:color w:val="000000"/>
              </w:rPr>
              <w:t>5,9%</w:t>
            </w:r>
          </w:p>
        </w:tc>
      </w:tr>
      <w:tr w:rsidR="009D2CAE" w:rsidRPr="007C0CDA" w:rsidTr="00A577A4">
        <w:trPr>
          <w:trHeight w:val="300"/>
        </w:trPr>
        <w:tc>
          <w:tcPr>
            <w:tcW w:w="2037" w:type="dxa"/>
            <w:noWrap/>
          </w:tcPr>
          <w:p w:rsidR="009D2CAE" w:rsidRPr="007C0CDA" w:rsidRDefault="009D2CAE" w:rsidP="00A577A4">
            <w:pPr>
              <w:rPr>
                <w:rFonts w:cs="Calibri"/>
                <w:color w:val="000000"/>
                <w:szCs w:val="22"/>
              </w:rPr>
            </w:pPr>
            <w:r w:rsidRPr="007C0CDA">
              <w:rPr>
                <w:color w:val="000000"/>
              </w:rPr>
              <w:t>Středočeský</w:t>
            </w:r>
          </w:p>
        </w:tc>
        <w:tc>
          <w:tcPr>
            <w:tcW w:w="1722" w:type="dxa"/>
            <w:noWrap/>
          </w:tcPr>
          <w:p w:rsidR="009D2CAE" w:rsidRPr="007C0CDA" w:rsidRDefault="009D2CAE" w:rsidP="00A577A4">
            <w:pPr>
              <w:jc w:val="right"/>
              <w:rPr>
                <w:rFonts w:cs="Calibri"/>
                <w:color w:val="000000"/>
                <w:szCs w:val="22"/>
              </w:rPr>
            </w:pPr>
            <w:r w:rsidRPr="007C0CDA">
              <w:rPr>
                <w:color w:val="000000"/>
              </w:rPr>
              <w:t>3</w:t>
            </w:r>
          </w:p>
        </w:tc>
        <w:tc>
          <w:tcPr>
            <w:tcW w:w="1134" w:type="dxa"/>
            <w:noWrap/>
          </w:tcPr>
          <w:p w:rsidR="009D2CAE" w:rsidRPr="007C0CDA" w:rsidRDefault="009D2CAE" w:rsidP="00A577A4">
            <w:pPr>
              <w:jc w:val="right"/>
              <w:rPr>
                <w:rFonts w:cs="Calibri"/>
                <w:color w:val="000000"/>
                <w:szCs w:val="22"/>
              </w:rPr>
            </w:pPr>
            <w:r w:rsidRPr="007C0CDA">
              <w:rPr>
                <w:color w:val="000000"/>
              </w:rPr>
              <w:t>10,7%</w:t>
            </w:r>
          </w:p>
        </w:tc>
        <w:tc>
          <w:tcPr>
            <w:tcW w:w="1559" w:type="dxa"/>
          </w:tcPr>
          <w:p w:rsidR="009D2CAE" w:rsidRPr="007C0CDA" w:rsidRDefault="009D2CAE" w:rsidP="00A577A4">
            <w:pPr>
              <w:jc w:val="right"/>
              <w:rPr>
                <w:color w:val="000000"/>
              </w:rPr>
            </w:pPr>
            <w:r w:rsidRPr="007C0CDA">
              <w:rPr>
                <w:color w:val="000000"/>
              </w:rPr>
              <w:t>9</w:t>
            </w:r>
          </w:p>
        </w:tc>
        <w:tc>
          <w:tcPr>
            <w:tcW w:w="1418" w:type="dxa"/>
          </w:tcPr>
          <w:p w:rsidR="009D2CAE" w:rsidRPr="007C0CDA" w:rsidRDefault="009D2CAE" w:rsidP="00A577A4">
            <w:pPr>
              <w:jc w:val="right"/>
              <w:rPr>
                <w:color w:val="000000"/>
              </w:rPr>
            </w:pPr>
            <w:r w:rsidRPr="007C0CDA">
              <w:rPr>
                <w:color w:val="000000"/>
              </w:rPr>
              <w:t>26,5%</w:t>
            </w:r>
          </w:p>
        </w:tc>
      </w:tr>
      <w:tr w:rsidR="009D2CAE" w:rsidRPr="007C0CDA" w:rsidTr="00A577A4">
        <w:trPr>
          <w:trHeight w:val="300"/>
        </w:trPr>
        <w:tc>
          <w:tcPr>
            <w:tcW w:w="2037" w:type="dxa"/>
            <w:noWrap/>
          </w:tcPr>
          <w:p w:rsidR="009D2CAE" w:rsidRPr="007C0CDA" w:rsidRDefault="009D2CAE" w:rsidP="00A577A4">
            <w:pPr>
              <w:rPr>
                <w:rFonts w:cs="Calibri"/>
                <w:color w:val="000000"/>
                <w:szCs w:val="22"/>
              </w:rPr>
            </w:pPr>
            <w:r w:rsidRPr="007C0CDA">
              <w:rPr>
                <w:color w:val="000000"/>
              </w:rPr>
              <w:t>Jihomoravský</w:t>
            </w:r>
          </w:p>
        </w:tc>
        <w:tc>
          <w:tcPr>
            <w:tcW w:w="1722" w:type="dxa"/>
            <w:noWrap/>
          </w:tcPr>
          <w:p w:rsidR="009D2CAE" w:rsidRPr="007C0CDA" w:rsidRDefault="009D2CAE" w:rsidP="00A577A4">
            <w:pPr>
              <w:jc w:val="right"/>
              <w:rPr>
                <w:rFonts w:cs="Calibri"/>
                <w:color w:val="000000"/>
                <w:szCs w:val="22"/>
              </w:rPr>
            </w:pPr>
            <w:r w:rsidRPr="007C0CDA">
              <w:rPr>
                <w:color w:val="000000"/>
              </w:rPr>
              <w:t>4</w:t>
            </w:r>
          </w:p>
        </w:tc>
        <w:tc>
          <w:tcPr>
            <w:tcW w:w="1134" w:type="dxa"/>
            <w:noWrap/>
          </w:tcPr>
          <w:p w:rsidR="009D2CAE" w:rsidRPr="007C0CDA" w:rsidRDefault="009D2CAE" w:rsidP="00A577A4">
            <w:pPr>
              <w:jc w:val="right"/>
              <w:rPr>
                <w:rFonts w:cs="Calibri"/>
                <w:color w:val="000000"/>
                <w:szCs w:val="22"/>
              </w:rPr>
            </w:pPr>
            <w:r w:rsidRPr="007C0CDA">
              <w:rPr>
                <w:color w:val="000000"/>
              </w:rPr>
              <w:t>14,3%</w:t>
            </w:r>
          </w:p>
        </w:tc>
        <w:tc>
          <w:tcPr>
            <w:tcW w:w="1559" w:type="dxa"/>
          </w:tcPr>
          <w:p w:rsidR="009D2CAE" w:rsidRPr="007C0CDA" w:rsidRDefault="009D2CAE" w:rsidP="00A577A4">
            <w:pPr>
              <w:jc w:val="right"/>
              <w:rPr>
                <w:color w:val="000000"/>
              </w:rPr>
            </w:pPr>
            <w:r w:rsidRPr="007C0CDA">
              <w:rPr>
                <w:color w:val="000000"/>
              </w:rPr>
              <w:t>5</w:t>
            </w:r>
          </w:p>
        </w:tc>
        <w:tc>
          <w:tcPr>
            <w:tcW w:w="1418" w:type="dxa"/>
          </w:tcPr>
          <w:p w:rsidR="009D2CAE" w:rsidRPr="007C0CDA" w:rsidRDefault="009D2CAE" w:rsidP="00A577A4">
            <w:pPr>
              <w:jc w:val="right"/>
              <w:rPr>
                <w:color w:val="000000"/>
              </w:rPr>
            </w:pPr>
            <w:r w:rsidRPr="007C0CDA">
              <w:rPr>
                <w:color w:val="000000"/>
              </w:rPr>
              <w:t>14,7%</w:t>
            </w:r>
          </w:p>
        </w:tc>
      </w:tr>
      <w:tr w:rsidR="009D2CAE" w:rsidRPr="007C0CDA" w:rsidTr="00A577A4">
        <w:trPr>
          <w:trHeight w:val="300"/>
        </w:trPr>
        <w:tc>
          <w:tcPr>
            <w:tcW w:w="2037" w:type="dxa"/>
            <w:noWrap/>
          </w:tcPr>
          <w:p w:rsidR="009D2CAE" w:rsidRPr="007C0CDA" w:rsidRDefault="009D2CAE" w:rsidP="00A577A4">
            <w:pPr>
              <w:rPr>
                <w:rFonts w:cs="Calibri"/>
                <w:color w:val="000000"/>
                <w:szCs w:val="22"/>
              </w:rPr>
            </w:pPr>
            <w:r w:rsidRPr="007C0CDA">
              <w:rPr>
                <w:color w:val="000000"/>
              </w:rPr>
              <w:t>Plzeňský</w:t>
            </w:r>
          </w:p>
        </w:tc>
        <w:tc>
          <w:tcPr>
            <w:tcW w:w="1722" w:type="dxa"/>
            <w:noWrap/>
          </w:tcPr>
          <w:p w:rsidR="009D2CAE" w:rsidRPr="007C0CDA" w:rsidRDefault="009D2CAE" w:rsidP="00A577A4">
            <w:pPr>
              <w:jc w:val="right"/>
              <w:rPr>
                <w:rFonts w:cs="Calibri"/>
                <w:color w:val="000000"/>
                <w:szCs w:val="22"/>
              </w:rPr>
            </w:pPr>
            <w:r w:rsidRPr="007C0CDA">
              <w:rPr>
                <w:color w:val="000000"/>
              </w:rPr>
              <w:t>2</w:t>
            </w:r>
          </w:p>
        </w:tc>
        <w:tc>
          <w:tcPr>
            <w:tcW w:w="1134" w:type="dxa"/>
            <w:noWrap/>
          </w:tcPr>
          <w:p w:rsidR="009D2CAE" w:rsidRPr="007C0CDA" w:rsidRDefault="009D2CAE" w:rsidP="00A577A4">
            <w:pPr>
              <w:jc w:val="right"/>
              <w:rPr>
                <w:rFonts w:cs="Calibri"/>
                <w:color w:val="000000"/>
                <w:szCs w:val="22"/>
              </w:rPr>
            </w:pPr>
            <w:r w:rsidRPr="007C0CDA">
              <w:rPr>
                <w:color w:val="000000"/>
              </w:rPr>
              <w:t>7,1%</w:t>
            </w:r>
          </w:p>
        </w:tc>
        <w:tc>
          <w:tcPr>
            <w:tcW w:w="1559" w:type="dxa"/>
          </w:tcPr>
          <w:p w:rsidR="009D2CAE" w:rsidRPr="007C0CDA" w:rsidRDefault="009D2CAE" w:rsidP="00A577A4">
            <w:pPr>
              <w:jc w:val="right"/>
              <w:rPr>
                <w:color w:val="000000"/>
              </w:rPr>
            </w:pPr>
            <w:r w:rsidRPr="007C0CDA">
              <w:rPr>
                <w:color w:val="000000"/>
              </w:rPr>
              <w:t>2</w:t>
            </w:r>
          </w:p>
        </w:tc>
        <w:tc>
          <w:tcPr>
            <w:tcW w:w="1418" w:type="dxa"/>
          </w:tcPr>
          <w:p w:rsidR="009D2CAE" w:rsidRPr="007C0CDA" w:rsidRDefault="009D2CAE" w:rsidP="00A577A4">
            <w:pPr>
              <w:jc w:val="right"/>
              <w:rPr>
                <w:color w:val="000000"/>
              </w:rPr>
            </w:pPr>
            <w:r w:rsidRPr="007C0CDA">
              <w:rPr>
                <w:color w:val="000000"/>
              </w:rPr>
              <w:t>5,9%</w:t>
            </w:r>
          </w:p>
        </w:tc>
      </w:tr>
      <w:tr w:rsidR="009D2CAE" w:rsidRPr="007C0CDA" w:rsidTr="00A577A4">
        <w:trPr>
          <w:trHeight w:val="300"/>
        </w:trPr>
        <w:tc>
          <w:tcPr>
            <w:tcW w:w="2037" w:type="dxa"/>
            <w:noWrap/>
          </w:tcPr>
          <w:p w:rsidR="009D2CAE" w:rsidRPr="007C0CDA" w:rsidRDefault="009D2CAE" w:rsidP="00A577A4">
            <w:pPr>
              <w:rPr>
                <w:rFonts w:cs="Calibri"/>
                <w:color w:val="000000"/>
                <w:szCs w:val="22"/>
              </w:rPr>
            </w:pPr>
            <w:r w:rsidRPr="007C0CDA">
              <w:rPr>
                <w:color w:val="000000"/>
              </w:rPr>
              <w:t>Ústecký</w:t>
            </w:r>
          </w:p>
        </w:tc>
        <w:tc>
          <w:tcPr>
            <w:tcW w:w="1722" w:type="dxa"/>
            <w:noWrap/>
          </w:tcPr>
          <w:p w:rsidR="009D2CAE" w:rsidRPr="007C0CDA" w:rsidRDefault="009D2CAE" w:rsidP="00A577A4">
            <w:pPr>
              <w:jc w:val="right"/>
              <w:rPr>
                <w:rFonts w:cs="Calibri"/>
                <w:color w:val="000000"/>
                <w:szCs w:val="22"/>
              </w:rPr>
            </w:pPr>
            <w:r w:rsidRPr="007C0CDA">
              <w:rPr>
                <w:color w:val="000000"/>
              </w:rPr>
              <w:t>1</w:t>
            </w:r>
          </w:p>
        </w:tc>
        <w:tc>
          <w:tcPr>
            <w:tcW w:w="1134" w:type="dxa"/>
            <w:noWrap/>
          </w:tcPr>
          <w:p w:rsidR="009D2CAE" w:rsidRPr="007C0CDA" w:rsidRDefault="009D2CAE" w:rsidP="00A577A4">
            <w:pPr>
              <w:jc w:val="right"/>
              <w:rPr>
                <w:rFonts w:cs="Calibri"/>
                <w:color w:val="000000"/>
                <w:szCs w:val="22"/>
              </w:rPr>
            </w:pPr>
            <w:r w:rsidRPr="007C0CDA">
              <w:rPr>
                <w:color w:val="000000"/>
              </w:rPr>
              <w:t>3,6%</w:t>
            </w:r>
          </w:p>
        </w:tc>
        <w:tc>
          <w:tcPr>
            <w:tcW w:w="1559" w:type="dxa"/>
          </w:tcPr>
          <w:p w:rsidR="009D2CAE" w:rsidRPr="007C0CDA" w:rsidRDefault="009D2CAE" w:rsidP="00A577A4">
            <w:pPr>
              <w:jc w:val="right"/>
              <w:rPr>
                <w:color w:val="000000"/>
              </w:rPr>
            </w:pPr>
            <w:r w:rsidRPr="007C0CDA">
              <w:rPr>
                <w:color w:val="000000"/>
              </w:rPr>
              <w:t>2</w:t>
            </w:r>
          </w:p>
        </w:tc>
        <w:tc>
          <w:tcPr>
            <w:tcW w:w="1418" w:type="dxa"/>
          </w:tcPr>
          <w:p w:rsidR="009D2CAE" w:rsidRPr="007C0CDA" w:rsidRDefault="009D2CAE" w:rsidP="00A577A4">
            <w:pPr>
              <w:jc w:val="right"/>
              <w:rPr>
                <w:color w:val="000000"/>
              </w:rPr>
            </w:pPr>
            <w:r w:rsidRPr="007C0CDA">
              <w:rPr>
                <w:color w:val="000000"/>
              </w:rPr>
              <w:t>5,9%</w:t>
            </w:r>
          </w:p>
        </w:tc>
      </w:tr>
      <w:tr w:rsidR="009D2CAE" w:rsidRPr="007C0CDA" w:rsidTr="00A577A4">
        <w:trPr>
          <w:trHeight w:val="300"/>
        </w:trPr>
        <w:tc>
          <w:tcPr>
            <w:tcW w:w="2037" w:type="dxa"/>
            <w:noWrap/>
          </w:tcPr>
          <w:p w:rsidR="009D2CAE" w:rsidRPr="007C0CDA" w:rsidRDefault="009D2CAE" w:rsidP="00A577A4">
            <w:pPr>
              <w:rPr>
                <w:rFonts w:cs="Calibri"/>
                <w:color w:val="000000"/>
                <w:szCs w:val="22"/>
              </w:rPr>
            </w:pPr>
            <w:r w:rsidRPr="007C0CDA">
              <w:rPr>
                <w:color w:val="000000"/>
              </w:rPr>
              <w:t>Karlovarský</w:t>
            </w:r>
          </w:p>
        </w:tc>
        <w:tc>
          <w:tcPr>
            <w:tcW w:w="1722" w:type="dxa"/>
            <w:noWrap/>
          </w:tcPr>
          <w:p w:rsidR="009D2CAE" w:rsidRPr="007C0CDA" w:rsidRDefault="009D2CAE" w:rsidP="00A577A4">
            <w:pPr>
              <w:jc w:val="right"/>
              <w:rPr>
                <w:rFonts w:cs="Calibri"/>
                <w:color w:val="000000"/>
                <w:szCs w:val="22"/>
              </w:rPr>
            </w:pPr>
            <w:r w:rsidRPr="007C0CDA">
              <w:rPr>
                <w:color w:val="000000"/>
              </w:rPr>
              <w:t>0</w:t>
            </w:r>
          </w:p>
        </w:tc>
        <w:tc>
          <w:tcPr>
            <w:tcW w:w="1134" w:type="dxa"/>
            <w:noWrap/>
          </w:tcPr>
          <w:p w:rsidR="009D2CAE" w:rsidRPr="007C0CDA" w:rsidRDefault="009D2CAE" w:rsidP="00A577A4">
            <w:pPr>
              <w:jc w:val="right"/>
              <w:rPr>
                <w:rFonts w:cs="Calibri"/>
                <w:color w:val="000000"/>
                <w:szCs w:val="22"/>
              </w:rPr>
            </w:pPr>
            <w:r w:rsidRPr="007C0CDA">
              <w:rPr>
                <w:color w:val="000000"/>
              </w:rPr>
              <w:t>0,0%</w:t>
            </w:r>
          </w:p>
        </w:tc>
        <w:tc>
          <w:tcPr>
            <w:tcW w:w="1559" w:type="dxa"/>
          </w:tcPr>
          <w:p w:rsidR="009D2CAE" w:rsidRPr="007C0CDA" w:rsidRDefault="009D2CAE" w:rsidP="00A577A4">
            <w:pPr>
              <w:jc w:val="right"/>
              <w:rPr>
                <w:color w:val="000000"/>
              </w:rPr>
            </w:pPr>
            <w:r w:rsidRPr="007C0CDA">
              <w:rPr>
                <w:color w:val="000000"/>
              </w:rPr>
              <w:t>4</w:t>
            </w:r>
          </w:p>
        </w:tc>
        <w:tc>
          <w:tcPr>
            <w:tcW w:w="1418" w:type="dxa"/>
          </w:tcPr>
          <w:p w:rsidR="009D2CAE" w:rsidRPr="007C0CDA" w:rsidRDefault="009D2CAE" w:rsidP="00A577A4">
            <w:pPr>
              <w:jc w:val="right"/>
              <w:rPr>
                <w:color w:val="000000"/>
              </w:rPr>
            </w:pPr>
            <w:r w:rsidRPr="007C0CDA">
              <w:rPr>
                <w:color w:val="000000"/>
              </w:rPr>
              <w:t>11,8%</w:t>
            </w:r>
          </w:p>
        </w:tc>
      </w:tr>
      <w:tr w:rsidR="009D2CAE" w:rsidRPr="007C0CDA" w:rsidTr="00A577A4">
        <w:trPr>
          <w:trHeight w:val="300"/>
        </w:trPr>
        <w:tc>
          <w:tcPr>
            <w:tcW w:w="2037" w:type="dxa"/>
            <w:noWrap/>
          </w:tcPr>
          <w:p w:rsidR="009D2CAE" w:rsidRPr="007C0CDA" w:rsidRDefault="009D2CAE" w:rsidP="00A577A4">
            <w:pPr>
              <w:rPr>
                <w:rFonts w:cs="Calibri"/>
                <w:color w:val="000000"/>
                <w:szCs w:val="22"/>
              </w:rPr>
            </w:pPr>
            <w:r w:rsidRPr="007C0CDA">
              <w:rPr>
                <w:color w:val="000000"/>
              </w:rPr>
              <w:t>Královehradecký</w:t>
            </w:r>
          </w:p>
        </w:tc>
        <w:tc>
          <w:tcPr>
            <w:tcW w:w="1722" w:type="dxa"/>
            <w:noWrap/>
          </w:tcPr>
          <w:p w:rsidR="009D2CAE" w:rsidRPr="007C0CDA" w:rsidRDefault="009D2CAE" w:rsidP="00A577A4">
            <w:pPr>
              <w:jc w:val="right"/>
              <w:rPr>
                <w:rFonts w:cs="Calibri"/>
                <w:color w:val="000000"/>
                <w:szCs w:val="22"/>
              </w:rPr>
            </w:pPr>
            <w:r w:rsidRPr="007C0CDA">
              <w:rPr>
                <w:color w:val="000000"/>
              </w:rPr>
              <w:t>3</w:t>
            </w:r>
          </w:p>
        </w:tc>
        <w:tc>
          <w:tcPr>
            <w:tcW w:w="1134" w:type="dxa"/>
            <w:noWrap/>
          </w:tcPr>
          <w:p w:rsidR="009D2CAE" w:rsidRPr="007C0CDA" w:rsidRDefault="009D2CAE" w:rsidP="00A577A4">
            <w:pPr>
              <w:jc w:val="right"/>
              <w:rPr>
                <w:rFonts w:cs="Calibri"/>
                <w:color w:val="000000"/>
                <w:szCs w:val="22"/>
              </w:rPr>
            </w:pPr>
            <w:r w:rsidRPr="007C0CDA">
              <w:rPr>
                <w:color w:val="000000"/>
              </w:rPr>
              <w:t>10,7%</w:t>
            </w:r>
          </w:p>
        </w:tc>
        <w:tc>
          <w:tcPr>
            <w:tcW w:w="1559" w:type="dxa"/>
          </w:tcPr>
          <w:p w:rsidR="009D2CAE" w:rsidRPr="007C0CDA" w:rsidRDefault="009D2CAE" w:rsidP="00A577A4">
            <w:pPr>
              <w:jc w:val="right"/>
              <w:rPr>
                <w:color w:val="000000"/>
              </w:rPr>
            </w:pPr>
            <w:r w:rsidRPr="007C0CDA">
              <w:rPr>
                <w:color w:val="000000"/>
              </w:rPr>
              <w:t>1</w:t>
            </w:r>
          </w:p>
        </w:tc>
        <w:tc>
          <w:tcPr>
            <w:tcW w:w="1418" w:type="dxa"/>
          </w:tcPr>
          <w:p w:rsidR="009D2CAE" w:rsidRPr="007C0CDA" w:rsidRDefault="009D2CAE" w:rsidP="00A577A4">
            <w:pPr>
              <w:jc w:val="right"/>
              <w:rPr>
                <w:color w:val="000000"/>
              </w:rPr>
            </w:pPr>
            <w:r w:rsidRPr="007C0CDA">
              <w:rPr>
                <w:color w:val="000000"/>
              </w:rPr>
              <w:t>2,9%</w:t>
            </w:r>
          </w:p>
        </w:tc>
      </w:tr>
      <w:tr w:rsidR="009D2CAE" w:rsidRPr="007C0CDA" w:rsidTr="00A577A4">
        <w:trPr>
          <w:trHeight w:val="300"/>
        </w:trPr>
        <w:tc>
          <w:tcPr>
            <w:tcW w:w="2037" w:type="dxa"/>
            <w:noWrap/>
          </w:tcPr>
          <w:p w:rsidR="009D2CAE" w:rsidRPr="007C0CDA" w:rsidRDefault="009D2CAE" w:rsidP="00A577A4">
            <w:pPr>
              <w:rPr>
                <w:rFonts w:cs="Calibri"/>
                <w:color w:val="000000"/>
                <w:szCs w:val="22"/>
              </w:rPr>
            </w:pPr>
            <w:r w:rsidRPr="007C0CDA">
              <w:rPr>
                <w:color w:val="000000"/>
              </w:rPr>
              <w:t>Zlínský</w:t>
            </w:r>
          </w:p>
        </w:tc>
        <w:tc>
          <w:tcPr>
            <w:tcW w:w="1722" w:type="dxa"/>
            <w:noWrap/>
          </w:tcPr>
          <w:p w:rsidR="009D2CAE" w:rsidRPr="007C0CDA" w:rsidRDefault="009D2CAE" w:rsidP="00A577A4">
            <w:pPr>
              <w:jc w:val="right"/>
              <w:rPr>
                <w:rFonts w:cs="Calibri"/>
                <w:color w:val="000000"/>
                <w:szCs w:val="22"/>
              </w:rPr>
            </w:pPr>
            <w:r w:rsidRPr="007C0CDA">
              <w:rPr>
                <w:color w:val="000000"/>
              </w:rPr>
              <w:t>1</w:t>
            </w:r>
          </w:p>
        </w:tc>
        <w:tc>
          <w:tcPr>
            <w:tcW w:w="1134" w:type="dxa"/>
            <w:noWrap/>
          </w:tcPr>
          <w:p w:rsidR="009D2CAE" w:rsidRPr="007C0CDA" w:rsidRDefault="009D2CAE" w:rsidP="00A577A4">
            <w:pPr>
              <w:jc w:val="right"/>
              <w:rPr>
                <w:rFonts w:cs="Calibri"/>
                <w:color w:val="000000"/>
                <w:szCs w:val="22"/>
              </w:rPr>
            </w:pPr>
            <w:r w:rsidRPr="007C0CDA">
              <w:rPr>
                <w:color w:val="000000"/>
              </w:rPr>
              <w:t>3,6%</w:t>
            </w:r>
          </w:p>
        </w:tc>
        <w:tc>
          <w:tcPr>
            <w:tcW w:w="1559" w:type="dxa"/>
          </w:tcPr>
          <w:p w:rsidR="009D2CAE" w:rsidRPr="007C0CDA" w:rsidRDefault="009D2CAE" w:rsidP="00A577A4">
            <w:pPr>
              <w:jc w:val="right"/>
              <w:rPr>
                <w:color w:val="000000"/>
              </w:rPr>
            </w:pPr>
            <w:r w:rsidRPr="007C0CDA">
              <w:rPr>
                <w:color w:val="000000"/>
              </w:rPr>
              <w:t>4</w:t>
            </w:r>
          </w:p>
        </w:tc>
        <w:tc>
          <w:tcPr>
            <w:tcW w:w="1418" w:type="dxa"/>
          </w:tcPr>
          <w:p w:rsidR="009D2CAE" w:rsidRPr="007C0CDA" w:rsidRDefault="009D2CAE" w:rsidP="00A577A4">
            <w:pPr>
              <w:jc w:val="right"/>
              <w:rPr>
                <w:color w:val="000000"/>
              </w:rPr>
            </w:pPr>
            <w:r w:rsidRPr="007C0CDA">
              <w:rPr>
                <w:color w:val="000000"/>
              </w:rPr>
              <w:t>11,8%</w:t>
            </w:r>
          </w:p>
        </w:tc>
      </w:tr>
      <w:tr w:rsidR="009D2CAE" w:rsidRPr="007C0CDA" w:rsidTr="00A577A4">
        <w:trPr>
          <w:trHeight w:val="300"/>
        </w:trPr>
        <w:tc>
          <w:tcPr>
            <w:tcW w:w="2037" w:type="dxa"/>
            <w:noWrap/>
          </w:tcPr>
          <w:p w:rsidR="009D2CAE" w:rsidRPr="007C0CDA" w:rsidRDefault="009D2CAE" w:rsidP="00A577A4">
            <w:pPr>
              <w:rPr>
                <w:rFonts w:cs="Calibri"/>
                <w:color w:val="000000"/>
                <w:szCs w:val="22"/>
              </w:rPr>
            </w:pPr>
            <w:r w:rsidRPr="007C0CDA">
              <w:rPr>
                <w:color w:val="000000"/>
              </w:rPr>
              <w:t>Olomoucký</w:t>
            </w:r>
          </w:p>
        </w:tc>
        <w:tc>
          <w:tcPr>
            <w:tcW w:w="1722" w:type="dxa"/>
            <w:noWrap/>
          </w:tcPr>
          <w:p w:rsidR="009D2CAE" w:rsidRPr="007C0CDA" w:rsidRDefault="009D2CAE" w:rsidP="00A577A4">
            <w:pPr>
              <w:jc w:val="right"/>
              <w:rPr>
                <w:rFonts w:cs="Calibri"/>
                <w:color w:val="000000"/>
                <w:szCs w:val="22"/>
              </w:rPr>
            </w:pPr>
            <w:r w:rsidRPr="007C0CDA">
              <w:rPr>
                <w:color w:val="000000"/>
              </w:rPr>
              <w:t>1</w:t>
            </w:r>
          </w:p>
        </w:tc>
        <w:tc>
          <w:tcPr>
            <w:tcW w:w="1134" w:type="dxa"/>
            <w:noWrap/>
          </w:tcPr>
          <w:p w:rsidR="009D2CAE" w:rsidRPr="007C0CDA" w:rsidRDefault="009D2CAE" w:rsidP="00A577A4">
            <w:pPr>
              <w:jc w:val="right"/>
              <w:rPr>
                <w:rFonts w:cs="Calibri"/>
                <w:color w:val="000000"/>
                <w:szCs w:val="22"/>
              </w:rPr>
            </w:pPr>
            <w:r w:rsidRPr="007C0CDA">
              <w:rPr>
                <w:color w:val="000000"/>
              </w:rPr>
              <w:t>3,6%</w:t>
            </w:r>
          </w:p>
        </w:tc>
        <w:tc>
          <w:tcPr>
            <w:tcW w:w="1559" w:type="dxa"/>
          </w:tcPr>
          <w:p w:rsidR="009D2CAE" w:rsidRPr="007C0CDA" w:rsidRDefault="009D2CAE" w:rsidP="00A577A4">
            <w:pPr>
              <w:jc w:val="right"/>
              <w:rPr>
                <w:color w:val="000000"/>
              </w:rPr>
            </w:pPr>
            <w:r w:rsidRPr="007C0CDA">
              <w:rPr>
                <w:color w:val="000000"/>
              </w:rPr>
              <w:t>2</w:t>
            </w:r>
          </w:p>
        </w:tc>
        <w:tc>
          <w:tcPr>
            <w:tcW w:w="1418" w:type="dxa"/>
          </w:tcPr>
          <w:p w:rsidR="009D2CAE" w:rsidRPr="007C0CDA" w:rsidRDefault="009D2CAE" w:rsidP="00A577A4">
            <w:pPr>
              <w:jc w:val="right"/>
              <w:rPr>
                <w:color w:val="000000"/>
              </w:rPr>
            </w:pPr>
            <w:r w:rsidRPr="007C0CDA">
              <w:rPr>
                <w:color w:val="000000"/>
              </w:rPr>
              <w:t>5,9%</w:t>
            </w:r>
          </w:p>
        </w:tc>
      </w:tr>
      <w:tr w:rsidR="009D2CAE" w:rsidRPr="007C0CDA" w:rsidTr="00A577A4">
        <w:trPr>
          <w:trHeight w:val="300"/>
        </w:trPr>
        <w:tc>
          <w:tcPr>
            <w:tcW w:w="2037" w:type="dxa"/>
            <w:noWrap/>
          </w:tcPr>
          <w:p w:rsidR="009D2CAE" w:rsidRPr="007C0CDA" w:rsidRDefault="009D2CAE" w:rsidP="00A577A4">
            <w:pPr>
              <w:rPr>
                <w:rFonts w:cs="Calibri"/>
                <w:color w:val="000000"/>
                <w:szCs w:val="22"/>
              </w:rPr>
            </w:pPr>
            <w:r w:rsidRPr="007C0CDA">
              <w:rPr>
                <w:color w:val="000000"/>
              </w:rPr>
              <w:t>Liberecký</w:t>
            </w:r>
          </w:p>
        </w:tc>
        <w:tc>
          <w:tcPr>
            <w:tcW w:w="1722" w:type="dxa"/>
            <w:noWrap/>
          </w:tcPr>
          <w:p w:rsidR="009D2CAE" w:rsidRPr="007C0CDA" w:rsidRDefault="009D2CAE" w:rsidP="00A577A4">
            <w:pPr>
              <w:jc w:val="right"/>
              <w:rPr>
                <w:rFonts w:cs="Calibri"/>
                <w:color w:val="000000"/>
                <w:szCs w:val="22"/>
              </w:rPr>
            </w:pPr>
            <w:r w:rsidRPr="007C0CDA">
              <w:rPr>
                <w:color w:val="000000"/>
              </w:rPr>
              <w:t>0</w:t>
            </w:r>
          </w:p>
        </w:tc>
        <w:tc>
          <w:tcPr>
            <w:tcW w:w="1134" w:type="dxa"/>
            <w:noWrap/>
          </w:tcPr>
          <w:p w:rsidR="009D2CAE" w:rsidRPr="007C0CDA" w:rsidRDefault="009D2CAE" w:rsidP="00A577A4">
            <w:pPr>
              <w:jc w:val="right"/>
              <w:rPr>
                <w:rFonts w:cs="Calibri"/>
                <w:color w:val="000000"/>
                <w:szCs w:val="22"/>
              </w:rPr>
            </w:pPr>
            <w:r w:rsidRPr="007C0CDA">
              <w:rPr>
                <w:color w:val="000000"/>
              </w:rPr>
              <w:t>0,0%</w:t>
            </w:r>
          </w:p>
        </w:tc>
        <w:tc>
          <w:tcPr>
            <w:tcW w:w="1559" w:type="dxa"/>
          </w:tcPr>
          <w:p w:rsidR="009D2CAE" w:rsidRPr="007C0CDA" w:rsidRDefault="009D2CAE" w:rsidP="00A577A4">
            <w:pPr>
              <w:jc w:val="right"/>
              <w:rPr>
                <w:color w:val="000000"/>
              </w:rPr>
            </w:pPr>
            <w:r w:rsidRPr="007C0CDA">
              <w:rPr>
                <w:color w:val="000000"/>
              </w:rPr>
              <w:t>2</w:t>
            </w:r>
          </w:p>
        </w:tc>
        <w:tc>
          <w:tcPr>
            <w:tcW w:w="1418" w:type="dxa"/>
          </w:tcPr>
          <w:p w:rsidR="009D2CAE" w:rsidRPr="007C0CDA" w:rsidRDefault="009D2CAE" w:rsidP="00A577A4">
            <w:pPr>
              <w:jc w:val="right"/>
              <w:rPr>
                <w:color w:val="000000"/>
              </w:rPr>
            </w:pPr>
            <w:r w:rsidRPr="007C0CDA">
              <w:rPr>
                <w:color w:val="000000"/>
              </w:rPr>
              <w:t>5,9%</w:t>
            </w:r>
          </w:p>
        </w:tc>
      </w:tr>
      <w:tr w:rsidR="009D2CAE" w:rsidRPr="007C0CDA" w:rsidTr="00A577A4">
        <w:trPr>
          <w:trHeight w:val="300"/>
        </w:trPr>
        <w:tc>
          <w:tcPr>
            <w:tcW w:w="2037" w:type="dxa"/>
            <w:noWrap/>
          </w:tcPr>
          <w:p w:rsidR="009D2CAE" w:rsidRPr="007C0CDA" w:rsidRDefault="009D2CAE" w:rsidP="00A577A4">
            <w:pPr>
              <w:rPr>
                <w:rFonts w:cs="Calibri"/>
                <w:color w:val="000000"/>
                <w:szCs w:val="22"/>
              </w:rPr>
            </w:pPr>
            <w:r w:rsidRPr="007C0CDA">
              <w:rPr>
                <w:color w:val="000000"/>
              </w:rPr>
              <w:t>Pardubický</w:t>
            </w:r>
          </w:p>
        </w:tc>
        <w:tc>
          <w:tcPr>
            <w:tcW w:w="1722" w:type="dxa"/>
            <w:noWrap/>
          </w:tcPr>
          <w:p w:rsidR="009D2CAE" w:rsidRPr="007C0CDA" w:rsidRDefault="009D2CAE" w:rsidP="00A577A4">
            <w:pPr>
              <w:jc w:val="right"/>
              <w:rPr>
                <w:rFonts w:cs="Calibri"/>
                <w:color w:val="000000"/>
                <w:szCs w:val="22"/>
              </w:rPr>
            </w:pPr>
            <w:r w:rsidRPr="007C0CDA">
              <w:rPr>
                <w:color w:val="000000"/>
              </w:rPr>
              <w:t>6</w:t>
            </w:r>
          </w:p>
        </w:tc>
        <w:tc>
          <w:tcPr>
            <w:tcW w:w="1134" w:type="dxa"/>
            <w:noWrap/>
          </w:tcPr>
          <w:p w:rsidR="009D2CAE" w:rsidRPr="007C0CDA" w:rsidRDefault="009D2CAE" w:rsidP="00A577A4">
            <w:pPr>
              <w:jc w:val="right"/>
              <w:rPr>
                <w:rFonts w:cs="Calibri"/>
                <w:color w:val="000000"/>
                <w:szCs w:val="22"/>
              </w:rPr>
            </w:pPr>
            <w:r w:rsidRPr="007C0CDA">
              <w:rPr>
                <w:color w:val="000000"/>
              </w:rPr>
              <w:t>21,4%</w:t>
            </w:r>
          </w:p>
        </w:tc>
        <w:tc>
          <w:tcPr>
            <w:tcW w:w="1559" w:type="dxa"/>
          </w:tcPr>
          <w:p w:rsidR="009D2CAE" w:rsidRPr="007C0CDA" w:rsidRDefault="009D2CAE" w:rsidP="00A577A4">
            <w:pPr>
              <w:jc w:val="right"/>
              <w:rPr>
                <w:color w:val="000000"/>
              </w:rPr>
            </w:pPr>
            <w:r w:rsidRPr="007C0CDA">
              <w:rPr>
                <w:color w:val="000000"/>
              </w:rPr>
              <w:t>0</w:t>
            </w:r>
          </w:p>
        </w:tc>
        <w:tc>
          <w:tcPr>
            <w:tcW w:w="1418" w:type="dxa"/>
          </w:tcPr>
          <w:p w:rsidR="009D2CAE" w:rsidRPr="007C0CDA" w:rsidRDefault="009D2CAE" w:rsidP="00A577A4">
            <w:pPr>
              <w:jc w:val="right"/>
              <w:rPr>
                <w:color w:val="000000"/>
              </w:rPr>
            </w:pPr>
            <w:r w:rsidRPr="007C0CDA">
              <w:rPr>
                <w:color w:val="000000"/>
              </w:rPr>
              <w:t>0%</w:t>
            </w:r>
          </w:p>
        </w:tc>
      </w:tr>
      <w:tr w:rsidR="009D2CAE" w:rsidRPr="007C0CDA" w:rsidTr="00A577A4">
        <w:trPr>
          <w:trHeight w:val="300"/>
        </w:trPr>
        <w:tc>
          <w:tcPr>
            <w:tcW w:w="2037" w:type="dxa"/>
            <w:noWrap/>
          </w:tcPr>
          <w:p w:rsidR="009D2CAE" w:rsidRPr="007C0CDA" w:rsidRDefault="009D2CAE" w:rsidP="00A577A4">
            <w:pPr>
              <w:rPr>
                <w:rFonts w:cs="Calibri"/>
                <w:color w:val="000000"/>
                <w:szCs w:val="22"/>
              </w:rPr>
            </w:pPr>
            <w:r w:rsidRPr="007C0CDA">
              <w:rPr>
                <w:color w:val="000000"/>
              </w:rPr>
              <w:lastRenderedPageBreak/>
              <w:t>Jihočeský</w:t>
            </w:r>
          </w:p>
        </w:tc>
        <w:tc>
          <w:tcPr>
            <w:tcW w:w="1722" w:type="dxa"/>
            <w:noWrap/>
          </w:tcPr>
          <w:p w:rsidR="009D2CAE" w:rsidRPr="007C0CDA" w:rsidRDefault="009D2CAE" w:rsidP="00A577A4">
            <w:pPr>
              <w:jc w:val="right"/>
              <w:rPr>
                <w:rFonts w:cs="Calibri"/>
                <w:color w:val="000000"/>
                <w:szCs w:val="22"/>
              </w:rPr>
            </w:pPr>
            <w:r w:rsidRPr="007C0CDA">
              <w:rPr>
                <w:color w:val="000000"/>
              </w:rPr>
              <w:t>0</w:t>
            </w:r>
          </w:p>
        </w:tc>
        <w:tc>
          <w:tcPr>
            <w:tcW w:w="1134" w:type="dxa"/>
            <w:noWrap/>
          </w:tcPr>
          <w:p w:rsidR="009D2CAE" w:rsidRPr="007C0CDA" w:rsidRDefault="009D2CAE" w:rsidP="00A577A4">
            <w:pPr>
              <w:jc w:val="right"/>
              <w:rPr>
                <w:rFonts w:cs="Calibri"/>
                <w:color w:val="000000"/>
                <w:szCs w:val="22"/>
              </w:rPr>
            </w:pPr>
            <w:r w:rsidRPr="007C0CDA">
              <w:rPr>
                <w:color w:val="000000"/>
              </w:rPr>
              <w:t>0,0%</w:t>
            </w:r>
          </w:p>
        </w:tc>
        <w:tc>
          <w:tcPr>
            <w:tcW w:w="1559" w:type="dxa"/>
          </w:tcPr>
          <w:p w:rsidR="009D2CAE" w:rsidRPr="007C0CDA" w:rsidRDefault="009D2CAE" w:rsidP="00A577A4">
            <w:pPr>
              <w:jc w:val="right"/>
              <w:rPr>
                <w:color w:val="000000"/>
              </w:rPr>
            </w:pPr>
            <w:r w:rsidRPr="007C0CDA">
              <w:rPr>
                <w:color w:val="000000"/>
              </w:rPr>
              <w:t>1</w:t>
            </w:r>
          </w:p>
        </w:tc>
        <w:tc>
          <w:tcPr>
            <w:tcW w:w="1418" w:type="dxa"/>
          </w:tcPr>
          <w:p w:rsidR="009D2CAE" w:rsidRPr="007C0CDA" w:rsidRDefault="009D2CAE" w:rsidP="00A577A4">
            <w:pPr>
              <w:jc w:val="right"/>
              <w:rPr>
                <w:color w:val="000000"/>
              </w:rPr>
            </w:pPr>
            <w:r w:rsidRPr="007C0CDA">
              <w:rPr>
                <w:color w:val="000000"/>
              </w:rPr>
              <w:t>2,9%</w:t>
            </w:r>
          </w:p>
        </w:tc>
      </w:tr>
      <w:tr w:rsidR="009D2CAE" w:rsidRPr="007C0CDA" w:rsidTr="00A577A4">
        <w:trPr>
          <w:trHeight w:val="300"/>
        </w:trPr>
        <w:tc>
          <w:tcPr>
            <w:tcW w:w="2037" w:type="dxa"/>
            <w:noWrap/>
          </w:tcPr>
          <w:p w:rsidR="009D2CAE" w:rsidRPr="007C0CDA" w:rsidRDefault="009D2CAE" w:rsidP="00A577A4">
            <w:pPr>
              <w:rPr>
                <w:rFonts w:cs="Calibri"/>
                <w:color w:val="000000"/>
                <w:szCs w:val="22"/>
              </w:rPr>
            </w:pPr>
            <w:r w:rsidRPr="007C0CDA">
              <w:rPr>
                <w:color w:val="000000"/>
              </w:rPr>
              <w:t>Vysočina</w:t>
            </w:r>
          </w:p>
        </w:tc>
        <w:tc>
          <w:tcPr>
            <w:tcW w:w="1722" w:type="dxa"/>
            <w:noWrap/>
          </w:tcPr>
          <w:p w:rsidR="009D2CAE" w:rsidRPr="007C0CDA" w:rsidRDefault="009D2CAE" w:rsidP="00A577A4">
            <w:pPr>
              <w:jc w:val="right"/>
              <w:rPr>
                <w:rFonts w:cs="Calibri"/>
                <w:color w:val="000000"/>
                <w:szCs w:val="22"/>
              </w:rPr>
            </w:pPr>
            <w:r w:rsidRPr="007C0CDA">
              <w:rPr>
                <w:color w:val="000000"/>
              </w:rPr>
              <w:t>0</w:t>
            </w:r>
          </w:p>
        </w:tc>
        <w:tc>
          <w:tcPr>
            <w:tcW w:w="1134" w:type="dxa"/>
            <w:noWrap/>
          </w:tcPr>
          <w:p w:rsidR="009D2CAE" w:rsidRPr="007C0CDA" w:rsidRDefault="009D2CAE" w:rsidP="00A577A4">
            <w:pPr>
              <w:jc w:val="right"/>
              <w:rPr>
                <w:rFonts w:cs="Calibri"/>
                <w:color w:val="000000"/>
                <w:szCs w:val="22"/>
              </w:rPr>
            </w:pPr>
            <w:r w:rsidRPr="007C0CDA">
              <w:rPr>
                <w:color w:val="000000"/>
              </w:rPr>
              <w:t>0,0%</w:t>
            </w:r>
          </w:p>
        </w:tc>
        <w:tc>
          <w:tcPr>
            <w:tcW w:w="1559" w:type="dxa"/>
          </w:tcPr>
          <w:p w:rsidR="009D2CAE" w:rsidRPr="007C0CDA" w:rsidRDefault="009D2CAE" w:rsidP="00A577A4">
            <w:pPr>
              <w:jc w:val="right"/>
              <w:rPr>
                <w:color w:val="000000"/>
              </w:rPr>
            </w:pPr>
            <w:r w:rsidRPr="007C0CDA">
              <w:rPr>
                <w:color w:val="000000"/>
              </w:rPr>
              <w:t>0</w:t>
            </w:r>
          </w:p>
        </w:tc>
        <w:tc>
          <w:tcPr>
            <w:tcW w:w="1418" w:type="dxa"/>
          </w:tcPr>
          <w:p w:rsidR="009D2CAE" w:rsidRPr="007C0CDA" w:rsidRDefault="009D2CAE" w:rsidP="00A577A4">
            <w:pPr>
              <w:jc w:val="right"/>
              <w:rPr>
                <w:color w:val="000000"/>
              </w:rPr>
            </w:pPr>
            <w:r w:rsidRPr="007C0CDA">
              <w:rPr>
                <w:color w:val="000000"/>
              </w:rPr>
              <w:t>0%</w:t>
            </w:r>
          </w:p>
        </w:tc>
      </w:tr>
      <w:tr w:rsidR="009D2CAE" w:rsidRPr="007C0CDA" w:rsidTr="00A577A4">
        <w:trPr>
          <w:trHeight w:val="300"/>
        </w:trPr>
        <w:tc>
          <w:tcPr>
            <w:tcW w:w="2037" w:type="dxa"/>
            <w:noWrap/>
          </w:tcPr>
          <w:p w:rsidR="009D2CAE" w:rsidRPr="007C0CDA" w:rsidRDefault="009D2CAE" w:rsidP="00A577A4">
            <w:pPr>
              <w:rPr>
                <w:rFonts w:cs="Calibri"/>
                <w:color w:val="000000"/>
                <w:szCs w:val="22"/>
              </w:rPr>
            </w:pPr>
            <w:r w:rsidRPr="007C0CDA">
              <w:rPr>
                <w:color w:val="000000"/>
              </w:rPr>
              <w:t>Praha</w:t>
            </w:r>
          </w:p>
        </w:tc>
        <w:tc>
          <w:tcPr>
            <w:tcW w:w="1722" w:type="dxa"/>
            <w:noWrap/>
          </w:tcPr>
          <w:p w:rsidR="009D2CAE" w:rsidRPr="007C0CDA" w:rsidRDefault="009D2CAE" w:rsidP="00A577A4">
            <w:pPr>
              <w:jc w:val="right"/>
              <w:rPr>
                <w:rFonts w:cs="Calibri"/>
                <w:color w:val="000000"/>
                <w:szCs w:val="22"/>
              </w:rPr>
            </w:pPr>
            <w:r w:rsidRPr="007C0CDA">
              <w:rPr>
                <w:color w:val="000000"/>
              </w:rPr>
              <w:t>1</w:t>
            </w:r>
          </w:p>
        </w:tc>
        <w:tc>
          <w:tcPr>
            <w:tcW w:w="1134" w:type="dxa"/>
            <w:noWrap/>
          </w:tcPr>
          <w:p w:rsidR="009D2CAE" w:rsidRPr="007C0CDA" w:rsidRDefault="009D2CAE" w:rsidP="00A577A4">
            <w:pPr>
              <w:jc w:val="right"/>
              <w:rPr>
                <w:rFonts w:cs="Calibri"/>
                <w:color w:val="000000"/>
                <w:szCs w:val="22"/>
              </w:rPr>
            </w:pPr>
            <w:r w:rsidRPr="007C0CDA">
              <w:rPr>
                <w:color w:val="000000"/>
              </w:rPr>
              <w:t>3,6%</w:t>
            </w:r>
          </w:p>
        </w:tc>
        <w:tc>
          <w:tcPr>
            <w:tcW w:w="1559" w:type="dxa"/>
          </w:tcPr>
          <w:p w:rsidR="009D2CAE" w:rsidRPr="007C0CDA" w:rsidRDefault="009D2CAE" w:rsidP="00A577A4">
            <w:pPr>
              <w:jc w:val="right"/>
              <w:rPr>
                <w:color w:val="000000"/>
              </w:rPr>
            </w:pPr>
            <w:r w:rsidRPr="007C0CDA">
              <w:rPr>
                <w:color w:val="000000"/>
              </w:rPr>
              <w:t>0</w:t>
            </w:r>
          </w:p>
        </w:tc>
        <w:tc>
          <w:tcPr>
            <w:tcW w:w="1418" w:type="dxa"/>
          </w:tcPr>
          <w:p w:rsidR="009D2CAE" w:rsidRPr="007C0CDA" w:rsidRDefault="009D2CAE" w:rsidP="00A577A4">
            <w:pPr>
              <w:keepNext/>
              <w:jc w:val="right"/>
              <w:rPr>
                <w:color w:val="000000"/>
              </w:rPr>
            </w:pPr>
            <w:r w:rsidRPr="007C0CDA">
              <w:rPr>
                <w:color w:val="000000"/>
              </w:rPr>
              <w:t>0%</w:t>
            </w:r>
          </w:p>
        </w:tc>
      </w:tr>
    </w:tbl>
    <w:p w:rsidR="009D2CAE" w:rsidRPr="007C0CDA" w:rsidRDefault="009D2CAE" w:rsidP="009C2E9F">
      <w:pPr>
        <w:pStyle w:val="Titulek"/>
      </w:pPr>
      <w:r w:rsidRPr="007C0CDA">
        <w:t>Tabulka 9: Nabídka brownfieldů na trhu nemovitostí v ČR</w:t>
      </w:r>
    </w:p>
    <w:p w:rsidR="009D2CAE" w:rsidRPr="007C0CDA" w:rsidRDefault="009D2CAE" w:rsidP="009C2E9F">
      <w:pPr>
        <w:pStyle w:val="Titulek"/>
      </w:pPr>
      <w:r w:rsidRPr="007C0CDA">
        <w:t>Zdroj CI 2015</w:t>
      </w:r>
    </w:p>
    <w:p w:rsidR="009D2CAE" w:rsidRPr="007C0CDA" w:rsidRDefault="009D2CAE" w:rsidP="002433DA"/>
    <w:p w:rsidR="009D2CAE" w:rsidRPr="007C0CDA" w:rsidRDefault="009D2CAE" w:rsidP="002433DA">
      <w:r w:rsidRPr="007C0CDA">
        <w:t xml:space="preserve">Růst trhu podnikatelských nemovitostí je v současné době podpořen růstem ekonomické aktivity podniků a také růstem HDP, nicméně výhled do dalších let upozorňuje na riziko možného poklesu. </w:t>
      </w:r>
      <w:r w:rsidRPr="002433DA">
        <w:rPr>
          <w:b/>
        </w:rPr>
        <w:t>Trh průmyslových nemovitostí ve střední Evropě roste, během posledních 10 let se zvětšil desetinásobně</w:t>
      </w:r>
      <w:r w:rsidRPr="007C0CDA">
        <w:t>. V rámci České republiky se aktuálně jedná o 4,88 mil. metrů čtverečních ploch.Poptávku po podnikatelských nemovitostech „táhne“ zájem průmyslových exportérů, např. z branže automobilového průmyslu. Tyto podniky požadují v naprosté většině nemovitosti vysoké kvality. Ročně je tak v ČR aktuálně obsazeno cca. 1,2 mil. čtverečních metrů podnikatelských objektů.</w:t>
      </w:r>
    </w:p>
    <w:p w:rsidR="009D2CAE" w:rsidRPr="007C0CDA" w:rsidRDefault="009D2CAE" w:rsidP="002433DA"/>
    <w:p w:rsidR="009D2CAE" w:rsidRPr="007C0CDA" w:rsidRDefault="009D2CAE" w:rsidP="002433DA">
      <w:pPr>
        <w:pStyle w:val="Neslovannadpisy"/>
      </w:pPr>
      <w:r w:rsidRPr="007C0CDA">
        <w:t>Zdroje financování</w:t>
      </w:r>
    </w:p>
    <w:p w:rsidR="009D2CAE" w:rsidRPr="007C0CDA" w:rsidRDefault="009D2CAE" w:rsidP="002433DA">
      <w:pPr>
        <w:rPr>
          <w:lang w:eastAsia="en-US"/>
        </w:rPr>
      </w:pPr>
      <w:r w:rsidRPr="007C0CDA">
        <w:t>Velká část nemovitostí je přímo vlastněna a regenerována developingovými firmami, které je následně na trhu podnikům nabízejí. Na financování rekonstrukce ve vlastní režii MSP se standardně z největší části podílejí vlastní zdroje a bankovní úvěry. Významnou složkou byly však v posledních letech i dotace ze strany veřejné podpory.</w:t>
      </w:r>
    </w:p>
    <w:p w:rsidR="009D2CAE" w:rsidRPr="007C0CDA" w:rsidRDefault="009D2CAE" w:rsidP="002433DA">
      <w:pPr>
        <w:rPr>
          <w:lang w:eastAsia="en-US"/>
        </w:rPr>
      </w:pPr>
    </w:p>
    <w:p w:rsidR="009D2CAE" w:rsidRPr="007C0CDA" w:rsidRDefault="009D2CAE" w:rsidP="002433DA">
      <w:r w:rsidRPr="007C0CDA">
        <w:rPr>
          <w:lang w:eastAsia="en-US"/>
        </w:rPr>
        <w:t>V rámci České republiky bylo pro podporu investic na regeneraci BF z OP PI (SC 3.1, 5.1, 5.2 a 5.3) za posledních 7 let z veřejných zahraničních zdrojů alokováno celkově 37,5 mld. Kč (41,8 % z celkové alokace v OPPI)</w:t>
      </w:r>
      <w:r w:rsidRPr="007C0CDA">
        <w:rPr>
          <w:rStyle w:val="Znakapoznpodarou"/>
        </w:rPr>
        <w:footnoteReference w:id="18"/>
      </w:r>
      <w:r w:rsidRPr="007C0CDA">
        <w:rPr>
          <w:lang w:eastAsia="en-US"/>
        </w:rPr>
        <w:t>. Největší podíl na regeneraci BF měl logicky program Nemovitosti, určité přesahy byly však i do dalších programů OP PI.Větší část alokovaných zdrojů byla podle analýzy CI využita na podporu MSP – rekonstrukci výrobních prostorů (63 %) a zbylých 37 % tvořily investice do regenerace typických BF.</w:t>
      </w:r>
    </w:p>
    <w:tbl>
      <w:tblPr>
        <w:tblW w:w="8245" w:type="dxa"/>
        <w:tblInd w:w="836" w:type="dxa"/>
        <w:tblBorders>
          <w:bottom w:val="single" w:sz="4" w:space="0" w:color="00A1DE"/>
          <w:insideH w:val="single" w:sz="4" w:space="0" w:color="00A1DE"/>
        </w:tblBorders>
        <w:tblCellMar>
          <w:left w:w="0" w:type="dxa"/>
          <w:right w:w="0" w:type="dxa"/>
        </w:tblCellMar>
        <w:tblLook w:val="00A0" w:firstRow="1" w:lastRow="0" w:firstColumn="1" w:lastColumn="0" w:noHBand="0" w:noVBand="0"/>
      </w:tblPr>
      <w:tblGrid>
        <w:gridCol w:w="2570"/>
        <w:gridCol w:w="1913"/>
        <w:gridCol w:w="1913"/>
        <w:gridCol w:w="1913"/>
      </w:tblGrid>
      <w:tr w:rsidR="009D2CAE" w:rsidRPr="007C0CDA" w:rsidTr="00A17A22">
        <w:trPr>
          <w:trHeight w:val="20"/>
        </w:trPr>
        <w:tc>
          <w:tcPr>
            <w:tcW w:w="2554" w:type="dxa"/>
            <w:tcBorders>
              <w:top w:val="nil"/>
              <w:left w:val="nil"/>
              <w:right w:val="nil"/>
            </w:tcBorders>
            <w:shd w:val="clear" w:color="auto" w:fill="00A1DE"/>
          </w:tcPr>
          <w:p w:rsidR="009D2CAE" w:rsidRPr="007C0CDA" w:rsidRDefault="009D2CAE" w:rsidP="00A17A22">
            <w:pPr>
              <w:jc w:val="center"/>
              <w:rPr>
                <w:rFonts w:ascii="Arial" w:hAnsi="Arial" w:cs="Arial"/>
                <w:b/>
                <w:color w:val="000000"/>
                <w:sz w:val="18"/>
                <w:szCs w:val="18"/>
              </w:rPr>
            </w:pPr>
            <w:r w:rsidRPr="007C0CDA">
              <w:rPr>
                <w:b/>
                <w:color w:val="000000"/>
                <w:sz w:val="18"/>
                <w:szCs w:val="18"/>
              </w:rPr>
              <w:t>Program</w:t>
            </w:r>
          </w:p>
        </w:tc>
        <w:tc>
          <w:tcPr>
            <w:tcW w:w="1897" w:type="dxa"/>
            <w:tcBorders>
              <w:top w:val="nil"/>
              <w:left w:val="nil"/>
              <w:right w:val="nil"/>
            </w:tcBorders>
            <w:shd w:val="clear" w:color="auto" w:fill="00A1DE"/>
          </w:tcPr>
          <w:p w:rsidR="009D2CAE" w:rsidRPr="007C0CDA" w:rsidRDefault="009D2CAE" w:rsidP="00A17A22">
            <w:pPr>
              <w:jc w:val="center"/>
              <w:rPr>
                <w:rFonts w:ascii="Arial" w:hAnsi="Arial" w:cs="Arial"/>
                <w:b/>
                <w:color w:val="000000"/>
                <w:sz w:val="18"/>
                <w:szCs w:val="18"/>
              </w:rPr>
            </w:pPr>
            <w:r w:rsidRPr="007C0CDA">
              <w:rPr>
                <w:b/>
                <w:color w:val="000000"/>
                <w:sz w:val="18"/>
                <w:szCs w:val="18"/>
              </w:rPr>
              <w:t xml:space="preserve"> suma požadované dotace </w:t>
            </w:r>
          </w:p>
        </w:tc>
        <w:tc>
          <w:tcPr>
            <w:tcW w:w="1897" w:type="dxa"/>
            <w:tcBorders>
              <w:top w:val="nil"/>
              <w:left w:val="nil"/>
              <w:right w:val="nil"/>
            </w:tcBorders>
            <w:shd w:val="clear" w:color="auto" w:fill="00A1DE"/>
          </w:tcPr>
          <w:p w:rsidR="009D2CAE" w:rsidRPr="007C0CDA" w:rsidRDefault="009D2CAE" w:rsidP="00A17A22">
            <w:pPr>
              <w:jc w:val="center"/>
              <w:rPr>
                <w:rFonts w:ascii="Arial" w:hAnsi="Arial" w:cs="Arial"/>
                <w:b/>
                <w:color w:val="000000"/>
                <w:sz w:val="18"/>
                <w:szCs w:val="18"/>
              </w:rPr>
            </w:pPr>
            <w:r w:rsidRPr="007C0CDA">
              <w:rPr>
                <w:b/>
                <w:color w:val="000000"/>
                <w:sz w:val="18"/>
                <w:szCs w:val="18"/>
              </w:rPr>
              <w:t xml:space="preserve">  BF Požadované dotace </w:t>
            </w:r>
          </w:p>
        </w:tc>
        <w:tc>
          <w:tcPr>
            <w:tcW w:w="1897" w:type="dxa"/>
            <w:tcBorders>
              <w:top w:val="nil"/>
              <w:left w:val="nil"/>
              <w:right w:val="nil"/>
            </w:tcBorders>
            <w:shd w:val="clear" w:color="auto" w:fill="00A1DE"/>
          </w:tcPr>
          <w:p w:rsidR="009D2CAE" w:rsidRPr="007C0CDA" w:rsidRDefault="009D2CAE" w:rsidP="00A17A22">
            <w:pPr>
              <w:jc w:val="center"/>
              <w:rPr>
                <w:rFonts w:ascii="Arial" w:hAnsi="Arial" w:cs="Arial"/>
                <w:b/>
                <w:color w:val="000000"/>
                <w:sz w:val="18"/>
                <w:szCs w:val="18"/>
              </w:rPr>
            </w:pPr>
            <w:r w:rsidRPr="007C0CDA">
              <w:rPr>
                <w:b/>
                <w:color w:val="000000"/>
                <w:sz w:val="18"/>
                <w:szCs w:val="18"/>
              </w:rPr>
              <w:t xml:space="preserve">  BF úspěšní žadatelé </w:t>
            </w:r>
          </w:p>
        </w:tc>
      </w:tr>
      <w:tr w:rsidR="009D2CAE" w:rsidRPr="007C0CDA" w:rsidTr="00A17A22">
        <w:trPr>
          <w:trHeight w:val="20"/>
        </w:trPr>
        <w:tc>
          <w:tcPr>
            <w:tcW w:w="2554" w:type="dxa"/>
            <w:tcBorders>
              <w:left w:val="nil"/>
              <w:right w:val="nil"/>
            </w:tcBorders>
            <w:shd w:val="clear" w:color="auto" w:fill="FFFFFF"/>
            <w:noWrap/>
            <w:vAlign w:val="center"/>
          </w:tcPr>
          <w:p w:rsidR="009D2CAE" w:rsidRPr="007C0CDA" w:rsidRDefault="009D2CAE" w:rsidP="00A17A22">
            <w:pPr>
              <w:jc w:val="left"/>
              <w:rPr>
                <w:rFonts w:ascii="Arial" w:hAnsi="Arial" w:cs="Arial"/>
                <w:color w:val="000000"/>
                <w:sz w:val="18"/>
                <w:szCs w:val="18"/>
              </w:rPr>
            </w:pPr>
            <w:r w:rsidRPr="007C0CDA">
              <w:rPr>
                <w:color w:val="000000"/>
                <w:sz w:val="18"/>
                <w:szCs w:val="18"/>
              </w:rPr>
              <w:t>Eko-energie Výzva I</w:t>
            </w:r>
          </w:p>
        </w:tc>
        <w:tc>
          <w:tcPr>
            <w:tcW w:w="1897" w:type="dxa"/>
            <w:tcBorders>
              <w:left w:val="nil"/>
              <w:right w:val="nil"/>
            </w:tcBorders>
            <w:shd w:val="clear" w:color="auto" w:fill="FFFFFF"/>
            <w:noWrap/>
            <w:vAlign w:val="center"/>
          </w:tcPr>
          <w:p w:rsidR="009D2CAE" w:rsidRPr="007C0CDA" w:rsidRDefault="009D2CAE" w:rsidP="00A17A22">
            <w:pPr>
              <w:jc w:val="right"/>
              <w:rPr>
                <w:rFonts w:ascii="Arial" w:hAnsi="Arial" w:cs="Arial"/>
                <w:color w:val="000000"/>
                <w:sz w:val="18"/>
                <w:szCs w:val="18"/>
              </w:rPr>
            </w:pPr>
            <w:r w:rsidRPr="007C0CDA">
              <w:rPr>
                <w:color w:val="000000"/>
                <w:sz w:val="18"/>
                <w:szCs w:val="18"/>
              </w:rPr>
              <w:t xml:space="preserve">        1 069 470 000    </w:t>
            </w:r>
          </w:p>
        </w:tc>
        <w:tc>
          <w:tcPr>
            <w:tcW w:w="1897" w:type="dxa"/>
            <w:tcBorders>
              <w:left w:val="nil"/>
              <w:right w:val="nil"/>
            </w:tcBorders>
            <w:shd w:val="clear" w:color="auto" w:fill="FFFFFF"/>
            <w:noWrap/>
            <w:vAlign w:val="center"/>
          </w:tcPr>
          <w:p w:rsidR="009D2CAE" w:rsidRPr="007C0CDA" w:rsidRDefault="009D2CAE" w:rsidP="00A17A22">
            <w:pPr>
              <w:jc w:val="right"/>
              <w:rPr>
                <w:rFonts w:ascii="Arial" w:hAnsi="Arial" w:cs="Arial"/>
                <w:color w:val="000000"/>
                <w:sz w:val="18"/>
                <w:szCs w:val="18"/>
              </w:rPr>
            </w:pPr>
            <w:r w:rsidRPr="007C0CDA">
              <w:rPr>
                <w:color w:val="000000"/>
                <w:sz w:val="18"/>
                <w:szCs w:val="18"/>
              </w:rPr>
              <w:t xml:space="preserve">              67 558 000    </w:t>
            </w:r>
          </w:p>
        </w:tc>
        <w:tc>
          <w:tcPr>
            <w:tcW w:w="1897" w:type="dxa"/>
            <w:tcBorders>
              <w:left w:val="nil"/>
              <w:right w:val="nil"/>
            </w:tcBorders>
            <w:shd w:val="clear" w:color="auto" w:fill="FFFFFF"/>
            <w:noWrap/>
            <w:vAlign w:val="center"/>
          </w:tcPr>
          <w:p w:rsidR="009D2CAE" w:rsidRPr="007C0CDA" w:rsidRDefault="009D2CAE" w:rsidP="00A17A22">
            <w:pPr>
              <w:jc w:val="right"/>
              <w:rPr>
                <w:rFonts w:ascii="Arial" w:hAnsi="Arial" w:cs="Arial"/>
                <w:color w:val="000000"/>
                <w:sz w:val="18"/>
                <w:szCs w:val="18"/>
              </w:rPr>
            </w:pPr>
            <w:r w:rsidRPr="007C0CDA">
              <w:rPr>
                <w:color w:val="000000"/>
                <w:sz w:val="18"/>
                <w:szCs w:val="18"/>
              </w:rPr>
              <w:t xml:space="preserve">              18 630 000    </w:t>
            </w:r>
          </w:p>
        </w:tc>
      </w:tr>
      <w:tr w:rsidR="009D2CAE" w:rsidRPr="007C0CDA" w:rsidTr="00A17A22">
        <w:trPr>
          <w:trHeight w:val="20"/>
        </w:trPr>
        <w:tc>
          <w:tcPr>
            <w:tcW w:w="2554" w:type="dxa"/>
            <w:tcBorders>
              <w:left w:val="nil"/>
              <w:right w:val="nil"/>
            </w:tcBorders>
            <w:shd w:val="clear" w:color="auto" w:fill="FFFFFF"/>
            <w:noWrap/>
            <w:vAlign w:val="center"/>
          </w:tcPr>
          <w:p w:rsidR="009D2CAE" w:rsidRPr="007C0CDA" w:rsidRDefault="009D2CAE" w:rsidP="00A17A22">
            <w:pPr>
              <w:jc w:val="left"/>
              <w:rPr>
                <w:rFonts w:ascii="Arial" w:hAnsi="Arial" w:cs="Arial"/>
                <w:color w:val="000000"/>
                <w:sz w:val="18"/>
                <w:szCs w:val="18"/>
              </w:rPr>
            </w:pPr>
            <w:r w:rsidRPr="007C0CDA">
              <w:rPr>
                <w:color w:val="000000"/>
                <w:sz w:val="18"/>
                <w:szCs w:val="18"/>
              </w:rPr>
              <w:t>Eko-energie - Výzva II</w:t>
            </w:r>
          </w:p>
        </w:tc>
        <w:tc>
          <w:tcPr>
            <w:tcW w:w="1897" w:type="dxa"/>
            <w:tcBorders>
              <w:left w:val="nil"/>
              <w:right w:val="nil"/>
            </w:tcBorders>
            <w:shd w:val="clear" w:color="auto" w:fill="FFFFFF"/>
            <w:noWrap/>
            <w:vAlign w:val="center"/>
          </w:tcPr>
          <w:p w:rsidR="009D2CAE" w:rsidRPr="007C0CDA" w:rsidRDefault="009D2CAE" w:rsidP="00A17A22">
            <w:pPr>
              <w:jc w:val="right"/>
              <w:rPr>
                <w:rFonts w:ascii="Arial" w:hAnsi="Arial" w:cs="Arial"/>
                <w:color w:val="000000"/>
                <w:sz w:val="18"/>
                <w:szCs w:val="18"/>
              </w:rPr>
            </w:pPr>
            <w:r w:rsidRPr="007C0CDA">
              <w:rPr>
                <w:color w:val="000000"/>
                <w:sz w:val="18"/>
                <w:szCs w:val="18"/>
              </w:rPr>
              <w:t xml:space="preserve">      10 190 861 000    </w:t>
            </w:r>
          </w:p>
        </w:tc>
        <w:tc>
          <w:tcPr>
            <w:tcW w:w="1897" w:type="dxa"/>
            <w:tcBorders>
              <w:left w:val="nil"/>
              <w:right w:val="nil"/>
            </w:tcBorders>
            <w:shd w:val="clear" w:color="auto" w:fill="FFFFFF"/>
            <w:noWrap/>
            <w:vAlign w:val="center"/>
          </w:tcPr>
          <w:p w:rsidR="009D2CAE" w:rsidRPr="007C0CDA" w:rsidRDefault="009D2CAE" w:rsidP="00A17A22">
            <w:pPr>
              <w:jc w:val="right"/>
              <w:rPr>
                <w:rFonts w:ascii="Arial" w:hAnsi="Arial" w:cs="Arial"/>
                <w:color w:val="000000"/>
                <w:sz w:val="18"/>
                <w:szCs w:val="18"/>
              </w:rPr>
            </w:pPr>
            <w:r w:rsidRPr="007C0CDA">
              <w:rPr>
                <w:color w:val="000000"/>
                <w:sz w:val="18"/>
                <w:szCs w:val="18"/>
              </w:rPr>
              <w:t xml:space="preserve">        1 262 260 000    </w:t>
            </w:r>
          </w:p>
        </w:tc>
        <w:tc>
          <w:tcPr>
            <w:tcW w:w="1897" w:type="dxa"/>
            <w:tcBorders>
              <w:left w:val="nil"/>
              <w:right w:val="nil"/>
            </w:tcBorders>
            <w:shd w:val="clear" w:color="auto" w:fill="FFFFFF"/>
            <w:noWrap/>
            <w:vAlign w:val="center"/>
          </w:tcPr>
          <w:p w:rsidR="009D2CAE" w:rsidRPr="007C0CDA" w:rsidRDefault="009D2CAE" w:rsidP="00A17A22">
            <w:pPr>
              <w:jc w:val="right"/>
              <w:rPr>
                <w:rFonts w:ascii="Arial" w:hAnsi="Arial" w:cs="Arial"/>
                <w:color w:val="000000"/>
                <w:sz w:val="18"/>
                <w:szCs w:val="18"/>
              </w:rPr>
            </w:pPr>
            <w:r w:rsidRPr="007C0CDA">
              <w:rPr>
                <w:color w:val="000000"/>
                <w:sz w:val="18"/>
                <w:szCs w:val="18"/>
              </w:rPr>
              <w:t xml:space="preserve">            390 868 000    </w:t>
            </w:r>
          </w:p>
        </w:tc>
      </w:tr>
      <w:tr w:rsidR="009D2CAE" w:rsidRPr="007C0CDA" w:rsidTr="00A17A22">
        <w:trPr>
          <w:trHeight w:val="20"/>
        </w:trPr>
        <w:tc>
          <w:tcPr>
            <w:tcW w:w="2554" w:type="dxa"/>
            <w:tcBorders>
              <w:left w:val="nil"/>
              <w:right w:val="nil"/>
            </w:tcBorders>
            <w:shd w:val="clear" w:color="auto" w:fill="FFFFFF"/>
            <w:noWrap/>
            <w:vAlign w:val="center"/>
          </w:tcPr>
          <w:p w:rsidR="009D2CAE" w:rsidRPr="007C0CDA" w:rsidRDefault="009D2CAE" w:rsidP="00A17A22">
            <w:pPr>
              <w:jc w:val="left"/>
              <w:rPr>
                <w:rFonts w:ascii="Arial" w:hAnsi="Arial" w:cs="Arial"/>
                <w:color w:val="000000"/>
                <w:sz w:val="18"/>
                <w:szCs w:val="18"/>
              </w:rPr>
            </w:pPr>
            <w:r w:rsidRPr="007C0CDA">
              <w:rPr>
                <w:color w:val="000000"/>
                <w:sz w:val="18"/>
                <w:szCs w:val="18"/>
              </w:rPr>
              <w:t>Eko-energie - Výzva III</w:t>
            </w:r>
          </w:p>
        </w:tc>
        <w:tc>
          <w:tcPr>
            <w:tcW w:w="1897" w:type="dxa"/>
            <w:tcBorders>
              <w:left w:val="nil"/>
              <w:right w:val="nil"/>
            </w:tcBorders>
            <w:shd w:val="clear" w:color="auto" w:fill="FFFFFF"/>
            <w:noWrap/>
            <w:vAlign w:val="center"/>
          </w:tcPr>
          <w:p w:rsidR="009D2CAE" w:rsidRPr="007C0CDA" w:rsidRDefault="009D2CAE" w:rsidP="00A17A22">
            <w:pPr>
              <w:jc w:val="right"/>
              <w:rPr>
                <w:rFonts w:ascii="Arial" w:hAnsi="Arial" w:cs="Arial"/>
                <w:color w:val="000000"/>
                <w:sz w:val="18"/>
                <w:szCs w:val="18"/>
              </w:rPr>
            </w:pPr>
            <w:r w:rsidRPr="007C0CDA">
              <w:rPr>
                <w:color w:val="000000"/>
                <w:sz w:val="18"/>
                <w:szCs w:val="18"/>
              </w:rPr>
              <w:t xml:space="preserve">      14 285 261 000    </w:t>
            </w:r>
          </w:p>
        </w:tc>
        <w:tc>
          <w:tcPr>
            <w:tcW w:w="1897" w:type="dxa"/>
            <w:tcBorders>
              <w:left w:val="nil"/>
              <w:right w:val="nil"/>
            </w:tcBorders>
            <w:shd w:val="clear" w:color="auto" w:fill="FFFFFF"/>
            <w:noWrap/>
            <w:vAlign w:val="center"/>
          </w:tcPr>
          <w:p w:rsidR="009D2CAE" w:rsidRPr="007C0CDA" w:rsidRDefault="009D2CAE" w:rsidP="00A17A22">
            <w:pPr>
              <w:jc w:val="right"/>
              <w:rPr>
                <w:rFonts w:ascii="Arial" w:hAnsi="Arial" w:cs="Arial"/>
                <w:color w:val="000000"/>
                <w:sz w:val="18"/>
                <w:szCs w:val="18"/>
              </w:rPr>
            </w:pPr>
            <w:r w:rsidRPr="007C0CDA">
              <w:rPr>
                <w:color w:val="000000"/>
                <w:sz w:val="18"/>
                <w:szCs w:val="18"/>
              </w:rPr>
              <w:t xml:space="preserve">        1 395 522 000    </w:t>
            </w:r>
          </w:p>
        </w:tc>
        <w:tc>
          <w:tcPr>
            <w:tcW w:w="1897" w:type="dxa"/>
            <w:tcBorders>
              <w:left w:val="nil"/>
              <w:right w:val="nil"/>
            </w:tcBorders>
            <w:shd w:val="clear" w:color="auto" w:fill="FFFFFF"/>
            <w:noWrap/>
            <w:vAlign w:val="center"/>
          </w:tcPr>
          <w:p w:rsidR="009D2CAE" w:rsidRPr="007C0CDA" w:rsidRDefault="009D2CAE" w:rsidP="00A17A22">
            <w:pPr>
              <w:jc w:val="right"/>
              <w:rPr>
                <w:rFonts w:ascii="Arial" w:hAnsi="Arial" w:cs="Arial"/>
                <w:color w:val="000000"/>
                <w:sz w:val="18"/>
                <w:szCs w:val="18"/>
              </w:rPr>
            </w:pPr>
            <w:r w:rsidRPr="007C0CDA">
              <w:rPr>
                <w:color w:val="000000"/>
                <w:sz w:val="18"/>
                <w:szCs w:val="18"/>
              </w:rPr>
              <w:t xml:space="preserve">            238 428 000    </w:t>
            </w:r>
          </w:p>
        </w:tc>
      </w:tr>
      <w:tr w:rsidR="009D2CAE" w:rsidRPr="007C0CDA" w:rsidTr="00A17A22">
        <w:trPr>
          <w:trHeight w:val="20"/>
        </w:trPr>
        <w:tc>
          <w:tcPr>
            <w:tcW w:w="2554" w:type="dxa"/>
            <w:tcBorders>
              <w:left w:val="nil"/>
              <w:right w:val="nil"/>
            </w:tcBorders>
            <w:shd w:val="clear" w:color="auto" w:fill="FFFFFF"/>
            <w:noWrap/>
            <w:vAlign w:val="center"/>
          </w:tcPr>
          <w:p w:rsidR="009D2CAE" w:rsidRPr="007C0CDA" w:rsidRDefault="009D2CAE" w:rsidP="00A17A22">
            <w:pPr>
              <w:jc w:val="left"/>
              <w:rPr>
                <w:rFonts w:ascii="Arial" w:hAnsi="Arial" w:cs="Arial"/>
                <w:color w:val="000000"/>
                <w:sz w:val="18"/>
                <w:szCs w:val="18"/>
              </w:rPr>
            </w:pPr>
            <w:r w:rsidRPr="007C0CDA">
              <w:rPr>
                <w:color w:val="000000"/>
                <w:sz w:val="18"/>
                <w:szCs w:val="18"/>
              </w:rPr>
              <w:t>Nemovitosti - Výzva I</w:t>
            </w:r>
          </w:p>
        </w:tc>
        <w:tc>
          <w:tcPr>
            <w:tcW w:w="1897" w:type="dxa"/>
            <w:tcBorders>
              <w:left w:val="nil"/>
              <w:right w:val="nil"/>
            </w:tcBorders>
            <w:shd w:val="clear" w:color="auto" w:fill="FFFFFF"/>
            <w:noWrap/>
            <w:vAlign w:val="center"/>
          </w:tcPr>
          <w:p w:rsidR="009D2CAE" w:rsidRPr="007C0CDA" w:rsidRDefault="009D2CAE" w:rsidP="00A17A22">
            <w:pPr>
              <w:jc w:val="right"/>
              <w:rPr>
                <w:rFonts w:ascii="Arial" w:hAnsi="Arial" w:cs="Arial"/>
                <w:color w:val="000000"/>
                <w:sz w:val="18"/>
                <w:szCs w:val="18"/>
              </w:rPr>
            </w:pPr>
            <w:r w:rsidRPr="007C0CDA">
              <w:rPr>
                <w:color w:val="000000"/>
                <w:sz w:val="18"/>
                <w:szCs w:val="18"/>
              </w:rPr>
              <w:t xml:space="preserve">        9 794 544 000    </w:t>
            </w:r>
          </w:p>
        </w:tc>
        <w:tc>
          <w:tcPr>
            <w:tcW w:w="1897" w:type="dxa"/>
            <w:tcBorders>
              <w:left w:val="nil"/>
              <w:right w:val="nil"/>
            </w:tcBorders>
            <w:shd w:val="clear" w:color="auto" w:fill="FFFFFF"/>
            <w:noWrap/>
            <w:vAlign w:val="center"/>
          </w:tcPr>
          <w:p w:rsidR="009D2CAE" w:rsidRPr="007C0CDA" w:rsidRDefault="009D2CAE" w:rsidP="00A17A22">
            <w:pPr>
              <w:jc w:val="right"/>
              <w:rPr>
                <w:rFonts w:ascii="Arial" w:hAnsi="Arial" w:cs="Arial"/>
                <w:color w:val="000000"/>
                <w:sz w:val="18"/>
                <w:szCs w:val="18"/>
              </w:rPr>
            </w:pPr>
            <w:r w:rsidRPr="007C0CDA">
              <w:rPr>
                <w:color w:val="000000"/>
                <w:sz w:val="18"/>
                <w:szCs w:val="18"/>
              </w:rPr>
              <w:t xml:space="preserve">        6 211 932 000    </w:t>
            </w:r>
          </w:p>
        </w:tc>
        <w:tc>
          <w:tcPr>
            <w:tcW w:w="1897" w:type="dxa"/>
            <w:tcBorders>
              <w:left w:val="nil"/>
              <w:right w:val="nil"/>
            </w:tcBorders>
            <w:shd w:val="clear" w:color="auto" w:fill="FFFFFF"/>
            <w:noWrap/>
            <w:vAlign w:val="center"/>
          </w:tcPr>
          <w:p w:rsidR="009D2CAE" w:rsidRPr="007C0CDA" w:rsidRDefault="009D2CAE" w:rsidP="00A17A22">
            <w:pPr>
              <w:jc w:val="right"/>
              <w:rPr>
                <w:rFonts w:ascii="Arial" w:hAnsi="Arial" w:cs="Arial"/>
                <w:color w:val="000000"/>
                <w:sz w:val="18"/>
                <w:szCs w:val="18"/>
              </w:rPr>
            </w:pPr>
            <w:r w:rsidRPr="007C0CDA">
              <w:rPr>
                <w:color w:val="000000"/>
                <w:sz w:val="18"/>
                <w:szCs w:val="18"/>
              </w:rPr>
              <w:t xml:space="preserve">        2 279 287 000    </w:t>
            </w:r>
          </w:p>
        </w:tc>
      </w:tr>
      <w:tr w:rsidR="009D2CAE" w:rsidRPr="007C0CDA" w:rsidTr="00A17A22">
        <w:trPr>
          <w:trHeight w:val="20"/>
        </w:trPr>
        <w:tc>
          <w:tcPr>
            <w:tcW w:w="2554" w:type="dxa"/>
            <w:tcBorders>
              <w:left w:val="nil"/>
              <w:right w:val="nil"/>
            </w:tcBorders>
            <w:shd w:val="clear" w:color="auto" w:fill="FFFFFF"/>
            <w:noWrap/>
            <w:vAlign w:val="center"/>
          </w:tcPr>
          <w:p w:rsidR="009D2CAE" w:rsidRPr="007C0CDA" w:rsidRDefault="009D2CAE" w:rsidP="00A17A22">
            <w:pPr>
              <w:jc w:val="left"/>
              <w:rPr>
                <w:rFonts w:ascii="Arial" w:hAnsi="Arial" w:cs="Arial"/>
                <w:color w:val="000000"/>
                <w:sz w:val="18"/>
                <w:szCs w:val="18"/>
              </w:rPr>
            </w:pPr>
            <w:r w:rsidRPr="007C0CDA">
              <w:rPr>
                <w:color w:val="000000"/>
                <w:sz w:val="18"/>
                <w:szCs w:val="18"/>
              </w:rPr>
              <w:t>Nemovitosti - Výzva II</w:t>
            </w:r>
          </w:p>
        </w:tc>
        <w:tc>
          <w:tcPr>
            <w:tcW w:w="1897" w:type="dxa"/>
            <w:tcBorders>
              <w:left w:val="nil"/>
              <w:right w:val="nil"/>
            </w:tcBorders>
            <w:shd w:val="clear" w:color="auto" w:fill="FFFFFF"/>
            <w:noWrap/>
            <w:vAlign w:val="center"/>
          </w:tcPr>
          <w:p w:rsidR="009D2CAE" w:rsidRPr="007C0CDA" w:rsidRDefault="009D2CAE" w:rsidP="00A17A22">
            <w:pPr>
              <w:jc w:val="right"/>
              <w:rPr>
                <w:rFonts w:ascii="Arial" w:hAnsi="Arial" w:cs="Arial"/>
                <w:color w:val="000000"/>
                <w:sz w:val="18"/>
                <w:szCs w:val="18"/>
              </w:rPr>
            </w:pPr>
            <w:r w:rsidRPr="007C0CDA">
              <w:rPr>
                <w:color w:val="000000"/>
                <w:sz w:val="18"/>
                <w:szCs w:val="18"/>
              </w:rPr>
              <w:t xml:space="preserve">      18 579 748 000    </w:t>
            </w:r>
          </w:p>
        </w:tc>
        <w:tc>
          <w:tcPr>
            <w:tcW w:w="1897" w:type="dxa"/>
            <w:tcBorders>
              <w:left w:val="nil"/>
              <w:right w:val="nil"/>
            </w:tcBorders>
            <w:shd w:val="clear" w:color="auto" w:fill="FFFFFF"/>
            <w:noWrap/>
            <w:vAlign w:val="center"/>
          </w:tcPr>
          <w:p w:rsidR="009D2CAE" w:rsidRPr="007C0CDA" w:rsidRDefault="009D2CAE" w:rsidP="00A17A22">
            <w:pPr>
              <w:jc w:val="right"/>
              <w:rPr>
                <w:rFonts w:ascii="Arial" w:hAnsi="Arial" w:cs="Arial"/>
                <w:color w:val="000000"/>
                <w:sz w:val="18"/>
                <w:szCs w:val="18"/>
              </w:rPr>
            </w:pPr>
            <w:r w:rsidRPr="007C0CDA">
              <w:rPr>
                <w:color w:val="000000"/>
                <w:sz w:val="18"/>
                <w:szCs w:val="18"/>
              </w:rPr>
              <w:t xml:space="preserve">      10 909 026 000    </w:t>
            </w:r>
          </w:p>
        </w:tc>
        <w:tc>
          <w:tcPr>
            <w:tcW w:w="1897" w:type="dxa"/>
            <w:tcBorders>
              <w:left w:val="nil"/>
              <w:right w:val="nil"/>
            </w:tcBorders>
            <w:shd w:val="clear" w:color="auto" w:fill="FFFFFF"/>
            <w:noWrap/>
            <w:vAlign w:val="center"/>
          </w:tcPr>
          <w:p w:rsidR="009D2CAE" w:rsidRPr="007C0CDA" w:rsidRDefault="009D2CAE" w:rsidP="00A17A22">
            <w:pPr>
              <w:jc w:val="right"/>
              <w:rPr>
                <w:rFonts w:ascii="Arial" w:hAnsi="Arial" w:cs="Arial"/>
                <w:color w:val="000000"/>
                <w:sz w:val="18"/>
                <w:szCs w:val="18"/>
              </w:rPr>
            </w:pPr>
            <w:r w:rsidRPr="007C0CDA">
              <w:rPr>
                <w:color w:val="000000"/>
                <w:sz w:val="18"/>
                <w:szCs w:val="18"/>
              </w:rPr>
              <w:t xml:space="preserve">        5 445 034 000    </w:t>
            </w:r>
          </w:p>
        </w:tc>
      </w:tr>
      <w:tr w:rsidR="009D2CAE" w:rsidRPr="007C0CDA" w:rsidTr="00A17A22">
        <w:trPr>
          <w:trHeight w:val="20"/>
        </w:trPr>
        <w:tc>
          <w:tcPr>
            <w:tcW w:w="2554" w:type="dxa"/>
            <w:tcBorders>
              <w:left w:val="nil"/>
              <w:right w:val="nil"/>
            </w:tcBorders>
            <w:shd w:val="clear" w:color="auto" w:fill="FFFFFF"/>
            <w:noWrap/>
            <w:vAlign w:val="center"/>
          </w:tcPr>
          <w:p w:rsidR="009D2CAE" w:rsidRPr="007C0CDA" w:rsidRDefault="009D2CAE" w:rsidP="00A17A22">
            <w:pPr>
              <w:jc w:val="left"/>
              <w:rPr>
                <w:rFonts w:ascii="Arial" w:hAnsi="Arial" w:cs="Arial"/>
                <w:color w:val="000000"/>
                <w:sz w:val="18"/>
                <w:szCs w:val="18"/>
              </w:rPr>
            </w:pPr>
            <w:r w:rsidRPr="007C0CDA">
              <w:rPr>
                <w:color w:val="000000"/>
                <w:sz w:val="18"/>
                <w:szCs w:val="18"/>
              </w:rPr>
              <w:t>Prosperita - Výzva I</w:t>
            </w:r>
          </w:p>
        </w:tc>
        <w:tc>
          <w:tcPr>
            <w:tcW w:w="1897" w:type="dxa"/>
            <w:tcBorders>
              <w:left w:val="nil"/>
              <w:right w:val="nil"/>
            </w:tcBorders>
            <w:shd w:val="clear" w:color="auto" w:fill="FFFFFF"/>
            <w:noWrap/>
            <w:vAlign w:val="center"/>
          </w:tcPr>
          <w:p w:rsidR="009D2CAE" w:rsidRPr="007C0CDA" w:rsidRDefault="009D2CAE" w:rsidP="00A17A22">
            <w:pPr>
              <w:jc w:val="right"/>
              <w:rPr>
                <w:rFonts w:ascii="Arial" w:hAnsi="Arial" w:cs="Arial"/>
                <w:color w:val="000000"/>
                <w:sz w:val="18"/>
                <w:szCs w:val="18"/>
              </w:rPr>
            </w:pPr>
            <w:r w:rsidRPr="007C0CDA">
              <w:rPr>
                <w:color w:val="000000"/>
                <w:sz w:val="18"/>
                <w:szCs w:val="18"/>
              </w:rPr>
              <w:t xml:space="preserve">        3 657 562 000    </w:t>
            </w:r>
          </w:p>
        </w:tc>
        <w:tc>
          <w:tcPr>
            <w:tcW w:w="1897" w:type="dxa"/>
            <w:tcBorders>
              <w:left w:val="nil"/>
              <w:right w:val="nil"/>
            </w:tcBorders>
            <w:shd w:val="clear" w:color="auto" w:fill="FFFFFF"/>
            <w:noWrap/>
            <w:vAlign w:val="center"/>
          </w:tcPr>
          <w:p w:rsidR="009D2CAE" w:rsidRPr="007C0CDA" w:rsidRDefault="009D2CAE" w:rsidP="00A17A22">
            <w:pPr>
              <w:jc w:val="right"/>
              <w:rPr>
                <w:rFonts w:ascii="Arial" w:hAnsi="Arial" w:cs="Arial"/>
                <w:color w:val="000000"/>
                <w:sz w:val="18"/>
                <w:szCs w:val="18"/>
              </w:rPr>
            </w:pPr>
            <w:r w:rsidRPr="007C0CDA">
              <w:rPr>
                <w:color w:val="000000"/>
                <w:sz w:val="18"/>
                <w:szCs w:val="18"/>
              </w:rPr>
              <w:t xml:space="preserve">        1 087 806 000    </w:t>
            </w:r>
          </w:p>
        </w:tc>
        <w:tc>
          <w:tcPr>
            <w:tcW w:w="1897" w:type="dxa"/>
            <w:tcBorders>
              <w:left w:val="nil"/>
              <w:right w:val="nil"/>
            </w:tcBorders>
            <w:shd w:val="clear" w:color="auto" w:fill="FFFFFF"/>
            <w:noWrap/>
            <w:vAlign w:val="center"/>
          </w:tcPr>
          <w:p w:rsidR="009D2CAE" w:rsidRPr="007C0CDA" w:rsidRDefault="009D2CAE" w:rsidP="00A17A22">
            <w:pPr>
              <w:jc w:val="right"/>
              <w:rPr>
                <w:rFonts w:ascii="Arial" w:hAnsi="Arial" w:cs="Arial"/>
                <w:color w:val="000000"/>
                <w:sz w:val="18"/>
                <w:szCs w:val="18"/>
              </w:rPr>
            </w:pPr>
            <w:r w:rsidRPr="007C0CDA">
              <w:rPr>
                <w:color w:val="000000"/>
                <w:sz w:val="18"/>
                <w:szCs w:val="18"/>
              </w:rPr>
              <w:t xml:space="preserve">            333 663 000    </w:t>
            </w:r>
          </w:p>
        </w:tc>
      </w:tr>
      <w:tr w:rsidR="009D2CAE" w:rsidRPr="007C0CDA" w:rsidTr="00A17A22">
        <w:trPr>
          <w:trHeight w:val="20"/>
        </w:trPr>
        <w:tc>
          <w:tcPr>
            <w:tcW w:w="2554" w:type="dxa"/>
            <w:tcBorders>
              <w:left w:val="nil"/>
              <w:right w:val="nil"/>
            </w:tcBorders>
            <w:shd w:val="clear" w:color="auto" w:fill="FFFFFF"/>
            <w:noWrap/>
            <w:vAlign w:val="center"/>
          </w:tcPr>
          <w:p w:rsidR="009D2CAE" w:rsidRPr="007C0CDA" w:rsidRDefault="009D2CAE" w:rsidP="00A17A22">
            <w:pPr>
              <w:jc w:val="left"/>
              <w:rPr>
                <w:rFonts w:ascii="Arial" w:hAnsi="Arial" w:cs="Arial"/>
                <w:color w:val="000000"/>
                <w:sz w:val="18"/>
                <w:szCs w:val="18"/>
              </w:rPr>
            </w:pPr>
            <w:r w:rsidRPr="007C0CDA">
              <w:rPr>
                <w:color w:val="000000"/>
                <w:sz w:val="18"/>
                <w:szCs w:val="18"/>
              </w:rPr>
              <w:t>Prosperita - Výzva II</w:t>
            </w:r>
          </w:p>
        </w:tc>
        <w:tc>
          <w:tcPr>
            <w:tcW w:w="1897" w:type="dxa"/>
            <w:tcBorders>
              <w:left w:val="nil"/>
              <w:right w:val="nil"/>
            </w:tcBorders>
            <w:shd w:val="clear" w:color="auto" w:fill="FFFFFF"/>
            <w:noWrap/>
            <w:vAlign w:val="center"/>
          </w:tcPr>
          <w:p w:rsidR="009D2CAE" w:rsidRPr="007C0CDA" w:rsidRDefault="009D2CAE" w:rsidP="00A17A22">
            <w:pPr>
              <w:jc w:val="right"/>
              <w:rPr>
                <w:rFonts w:ascii="Arial" w:hAnsi="Arial" w:cs="Arial"/>
                <w:color w:val="000000"/>
                <w:sz w:val="18"/>
                <w:szCs w:val="18"/>
              </w:rPr>
            </w:pPr>
            <w:r w:rsidRPr="007C0CDA">
              <w:rPr>
                <w:color w:val="000000"/>
                <w:sz w:val="18"/>
                <w:szCs w:val="18"/>
              </w:rPr>
              <w:t xml:space="preserve">        2 296 854 000    </w:t>
            </w:r>
          </w:p>
        </w:tc>
        <w:tc>
          <w:tcPr>
            <w:tcW w:w="1897" w:type="dxa"/>
            <w:tcBorders>
              <w:left w:val="nil"/>
              <w:right w:val="nil"/>
            </w:tcBorders>
            <w:shd w:val="clear" w:color="auto" w:fill="FFFFFF"/>
            <w:noWrap/>
            <w:vAlign w:val="center"/>
          </w:tcPr>
          <w:p w:rsidR="009D2CAE" w:rsidRPr="007C0CDA" w:rsidRDefault="009D2CAE" w:rsidP="00A17A22">
            <w:pPr>
              <w:jc w:val="right"/>
              <w:rPr>
                <w:rFonts w:ascii="Arial" w:hAnsi="Arial" w:cs="Arial"/>
                <w:color w:val="000000"/>
                <w:sz w:val="18"/>
                <w:szCs w:val="18"/>
              </w:rPr>
            </w:pPr>
            <w:r w:rsidRPr="007C0CDA">
              <w:rPr>
                <w:color w:val="000000"/>
                <w:sz w:val="18"/>
                <w:szCs w:val="18"/>
              </w:rPr>
              <w:t xml:space="preserve">            851 119 000    </w:t>
            </w:r>
          </w:p>
        </w:tc>
        <w:tc>
          <w:tcPr>
            <w:tcW w:w="1897" w:type="dxa"/>
            <w:tcBorders>
              <w:left w:val="nil"/>
              <w:right w:val="nil"/>
            </w:tcBorders>
            <w:shd w:val="clear" w:color="auto" w:fill="FFFFFF"/>
            <w:noWrap/>
            <w:vAlign w:val="center"/>
          </w:tcPr>
          <w:p w:rsidR="009D2CAE" w:rsidRPr="007C0CDA" w:rsidRDefault="009D2CAE" w:rsidP="00A17A22">
            <w:pPr>
              <w:jc w:val="right"/>
              <w:rPr>
                <w:rFonts w:ascii="Arial" w:hAnsi="Arial" w:cs="Arial"/>
                <w:color w:val="000000"/>
                <w:sz w:val="18"/>
                <w:szCs w:val="18"/>
              </w:rPr>
            </w:pPr>
            <w:r w:rsidRPr="007C0CDA">
              <w:rPr>
                <w:color w:val="000000"/>
                <w:sz w:val="18"/>
                <w:szCs w:val="18"/>
              </w:rPr>
              <w:t xml:space="preserve">            123 768 000    </w:t>
            </w:r>
          </w:p>
        </w:tc>
      </w:tr>
      <w:tr w:rsidR="009D2CAE" w:rsidRPr="007C0CDA" w:rsidTr="00A17A22">
        <w:trPr>
          <w:trHeight w:val="20"/>
        </w:trPr>
        <w:tc>
          <w:tcPr>
            <w:tcW w:w="2554" w:type="dxa"/>
            <w:tcBorders>
              <w:left w:val="nil"/>
              <w:right w:val="nil"/>
            </w:tcBorders>
            <w:shd w:val="clear" w:color="auto" w:fill="FFFFFF"/>
            <w:noWrap/>
            <w:vAlign w:val="center"/>
          </w:tcPr>
          <w:p w:rsidR="009D2CAE" w:rsidRPr="007C0CDA" w:rsidRDefault="009D2CAE" w:rsidP="00A17A22">
            <w:pPr>
              <w:jc w:val="left"/>
              <w:rPr>
                <w:rFonts w:ascii="Arial" w:hAnsi="Arial" w:cs="Arial"/>
                <w:color w:val="000000"/>
                <w:sz w:val="18"/>
                <w:szCs w:val="18"/>
              </w:rPr>
            </w:pPr>
            <w:r w:rsidRPr="007C0CDA">
              <w:rPr>
                <w:color w:val="000000"/>
                <w:sz w:val="18"/>
                <w:szCs w:val="18"/>
              </w:rPr>
              <w:t>Prosperita Výzva III</w:t>
            </w:r>
          </w:p>
        </w:tc>
        <w:tc>
          <w:tcPr>
            <w:tcW w:w="1897" w:type="dxa"/>
            <w:tcBorders>
              <w:left w:val="nil"/>
              <w:right w:val="nil"/>
            </w:tcBorders>
            <w:shd w:val="clear" w:color="auto" w:fill="FFFFFF"/>
            <w:noWrap/>
            <w:vAlign w:val="center"/>
          </w:tcPr>
          <w:p w:rsidR="009D2CAE" w:rsidRPr="007C0CDA" w:rsidRDefault="009D2CAE" w:rsidP="00A17A22">
            <w:pPr>
              <w:jc w:val="right"/>
              <w:rPr>
                <w:rFonts w:ascii="Arial" w:hAnsi="Arial" w:cs="Arial"/>
                <w:color w:val="000000"/>
                <w:sz w:val="18"/>
                <w:szCs w:val="18"/>
              </w:rPr>
            </w:pPr>
            <w:r w:rsidRPr="007C0CDA">
              <w:rPr>
                <w:color w:val="000000"/>
                <w:sz w:val="18"/>
                <w:szCs w:val="18"/>
              </w:rPr>
              <w:t xml:space="preserve">      13 404 255 000    </w:t>
            </w:r>
          </w:p>
        </w:tc>
        <w:tc>
          <w:tcPr>
            <w:tcW w:w="1897" w:type="dxa"/>
            <w:tcBorders>
              <w:left w:val="nil"/>
              <w:right w:val="nil"/>
            </w:tcBorders>
            <w:shd w:val="clear" w:color="auto" w:fill="FFFFFF"/>
            <w:noWrap/>
            <w:vAlign w:val="center"/>
          </w:tcPr>
          <w:p w:rsidR="009D2CAE" w:rsidRPr="007C0CDA" w:rsidRDefault="009D2CAE" w:rsidP="00A17A22">
            <w:pPr>
              <w:jc w:val="right"/>
              <w:rPr>
                <w:rFonts w:ascii="Arial" w:hAnsi="Arial" w:cs="Arial"/>
                <w:color w:val="000000"/>
                <w:sz w:val="18"/>
                <w:szCs w:val="18"/>
              </w:rPr>
            </w:pPr>
            <w:r w:rsidRPr="007C0CDA">
              <w:rPr>
                <w:color w:val="000000"/>
                <w:sz w:val="18"/>
                <w:szCs w:val="18"/>
              </w:rPr>
              <w:t xml:space="preserve">        5 316 309 000    </w:t>
            </w:r>
          </w:p>
        </w:tc>
        <w:tc>
          <w:tcPr>
            <w:tcW w:w="1897" w:type="dxa"/>
            <w:tcBorders>
              <w:left w:val="nil"/>
              <w:right w:val="nil"/>
            </w:tcBorders>
            <w:shd w:val="clear" w:color="auto" w:fill="FFFFFF"/>
            <w:noWrap/>
            <w:vAlign w:val="center"/>
          </w:tcPr>
          <w:p w:rsidR="009D2CAE" w:rsidRPr="007C0CDA" w:rsidRDefault="009D2CAE" w:rsidP="00A17A22">
            <w:pPr>
              <w:jc w:val="right"/>
              <w:rPr>
                <w:rFonts w:ascii="Arial" w:hAnsi="Arial" w:cs="Arial"/>
                <w:color w:val="000000"/>
                <w:sz w:val="18"/>
                <w:szCs w:val="18"/>
              </w:rPr>
            </w:pPr>
            <w:r w:rsidRPr="007C0CDA">
              <w:rPr>
                <w:color w:val="000000"/>
                <w:sz w:val="18"/>
                <w:szCs w:val="18"/>
              </w:rPr>
              <w:t xml:space="preserve">            489 561 000    </w:t>
            </w:r>
          </w:p>
        </w:tc>
      </w:tr>
      <w:tr w:rsidR="009D2CAE" w:rsidRPr="007C0CDA" w:rsidTr="00A17A22">
        <w:trPr>
          <w:trHeight w:val="20"/>
        </w:trPr>
        <w:tc>
          <w:tcPr>
            <w:tcW w:w="2554" w:type="dxa"/>
            <w:tcBorders>
              <w:left w:val="nil"/>
              <w:right w:val="nil"/>
            </w:tcBorders>
            <w:shd w:val="clear" w:color="auto" w:fill="FFFFFF"/>
            <w:noWrap/>
            <w:vAlign w:val="center"/>
          </w:tcPr>
          <w:p w:rsidR="009D2CAE" w:rsidRPr="007C0CDA" w:rsidRDefault="009D2CAE" w:rsidP="00A17A22">
            <w:pPr>
              <w:jc w:val="left"/>
              <w:rPr>
                <w:rFonts w:ascii="Arial" w:hAnsi="Arial" w:cs="Arial"/>
                <w:color w:val="000000"/>
                <w:sz w:val="18"/>
                <w:szCs w:val="18"/>
              </w:rPr>
            </w:pPr>
            <w:r w:rsidRPr="007C0CDA">
              <w:rPr>
                <w:color w:val="000000"/>
                <w:sz w:val="18"/>
                <w:szCs w:val="18"/>
              </w:rPr>
              <w:t>Prosperita Výzva IV</w:t>
            </w:r>
          </w:p>
        </w:tc>
        <w:tc>
          <w:tcPr>
            <w:tcW w:w="1897" w:type="dxa"/>
            <w:tcBorders>
              <w:left w:val="nil"/>
              <w:right w:val="nil"/>
            </w:tcBorders>
            <w:shd w:val="clear" w:color="auto" w:fill="FFFFFF"/>
            <w:noWrap/>
            <w:vAlign w:val="center"/>
          </w:tcPr>
          <w:p w:rsidR="009D2CAE" w:rsidRPr="007C0CDA" w:rsidRDefault="009D2CAE" w:rsidP="00A17A22">
            <w:pPr>
              <w:jc w:val="right"/>
              <w:rPr>
                <w:rFonts w:ascii="Arial" w:hAnsi="Arial" w:cs="Arial"/>
                <w:color w:val="000000"/>
                <w:sz w:val="18"/>
                <w:szCs w:val="18"/>
              </w:rPr>
            </w:pPr>
            <w:r w:rsidRPr="007C0CDA">
              <w:rPr>
                <w:color w:val="000000"/>
                <w:sz w:val="18"/>
                <w:szCs w:val="18"/>
              </w:rPr>
              <w:t xml:space="preserve">        7 508 918 000    </w:t>
            </w:r>
          </w:p>
        </w:tc>
        <w:tc>
          <w:tcPr>
            <w:tcW w:w="1897" w:type="dxa"/>
            <w:tcBorders>
              <w:left w:val="nil"/>
              <w:right w:val="nil"/>
            </w:tcBorders>
            <w:shd w:val="clear" w:color="auto" w:fill="FFFFFF"/>
            <w:noWrap/>
            <w:vAlign w:val="center"/>
          </w:tcPr>
          <w:p w:rsidR="009D2CAE" w:rsidRPr="007C0CDA" w:rsidRDefault="009D2CAE" w:rsidP="00A17A22">
            <w:pPr>
              <w:jc w:val="right"/>
              <w:rPr>
                <w:rFonts w:ascii="Arial" w:hAnsi="Arial" w:cs="Arial"/>
                <w:color w:val="000000"/>
                <w:sz w:val="18"/>
                <w:szCs w:val="18"/>
              </w:rPr>
            </w:pPr>
            <w:r w:rsidRPr="007C0CDA">
              <w:rPr>
                <w:color w:val="000000"/>
                <w:sz w:val="18"/>
                <w:szCs w:val="18"/>
              </w:rPr>
              <w:t xml:space="preserve">        2 409 241 000    </w:t>
            </w:r>
          </w:p>
        </w:tc>
        <w:tc>
          <w:tcPr>
            <w:tcW w:w="1897" w:type="dxa"/>
            <w:tcBorders>
              <w:left w:val="nil"/>
              <w:right w:val="nil"/>
            </w:tcBorders>
            <w:shd w:val="clear" w:color="auto" w:fill="FFFFFF"/>
            <w:noWrap/>
            <w:vAlign w:val="center"/>
          </w:tcPr>
          <w:p w:rsidR="009D2CAE" w:rsidRPr="007C0CDA" w:rsidRDefault="009D2CAE" w:rsidP="00A17A22">
            <w:pPr>
              <w:jc w:val="right"/>
              <w:rPr>
                <w:rFonts w:ascii="Arial" w:hAnsi="Arial" w:cs="Arial"/>
                <w:color w:val="000000"/>
                <w:sz w:val="18"/>
                <w:szCs w:val="18"/>
              </w:rPr>
            </w:pPr>
            <w:r w:rsidRPr="007C0CDA">
              <w:rPr>
                <w:color w:val="000000"/>
                <w:sz w:val="18"/>
                <w:szCs w:val="18"/>
              </w:rPr>
              <w:t xml:space="preserve">            642 915 000    </w:t>
            </w:r>
          </w:p>
        </w:tc>
      </w:tr>
      <w:tr w:rsidR="009D2CAE" w:rsidRPr="007C0CDA" w:rsidTr="00A17A22">
        <w:trPr>
          <w:trHeight w:val="20"/>
        </w:trPr>
        <w:tc>
          <w:tcPr>
            <w:tcW w:w="2554" w:type="dxa"/>
            <w:tcBorders>
              <w:left w:val="nil"/>
              <w:right w:val="nil"/>
            </w:tcBorders>
            <w:shd w:val="clear" w:color="auto" w:fill="FFFFFF"/>
            <w:noWrap/>
            <w:vAlign w:val="center"/>
          </w:tcPr>
          <w:p w:rsidR="009D2CAE" w:rsidRPr="007C0CDA" w:rsidRDefault="009D2CAE" w:rsidP="00A17A22">
            <w:pPr>
              <w:jc w:val="left"/>
              <w:rPr>
                <w:rFonts w:ascii="Arial" w:hAnsi="Arial" w:cs="Arial"/>
                <w:color w:val="000000"/>
                <w:sz w:val="18"/>
                <w:szCs w:val="18"/>
              </w:rPr>
            </w:pPr>
            <w:r w:rsidRPr="007C0CDA">
              <w:rPr>
                <w:color w:val="000000"/>
                <w:sz w:val="18"/>
                <w:szCs w:val="18"/>
              </w:rPr>
              <w:t>Školicí střediska - Výzva I</w:t>
            </w:r>
          </w:p>
        </w:tc>
        <w:tc>
          <w:tcPr>
            <w:tcW w:w="1897" w:type="dxa"/>
            <w:tcBorders>
              <w:left w:val="nil"/>
              <w:right w:val="nil"/>
            </w:tcBorders>
            <w:shd w:val="clear" w:color="auto" w:fill="FFFFFF"/>
            <w:noWrap/>
            <w:vAlign w:val="center"/>
          </w:tcPr>
          <w:p w:rsidR="009D2CAE" w:rsidRPr="007C0CDA" w:rsidRDefault="009D2CAE" w:rsidP="00A17A22">
            <w:pPr>
              <w:jc w:val="right"/>
              <w:rPr>
                <w:rFonts w:ascii="Arial" w:hAnsi="Arial" w:cs="Arial"/>
                <w:color w:val="000000"/>
                <w:sz w:val="18"/>
                <w:szCs w:val="18"/>
              </w:rPr>
            </w:pPr>
            <w:r w:rsidRPr="007C0CDA">
              <w:rPr>
                <w:color w:val="000000"/>
                <w:sz w:val="18"/>
                <w:szCs w:val="18"/>
              </w:rPr>
              <w:t xml:space="preserve">        3 161 428 000    </w:t>
            </w:r>
          </w:p>
        </w:tc>
        <w:tc>
          <w:tcPr>
            <w:tcW w:w="1897" w:type="dxa"/>
            <w:tcBorders>
              <w:left w:val="nil"/>
              <w:right w:val="nil"/>
            </w:tcBorders>
            <w:shd w:val="clear" w:color="auto" w:fill="FFFFFF"/>
            <w:noWrap/>
            <w:vAlign w:val="center"/>
          </w:tcPr>
          <w:p w:rsidR="009D2CAE" w:rsidRPr="007C0CDA" w:rsidRDefault="009D2CAE" w:rsidP="00A17A22">
            <w:pPr>
              <w:jc w:val="right"/>
              <w:rPr>
                <w:rFonts w:ascii="Arial" w:hAnsi="Arial" w:cs="Arial"/>
                <w:color w:val="000000"/>
                <w:sz w:val="18"/>
                <w:szCs w:val="18"/>
              </w:rPr>
            </w:pPr>
            <w:r w:rsidRPr="007C0CDA">
              <w:rPr>
                <w:color w:val="000000"/>
                <w:sz w:val="18"/>
                <w:szCs w:val="18"/>
              </w:rPr>
              <w:t xml:space="preserve">            601 519 000    </w:t>
            </w:r>
          </w:p>
        </w:tc>
        <w:tc>
          <w:tcPr>
            <w:tcW w:w="1897" w:type="dxa"/>
            <w:tcBorders>
              <w:left w:val="nil"/>
              <w:right w:val="nil"/>
            </w:tcBorders>
            <w:shd w:val="clear" w:color="auto" w:fill="FFFFFF"/>
            <w:noWrap/>
            <w:vAlign w:val="center"/>
          </w:tcPr>
          <w:p w:rsidR="009D2CAE" w:rsidRPr="007C0CDA" w:rsidRDefault="009D2CAE" w:rsidP="00A17A22">
            <w:pPr>
              <w:jc w:val="right"/>
              <w:rPr>
                <w:rFonts w:ascii="Arial" w:hAnsi="Arial" w:cs="Arial"/>
                <w:color w:val="000000"/>
                <w:sz w:val="18"/>
                <w:szCs w:val="18"/>
              </w:rPr>
            </w:pPr>
            <w:r w:rsidRPr="007C0CDA">
              <w:rPr>
                <w:color w:val="000000"/>
                <w:sz w:val="18"/>
                <w:szCs w:val="18"/>
              </w:rPr>
              <w:t xml:space="preserve">            242 439 000    </w:t>
            </w:r>
          </w:p>
        </w:tc>
      </w:tr>
      <w:tr w:rsidR="009D2CAE" w:rsidRPr="007C0CDA" w:rsidTr="00A17A22">
        <w:trPr>
          <w:trHeight w:val="20"/>
        </w:trPr>
        <w:tc>
          <w:tcPr>
            <w:tcW w:w="2554" w:type="dxa"/>
            <w:tcBorders>
              <w:left w:val="nil"/>
              <w:right w:val="nil"/>
            </w:tcBorders>
            <w:shd w:val="clear" w:color="auto" w:fill="FFFFFF"/>
            <w:noWrap/>
            <w:vAlign w:val="center"/>
          </w:tcPr>
          <w:p w:rsidR="009D2CAE" w:rsidRPr="007C0CDA" w:rsidRDefault="009D2CAE" w:rsidP="00A17A22">
            <w:pPr>
              <w:jc w:val="left"/>
              <w:rPr>
                <w:rFonts w:ascii="Arial" w:hAnsi="Arial" w:cs="Arial"/>
                <w:color w:val="000000"/>
                <w:sz w:val="18"/>
                <w:szCs w:val="18"/>
              </w:rPr>
            </w:pPr>
            <w:r w:rsidRPr="007C0CDA">
              <w:rPr>
                <w:color w:val="000000"/>
                <w:sz w:val="18"/>
                <w:szCs w:val="18"/>
              </w:rPr>
              <w:t>Školicí střediska - Výzva II</w:t>
            </w:r>
          </w:p>
        </w:tc>
        <w:tc>
          <w:tcPr>
            <w:tcW w:w="1897" w:type="dxa"/>
            <w:tcBorders>
              <w:left w:val="nil"/>
              <w:right w:val="nil"/>
            </w:tcBorders>
            <w:shd w:val="clear" w:color="auto" w:fill="FFFFFF"/>
            <w:noWrap/>
            <w:vAlign w:val="center"/>
          </w:tcPr>
          <w:p w:rsidR="009D2CAE" w:rsidRPr="007C0CDA" w:rsidRDefault="009D2CAE" w:rsidP="00A17A22">
            <w:pPr>
              <w:jc w:val="right"/>
              <w:rPr>
                <w:rFonts w:ascii="Arial" w:hAnsi="Arial" w:cs="Arial"/>
                <w:color w:val="000000"/>
                <w:sz w:val="18"/>
                <w:szCs w:val="18"/>
              </w:rPr>
            </w:pPr>
            <w:r w:rsidRPr="007C0CDA">
              <w:rPr>
                <w:color w:val="000000"/>
                <w:sz w:val="18"/>
                <w:szCs w:val="18"/>
              </w:rPr>
              <w:t xml:space="preserve">        8 394 963 000    </w:t>
            </w:r>
          </w:p>
        </w:tc>
        <w:tc>
          <w:tcPr>
            <w:tcW w:w="1897" w:type="dxa"/>
            <w:tcBorders>
              <w:left w:val="nil"/>
              <w:right w:val="nil"/>
            </w:tcBorders>
            <w:shd w:val="clear" w:color="auto" w:fill="FFFFFF"/>
            <w:noWrap/>
            <w:vAlign w:val="center"/>
          </w:tcPr>
          <w:p w:rsidR="009D2CAE" w:rsidRPr="007C0CDA" w:rsidRDefault="009D2CAE" w:rsidP="00A17A22">
            <w:pPr>
              <w:jc w:val="right"/>
              <w:rPr>
                <w:rFonts w:ascii="Arial" w:hAnsi="Arial" w:cs="Arial"/>
                <w:color w:val="000000"/>
                <w:sz w:val="18"/>
                <w:szCs w:val="18"/>
              </w:rPr>
            </w:pPr>
            <w:r w:rsidRPr="007C0CDA">
              <w:rPr>
                <w:color w:val="000000"/>
                <w:sz w:val="18"/>
                <w:szCs w:val="18"/>
              </w:rPr>
              <w:t xml:space="preserve">        1 909 783 000    </w:t>
            </w:r>
          </w:p>
        </w:tc>
        <w:tc>
          <w:tcPr>
            <w:tcW w:w="1897" w:type="dxa"/>
            <w:tcBorders>
              <w:left w:val="nil"/>
              <w:right w:val="nil"/>
            </w:tcBorders>
            <w:shd w:val="clear" w:color="auto" w:fill="FFFFFF"/>
            <w:noWrap/>
            <w:vAlign w:val="center"/>
          </w:tcPr>
          <w:p w:rsidR="009D2CAE" w:rsidRPr="007C0CDA" w:rsidRDefault="009D2CAE" w:rsidP="00A17A22">
            <w:pPr>
              <w:jc w:val="right"/>
              <w:rPr>
                <w:rFonts w:ascii="Arial" w:hAnsi="Arial" w:cs="Arial"/>
                <w:color w:val="000000"/>
                <w:sz w:val="18"/>
                <w:szCs w:val="18"/>
              </w:rPr>
            </w:pPr>
            <w:r w:rsidRPr="007C0CDA">
              <w:rPr>
                <w:color w:val="000000"/>
                <w:sz w:val="18"/>
                <w:szCs w:val="18"/>
              </w:rPr>
              <w:t xml:space="preserve">            472 775 000    </w:t>
            </w:r>
          </w:p>
        </w:tc>
      </w:tr>
      <w:tr w:rsidR="009D2CAE" w:rsidRPr="007C0CDA" w:rsidTr="00A17A22">
        <w:trPr>
          <w:trHeight w:val="20"/>
        </w:trPr>
        <w:tc>
          <w:tcPr>
            <w:tcW w:w="2554" w:type="dxa"/>
            <w:tcBorders>
              <w:left w:val="nil"/>
              <w:right w:val="nil"/>
            </w:tcBorders>
            <w:shd w:val="clear" w:color="auto" w:fill="92D050"/>
            <w:noWrap/>
            <w:vAlign w:val="center"/>
          </w:tcPr>
          <w:p w:rsidR="009D2CAE" w:rsidRPr="007C0CDA" w:rsidRDefault="009D2CAE" w:rsidP="00A17A22">
            <w:pPr>
              <w:jc w:val="left"/>
              <w:rPr>
                <w:rFonts w:ascii="Arial" w:hAnsi="Arial" w:cs="Arial"/>
                <w:b/>
                <w:color w:val="000000"/>
                <w:sz w:val="18"/>
                <w:szCs w:val="18"/>
              </w:rPr>
            </w:pPr>
            <w:r w:rsidRPr="007C0CDA">
              <w:rPr>
                <w:b/>
                <w:color w:val="000000"/>
                <w:sz w:val="18"/>
                <w:szCs w:val="18"/>
              </w:rPr>
              <w:t>Celkem</w:t>
            </w:r>
          </w:p>
        </w:tc>
        <w:tc>
          <w:tcPr>
            <w:tcW w:w="1897" w:type="dxa"/>
            <w:tcBorders>
              <w:left w:val="nil"/>
              <w:right w:val="nil"/>
            </w:tcBorders>
            <w:shd w:val="clear" w:color="auto" w:fill="92D050"/>
            <w:noWrap/>
            <w:vAlign w:val="center"/>
          </w:tcPr>
          <w:p w:rsidR="009D2CAE" w:rsidRPr="007C0CDA" w:rsidRDefault="009D2CAE" w:rsidP="00A17A22">
            <w:pPr>
              <w:jc w:val="right"/>
              <w:rPr>
                <w:rFonts w:ascii="Arial" w:hAnsi="Arial" w:cs="Arial"/>
                <w:b/>
                <w:bCs/>
                <w:color w:val="000000"/>
                <w:sz w:val="18"/>
                <w:szCs w:val="18"/>
              </w:rPr>
            </w:pPr>
            <w:r w:rsidRPr="007C0CDA">
              <w:rPr>
                <w:b/>
                <w:bCs/>
                <w:color w:val="000000"/>
                <w:sz w:val="18"/>
                <w:szCs w:val="18"/>
              </w:rPr>
              <w:t xml:space="preserve">      92 343 864 000    </w:t>
            </w:r>
          </w:p>
        </w:tc>
        <w:tc>
          <w:tcPr>
            <w:tcW w:w="1897" w:type="dxa"/>
            <w:tcBorders>
              <w:left w:val="nil"/>
              <w:right w:val="nil"/>
            </w:tcBorders>
            <w:shd w:val="clear" w:color="auto" w:fill="92D050"/>
            <w:noWrap/>
            <w:vAlign w:val="center"/>
          </w:tcPr>
          <w:p w:rsidR="009D2CAE" w:rsidRPr="007C0CDA" w:rsidRDefault="009D2CAE" w:rsidP="00A17A22">
            <w:pPr>
              <w:jc w:val="right"/>
              <w:rPr>
                <w:rFonts w:ascii="Arial" w:hAnsi="Arial" w:cs="Arial"/>
                <w:b/>
                <w:bCs/>
                <w:color w:val="000000"/>
                <w:sz w:val="18"/>
                <w:szCs w:val="18"/>
              </w:rPr>
            </w:pPr>
            <w:r w:rsidRPr="007C0CDA">
              <w:rPr>
                <w:b/>
                <w:bCs/>
                <w:color w:val="000000"/>
                <w:sz w:val="18"/>
                <w:szCs w:val="18"/>
              </w:rPr>
              <w:t xml:space="preserve">      32 022 075 000    </w:t>
            </w:r>
          </w:p>
        </w:tc>
        <w:tc>
          <w:tcPr>
            <w:tcW w:w="1897" w:type="dxa"/>
            <w:tcBorders>
              <w:left w:val="nil"/>
              <w:right w:val="nil"/>
            </w:tcBorders>
            <w:shd w:val="clear" w:color="auto" w:fill="92D050"/>
            <w:noWrap/>
            <w:vAlign w:val="center"/>
          </w:tcPr>
          <w:p w:rsidR="009D2CAE" w:rsidRPr="007C0CDA" w:rsidRDefault="009D2CAE" w:rsidP="00A17A22">
            <w:pPr>
              <w:jc w:val="right"/>
              <w:rPr>
                <w:rFonts w:ascii="Arial" w:hAnsi="Arial" w:cs="Arial"/>
                <w:b/>
                <w:bCs/>
                <w:color w:val="000000"/>
                <w:sz w:val="18"/>
                <w:szCs w:val="18"/>
              </w:rPr>
            </w:pPr>
            <w:r w:rsidRPr="007C0CDA">
              <w:rPr>
                <w:b/>
                <w:bCs/>
                <w:color w:val="000000"/>
                <w:sz w:val="18"/>
                <w:szCs w:val="18"/>
              </w:rPr>
              <w:t xml:space="preserve">      10 677 368 000    </w:t>
            </w:r>
          </w:p>
        </w:tc>
      </w:tr>
    </w:tbl>
    <w:p w:rsidR="009D2CAE" w:rsidRPr="007C0CDA" w:rsidRDefault="009D2CAE" w:rsidP="00266A15">
      <w:pPr>
        <w:rPr>
          <w:lang w:eastAsia="en-US"/>
        </w:rPr>
      </w:pPr>
    </w:p>
    <w:p w:rsidR="009D2CAE" w:rsidRPr="007C0CDA" w:rsidRDefault="009D2CAE" w:rsidP="00266A15">
      <w:pPr>
        <w:pStyle w:val="Titulek"/>
        <w:jc w:val="center"/>
      </w:pPr>
      <w:r w:rsidRPr="007C0CDA">
        <w:t xml:space="preserve">Tabulka 10: Čerpání na regeneraci BF dle programů </w:t>
      </w:r>
    </w:p>
    <w:p w:rsidR="009D2CAE" w:rsidRPr="007C0CDA" w:rsidRDefault="009D2CAE" w:rsidP="00266A15">
      <w:pPr>
        <w:pStyle w:val="Titulek"/>
        <w:jc w:val="center"/>
      </w:pPr>
      <w:r w:rsidRPr="007C0CDA">
        <w:t>Zdroj: CI 2014</w:t>
      </w:r>
    </w:p>
    <w:p w:rsidR="009D2CAE" w:rsidRPr="007C0CDA" w:rsidRDefault="009D2CAE" w:rsidP="002433DA">
      <w:r w:rsidRPr="007C0CDA">
        <w:t>Podporu na regeneraci BF bylo možné čerpat na jiné účely též z dalších veřejných zdrojů a operačních programů. Detailnější přehled je součástí podkapitoly Posouzení zkušeností získaných v minulosti.</w:t>
      </w:r>
    </w:p>
    <w:p w:rsidR="009D2CAE" w:rsidRPr="007C0CDA" w:rsidRDefault="009D2CAE" w:rsidP="00DF6E0B">
      <w:pPr>
        <w:rPr>
          <w:lang w:eastAsia="en-US"/>
        </w:rPr>
      </w:pPr>
    </w:p>
    <w:p w:rsidR="009D2CAE" w:rsidRPr="007C0CDA" w:rsidRDefault="009D2CAE" w:rsidP="000C38AE">
      <w:pPr>
        <w:pStyle w:val="Odstavecseseznamem"/>
        <w:rPr>
          <w:lang w:eastAsia="en-US"/>
        </w:rPr>
      </w:pPr>
    </w:p>
    <w:p w:rsidR="009D2CAE" w:rsidRPr="00854519" w:rsidRDefault="009D2CAE" w:rsidP="002433DA">
      <w:pPr>
        <w:pStyle w:val="Nadpis3"/>
        <w:rPr>
          <w:lang w:eastAsia="en-US"/>
        </w:rPr>
      </w:pPr>
      <w:bookmarkStart w:id="464" w:name="_Toc416447818"/>
      <w:r w:rsidRPr="00B675D6">
        <w:rPr>
          <w:lang w:eastAsia="en-US"/>
        </w:rPr>
        <w:t>Vyčíslení potenciální absorpční kapacity</w:t>
      </w:r>
      <w:bookmarkEnd w:id="464"/>
    </w:p>
    <w:p w:rsidR="009D2CAE" w:rsidRPr="007C0CDA" w:rsidRDefault="009D2CAE" w:rsidP="00F7702D">
      <w:pPr>
        <w:pStyle w:val="Neslovannadpisy"/>
        <w:rPr>
          <w:lang w:eastAsia="en-US"/>
        </w:rPr>
      </w:pPr>
      <w:r w:rsidRPr="007C0CDA">
        <w:rPr>
          <w:lang w:eastAsia="en-US"/>
        </w:rPr>
        <w:t>Poptávka zjišťovaná z dotazníku</w:t>
      </w:r>
    </w:p>
    <w:p w:rsidR="009D2CAE" w:rsidRPr="007C0CDA" w:rsidRDefault="009D2CAE" w:rsidP="00F7702D">
      <w:pPr>
        <w:rPr>
          <w:b/>
          <w:lang w:eastAsia="en-US"/>
        </w:rPr>
      </w:pPr>
      <w:r w:rsidRPr="007C0CDA">
        <w:rPr>
          <w:lang w:eastAsia="en-US"/>
        </w:rPr>
        <w:lastRenderedPageBreak/>
        <w:t xml:space="preserve">V dotazníkovém šetření k této analýze vyjádřilo </w:t>
      </w:r>
      <w:r w:rsidRPr="007C0CDA">
        <w:rPr>
          <w:b/>
          <w:lang w:eastAsia="en-US"/>
        </w:rPr>
        <w:t>327 společností</w:t>
      </w:r>
      <w:r w:rsidRPr="007C0CDA">
        <w:rPr>
          <w:lang w:eastAsia="en-US"/>
        </w:rPr>
        <w:t xml:space="preserve"> svůj investiční záměr k SC 2.3 OP PIK 2014 – 2020. </w:t>
      </w:r>
      <w:r w:rsidRPr="007C0CDA">
        <w:rPr>
          <w:b/>
          <w:lang w:eastAsia="en-US"/>
        </w:rPr>
        <w:t>Uvažované investiční záměry dosahují výši 4,4 mld. Kč s průměrnou očekávanou dobou návratnosti 10,4 roku.</w:t>
      </w:r>
    </w:p>
    <w:p w:rsidR="009D2CAE" w:rsidRPr="007C0CDA" w:rsidRDefault="009D2CAE" w:rsidP="00F7702D">
      <w:pPr>
        <w:rPr>
          <w:b/>
          <w:lang w:eastAsia="en-US"/>
        </w:rPr>
      </w:pPr>
    </w:p>
    <w:p w:rsidR="009D2CAE" w:rsidRPr="007C0CDA" w:rsidRDefault="009D2CAE" w:rsidP="00022730">
      <w:pPr>
        <w:rPr>
          <w:lang w:eastAsia="en-US"/>
        </w:rPr>
      </w:pPr>
      <w:r w:rsidRPr="007C0CDA">
        <w:rPr>
          <w:lang w:eastAsia="en-US"/>
        </w:rPr>
        <w:t xml:space="preserve">Běžný profitabilní projekt by měl srovnávat náklad na rekonstrukci m3 s cenami nemovitosti ve fungujících průmyslových areálech, a také sledovat vývoj úrokové sazby pro lepší srovnání mezi komerčním úvěrem a zvýhodněným úvěrem. Až 69 % subjektů v dotazníku vyjádřilo, že by je zvýhodněný úvěr podpořil v aktivaci investičního záměru v plné nebo částečné výši. </w:t>
      </w:r>
      <w:r w:rsidRPr="007C0CDA">
        <w:rPr>
          <w:b/>
          <w:lang w:eastAsia="en-US"/>
        </w:rPr>
        <w:t>Kdyby neexistovala žádná forma veřejné podpory (FN), tak by v plném rozsahu realizovalo projekt jenom 13,9 % tázaných subjektů</w:t>
      </w:r>
      <w:r w:rsidRPr="007C0CDA">
        <w:rPr>
          <w:lang w:eastAsia="en-US"/>
        </w:rPr>
        <w:t>.</w:t>
      </w:r>
      <w:r w:rsidR="00D51B9B">
        <w:rPr>
          <w:lang w:eastAsia="en-US"/>
        </w:rPr>
        <w:t xml:space="preserve"> Přes relativně vysokou část pozitivní odezvy k úvěrovým nástrojům se dá předpokládat, že se ve většině případů jednalo o projekty dílčích rekonstrukcí, nikoli revitalizací výrazně zchátralých BF.</w:t>
      </w:r>
    </w:p>
    <w:p w:rsidR="009D2CAE" w:rsidRPr="007C0CDA" w:rsidRDefault="009D2CAE" w:rsidP="00022730">
      <w:pPr>
        <w:rPr>
          <w:lang w:eastAsia="en-US"/>
        </w:rPr>
      </w:pPr>
    </w:p>
    <w:tbl>
      <w:tblPr>
        <w:tblW w:w="9119" w:type="dxa"/>
        <w:tblBorders>
          <w:bottom w:val="single" w:sz="4" w:space="0" w:color="00A1DE"/>
          <w:insideH w:val="single" w:sz="4" w:space="0" w:color="00A1DE"/>
        </w:tblBorders>
        <w:tblCellMar>
          <w:top w:w="28" w:type="dxa"/>
          <w:left w:w="28" w:type="dxa"/>
          <w:bottom w:w="28" w:type="dxa"/>
          <w:right w:w="28" w:type="dxa"/>
        </w:tblCellMar>
        <w:tblLook w:val="00A0" w:firstRow="1" w:lastRow="0" w:firstColumn="1" w:lastColumn="0" w:noHBand="0" w:noVBand="0"/>
      </w:tblPr>
      <w:tblGrid>
        <w:gridCol w:w="3289"/>
        <w:gridCol w:w="1060"/>
        <w:gridCol w:w="960"/>
        <w:gridCol w:w="960"/>
        <w:gridCol w:w="960"/>
        <w:gridCol w:w="1730"/>
        <w:gridCol w:w="160"/>
      </w:tblGrid>
      <w:tr w:rsidR="009D2CAE" w:rsidRPr="007C0CDA" w:rsidTr="00E45795">
        <w:trPr>
          <w:trHeight w:val="300"/>
        </w:trPr>
        <w:tc>
          <w:tcPr>
            <w:tcW w:w="3289" w:type="dxa"/>
            <w:tcBorders>
              <w:top w:val="nil"/>
              <w:left w:val="nil"/>
              <w:right w:val="nil"/>
            </w:tcBorders>
            <w:shd w:val="clear" w:color="auto" w:fill="00A1DE"/>
            <w:noWrap/>
          </w:tcPr>
          <w:p w:rsidR="009D2CAE" w:rsidRPr="007C0CDA" w:rsidRDefault="009D2CAE" w:rsidP="00E45795">
            <w:pPr>
              <w:keepNext/>
              <w:jc w:val="left"/>
              <w:rPr>
                <w:rFonts w:ascii="Arial" w:hAnsi="Arial" w:cs="Arial"/>
                <w:b/>
                <w:bCs/>
                <w:color w:val="FFFFFF"/>
                <w:sz w:val="18"/>
                <w:szCs w:val="18"/>
              </w:rPr>
            </w:pPr>
            <w:r w:rsidRPr="007C0CDA">
              <w:rPr>
                <w:b/>
                <w:bCs/>
                <w:color w:val="FFFFFF"/>
                <w:sz w:val="18"/>
                <w:szCs w:val="18"/>
              </w:rPr>
              <w:t> </w:t>
            </w:r>
          </w:p>
        </w:tc>
        <w:tc>
          <w:tcPr>
            <w:tcW w:w="1060" w:type="dxa"/>
            <w:tcBorders>
              <w:top w:val="nil"/>
              <w:left w:val="nil"/>
              <w:right w:val="nil"/>
            </w:tcBorders>
            <w:shd w:val="clear" w:color="auto" w:fill="00A1DE"/>
            <w:noWrap/>
            <w:vAlign w:val="center"/>
          </w:tcPr>
          <w:p w:rsidR="009D2CAE" w:rsidRPr="007C0CDA" w:rsidRDefault="009D2CAE" w:rsidP="00E45795">
            <w:pPr>
              <w:keepNext/>
              <w:jc w:val="center"/>
              <w:rPr>
                <w:rFonts w:ascii="Arial" w:hAnsi="Arial" w:cs="Arial"/>
                <w:b/>
                <w:bCs/>
                <w:color w:val="FFFFFF"/>
                <w:sz w:val="18"/>
                <w:szCs w:val="18"/>
              </w:rPr>
            </w:pPr>
            <w:r w:rsidRPr="007C0CDA">
              <w:rPr>
                <w:b/>
                <w:bCs/>
                <w:color w:val="FFFFFF"/>
                <w:sz w:val="18"/>
                <w:szCs w:val="18"/>
              </w:rPr>
              <w:t>Určitě ano</w:t>
            </w:r>
          </w:p>
        </w:tc>
        <w:tc>
          <w:tcPr>
            <w:tcW w:w="960" w:type="dxa"/>
            <w:tcBorders>
              <w:top w:val="nil"/>
              <w:left w:val="nil"/>
              <w:right w:val="nil"/>
            </w:tcBorders>
            <w:shd w:val="clear" w:color="auto" w:fill="00A1DE"/>
            <w:noWrap/>
            <w:vAlign w:val="center"/>
          </w:tcPr>
          <w:p w:rsidR="009D2CAE" w:rsidRPr="007C0CDA" w:rsidRDefault="009D2CAE" w:rsidP="00E45795">
            <w:pPr>
              <w:keepNext/>
              <w:jc w:val="center"/>
              <w:rPr>
                <w:rFonts w:ascii="Arial" w:hAnsi="Arial" w:cs="Arial"/>
                <w:b/>
                <w:bCs/>
                <w:color w:val="FFFFFF"/>
                <w:sz w:val="18"/>
                <w:szCs w:val="18"/>
              </w:rPr>
            </w:pPr>
            <w:r w:rsidRPr="007C0CDA">
              <w:rPr>
                <w:b/>
                <w:bCs/>
                <w:color w:val="FFFFFF"/>
                <w:sz w:val="18"/>
                <w:szCs w:val="18"/>
              </w:rPr>
              <w:t>Spíše ano</w:t>
            </w:r>
          </w:p>
        </w:tc>
        <w:tc>
          <w:tcPr>
            <w:tcW w:w="960" w:type="dxa"/>
            <w:tcBorders>
              <w:top w:val="nil"/>
              <w:left w:val="nil"/>
              <w:right w:val="nil"/>
            </w:tcBorders>
            <w:shd w:val="clear" w:color="auto" w:fill="00A1DE"/>
            <w:noWrap/>
            <w:vAlign w:val="center"/>
          </w:tcPr>
          <w:p w:rsidR="009D2CAE" w:rsidRPr="007C0CDA" w:rsidRDefault="009D2CAE" w:rsidP="00E45795">
            <w:pPr>
              <w:keepNext/>
              <w:jc w:val="center"/>
              <w:rPr>
                <w:rFonts w:ascii="Arial" w:hAnsi="Arial" w:cs="Arial"/>
                <w:b/>
                <w:bCs/>
                <w:color w:val="FFFFFF"/>
                <w:sz w:val="18"/>
                <w:szCs w:val="18"/>
              </w:rPr>
            </w:pPr>
            <w:r w:rsidRPr="007C0CDA">
              <w:rPr>
                <w:b/>
                <w:bCs/>
                <w:color w:val="FFFFFF"/>
                <w:sz w:val="18"/>
                <w:szCs w:val="18"/>
              </w:rPr>
              <w:t>Spíše ne</w:t>
            </w:r>
          </w:p>
        </w:tc>
        <w:tc>
          <w:tcPr>
            <w:tcW w:w="960" w:type="dxa"/>
            <w:tcBorders>
              <w:top w:val="nil"/>
              <w:left w:val="nil"/>
              <w:right w:val="nil"/>
            </w:tcBorders>
            <w:shd w:val="clear" w:color="auto" w:fill="00A1DE"/>
            <w:noWrap/>
            <w:vAlign w:val="center"/>
          </w:tcPr>
          <w:p w:rsidR="009D2CAE" w:rsidRPr="007C0CDA" w:rsidRDefault="009D2CAE" w:rsidP="00E45795">
            <w:pPr>
              <w:keepNext/>
              <w:jc w:val="center"/>
              <w:rPr>
                <w:rFonts w:ascii="Arial" w:hAnsi="Arial" w:cs="Arial"/>
                <w:b/>
                <w:bCs/>
                <w:color w:val="FFFFFF"/>
                <w:sz w:val="18"/>
                <w:szCs w:val="18"/>
              </w:rPr>
            </w:pPr>
            <w:r w:rsidRPr="007C0CDA">
              <w:rPr>
                <w:b/>
                <w:bCs/>
                <w:color w:val="FFFFFF"/>
                <w:sz w:val="18"/>
                <w:szCs w:val="18"/>
              </w:rPr>
              <w:t>Určitě ne</w:t>
            </w:r>
          </w:p>
        </w:tc>
        <w:tc>
          <w:tcPr>
            <w:tcW w:w="1730" w:type="dxa"/>
            <w:tcBorders>
              <w:top w:val="nil"/>
              <w:left w:val="nil"/>
              <w:right w:val="nil"/>
            </w:tcBorders>
            <w:shd w:val="clear" w:color="auto" w:fill="00A1DE"/>
            <w:noWrap/>
            <w:vAlign w:val="center"/>
          </w:tcPr>
          <w:p w:rsidR="009D2CAE" w:rsidRPr="007C0CDA" w:rsidRDefault="009D2CAE" w:rsidP="00E45795">
            <w:pPr>
              <w:keepNext/>
              <w:jc w:val="center"/>
              <w:rPr>
                <w:rFonts w:ascii="Arial" w:hAnsi="Arial" w:cs="Arial"/>
                <w:b/>
                <w:bCs/>
                <w:color w:val="FFFFFF"/>
                <w:sz w:val="18"/>
                <w:szCs w:val="18"/>
              </w:rPr>
            </w:pPr>
            <w:r w:rsidRPr="007C0CDA">
              <w:rPr>
                <w:b/>
                <w:bCs/>
                <w:color w:val="FFFFFF"/>
                <w:sz w:val="18"/>
                <w:szCs w:val="18"/>
              </w:rPr>
              <w:t>Typ nástroje</w:t>
            </w:r>
          </w:p>
        </w:tc>
        <w:tc>
          <w:tcPr>
            <w:tcW w:w="160" w:type="dxa"/>
            <w:tcBorders>
              <w:top w:val="nil"/>
              <w:left w:val="nil"/>
              <w:right w:val="nil"/>
            </w:tcBorders>
            <w:shd w:val="clear" w:color="auto" w:fill="00A1DE"/>
            <w:noWrap/>
          </w:tcPr>
          <w:p w:rsidR="009D2CAE" w:rsidRPr="007C0CDA" w:rsidRDefault="009D2CAE" w:rsidP="00E45795">
            <w:pPr>
              <w:keepNext/>
              <w:jc w:val="left"/>
              <w:rPr>
                <w:rFonts w:ascii="Arial" w:hAnsi="Arial" w:cs="Arial"/>
                <w:b/>
                <w:bCs/>
                <w:color w:val="000000"/>
                <w:sz w:val="18"/>
                <w:szCs w:val="18"/>
              </w:rPr>
            </w:pPr>
            <w:r w:rsidRPr="007C0CDA">
              <w:rPr>
                <w:b/>
                <w:bCs/>
                <w:color w:val="000000"/>
                <w:sz w:val="18"/>
                <w:szCs w:val="18"/>
              </w:rPr>
              <w:t> </w:t>
            </w:r>
          </w:p>
        </w:tc>
      </w:tr>
      <w:tr w:rsidR="009D2CAE" w:rsidRPr="007C0CDA" w:rsidTr="00E45795">
        <w:trPr>
          <w:trHeight w:val="300"/>
        </w:trPr>
        <w:tc>
          <w:tcPr>
            <w:tcW w:w="3289" w:type="dxa"/>
            <w:tcBorders>
              <w:left w:val="nil"/>
              <w:right w:val="nil"/>
            </w:tcBorders>
            <w:shd w:val="clear" w:color="auto" w:fill="FFFFFF"/>
            <w:noWrap/>
            <w:vAlign w:val="center"/>
          </w:tcPr>
          <w:p w:rsidR="009D2CAE" w:rsidRPr="007C0CDA" w:rsidRDefault="009D2CAE" w:rsidP="00E45795">
            <w:pPr>
              <w:keepNext/>
              <w:jc w:val="left"/>
              <w:rPr>
                <w:rFonts w:ascii="Arial" w:hAnsi="Arial" w:cs="Arial"/>
                <w:color w:val="000000"/>
                <w:sz w:val="18"/>
                <w:szCs w:val="18"/>
              </w:rPr>
            </w:pPr>
            <w:r w:rsidRPr="007C0CDA">
              <w:rPr>
                <w:color w:val="000000"/>
                <w:sz w:val="18"/>
                <w:szCs w:val="18"/>
              </w:rPr>
              <w:t>Regenerace brownfieldů</w:t>
            </w:r>
          </w:p>
        </w:tc>
        <w:tc>
          <w:tcPr>
            <w:tcW w:w="1060" w:type="dxa"/>
            <w:tcBorders>
              <w:left w:val="nil"/>
              <w:right w:val="nil"/>
            </w:tcBorders>
            <w:shd w:val="clear" w:color="auto" w:fill="FFFFFF"/>
            <w:noWrap/>
            <w:vAlign w:val="center"/>
          </w:tcPr>
          <w:p w:rsidR="009D2CAE" w:rsidRPr="007C0CDA" w:rsidRDefault="009D2CAE" w:rsidP="00E45795">
            <w:pPr>
              <w:keepNext/>
              <w:jc w:val="right"/>
              <w:rPr>
                <w:rFonts w:ascii="Arial" w:hAnsi="Arial" w:cs="Arial"/>
                <w:color w:val="000000"/>
                <w:sz w:val="18"/>
                <w:szCs w:val="18"/>
              </w:rPr>
            </w:pPr>
            <w:r w:rsidRPr="007C0CDA">
              <w:rPr>
                <w:color w:val="000000"/>
                <w:sz w:val="18"/>
                <w:szCs w:val="18"/>
              </w:rPr>
              <w:t>24 %</w:t>
            </w:r>
          </w:p>
        </w:tc>
        <w:tc>
          <w:tcPr>
            <w:tcW w:w="960" w:type="dxa"/>
            <w:tcBorders>
              <w:left w:val="nil"/>
              <w:right w:val="nil"/>
            </w:tcBorders>
            <w:shd w:val="clear" w:color="auto" w:fill="FFFFFF"/>
            <w:noWrap/>
            <w:vAlign w:val="center"/>
          </w:tcPr>
          <w:p w:rsidR="009D2CAE" w:rsidRPr="007C0CDA" w:rsidRDefault="009D2CAE" w:rsidP="00E45795">
            <w:pPr>
              <w:keepNext/>
              <w:jc w:val="right"/>
              <w:rPr>
                <w:rFonts w:ascii="Arial" w:hAnsi="Arial" w:cs="Arial"/>
                <w:color w:val="000000"/>
                <w:sz w:val="18"/>
                <w:szCs w:val="18"/>
              </w:rPr>
            </w:pPr>
            <w:r w:rsidRPr="007C0CDA">
              <w:rPr>
                <w:color w:val="000000"/>
                <w:sz w:val="18"/>
                <w:szCs w:val="18"/>
              </w:rPr>
              <w:t>20 %</w:t>
            </w:r>
          </w:p>
        </w:tc>
        <w:tc>
          <w:tcPr>
            <w:tcW w:w="960" w:type="dxa"/>
            <w:tcBorders>
              <w:left w:val="nil"/>
              <w:right w:val="nil"/>
            </w:tcBorders>
            <w:shd w:val="clear" w:color="auto" w:fill="FFFFFF"/>
            <w:noWrap/>
            <w:vAlign w:val="center"/>
          </w:tcPr>
          <w:p w:rsidR="009D2CAE" w:rsidRPr="007C0CDA" w:rsidRDefault="009D2CAE" w:rsidP="00E45795">
            <w:pPr>
              <w:keepNext/>
              <w:jc w:val="right"/>
              <w:rPr>
                <w:rFonts w:ascii="Arial" w:hAnsi="Arial" w:cs="Arial"/>
                <w:color w:val="000000"/>
                <w:sz w:val="18"/>
                <w:szCs w:val="18"/>
              </w:rPr>
            </w:pPr>
            <w:r w:rsidRPr="007C0CDA">
              <w:rPr>
                <w:color w:val="000000"/>
                <w:sz w:val="18"/>
                <w:szCs w:val="18"/>
              </w:rPr>
              <w:t>27 %</w:t>
            </w:r>
          </w:p>
        </w:tc>
        <w:tc>
          <w:tcPr>
            <w:tcW w:w="960" w:type="dxa"/>
            <w:tcBorders>
              <w:left w:val="nil"/>
              <w:right w:val="nil"/>
            </w:tcBorders>
            <w:shd w:val="clear" w:color="auto" w:fill="FFFFFF"/>
            <w:noWrap/>
            <w:vAlign w:val="center"/>
          </w:tcPr>
          <w:p w:rsidR="009D2CAE" w:rsidRPr="007C0CDA" w:rsidRDefault="009D2CAE" w:rsidP="00E45795">
            <w:pPr>
              <w:keepNext/>
              <w:jc w:val="right"/>
              <w:rPr>
                <w:rFonts w:ascii="Arial" w:hAnsi="Arial" w:cs="Arial"/>
                <w:color w:val="000000"/>
                <w:sz w:val="18"/>
                <w:szCs w:val="18"/>
              </w:rPr>
            </w:pPr>
            <w:r w:rsidRPr="007C0CDA">
              <w:rPr>
                <w:color w:val="000000"/>
                <w:sz w:val="18"/>
                <w:szCs w:val="18"/>
              </w:rPr>
              <w:t>29 %</w:t>
            </w:r>
          </w:p>
        </w:tc>
        <w:tc>
          <w:tcPr>
            <w:tcW w:w="1890" w:type="dxa"/>
            <w:gridSpan w:val="2"/>
            <w:tcBorders>
              <w:left w:val="nil"/>
              <w:right w:val="nil"/>
            </w:tcBorders>
            <w:shd w:val="clear" w:color="auto" w:fill="FFFFFF"/>
            <w:noWrap/>
            <w:vAlign w:val="center"/>
          </w:tcPr>
          <w:p w:rsidR="009D2CAE" w:rsidRPr="007C0CDA" w:rsidRDefault="009D2CAE" w:rsidP="00E45795">
            <w:pPr>
              <w:keepNext/>
              <w:jc w:val="right"/>
              <w:rPr>
                <w:rFonts w:ascii="Arial" w:hAnsi="Arial" w:cs="Arial"/>
                <w:color w:val="000000"/>
                <w:sz w:val="18"/>
                <w:szCs w:val="18"/>
              </w:rPr>
            </w:pPr>
            <w:r w:rsidRPr="007C0CDA">
              <w:rPr>
                <w:color w:val="000000"/>
                <w:sz w:val="18"/>
                <w:szCs w:val="18"/>
              </w:rPr>
              <w:t>Kapitálový vstup</w:t>
            </w:r>
          </w:p>
        </w:tc>
      </w:tr>
      <w:tr w:rsidR="009D2CAE" w:rsidRPr="007C0CDA" w:rsidTr="00E45795">
        <w:trPr>
          <w:trHeight w:val="300"/>
        </w:trPr>
        <w:tc>
          <w:tcPr>
            <w:tcW w:w="3289" w:type="dxa"/>
            <w:tcBorders>
              <w:left w:val="nil"/>
              <w:right w:val="nil"/>
            </w:tcBorders>
            <w:shd w:val="clear" w:color="auto" w:fill="FFFFFF"/>
            <w:noWrap/>
            <w:vAlign w:val="center"/>
          </w:tcPr>
          <w:p w:rsidR="009D2CAE" w:rsidRPr="007C0CDA" w:rsidRDefault="009D2CAE" w:rsidP="00E45795">
            <w:pPr>
              <w:jc w:val="left"/>
              <w:rPr>
                <w:rFonts w:ascii="Arial" w:hAnsi="Arial" w:cs="Arial"/>
                <w:sz w:val="19"/>
                <w:szCs w:val="24"/>
                <w:lang w:eastAsia="en-US"/>
              </w:rPr>
            </w:pPr>
            <w:r w:rsidRPr="007C0CDA">
              <w:rPr>
                <w:color w:val="000000"/>
                <w:sz w:val="18"/>
                <w:szCs w:val="18"/>
              </w:rPr>
              <w:t>Regenerace brownfieldů</w:t>
            </w:r>
          </w:p>
        </w:tc>
        <w:tc>
          <w:tcPr>
            <w:tcW w:w="1060" w:type="dxa"/>
            <w:tcBorders>
              <w:left w:val="nil"/>
              <w:right w:val="nil"/>
            </w:tcBorders>
            <w:shd w:val="clear" w:color="auto" w:fill="FFFFFF"/>
            <w:noWrap/>
            <w:vAlign w:val="center"/>
          </w:tcPr>
          <w:p w:rsidR="009D2CAE" w:rsidRPr="007C0CDA" w:rsidRDefault="009D2CAE" w:rsidP="00E45795">
            <w:pPr>
              <w:keepNext/>
              <w:jc w:val="right"/>
              <w:rPr>
                <w:rFonts w:ascii="Arial" w:hAnsi="Arial" w:cs="Arial"/>
                <w:color w:val="000000"/>
                <w:sz w:val="18"/>
                <w:szCs w:val="18"/>
              </w:rPr>
            </w:pPr>
            <w:r w:rsidRPr="007C0CDA">
              <w:rPr>
                <w:color w:val="000000"/>
                <w:sz w:val="18"/>
                <w:szCs w:val="18"/>
              </w:rPr>
              <w:t>26%</w:t>
            </w:r>
          </w:p>
        </w:tc>
        <w:tc>
          <w:tcPr>
            <w:tcW w:w="960" w:type="dxa"/>
            <w:tcBorders>
              <w:left w:val="nil"/>
              <w:right w:val="nil"/>
            </w:tcBorders>
            <w:shd w:val="clear" w:color="auto" w:fill="FFFFFF"/>
            <w:noWrap/>
            <w:vAlign w:val="center"/>
          </w:tcPr>
          <w:p w:rsidR="009D2CAE" w:rsidRPr="007C0CDA" w:rsidRDefault="009D2CAE" w:rsidP="00E45795">
            <w:pPr>
              <w:keepNext/>
              <w:jc w:val="right"/>
              <w:rPr>
                <w:rFonts w:ascii="Arial" w:hAnsi="Arial" w:cs="Arial"/>
                <w:color w:val="000000"/>
                <w:sz w:val="18"/>
                <w:szCs w:val="18"/>
              </w:rPr>
            </w:pPr>
            <w:r w:rsidRPr="007C0CDA">
              <w:rPr>
                <w:color w:val="000000"/>
                <w:sz w:val="18"/>
                <w:szCs w:val="18"/>
              </w:rPr>
              <w:t>33%</w:t>
            </w:r>
          </w:p>
        </w:tc>
        <w:tc>
          <w:tcPr>
            <w:tcW w:w="960" w:type="dxa"/>
            <w:tcBorders>
              <w:left w:val="nil"/>
              <w:right w:val="nil"/>
            </w:tcBorders>
            <w:shd w:val="clear" w:color="auto" w:fill="FFFFFF"/>
            <w:noWrap/>
            <w:vAlign w:val="center"/>
          </w:tcPr>
          <w:p w:rsidR="009D2CAE" w:rsidRPr="007C0CDA" w:rsidRDefault="009D2CAE" w:rsidP="00E45795">
            <w:pPr>
              <w:keepNext/>
              <w:jc w:val="right"/>
              <w:rPr>
                <w:rFonts w:ascii="Arial" w:hAnsi="Arial" w:cs="Arial"/>
                <w:color w:val="000000"/>
                <w:sz w:val="18"/>
                <w:szCs w:val="18"/>
              </w:rPr>
            </w:pPr>
            <w:r w:rsidRPr="007C0CDA">
              <w:rPr>
                <w:color w:val="000000"/>
                <w:sz w:val="18"/>
                <w:szCs w:val="18"/>
              </w:rPr>
              <w:t>21%</w:t>
            </w:r>
          </w:p>
        </w:tc>
        <w:tc>
          <w:tcPr>
            <w:tcW w:w="960" w:type="dxa"/>
            <w:tcBorders>
              <w:left w:val="nil"/>
              <w:right w:val="nil"/>
            </w:tcBorders>
            <w:shd w:val="clear" w:color="auto" w:fill="FFFFFF"/>
            <w:noWrap/>
            <w:vAlign w:val="center"/>
          </w:tcPr>
          <w:p w:rsidR="009D2CAE" w:rsidRPr="007C0CDA" w:rsidRDefault="009D2CAE" w:rsidP="00E45795">
            <w:pPr>
              <w:keepNext/>
              <w:jc w:val="right"/>
              <w:rPr>
                <w:rFonts w:ascii="Arial" w:hAnsi="Arial" w:cs="Arial"/>
                <w:color w:val="000000"/>
                <w:sz w:val="18"/>
                <w:szCs w:val="18"/>
              </w:rPr>
            </w:pPr>
            <w:r w:rsidRPr="007C0CDA">
              <w:rPr>
                <w:color w:val="000000"/>
                <w:sz w:val="18"/>
                <w:szCs w:val="18"/>
              </w:rPr>
              <w:t>20%</w:t>
            </w:r>
          </w:p>
        </w:tc>
        <w:tc>
          <w:tcPr>
            <w:tcW w:w="1890" w:type="dxa"/>
            <w:gridSpan w:val="2"/>
            <w:tcBorders>
              <w:left w:val="nil"/>
              <w:right w:val="nil"/>
            </w:tcBorders>
            <w:shd w:val="clear" w:color="auto" w:fill="FFFFFF"/>
            <w:noWrap/>
            <w:vAlign w:val="center"/>
          </w:tcPr>
          <w:p w:rsidR="009D2CAE" w:rsidRPr="007C0CDA" w:rsidRDefault="009D2CAE" w:rsidP="00E45795">
            <w:pPr>
              <w:keepNext/>
              <w:jc w:val="right"/>
              <w:rPr>
                <w:rFonts w:ascii="Arial" w:hAnsi="Arial" w:cs="Arial"/>
                <w:color w:val="000000"/>
                <w:sz w:val="18"/>
                <w:szCs w:val="18"/>
              </w:rPr>
            </w:pPr>
            <w:r w:rsidRPr="007C0CDA">
              <w:rPr>
                <w:color w:val="000000"/>
                <w:sz w:val="18"/>
                <w:szCs w:val="18"/>
              </w:rPr>
              <w:t>Záruky</w:t>
            </w:r>
          </w:p>
        </w:tc>
      </w:tr>
      <w:tr w:rsidR="009D2CAE" w:rsidRPr="007C0CDA" w:rsidTr="00E45795">
        <w:trPr>
          <w:trHeight w:val="300"/>
        </w:trPr>
        <w:tc>
          <w:tcPr>
            <w:tcW w:w="3289" w:type="dxa"/>
            <w:tcBorders>
              <w:left w:val="nil"/>
              <w:right w:val="nil"/>
            </w:tcBorders>
            <w:shd w:val="clear" w:color="auto" w:fill="FFFFFF"/>
            <w:noWrap/>
            <w:vAlign w:val="center"/>
          </w:tcPr>
          <w:p w:rsidR="009D2CAE" w:rsidRPr="007C0CDA" w:rsidRDefault="009D2CAE" w:rsidP="00E45795">
            <w:pPr>
              <w:jc w:val="left"/>
              <w:rPr>
                <w:rFonts w:ascii="Arial" w:hAnsi="Arial" w:cs="Arial"/>
                <w:sz w:val="19"/>
                <w:szCs w:val="24"/>
                <w:lang w:eastAsia="en-US"/>
              </w:rPr>
            </w:pPr>
            <w:r w:rsidRPr="007C0CDA">
              <w:rPr>
                <w:color w:val="000000"/>
                <w:sz w:val="18"/>
                <w:szCs w:val="18"/>
              </w:rPr>
              <w:t>Regenerace brownfieldů</w:t>
            </w:r>
          </w:p>
        </w:tc>
        <w:tc>
          <w:tcPr>
            <w:tcW w:w="1060" w:type="dxa"/>
            <w:tcBorders>
              <w:left w:val="nil"/>
              <w:right w:val="nil"/>
            </w:tcBorders>
            <w:shd w:val="clear" w:color="auto" w:fill="FFFFFF"/>
            <w:noWrap/>
            <w:vAlign w:val="center"/>
          </w:tcPr>
          <w:p w:rsidR="009D2CAE" w:rsidRPr="007C0CDA" w:rsidRDefault="009D2CAE" w:rsidP="00E45795">
            <w:pPr>
              <w:keepNext/>
              <w:jc w:val="right"/>
              <w:rPr>
                <w:rFonts w:ascii="Arial" w:hAnsi="Arial" w:cs="Arial"/>
                <w:color w:val="000000"/>
                <w:sz w:val="18"/>
                <w:szCs w:val="18"/>
              </w:rPr>
            </w:pPr>
            <w:r w:rsidRPr="007C0CDA">
              <w:rPr>
                <w:color w:val="000000"/>
                <w:sz w:val="18"/>
                <w:szCs w:val="18"/>
              </w:rPr>
              <w:t>39%</w:t>
            </w:r>
          </w:p>
        </w:tc>
        <w:tc>
          <w:tcPr>
            <w:tcW w:w="960" w:type="dxa"/>
            <w:tcBorders>
              <w:left w:val="nil"/>
              <w:right w:val="nil"/>
            </w:tcBorders>
            <w:shd w:val="clear" w:color="auto" w:fill="FFFFFF"/>
            <w:noWrap/>
            <w:vAlign w:val="center"/>
          </w:tcPr>
          <w:p w:rsidR="009D2CAE" w:rsidRPr="007C0CDA" w:rsidRDefault="009D2CAE" w:rsidP="00E45795">
            <w:pPr>
              <w:keepNext/>
              <w:jc w:val="right"/>
              <w:rPr>
                <w:rFonts w:ascii="Arial" w:hAnsi="Arial" w:cs="Arial"/>
                <w:color w:val="000000"/>
                <w:sz w:val="18"/>
                <w:szCs w:val="18"/>
              </w:rPr>
            </w:pPr>
            <w:r w:rsidRPr="007C0CDA">
              <w:rPr>
                <w:color w:val="000000"/>
                <w:sz w:val="18"/>
                <w:szCs w:val="18"/>
              </w:rPr>
              <w:t>30%</w:t>
            </w:r>
          </w:p>
        </w:tc>
        <w:tc>
          <w:tcPr>
            <w:tcW w:w="960" w:type="dxa"/>
            <w:tcBorders>
              <w:left w:val="nil"/>
              <w:right w:val="nil"/>
            </w:tcBorders>
            <w:shd w:val="clear" w:color="auto" w:fill="FFFFFF"/>
            <w:noWrap/>
            <w:vAlign w:val="center"/>
          </w:tcPr>
          <w:p w:rsidR="009D2CAE" w:rsidRPr="007C0CDA" w:rsidRDefault="009D2CAE" w:rsidP="00E45795">
            <w:pPr>
              <w:keepNext/>
              <w:jc w:val="right"/>
              <w:rPr>
                <w:rFonts w:ascii="Arial" w:hAnsi="Arial" w:cs="Arial"/>
                <w:color w:val="000000"/>
                <w:sz w:val="18"/>
                <w:szCs w:val="18"/>
              </w:rPr>
            </w:pPr>
            <w:r w:rsidRPr="007C0CDA">
              <w:rPr>
                <w:color w:val="000000"/>
                <w:sz w:val="18"/>
                <w:szCs w:val="18"/>
              </w:rPr>
              <w:t>17%</w:t>
            </w:r>
          </w:p>
        </w:tc>
        <w:tc>
          <w:tcPr>
            <w:tcW w:w="960" w:type="dxa"/>
            <w:tcBorders>
              <w:left w:val="nil"/>
              <w:right w:val="nil"/>
            </w:tcBorders>
            <w:shd w:val="clear" w:color="auto" w:fill="FFFFFF"/>
            <w:noWrap/>
            <w:vAlign w:val="center"/>
          </w:tcPr>
          <w:p w:rsidR="009D2CAE" w:rsidRPr="007C0CDA" w:rsidRDefault="009D2CAE" w:rsidP="00E45795">
            <w:pPr>
              <w:keepNext/>
              <w:jc w:val="right"/>
              <w:rPr>
                <w:rFonts w:ascii="Arial" w:hAnsi="Arial" w:cs="Arial"/>
                <w:color w:val="000000"/>
                <w:sz w:val="18"/>
                <w:szCs w:val="18"/>
              </w:rPr>
            </w:pPr>
            <w:r w:rsidRPr="007C0CDA">
              <w:rPr>
                <w:color w:val="000000"/>
                <w:sz w:val="18"/>
                <w:szCs w:val="18"/>
              </w:rPr>
              <w:t>13%</w:t>
            </w:r>
          </w:p>
        </w:tc>
        <w:tc>
          <w:tcPr>
            <w:tcW w:w="1890" w:type="dxa"/>
            <w:gridSpan w:val="2"/>
            <w:tcBorders>
              <w:left w:val="nil"/>
              <w:right w:val="nil"/>
            </w:tcBorders>
            <w:shd w:val="clear" w:color="auto" w:fill="FFFFFF"/>
            <w:noWrap/>
            <w:vAlign w:val="center"/>
          </w:tcPr>
          <w:p w:rsidR="009D2CAE" w:rsidRPr="007C0CDA" w:rsidRDefault="009D2CAE" w:rsidP="00E45795">
            <w:pPr>
              <w:keepNext/>
              <w:jc w:val="right"/>
              <w:rPr>
                <w:rFonts w:ascii="Arial" w:hAnsi="Arial" w:cs="Arial"/>
                <w:color w:val="000000"/>
                <w:sz w:val="18"/>
                <w:szCs w:val="18"/>
              </w:rPr>
            </w:pPr>
            <w:r w:rsidRPr="007C0CDA">
              <w:rPr>
                <w:color w:val="000000"/>
                <w:sz w:val="18"/>
                <w:szCs w:val="18"/>
              </w:rPr>
              <w:t>Zvýhodněný úvěr</w:t>
            </w:r>
          </w:p>
        </w:tc>
      </w:tr>
      <w:tr w:rsidR="009D2CAE" w:rsidRPr="007C0CDA" w:rsidTr="00E45795">
        <w:trPr>
          <w:trHeight w:val="20"/>
        </w:trPr>
        <w:tc>
          <w:tcPr>
            <w:tcW w:w="9119" w:type="dxa"/>
            <w:gridSpan w:val="7"/>
            <w:tcBorders>
              <w:left w:val="nil"/>
              <w:right w:val="nil"/>
            </w:tcBorders>
            <w:shd w:val="clear" w:color="auto" w:fill="548DD4"/>
            <w:noWrap/>
            <w:vAlign w:val="center"/>
          </w:tcPr>
          <w:p w:rsidR="009D2CAE" w:rsidRPr="007C0CDA" w:rsidRDefault="009D2CAE" w:rsidP="00E45795">
            <w:pPr>
              <w:jc w:val="left"/>
              <w:rPr>
                <w:rFonts w:cs="Calibri"/>
                <w:color w:val="FFFFFF"/>
                <w:szCs w:val="22"/>
                <w:lang w:eastAsia="en-US"/>
              </w:rPr>
            </w:pPr>
            <w:r w:rsidRPr="007C0CDA">
              <w:rPr>
                <w:b/>
                <w:bCs/>
                <w:color w:val="FFFFFF"/>
                <w:sz w:val="18"/>
                <w:szCs w:val="18"/>
              </w:rPr>
              <w:t>V případě, že jste odpověděli spíše ne/ne, změnila by se Vaše odpověď na minulou otázku, kdyby zvýhodněný úvěr obsahoval příslib omezené dotační podpory (např. 10% celkové investice) v případě, že jsou naplněny vybrané cíle projektu?</w:t>
            </w:r>
          </w:p>
          <w:p w:rsidR="009D2CAE" w:rsidRPr="007C0CDA" w:rsidRDefault="009D2CAE" w:rsidP="00E45795">
            <w:pPr>
              <w:keepNext/>
              <w:jc w:val="left"/>
              <w:rPr>
                <w:rFonts w:ascii="Arial" w:hAnsi="Arial" w:cs="Arial"/>
                <w:color w:val="FFFFFF"/>
                <w:sz w:val="18"/>
                <w:szCs w:val="18"/>
              </w:rPr>
            </w:pPr>
          </w:p>
        </w:tc>
      </w:tr>
      <w:tr w:rsidR="009D2CAE" w:rsidRPr="007C0CDA" w:rsidTr="00E45795">
        <w:trPr>
          <w:trHeight w:val="20"/>
        </w:trPr>
        <w:tc>
          <w:tcPr>
            <w:tcW w:w="3289" w:type="dxa"/>
            <w:tcBorders>
              <w:left w:val="nil"/>
              <w:right w:val="nil"/>
            </w:tcBorders>
            <w:shd w:val="clear" w:color="auto" w:fill="548DD4"/>
            <w:noWrap/>
            <w:vAlign w:val="center"/>
          </w:tcPr>
          <w:p w:rsidR="009D2CAE" w:rsidRPr="007C0CDA" w:rsidRDefault="009D2CAE" w:rsidP="00E45795">
            <w:pPr>
              <w:jc w:val="left"/>
              <w:rPr>
                <w:rFonts w:ascii="Arial" w:hAnsi="Arial" w:cs="Arial"/>
                <w:color w:val="FFFFFF"/>
                <w:sz w:val="18"/>
                <w:szCs w:val="18"/>
              </w:rPr>
            </w:pPr>
          </w:p>
        </w:tc>
        <w:tc>
          <w:tcPr>
            <w:tcW w:w="1060" w:type="dxa"/>
            <w:tcBorders>
              <w:left w:val="nil"/>
              <w:right w:val="nil"/>
            </w:tcBorders>
            <w:shd w:val="clear" w:color="auto" w:fill="548DD4"/>
            <w:noWrap/>
            <w:vAlign w:val="center"/>
          </w:tcPr>
          <w:p w:rsidR="009D2CAE" w:rsidRPr="007C0CDA" w:rsidRDefault="009D2CAE" w:rsidP="00E45795">
            <w:pPr>
              <w:keepNext/>
              <w:jc w:val="center"/>
              <w:rPr>
                <w:rFonts w:ascii="Arial" w:hAnsi="Arial" w:cs="Arial"/>
                <w:b/>
                <w:bCs/>
                <w:color w:val="FFFFFF"/>
                <w:sz w:val="18"/>
                <w:szCs w:val="18"/>
              </w:rPr>
            </w:pPr>
            <w:r w:rsidRPr="007C0CDA">
              <w:rPr>
                <w:b/>
                <w:bCs/>
                <w:color w:val="FFFFFF"/>
                <w:sz w:val="18"/>
                <w:szCs w:val="18"/>
              </w:rPr>
              <w:t>Určitě ano</w:t>
            </w:r>
          </w:p>
        </w:tc>
        <w:tc>
          <w:tcPr>
            <w:tcW w:w="960" w:type="dxa"/>
            <w:tcBorders>
              <w:left w:val="nil"/>
              <w:right w:val="nil"/>
            </w:tcBorders>
            <w:shd w:val="clear" w:color="auto" w:fill="548DD4"/>
            <w:noWrap/>
            <w:vAlign w:val="center"/>
          </w:tcPr>
          <w:p w:rsidR="009D2CAE" w:rsidRPr="007C0CDA" w:rsidRDefault="009D2CAE" w:rsidP="00E45795">
            <w:pPr>
              <w:keepNext/>
              <w:jc w:val="center"/>
              <w:rPr>
                <w:rFonts w:ascii="Arial" w:hAnsi="Arial" w:cs="Arial"/>
                <w:b/>
                <w:bCs/>
                <w:color w:val="FFFFFF"/>
                <w:sz w:val="18"/>
                <w:szCs w:val="18"/>
              </w:rPr>
            </w:pPr>
            <w:r w:rsidRPr="007C0CDA">
              <w:rPr>
                <w:b/>
                <w:bCs/>
                <w:color w:val="FFFFFF"/>
                <w:sz w:val="18"/>
                <w:szCs w:val="18"/>
              </w:rPr>
              <w:t>Spíše ano</w:t>
            </w:r>
          </w:p>
        </w:tc>
        <w:tc>
          <w:tcPr>
            <w:tcW w:w="960" w:type="dxa"/>
            <w:tcBorders>
              <w:left w:val="nil"/>
              <w:right w:val="nil"/>
            </w:tcBorders>
            <w:shd w:val="clear" w:color="auto" w:fill="548DD4"/>
            <w:noWrap/>
            <w:vAlign w:val="center"/>
          </w:tcPr>
          <w:p w:rsidR="009D2CAE" w:rsidRPr="007C0CDA" w:rsidRDefault="009D2CAE" w:rsidP="00E45795">
            <w:pPr>
              <w:keepNext/>
              <w:jc w:val="center"/>
              <w:rPr>
                <w:rFonts w:ascii="Arial" w:hAnsi="Arial" w:cs="Arial"/>
                <w:b/>
                <w:bCs/>
                <w:color w:val="FFFFFF"/>
                <w:sz w:val="18"/>
                <w:szCs w:val="18"/>
              </w:rPr>
            </w:pPr>
            <w:r w:rsidRPr="007C0CDA">
              <w:rPr>
                <w:b/>
                <w:bCs/>
                <w:color w:val="FFFFFF"/>
                <w:sz w:val="18"/>
                <w:szCs w:val="18"/>
              </w:rPr>
              <w:t>Spíše ne</w:t>
            </w:r>
          </w:p>
        </w:tc>
        <w:tc>
          <w:tcPr>
            <w:tcW w:w="960" w:type="dxa"/>
            <w:tcBorders>
              <w:left w:val="nil"/>
              <w:right w:val="nil"/>
            </w:tcBorders>
            <w:shd w:val="clear" w:color="auto" w:fill="548DD4"/>
            <w:noWrap/>
            <w:vAlign w:val="center"/>
          </w:tcPr>
          <w:p w:rsidR="009D2CAE" w:rsidRPr="007C0CDA" w:rsidRDefault="009D2CAE" w:rsidP="00E45795">
            <w:pPr>
              <w:keepNext/>
              <w:jc w:val="center"/>
              <w:rPr>
                <w:rFonts w:ascii="Arial" w:hAnsi="Arial" w:cs="Arial"/>
                <w:b/>
                <w:bCs/>
                <w:color w:val="FFFFFF"/>
                <w:sz w:val="18"/>
                <w:szCs w:val="18"/>
              </w:rPr>
            </w:pPr>
            <w:r w:rsidRPr="007C0CDA">
              <w:rPr>
                <w:b/>
                <w:bCs/>
                <w:color w:val="FFFFFF"/>
                <w:sz w:val="18"/>
                <w:szCs w:val="18"/>
              </w:rPr>
              <w:t>Určitě ne</w:t>
            </w:r>
          </w:p>
        </w:tc>
        <w:tc>
          <w:tcPr>
            <w:tcW w:w="1890" w:type="dxa"/>
            <w:gridSpan w:val="2"/>
            <w:tcBorders>
              <w:left w:val="nil"/>
              <w:right w:val="nil"/>
            </w:tcBorders>
            <w:shd w:val="clear" w:color="auto" w:fill="548DD4"/>
            <w:noWrap/>
            <w:vAlign w:val="center"/>
          </w:tcPr>
          <w:p w:rsidR="009D2CAE" w:rsidRPr="007C0CDA" w:rsidRDefault="009D2CAE" w:rsidP="00E45795">
            <w:pPr>
              <w:keepNext/>
              <w:jc w:val="center"/>
              <w:rPr>
                <w:rFonts w:ascii="Arial" w:hAnsi="Arial" w:cs="Arial"/>
                <w:b/>
                <w:bCs/>
                <w:color w:val="FFFFFF"/>
                <w:sz w:val="18"/>
                <w:szCs w:val="18"/>
              </w:rPr>
            </w:pPr>
            <w:r w:rsidRPr="007C0CDA">
              <w:rPr>
                <w:b/>
                <w:bCs/>
                <w:color w:val="FFFFFF"/>
                <w:sz w:val="18"/>
                <w:szCs w:val="18"/>
              </w:rPr>
              <w:t>Typ nástroje</w:t>
            </w:r>
          </w:p>
        </w:tc>
      </w:tr>
      <w:tr w:rsidR="009D2CAE" w:rsidRPr="007C0CDA" w:rsidTr="00E45795">
        <w:trPr>
          <w:trHeight w:val="300"/>
        </w:trPr>
        <w:tc>
          <w:tcPr>
            <w:tcW w:w="3289" w:type="dxa"/>
            <w:tcBorders>
              <w:left w:val="nil"/>
              <w:right w:val="nil"/>
            </w:tcBorders>
            <w:shd w:val="clear" w:color="auto" w:fill="FFFFFF"/>
            <w:noWrap/>
            <w:vAlign w:val="center"/>
          </w:tcPr>
          <w:p w:rsidR="009D2CAE" w:rsidRPr="007C0CDA" w:rsidRDefault="009D2CAE" w:rsidP="00E45795">
            <w:pPr>
              <w:jc w:val="left"/>
              <w:rPr>
                <w:rFonts w:ascii="Arial" w:hAnsi="Arial" w:cs="Arial"/>
                <w:sz w:val="19"/>
                <w:szCs w:val="24"/>
                <w:lang w:eastAsia="en-US"/>
              </w:rPr>
            </w:pPr>
            <w:r w:rsidRPr="007C0CDA">
              <w:rPr>
                <w:color w:val="000000"/>
                <w:sz w:val="18"/>
                <w:szCs w:val="18"/>
              </w:rPr>
              <w:t>Regenerace brownfieldů</w:t>
            </w:r>
          </w:p>
        </w:tc>
        <w:tc>
          <w:tcPr>
            <w:tcW w:w="1060" w:type="dxa"/>
            <w:tcBorders>
              <w:left w:val="nil"/>
              <w:right w:val="nil"/>
            </w:tcBorders>
            <w:shd w:val="clear" w:color="auto" w:fill="FFFFFF"/>
            <w:noWrap/>
            <w:vAlign w:val="center"/>
          </w:tcPr>
          <w:p w:rsidR="009D2CAE" w:rsidRPr="007C0CDA" w:rsidRDefault="009D2CAE" w:rsidP="00E45795">
            <w:pPr>
              <w:jc w:val="right"/>
              <w:rPr>
                <w:rFonts w:cs="Calibri"/>
                <w:color w:val="000000"/>
                <w:szCs w:val="22"/>
                <w:lang w:eastAsia="en-US"/>
              </w:rPr>
            </w:pPr>
            <w:r w:rsidRPr="007C0CDA">
              <w:rPr>
                <w:rFonts w:cs="Calibri"/>
                <w:color w:val="000000"/>
                <w:szCs w:val="22"/>
              </w:rPr>
              <w:t>22%</w:t>
            </w:r>
          </w:p>
        </w:tc>
        <w:tc>
          <w:tcPr>
            <w:tcW w:w="960" w:type="dxa"/>
            <w:tcBorders>
              <w:left w:val="nil"/>
              <w:right w:val="nil"/>
            </w:tcBorders>
            <w:shd w:val="clear" w:color="auto" w:fill="FFFFFF"/>
            <w:noWrap/>
            <w:vAlign w:val="center"/>
          </w:tcPr>
          <w:p w:rsidR="009D2CAE" w:rsidRPr="007C0CDA" w:rsidRDefault="009D2CAE" w:rsidP="00E45795">
            <w:pPr>
              <w:jc w:val="right"/>
              <w:rPr>
                <w:rFonts w:cs="Calibri"/>
                <w:color w:val="000000"/>
                <w:szCs w:val="22"/>
                <w:lang w:eastAsia="en-US"/>
              </w:rPr>
            </w:pPr>
            <w:r w:rsidRPr="007C0CDA">
              <w:rPr>
                <w:rFonts w:cs="Calibri"/>
                <w:color w:val="000000"/>
                <w:szCs w:val="22"/>
              </w:rPr>
              <w:t>31%</w:t>
            </w:r>
          </w:p>
        </w:tc>
        <w:tc>
          <w:tcPr>
            <w:tcW w:w="960" w:type="dxa"/>
            <w:tcBorders>
              <w:left w:val="nil"/>
              <w:right w:val="nil"/>
            </w:tcBorders>
            <w:shd w:val="clear" w:color="auto" w:fill="FFFFFF"/>
            <w:noWrap/>
            <w:vAlign w:val="center"/>
          </w:tcPr>
          <w:p w:rsidR="009D2CAE" w:rsidRPr="007C0CDA" w:rsidRDefault="009D2CAE" w:rsidP="00E45795">
            <w:pPr>
              <w:jc w:val="right"/>
              <w:rPr>
                <w:rFonts w:cs="Calibri"/>
                <w:color w:val="000000"/>
                <w:szCs w:val="22"/>
                <w:lang w:eastAsia="en-US"/>
              </w:rPr>
            </w:pPr>
            <w:r w:rsidRPr="007C0CDA">
              <w:rPr>
                <w:rFonts w:cs="Calibri"/>
                <w:color w:val="000000"/>
                <w:szCs w:val="22"/>
              </w:rPr>
              <w:t>24%</w:t>
            </w:r>
          </w:p>
        </w:tc>
        <w:tc>
          <w:tcPr>
            <w:tcW w:w="960" w:type="dxa"/>
            <w:tcBorders>
              <w:left w:val="nil"/>
              <w:right w:val="nil"/>
            </w:tcBorders>
            <w:shd w:val="clear" w:color="auto" w:fill="FFFFFF"/>
            <w:noWrap/>
            <w:vAlign w:val="center"/>
          </w:tcPr>
          <w:p w:rsidR="009D2CAE" w:rsidRPr="007C0CDA" w:rsidRDefault="009D2CAE" w:rsidP="00E45795">
            <w:pPr>
              <w:jc w:val="right"/>
              <w:rPr>
                <w:rFonts w:cs="Calibri"/>
                <w:color w:val="000000"/>
                <w:szCs w:val="22"/>
                <w:lang w:eastAsia="en-US"/>
              </w:rPr>
            </w:pPr>
            <w:r w:rsidRPr="007C0CDA">
              <w:rPr>
                <w:rFonts w:cs="Calibri"/>
                <w:color w:val="000000"/>
                <w:szCs w:val="22"/>
              </w:rPr>
              <w:t>23%</w:t>
            </w:r>
          </w:p>
        </w:tc>
        <w:tc>
          <w:tcPr>
            <w:tcW w:w="1890" w:type="dxa"/>
            <w:gridSpan w:val="2"/>
            <w:tcBorders>
              <w:left w:val="nil"/>
              <w:right w:val="nil"/>
            </w:tcBorders>
            <w:shd w:val="clear" w:color="auto" w:fill="FFFFFF"/>
            <w:noWrap/>
            <w:vAlign w:val="center"/>
          </w:tcPr>
          <w:p w:rsidR="009D2CAE" w:rsidRPr="007C0CDA" w:rsidRDefault="009D2CAE" w:rsidP="00E45795">
            <w:pPr>
              <w:keepNext/>
              <w:jc w:val="right"/>
              <w:rPr>
                <w:rFonts w:ascii="Arial" w:hAnsi="Arial" w:cs="Arial"/>
                <w:color w:val="000000"/>
                <w:sz w:val="18"/>
                <w:szCs w:val="18"/>
              </w:rPr>
            </w:pPr>
            <w:r w:rsidRPr="007C0CDA">
              <w:rPr>
                <w:color w:val="000000"/>
                <w:sz w:val="18"/>
                <w:szCs w:val="18"/>
              </w:rPr>
              <w:t>Zvýhodněný úvěr + dotace</w:t>
            </w:r>
          </w:p>
        </w:tc>
      </w:tr>
    </w:tbl>
    <w:p w:rsidR="009D2CAE" w:rsidRPr="007C0CDA" w:rsidRDefault="009D2CAE" w:rsidP="00022730">
      <w:pPr>
        <w:pStyle w:val="Titulek"/>
        <w:jc w:val="center"/>
      </w:pPr>
      <w:r w:rsidRPr="007C0CDA">
        <w:t>Tabulka 11: Aktivační potenciál finančních nástrojů</w:t>
      </w:r>
    </w:p>
    <w:p w:rsidR="009D2CAE" w:rsidRPr="007C0CDA" w:rsidRDefault="009D2CAE" w:rsidP="00022730">
      <w:pPr>
        <w:pStyle w:val="Titulek"/>
        <w:jc w:val="center"/>
      </w:pPr>
      <w:r w:rsidRPr="007C0CDA">
        <w:t>Zdroj: Dotazník ex ante FN OP PIK</w:t>
      </w:r>
    </w:p>
    <w:p w:rsidR="009D2CAE" w:rsidRPr="007C0CDA" w:rsidRDefault="009D2CAE" w:rsidP="00F7702D">
      <w:pPr>
        <w:rPr>
          <w:lang w:eastAsia="en-US"/>
        </w:rPr>
      </w:pPr>
    </w:p>
    <w:p w:rsidR="009D2CAE" w:rsidRPr="007C0CDA" w:rsidRDefault="00EB326E" w:rsidP="005162A5">
      <w:pPr>
        <w:pStyle w:val="Neslovannadpisy"/>
        <w:rPr>
          <w:lang w:eastAsia="en-US"/>
        </w:rPr>
      </w:pPr>
      <w:r>
        <w:rPr>
          <w:lang w:eastAsia="en-US"/>
        </w:rPr>
        <w:t>Vymezení absorpční kapacity</w:t>
      </w:r>
    </w:p>
    <w:p w:rsidR="009D2CAE" w:rsidRPr="007C0CDA" w:rsidRDefault="009D2CAE" w:rsidP="005162A5">
      <w:pPr>
        <w:rPr>
          <w:lang w:eastAsia="en-US"/>
        </w:rPr>
      </w:pPr>
      <w:r w:rsidRPr="007C0CDA">
        <w:rPr>
          <w:lang w:eastAsia="en-US"/>
        </w:rPr>
        <w:t xml:space="preserve">Na základě minulé poptávky v OP PI i současného trendu růstu zájmu o podnikatelské nemovitosti lze předpokládat, že </w:t>
      </w:r>
      <w:r w:rsidRPr="002433DA">
        <w:rPr>
          <w:b/>
          <w:lang w:eastAsia="en-US"/>
        </w:rPr>
        <w:t>potenciální investiční poptávka za podmínky dostatečné incentivizace veřejnou podporou bude výrazně přesahovat vyčleněnou alokaci SC 2.3</w:t>
      </w:r>
      <w:r w:rsidR="00EB326E">
        <w:rPr>
          <w:b/>
          <w:lang w:eastAsia="en-US"/>
        </w:rPr>
        <w:t xml:space="preserve"> </w:t>
      </w:r>
      <w:r w:rsidRPr="002433DA">
        <w:rPr>
          <w:b/>
          <w:lang w:eastAsia="en-US"/>
        </w:rPr>
        <w:t>113 mil EUR</w:t>
      </w:r>
      <w:r w:rsidRPr="007C0CDA">
        <w:rPr>
          <w:lang w:eastAsia="en-US"/>
        </w:rPr>
        <w:t>. V programu OPPI činila poptávka v případě rekonstrukce BF a podnikatelských nemovitostí 28 mld. Kč dotací, tedy cca 64 mld. Kč uznatelných nákladů pouze v programu Nemovitosti. Vzhledem k vysoké citlivosti investiční poptávky na podporu lze předpokládat poptávku nižší vlivem snížení maximální míry dotační podpory na 45 % uznatelných nákladů, růst na trhu podnikatelských nemovitostí nicméně může poptávku naopak výrazně navýšit.</w:t>
      </w:r>
    </w:p>
    <w:p w:rsidR="009D2CAE" w:rsidRPr="007C0CDA" w:rsidRDefault="009D2CAE" w:rsidP="005162A5">
      <w:pPr>
        <w:rPr>
          <w:lang w:eastAsia="en-US"/>
        </w:rPr>
      </w:pPr>
    </w:p>
    <w:p w:rsidR="00947665" w:rsidRDefault="009D2CAE" w:rsidP="005162A5">
      <w:pPr>
        <w:rPr>
          <w:lang w:eastAsia="en-US"/>
        </w:rPr>
      </w:pPr>
      <w:r w:rsidRPr="007C0CDA">
        <w:rPr>
          <w:lang w:eastAsia="en-US"/>
        </w:rPr>
        <w:t>Nezanedbatelný počet cílových projektů SC 2.3, které byly rekonstruovány bez dotační podpory, naznačuje u vhodného typu objektů poměrně výrazný potenciál poptávky i po měkčím druhu podpory formou finančních nástrojů</w:t>
      </w:r>
      <w:r w:rsidR="00EB326E">
        <w:rPr>
          <w:lang w:eastAsia="en-US"/>
        </w:rPr>
        <w:t>, jak dokládá též dotazníkové šetření</w:t>
      </w:r>
      <w:r w:rsidRPr="007C0CDA">
        <w:rPr>
          <w:lang w:eastAsia="en-US"/>
        </w:rPr>
        <w:t xml:space="preserve"> – a to i s ohledem na to, že rekonstrukce podnikatelských nemovitostí byly v minulých letech</w:t>
      </w:r>
      <w:r w:rsidR="00D51B9B">
        <w:rPr>
          <w:lang w:eastAsia="en-US"/>
        </w:rPr>
        <w:t xml:space="preserve"> v některých případech</w:t>
      </w:r>
      <w:r w:rsidRPr="007C0CDA">
        <w:rPr>
          <w:lang w:eastAsia="en-US"/>
        </w:rPr>
        <w:t xml:space="preserve"> realizovány i v rámci finančních nástrojů prostřednictvím ČMZ</w:t>
      </w:r>
      <w:r w:rsidR="00D51B9B">
        <w:rPr>
          <w:lang w:eastAsia="en-US"/>
        </w:rPr>
        <w:t>RB, v rámci podpory rozvoje podniků</w:t>
      </w:r>
      <w:r w:rsidRPr="007C0CDA">
        <w:rPr>
          <w:lang w:eastAsia="en-US"/>
        </w:rPr>
        <w:t>.</w:t>
      </w:r>
      <w:r w:rsidR="00D51B9B">
        <w:rPr>
          <w:lang w:eastAsia="en-US"/>
        </w:rPr>
        <w:t xml:space="preserve"> </w:t>
      </w:r>
      <w:r w:rsidR="00D80362">
        <w:rPr>
          <w:lang w:eastAsia="en-US"/>
        </w:rPr>
        <w:t xml:space="preserve">Z velké </w:t>
      </w:r>
      <w:r w:rsidR="00947665">
        <w:rPr>
          <w:lang w:eastAsia="en-US"/>
        </w:rPr>
        <w:t>části se ni</w:t>
      </w:r>
      <w:r w:rsidR="00D80362">
        <w:rPr>
          <w:lang w:eastAsia="en-US"/>
        </w:rPr>
        <w:t>c</w:t>
      </w:r>
      <w:r w:rsidR="00947665">
        <w:rPr>
          <w:lang w:eastAsia="en-US"/>
        </w:rPr>
        <w:t>m</w:t>
      </w:r>
      <w:r w:rsidR="00D80362">
        <w:rPr>
          <w:lang w:eastAsia="en-US"/>
        </w:rPr>
        <w:t>éně bude při tomto druhu podpory jednat o rekonstrukce podnikatelských objektů, které nevyžadují tak velké investice a</w:t>
      </w:r>
      <w:r w:rsidR="00947665">
        <w:rPr>
          <w:lang w:eastAsia="en-US"/>
        </w:rPr>
        <w:t xml:space="preserve"> nevykazují natolik výrazné</w:t>
      </w:r>
      <w:r w:rsidR="00D80362">
        <w:rPr>
          <w:lang w:eastAsia="en-US"/>
        </w:rPr>
        <w:t xml:space="preserve"> tržní selhání</w:t>
      </w:r>
      <w:r w:rsidR="00947665">
        <w:rPr>
          <w:lang w:eastAsia="en-US"/>
        </w:rPr>
        <w:t xml:space="preserve"> – resp</w:t>
      </w:r>
      <w:r w:rsidR="00D80362">
        <w:rPr>
          <w:lang w:eastAsia="en-US"/>
        </w:rPr>
        <w:t>.</w:t>
      </w:r>
      <w:r w:rsidR="00947665">
        <w:rPr>
          <w:lang w:eastAsia="en-US"/>
        </w:rPr>
        <w:t xml:space="preserve"> spíše tržní selhání pokrývané v SC 2.1. V oblasti hůře revitalizovatelných BF bude mít úvěrový nástroj velmi malou absorpční kapacitu.</w:t>
      </w:r>
    </w:p>
    <w:p w:rsidR="009D2CAE" w:rsidRPr="007C0CDA" w:rsidRDefault="009D2CAE" w:rsidP="005162A5">
      <w:pPr>
        <w:rPr>
          <w:lang w:eastAsia="en-US"/>
        </w:rPr>
      </w:pPr>
    </w:p>
    <w:p w:rsidR="009D2CAE" w:rsidRPr="007C0CDA" w:rsidRDefault="009D2CAE" w:rsidP="005162A5">
      <w:pPr>
        <w:rPr>
          <w:lang w:eastAsia="en-US"/>
        </w:rPr>
      </w:pPr>
      <w:r w:rsidRPr="007C0CDA">
        <w:rPr>
          <w:lang w:eastAsia="en-US"/>
        </w:rPr>
        <w:t>Absorpční kapacita u nástroje formou rozvojové společnosti je závislá zejména na počtu vhodných lokalit</w:t>
      </w:r>
      <w:r w:rsidR="004153D2">
        <w:rPr>
          <w:lang w:eastAsia="en-US"/>
        </w:rPr>
        <w:t xml:space="preserve"> (BF s rozlohou větší jak 10 ha s potenciálem tržní regenerovatelnosti)</w:t>
      </w:r>
      <w:r w:rsidRPr="007C0CDA">
        <w:rPr>
          <w:lang w:eastAsia="en-US"/>
        </w:rPr>
        <w:t xml:space="preserve"> pro tento specificky vyčleněný úsek.</w:t>
      </w:r>
      <w:r w:rsidR="004153D2">
        <w:rPr>
          <w:lang w:eastAsia="en-US"/>
        </w:rPr>
        <w:t xml:space="preserve"> </w:t>
      </w:r>
      <w:r w:rsidRPr="007C0CDA">
        <w:rPr>
          <w:lang w:eastAsia="en-US"/>
        </w:rPr>
        <w:t xml:space="preserve">Podle expertních odhadů odborníků v této oblasti by měla být tato podmínka </w:t>
      </w:r>
      <w:r w:rsidRPr="007C0CDA">
        <w:rPr>
          <w:lang w:eastAsia="en-US"/>
        </w:rPr>
        <w:lastRenderedPageBreak/>
        <w:t>vzhledem k existujícímu tržnímu selhání zajištěna.</w:t>
      </w:r>
      <w:r w:rsidR="004153D2">
        <w:rPr>
          <w:lang w:eastAsia="en-US"/>
        </w:rPr>
        <w:t xml:space="preserve"> Databáze BF v současnosti eviduje 40 lokalit s rozlohou nad 10 he.</w:t>
      </w:r>
    </w:p>
    <w:p w:rsidR="009D2CAE" w:rsidRPr="007C0CDA" w:rsidRDefault="009D2CAE" w:rsidP="005162A5">
      <w:pPr>
        <w:rPr>
          <w:lang w:eastAsia="en-US"/>
        </w:rPr>
      </w:pPr>
    </w:p>
    <w:p w:rsidR="009D2CAE" w:rsidRPr="00172EF4" w:rsidRDefault="009D2CAE" w:rsidP="002433DA">
      <w:pPr>
        <w:pStyle w:val="Nadpis3"/>
        <w:rPr>
          <w:lang w:eastAsia="en-US"/>
        </w:rPr>
      </w:pPr>
      <w:bookmarkStart w:id="465" w:name="_Toc416383830"/>
      <w:bookmarkStart w:id="466" w:name="_Toc416447819"/>
      <w:bookmarkStart w:id="467" w:name="_Toc416447820"/>
      <w:bookmarkEnd w:id="465"/>
      <w:bookmarkEnd w:id="466"/>
      <w:r w:rsidRPr="00854519">
        <w:rPr>
          <w:lang w:eastAsia="en-US"/>
        </w:rPr>
        <w:t>Analýza tržních selhání a suboptimální investiční situace</w:t>
      </w:r>
      <w:bookmarkEnd w:id="467"/>
    </w:p>
    <w:p w:rsidR="009D2CAE" w:rsidRPr="007C2066" w:rsidRDefault="009D2CAE" w:rsidP="00A577A4">
      <w:pPr>
        <w:rPr>
          <w:lang w:eastAsia="en-US"/>
        </w:rPr>
      </w:pPr>
      <w:r w:rsidRPr="002433DA">
        <w:rPr>
          <w:lang w:eastAsia="en-US"/>
        </w:rPr>
        <w:t>Hlavní trend přípravy průmyslových nemovitostí je v současnosti odlišný od specifického cíle OP PIK v oblasti podnikatelských nemovitostí. Důvody pro tento stav vyplývají zejména z charakteru objektů a ploch typu BF a z široké dostupnosti GF.</w:t>
      </w:r>
    </w:p>
    <w:p w:rsidR="009D2CAE" w:rsidRPr="007C0CDA" w:rsidRDefault="009D2CAE" w:rsidP="00A577A4">
      <w:pPr>
        <w:rPr>
          <w:lang w:eastAsia="en-US"/>
        </w:rPr>
      </w:pPr>
    </w:p>
    <w:p w:rsidR="009D2CAE" w:rsidRPr="007C0CDA" w:rsidRDefault="009D2CAE" w:rsidP="00BC15AE">
      <w:pPr>
        <w:rPr>
          <w:lang w:eastAsia="en-US"/>
        </w:rPr>
      </w:pPr>
      <w:r w:rsidRPr="007C0CDA">
        <w:rPr>
          <w:lang w:eastAsia="en-US"/>
        </w:rPr>
        <w:t xml:space="preserve">Využití BF a jejich přeměna na využitelné podnikatelské objekty sebou nesou </w:t>
      </w:r>
      <w:r w:rsidRPr="002433DA">
        <w:rPr>
          <w:b/>
          <w:lang w:eastAsia="en-US"/>
        </w:rPr>
        <w:t>dodatečné náklady a rizika, v</w:t>
      </w:r>
      <w:r w:rsidRPr="007C0CDA">
        <w:rPr>
          <w:b/>
          <w:lang w:eastAsia="en-US"/>
        </w:rPr>
        <w:t> </w:t>
      </w:r>
      <w:r w:rsidRPr="002433DA">
        <w:rPr>
          <w:b/>
          <w:lang w:eastAsia="en-US"/>
        </w:rPr>
        <w:t>různé intenzitě dle konkrétního stavu BF a podnikatelské nemovitosti</w:t>
      </w:r>
      <w:r w:rsidRPr="007C0CDA">
        <w:rPr>
          <w:lang w:eastAsia="en-US"/>
        </w:rPr>
        <w:t>– u starých objektů existuje zvýšené riziko dodatečných neplánovaných nákladů, nalezení zprvu neidentifikovaných škod (i ekologických), bariérou mohou být existující majetkoprávní vztahy, technologická omezení apod.</w:t>
      </w:r>
    </w:p>
    <w:p w:rsidR="009D2CAE" w:rsidRPr="007C0CDA" w:rsidRDefault="009D2CAE" w:rsidP="00BC15AE">
      <w:pPr>
        <w:rPr>
          <w:lang w:eastAsia="en-US"/>
        </w:rPr>
      </w:pPr>
    </w:p>
    <w:p w:rsidR="009D2CAE" w:rsidRPr="007C0CDA" w:rsidRDefault="009D2CAE" w:rsidP="00BC15AE">
      <w:pPr>
        <w:rPr>
          <w:lang w:eastAsia="en-US"/>
        </w:rPr>
      </w:pPr>
      <w:r w:rsidRPr="007C0CDA">
        <w:rPr>
          <w:lang w:eastAsia="en-US"/>
        </w:rPr>
        <w:t xml:space="preserve">Část BF je natolik zanedbaná a zatížená škodami, že vyžaduje příliš </w:t>
      </w:r>
      <w:r w:rsidR="00197F96">
        <w:rPr>
          <w:lang w:eastAsia="en-US"/>
        </w:rPr>
        <w:t>vysoké</w:t>
      </w:r>
      <w:r w:rsidR="00197F96" w:rsidRPr="007C0CDA">
        <w:rPr>
          <w:lang w:eastAsia="en-US"/>
        </w:rPr>
        <w:t xml:space="preserve"> </w:t>
      </w:r>
      <w:r w:rsidRPr="007C0CDA">
        <w:rPr>
          <w:lang w:eastAsia="en-US"/>
        </w:rPr>
        <w:t>investice na revitalizaci a z pohledu nákladů a výnosů se zcela se vymyká možnému tržnímu zájmu o jejich obnovu.Nízká poptávka po BF může být způsobená také nenákladovými faktory. Z logistického hlediska je využitelnost pozemku omezena vzdáleností a dopravní dostupností. Průmyslové zóny (BF), které se nacházejí v méně dostupných částech ČR, se mohou setkávat s nulovým zájmem o využití – to se týká velikého množství v současnosti evidovaných BF z oblasti zemědělství a bývalých vojenských objektů.</w:t>
      </w:r>
    </w:p>
    <w:p w:rsidR="009D2CAE" w:rsidRPr="007C0CDA" w:rsidRDefault="009D2CAE" w:rsidP="001B56F4">
      <w:pPr>
        <w:rPr>
          <w:lang w:eastAsia="en-US"/>
        </w:rPr>
      </w:pPr>
    </w:p>
    <w:p w:rsidR="009D2CAE" w:rsidRPr="007C0CDA" w:rsidRDefault="009D2CAE" w:rsidP="00BC15AE">
      <w:pPr>
        <w:rPr>
          <w:lang w:eastAsia="en-US"/>
        </w:rPr>
      </w:pPr>
      <w:r w:rsidRPr="007C0CDA">
        <w:rPr>
          <w:lang w:eastAsia="en-US"/>
        </w:rPr>
        <w:t>Existuje však i řada snáze regenerovatelných lokalit, které se</w:t>
      </w:r>
      <w:r w:rsidR="00947665">
        <w:rPr>
          <w:lang w:eastAsia="en-US"/>
        </w:rPr>
        <w:t xml:space="preserve"> potenciálně</w:t>
      </w:r>
      <w:r w:rsidRPr="007C0CDA">
        <w:rPr>
          <w:lang w:eastAsia="en-US"/>
        </w:rPr>
        <w:t xml:space="preserve"> mohou objevit v investičním plánu MSP a vykázat přijatelnou míru návratnosti.</w:t>
      </w:r>
      <w:r w:rsidR="00947665">
        <w:rPr>
          <w:lang w:eastAsia="en-US"/>
        </w:rPr>
        <w:t xml:space="preserve"> </w:t>
      </w:r>
      <w:r w:rsidRPr="007C0CDA">
        <w:rPr>
          <w:lang w:eastAsia="en-US"/>
        </w:rPr>
        <w:t>Větší tržní investiční aktivitě</w:t>
      </w:r>
      <w:r w:rsidR="00947665">
        <w:rPr>
          <w:lang w:eastAsia="en-US"/>
        </w:rPr>
        <w:t xml:space="preserve"> v rozvoji</w:t>
      </w:r>
      <w:r w:rsidRPr="007C0CDA">
        <w:rPr>
          <w:lang w:eastAsia="en-US"/>
        </w:rPr>
        <w:t xml:space="preserve"> </w:t>
      </w:r>
      <w:r w:rsidR="00947665">
        <w:rPr>
          <w:lang w:eastAsia="en-US"/>
        </w:rPr>
        <w:t>BF</w:t>
      </w:r>
      <w:r w:rsidRPr="007C0CDA">
        <w:rPr>
          <w:lang w:eastAsia="en-US"/>
        </w:rPr>
        <w:t xml:space="preserve"> </w:t>
      </w:r>
      <w:r w:rsidR="00947665">
        <w:rPr>
          <w:lang w:eastAsia="en-US"/>
        </w:rPr>
        <w:t>však</w:t>
      </w:r>
      <w:r w:rsidRPr="007C0CDA">
        <w:rPr>
          <w:lang w:eastAsia="en-US"/>
        </w:rPr>
        <w:t xml:space="preserve"> zamezuje</w:t>
      </w:r>
      <w:r w:rsidR="00947665">
        <w:rPr>
          <w:lang w:eastAsia="en-US"/>
        </w:rPr>
        <w:t xml:space="preserve"> i</w:t>
      </w:r>
      <w:r w:rsidRPr="007C0CDA">
        <w:rPr>
          <w:lang w:eastAsia="en-US"/>
        </w:rPr>
        <w:t xml:space="preserve"> fakt, že dostupné jsou zpravidla levnější pozemky typu GF, kterým dá podnikatel uvažující podle čistě nákladových kritérií zpravidla přednost. </w:t>
      </w:r>
      <w:r w:rsidRPr="002433DA">
        <w:rPr>
          <w:b/>
          <w:lang w:eastAsia="en-US"/>
        </w:rPr>
        <w:t>Tržní selhání v</w:t>
      </w:r>
      <w:r w:rsidRPr="007C0CDA">
        <w:rPr>
          <w:b/>
          <w:lang w:eastAsia="en-US"/>
        </w:rPr>
        <w:t> </w:t>
      </w:r>
      <w:r w:rsidRPr="002433DA">
        <w:rPr>
          <w:b/>
          <w:lang w:eastAsia="en-US"/>
        </w:rPr>
        <w:t>oblasti regenerace BF tedy nelze posuzovat jen z</w:t>
      </w:r>
      <w:r w:rsidRPr="007C0CDA">
        <w:rPr>
          <w:b/>
          <w:lang w:eastAsia="en-US"/>
        </w:rPr>
        <w:t> </w:t>
      </w:r>
      <w:r w:rsidRPr="002433DA">
        <w:rPr>
          <w:b/>
          <w:lang w:eastAsia="en-US"/>
        </w:rPr>
        <w:t>hlediska ekonomické návratnosti a rizik, ale též z</w:t>
      </w:r>
      <w:r w:rsidRPr="007C0CDA">
        <w:rPr>
          <w:b/>
          <w:lang w:eastAsia="en-US"/>
        </w:rPr>
        <w:t> </w:t>
      </w:r>
      <w:r w:rsidRPr="002433DA">
        <w:rPr>
          <w:b/>
          <w:lang w:eastAsia="en-US"/>
        </w:rPr>
        <w:t>pohledu srovnání investičních příležitostí podniku v</w:t>
      </w:r>
      <w:r w:rsidRPr="007C0CDA">
        <w:rPr>
          <w:b/>
          <w:lang w:eastAsia="en-US"/>
        </w:rPr>
        <w:t> </w:t>
      </w:r>
      <w:r w:rsidRPr="002433DA">
        <w:rPr>
          <w:b/>
          <w:lang w:eastAsia="en-US"/>
        </w:rPr>
        <w:t>BF a GF.</w:t>
      </w:r>
      <w:r w:rsidRPr="007C0CDA">
        <w:rPr>
          <w:lang w:eastAsia="en-US"/>
        </w:rPr>
        <w:t xml:space="preserve"> </w:t>
      </w:r>
      <w:r w:rsidR="00947665">
        <w:rPr>
          <w:lang w:eastAsia="en-US"/>
        </w:rPr>
        <w:t>Také z</w:t>
      </w:r>
      <w:r w:rsidRPr="007C0CDA">
        <w:rPr>
          <w:lang w:eastAsia="en-US"/>
        </w:rPr>
        <w:t> těchto důvodů se nadále počítá s velkým podílem dotační podpory, která umožňuje regenerovat i nákladnější objekty bez jasně tržního potenciálu a zvýhodňuje BF oproti GF.</w:t>
      </w:r>
    </w:p>
    <w:p w:rsidR="009D2CAE" w:rsidRPr="007C0CDA" w:rsidRDefault="009D2CAE" w:rsidP="00BC15AE">
      <w:pPr>
        <w:rPr>
          <w:lang w:eastAsia="en-US"/>
        </w:rPr>
      </w:pPr>
    </w:p>
    <w:p w:rsidR="00CD313B" w:rsidRDefault="009D2CAE" w:rsidP="0022629D">
      <w:pPr>
        <w:rPr>
          <w:lang w:eastAsia="en-US"/>
        </w:rPr>
      </w:pPr>
      <w:r w:rsidRPr="002433DA">
        <w:rPr>
          <w:b/>
          <w:lang w:eastAsia="en-US"/>
        </w:rPr>
        <w:t>Pokud se v rámci komerčních projektů regenerace brownfields realizují investice do stávajících nemovitostí, jedná se často o menší lokality, uvnitř či v</w:t>
      </w:r>
      <w:r w:rsidRPr="007C0CDA">
        <w:rPr>
          <w:b/>
          <w:lang w:eastAsia="en-US"/>
        </w:rPr>
        <w:t> </w:t>
      </w:r>
      <w:r w:rsidRPr="002433DA">
        <w:rPr>
          <w:b/>
          <w:lang w:eastAsia="en-US"/>
        </w:rPr>
        <w:t>blízkosti stávajícího výrobního areálu, někdy i částečně využívané</w:t>
      </w:r>
      <w:r w:rsidRPr="007C0CDA">
        <w:rPr>
          <w:lang w:eastAsia="en-US"/>
        </w:rPr>
        <w:t>.</w:t>
      </w:r>
      <w:r w:rsidR="00CD313B">
        <w:rPr>
          <w:lang w:eastAsia="en-US"/>
        </w:rPr>
        <w:t xml:space="preserve"> </w:t>
      </w:r>
      <w:r w:rsidRPr="007C0CDA">
        <w:rPr>
          <w:lang w:eastAsia="en-US"/>
        </w:rPr>
        <w:t xml:space="preserve">Jejich realizace je závislá na specifických podmínkách a požadavcích (existují výjimky ve formě strategicky významných, plošně rozsáhlých projektů, jejich realizace je však vždy poměrně unikátní a do velké míry neopakovatelná). I pro tyto lokality nicméně může být </w:t>
      </w:r>
      <w:r w:rsidRPr="002433DA">
        <w:rPr>
          <w:b/>
          <w:lang w:eastAsia="en-US"/>
        </w:rPr>
        <w:t xml:space="preserve">problémem nákladové srovnání a zmíněná rizika, která omezují i kredibilitu podniku a jeho úvěrovatelnost bankami </w:t>
      </w:r>
      <w:r w:rsidRPr="007C0CDA">
        <w:rPr>
          <w:b/>
          <w:lang w:eastAsia="en-US"/>
        </w:rPr>
        <w:t>–</w:t>
      </w:r>
      <w:r w:rsidRPr="002433DA">
        <w:rPr>
          <w:b/>
          <w:lang w:eastAsia="en-US"/>
        </w:rPr>
        <w:t xml:space="preserve"> což je specificky problém MSP</w:t>
      </w:r>
      <w:r w:rsidRPr="007C0CDA">
        <w:rPr>
          <w:lang w:eastAsia="en-US"/>
        </w:rPr>
        <w:t>.</w:t>
      </w:r>
      <w:r w:rsidR="00CD313B">
        <w:rPr>
          <w:lang w:eastAsia="en-US"/>
        </w:rPr>
        <w:t xml:space="preserve"> </w:t>
      </w:r>
    </w:p>
    <w:p w:rsidR="00CD313B" w:rsidRDefault="00CD313B" w:rsidP="0022629D">
      <w:pPr>
        <w:rPr>
          <w:lang w:eastAsia="en-US"/>
        </w:rPr>
      </w:pPr>
    </w:p>
    <w:p w:rsidR="009D2CAE" w:rsidRPr="007C0CDA" w:rsidRDefault="009D2CAE" w:rsidP="00BC15AE">
      <w:pPr>
        <w:rPr>
          <w:lang w:eastAsia="en-US"/>
        </w:rPr>
      </w:pPr>
      <w:r w:rsidRPr="007C0CDA">
        <w:rPr>
          <w:b/>
          <w:lang w:eastAsia="en-US"/>
        </w:rPr>
        <w:t>Jako zvláště p</w:t>
      </w:r>
      <w:r w:rsidRPr="002433DA">
        <w:rPr>
          <w:b/>
          <w:lang w:eastAsia="en-US"/>
        </w:rPr>
        <w:t xml:space="preserve">roblematické </w:t>
      </w:r>
      <w:r w:rsidRPr="007C0CDA">
        <w:rPr>
          <w:b/>
          <w:lang w:eastAsia="en-US"/>
        </w:rPr>
        <w:t>jsou v rámci tržně regenerovatelných BF identifikovány</w:t>
      </w:r>
      <w:r w:rsidRPr="002433DA">
        <w:rPr>
          <w:b/>
          <w:lang w:eastAsia="en-US"/>
        </w:rPr>
        <w:t xml:space="preserve"> zejména projekty, na jejichž konci by měly vzniknout nové podnikatelské zóny významnější velikosti (tj. nad 10 hektarů)</w:t>
      </w:r>
      <w:r w:rsidRPr="007C0CDA">
        <w:rPr>
          <w:b/>
          <w:lang w:eastAsia="en-US"/>
        </w:rPr>
        <w:t>.</w:t>
      </w:r>
      <w:r w:rsidRPr="007C0CDA">
        <w:rPr>
          <w:lang w:eastAsia="en-US"/>
        </w:rPr>
        <w:t xml:space="preserve"> Lze předpokládat, že pokud je investorem projektu přímo uživatel objektu, tedy zpravidla malý či střední podnik, nemá zájem investovat do areálu, jehož velikost či skladba neodpovídá jeho aktuální potřebě. Na druhou stranu jsou areály BF stranou většího zájmu tradičních developerů, jež působí na trhu podnikatelských nemovitostí</w:t>
      </w:r>
      <w:r w:rsidR="00CD313B">
        <w:rPr>
          <w:lang w:eastAsia="en-US"/>
        </w:rPr>
        <w:t xml:space="preserve"> zejména v oblasti GF</w:t>
      </w:r>
      <w:r w:rsidRPr="007C0CDA">
        <w:rPr>
          <w:lang w:eastAsia="en-US"/>
        </w:rPr>
        <w:t>. Výsledkem tohoto stavu může být „konzervace“ či drobné zlepšování zastaralých objektů, jež zcela jistě nejsou vhodné pro podniky, které by měly produkovat vysokou přidanou hodnotu.</w:t>
      </w:r>
      <w:r w:rsidR="00CD313B">
        <w:rPr>
          <w:lang w:eastAsia="en-US"/>
        </w:rPr>
        <w:t xml:space="preserve"> Dílčí revitalizace pouze okrajových snáze dostupných částí velkých BF může zakonzervovat zbytek plochy.</w:t>
      </w:r>
    </w:p>
    <w:p w:rsidR="009D2CAE" w:rsidRPr="007C0CDA" w:rsidDel="00BC15AE" w:rsidRDefault="009D2CAE" w:rsidP="001B56F4">
      <w:pPr>
        <w:rPr>
          <w:lang w:eastAsia="en-US"/>
        </w:rPr>
      </w:pPr>
    </w:p>
    <w:p w:rsidR="009D2CAE" w:rsidRPr="00EB326E" w:rsidRDefault="009D2CAE" w:rsidP="002433DA">
      <w:pPr>
        <w:pStyle w:val="Nadpis3"/>
        <w:rPr>
          <w:lang w:eastAsia="en-US"/>
        </w:rPr>
      </w:pPr>
      <w:bookmarkStart w:id="468" w:name="_Toc416383832"/>
      <w:bookmarkStart w:id="469" w:name="_Toc416447821"/>
      <w:bookmarkStart w:id="470" w:name="_Toc416383833"/>
      <w:bookmarkStart w:id="471" w:name="_Toc416447822"/>
      <w:bookmarkStart w:id="472" w:name="_Toc416383834"/>
      <w:bookmarkStart w:id="473" w:name="_Toc416447823"/>
      <w:bookmarkStart w:id="474" w:name="_Toc416383835"/>
      <w:bookmarkStart w:id="475" w:name="_Toc416447824"/>
      <w:bookmarkStart w:id="476" w:name="_Toc416383836"/>
      <w:bookmarkStart w:id="477" w:name="_Toc416447825"/>
      <w:bookmarkStart w:id="478" w:name="_Toc416383837"/>
      <w:bookmarkStart w:id="479" w:name="_Toc416447826"/>
      <w:bookmarkStart w:id="480" w:name="_Toc416383838"/>
      <w:bookmarkStart w:id="481" w:name="_Toc416447827"/>
      <w:bookmarkStart w:id="482" w:name="_Toc416383839"/>
      <w:bookmarkStart w:id="483" w:name="_Toc416447828"/>
      <w:bookmarkStart w:id="484" w:name="_Toc416383840"/>
      <w:bookmarkStart w:id="485" w:name="_Toc416447829"/>
      <w:bookmarkStart w:id="486" w:name="_Toc416383841"/>
      <w:bookmarkStart w:id="487" w:name="_Toc416447830"/>
      <w:bookmarkStart w:id="488" w:name="_Toc416447831"/>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r w:rsidRPr="0038688B">
        <w:rPr>
          <w:lang w:eastAsia="en-US"/>
        </w:rPr>
        <w:lastRenderedPageBreak/>
        <w:t>Návrh opatření</w:t>
      </w:r>
      <w:bookmarkEnd w:id="488"/>
    </w:p>
    <w:p w:rsidR="00197F96" w:rsidRDefault="00197F96" w:rsidP="001B56F4">
      <w:pPr>
        <w:rPr>
          <w:shd w:val="clear" w:color="auto" w:fill="FFFFFF"/>
          <w:lang w:eastAsia="en-US"/>
        </w:rPr>
      </w:pPr>
      <w:r>
        <w:rPr>
          <w:lang w:eastAsia="en-US"/>
        </w:rPr>
        <w:t>Výrazná tržní selhání, která se pojí s rozsáhlejší revitalizací BF implikují žádoucí velký podíl dotační podpory.</w:t>
      </w:r>
      <w:r w:rsidR="00C8771F">
        <w:rPr>
          <w:lang w:eastAsia="en-US"/>
        </w:rPr>
        <w:t xml:space="preserve"> </w:t>
      </w:r>
      <w:r w:rsidR="009D2CAE" w:rsidRPr="007C0CDA">
        <w:rPr>
          <w:lang w:eastAsia="en-US"/>
        </w:rPr>
        <w:t>V minulém programovém období byly zdroje financování poskytnuté formou dotace až do výše 60-70 % způsobilých nákladů (v závislosti na programu podpory). Snížení maximální výše dotace na 45 % může působit na absorpční kapacitu MSP snažící se o regeneraci BF spíše negativně.  Přesto se vzhledem k relativně vysokému přebytku poptávky po podpoře v minulých letech a nižší alokaci pro SC 2.3 dá předpokládat, že dotace celou poptávku zdaleka nepokryjí</w:t>
      </w:r>
      <w:r w:rsidR="00CD313B">
        <w:rPr>
          <w:lang w:eastAsia="en-US"/>
        </w:rPr>
        <w:t>. A</w:t>
      </w:r>
      <w:r w:rsidR="009D2CAE" w:rsidRPr="007C0CDA">
        <w:rPr>
          <w:shd w:val="clear" w:color="auto" w:fill="FFFFFF"/>
          <w:lang w:eastAsia="en-US"/>
        </w:rPr>
        <w:t>lokace klíčového programu</w:t>
      </w:r>
      <w:r w:rsidR="00CD313B">
        <w:rPr>
          <w:shd w:val="clear" w:color="auto" w:fill="FFFFFF"/>
          <w:lang w:eastAsia="en-US"/>
        </w:rPr>
        <w:t xml:space="preserve"> Nemovitosti se snížila pro nové období</w:t>
      </w:r>
      <w:r w:rsidR="009D2CAE" w:rsidRPr="007C0CDA">
        <w:rPr>
          <w:shd w:val="clear" w:color="auto" w:fill="FFFFFF"/>
          <w:lang w:eastAsia="en-US"/>
        </w:rPr>
        <w:t xml:space="preserve"> z 10 mld. Kč na 3,82 mld. Kč a pokud chce ŘO orgán udržet investiční aktivitu na </w:t>
      </w:r>
      <w:r>
        <w:rPr>
          <w:shd w:val="clear" w:color="auto" w:fill="FFFFFF"/>
          <w:lang w:eastAsia="en-US"/>
        </w:rPr>
        <w:t>srovnatelné</w:t>
      </w:r>
      <w:r w:rsidR="009D2CAE" w:rsidRPr="007C0CDA">
        <w:rPr>
          <w:shd w:val="clear" w:color="auto" w:fill="FFFFFF"/>
          <w:lang w:eastAsia="en-US"/>
        </w:rPr>
        <w:t xml:space="preserve"> úrovni jako v minulém období, potřebuje množství zdrojů </w:t>
      </w:r>
      <w:r>
        <w:rPr>
          <w:shd w:val="clear" w:color="auto" w:fill="FFFFFF"/>
          <w:lang w:eastAsia="en-US"/>
        </w:rPr>
        <w:t>zvýšit</w:t>
      </w:r>
      <w:r w:rsidR="009D2CAE" w:rsidRPr="007C0CDA">
        <w:rPr>
          <w:shd w:val="clear" w:color="auto" w:fill="FFFFFF"/>
          <w:lang w:eastAsia="en-US"/>
        </w:rPr>
        <w:t xml:space="preserve"> přes revolvingový mechanismus. </w:t>
      </w:r>
    </w:p>
    <w:p w:rsidR="00197F96" w:rsidRDefault="00197F96" w:rsidP="001B56F4">
      <w:pPr>
        <w:rPr>
          <w:shd w:val="clear" w:color="auto" w:fill="FFFFFF"/>
          <w:lang w:eastAsia="en-US"/>
        </w:rPr>
      </w:pPr>
    </w:p>
    <w:p w:rsidR="00197F96" w:rsidRDefault="00197F96" w:rsidP="001B56F4">
      <w:pPr>
        <w:rPr>
          <w:shd w:val="clear" w:color="auto" w:fill="FFFFFF"/>
          <w:lang w:eastAsia="en-US"/>
        </w:rPr>
      </w:pPr>
      <w:r>
        <w:rPr>
          <w:shd w:val="clear" w:color="auto" w:fill="FFFFFF"/>
          <w:lang w:eastAsia="en-US"/>
        </w:rPr>
        <w:t>Na základě těchto omezení alokace je zřejmé, ž</w:t>
      </w:r>
      <w:r w:rsidR="00C8771F">
        <w:rPr>
          <w:shd w:val="clear" w:color="auto" w:fill="FFFFFF"/>
          <w:lang w:eastAsia="en-US"/>
        </w:rPr>
        <w:t>e nástroje podpory musí primárně směřovat do oblastí s výraznějším tržním selháním, zároveň je prostor pro nástroj s revolvingovým efektem.</w:t>
      </w:r>
    </w:p>
    <w:p w:rsidR="00197F96" w:rsidRDefault="00197F96" w:rsidP="001B56F4">
      <w:pPr>
        <w:rPr>
          <w:shd w:val="clear" w:color="auto" w:fill="FFFFFF"/>
          <w:lang w:eastAsia="en-US"/>
        </w:rPr>
      </w:pPr>
    </w:p>
    <w:p w:rsidR="00C8771F" w:rsidRDefault="009D2CAE" w:rsidP="001B56F4">
      <w:pPr>
        <w:rPr>
          <w:lang w:eastAsia="en-US"/>
        </w:rPr>
      </w:pPr>
      <w:r w:rsidRPr="007C0CDA">
        <w:rPr>
          <w:shd w:val="clear" w:color="auto" w:fill="FFFFFF"/>
          <w:lang w:eastAsia="en-US"/>
        </w:rPr>
        <w:t>N</w:t>
      </w:r>
      <w:r w:rsidRPr="007C0CDA">
        <w:rPr>
          <w:lang w:eastAsia="en-US"/>
        </w:rPr>
        <w:t>a základě analýzy projektů programu Nemovitosti se domníváme, že ne všechny projekty</w:t>
      </w:r>
      <w:r w:rsidR="00C8771F">
        <w:rPr>
          <w:lang w:eastAsia="en-US"/>
        </w:rPr>
        <w:t>, které v minulosti byly podpořeny dotačně, je účelné nadále tímto způsobem podporovat. V tomto ohledu lze na projekty zejména rekonstrukcí podnikatelských objektů, které jsou dosud částečně využívány a nevykazují takový stupeň zchátralostim uvažovat o aplikaci zvýhodněných úvěrů se sníženou úrokovou sazbou a delší dobou splácení, případně s příspěvkem na projektovou dokumentaci. Tento nástroj nicméně nezasahuje oblast s primárním tržním selháním SC 2.3, jeho efekt přidané hodnoty bude tedy limitovaný a částečně se může překrývat s SC 2.1.</w:t>
      </w:r>
    </w:p>
    <w:p w:rsidR="009D2CAE" w:rsidRPr="007C0CDA" w:rsidRDefault="009D2CAE" w:rsidP="001B56F4">
      <w:pPr>
        <w:rPr>
          <w:lang w:eastAsia="en-US"/>
        </w:rPr>
      </w:pPr>
    </w:p>
    <w:p w:rsidR="009D2CAE" w:rsidRPr="007C0CDA" w:rsidRDefault="009D2CAE" w:rsidP="001B56F4">
      <w:pPr>
        <w:rPr>
          <w:lang w:eastAsia="en-US"/>
        </w:rPr>
      </w:pPr>
      <w:r w:rsidRPr="007C0CDA">
        <w:rPr>
          <w:lang w:eastAsia="en-US"/>
        </w:rPr>
        <w:t>Odlišný typ suboptimální investiční situace pozorujeme u větších ploch BF, které mohou být vhodnými lokalitami pro podnikatelské aktivity MSP.</w:t>
      </w:r>
      <w:r w:rsidR="00C8771F">
        <w:rPr>
          <w:lang w:eastAsia="en-US"/>
        </w:rPr>
        <w:t xml:space="preserve"> </w:t>
      </w:r>
      <w:r w:rsidRPr="007C0CDA">
        <w:rPr>
          <w:lang w:eastAsia="en-US"/>
        </w:rPr>
        <w:t xml:space="preserve">Průsečíkem snah o regeneraci opuštěných či nedostatečně využívaných BF a zvýšení nabídky kvalitních podnikatelských nemovitostí pro MSP může být </w:t>
      </w:r>
      <w:r w:rsidRPr="007C0CDA">
        <w:t>specificky vytvořený nástroj, jehož strategií bude kombinovat obě tyto složky</w:t>
      </w:r>
      <w:r w:rsidRPr="007C0CDA">
        <w:rPr>
          <w:b/>
        </w:rPr>
        <w:t>. FN by měl podobu speciální entity, jež bude disponovat finančními prostředky OP PIK a bude je investovat do projektů regenerace BF a přípravy podnikatelských zón vysokého standardu pro MSP, s cílem zajistit finanční návratnost.</w:t>
      </w:r>
    </w:p>
    <w:p w:rsidR="009D2CAE" w:rsidRPr="007C0CDA" w:rsidRDefault="009D2CAE" w:rsidP="005E533B">
      <w:pPr>
        <w:rPr>
          <w:lang w:eastAsia="en-US"/>
        </w:rPr>
      </w:pPr>
    </w:p>
    <w:p w:rsidR="009D2CAE" w:rsidRDefault="009D2CAE" w:rsidP="002433DA">
      <w:pPr>
        <w:pStyle w:val="Nadpis3"/>
        <w:rPr>
          <w:lang w:eastAsia="en-US"/>
        </w:rPr>
      </w:pPr>
      <w:bookmarkStart w:id="489" w:name="_Toc416447832"/>
      <w:r w:rsidRPr="00B675D6">
        <w:rPr>
          <w:lang w:eastAsia="en-US"/>
        </w:rPr>
        <w:t>Posouzení přidané hodnoty finančních nástrojů</w:t>
      </w:r>
      <w:bookmarkEnd w:id="489"/>
    </w:p>
    <w:p w:rsidR="00DC19EB" w:rsidRPr="007C0CDA" w:rsidRDefault="00DC19EB" w:rsidP="00DC19EB">
      <w:pPr>
        <w:rPr>
          <w:lang w:eastAsia="en-US"/>
        </w:rPr>
      </w:pPr>
      <w:r w:rsidRPr="007C0CDA">
        <w:rPr>
          <w:lang w:eastAsia="en-US"/>
        </w:rPr>
        <w:t xml:space="preserve">Z grafu 12 je patrné, že návratnost u BF je více než 5 let až u 80 % investičních záměrů. Z provedeného dotazníku vychází </w:t>
      </w:r>
      <w:r w:rsidRPr="007C0CDA">
        <w:rPr>
          <w:b/>
          <w:lang w:eastAsia="en-US"/>
        </w:rPr>
        <w:t>průměrná návratnost 10,4 roku</w:t>
      </w:r>
      <w:r w:rsidRPr="007C0CDA">
        <w:rPr>
          <w:lang w:eastAsia="en-US"/>
        </w:rPr>
        <w:t>– jedná si přitom už o určitým způsobem zamýšlené a plánované</w:t>
      </w:r>
      <w:r w:rsidRPr="005C7064">
        <w:rPr>
          <w:lang w:eastAsia="en-US"/>
        </w:rPr>
        <w:t xml:space="preserve"> projekty</w:t>
      </w:r>
      <w:r w:rsidRPr="007C0CDA">
        <w:rPr>
          <w:lang w:eastAsia="en-US"/>
        </w:rPr>
        <w:t>.</w:t>
      </w:r>
      <w:r>
        <w:rPr>
          <w:lang w:eastAsia="en-US"/>
        </w:rPr>
        <w:t xml:space="preserve"> Typové projekty pro SC 2.3 se vyznačují velmi dlouhou návratností</w:t>
      </w:r>
      <w:r w:rsidR="00093063">
        <w:rPr>
          <w:lang w:eastAsia="en-US"/>
        </w:rPr>
        <w:t xml:space="preserve"> a vysokými náklady</w:t>
      </w:r>
      <w:r>
        <w:rPr>
          <w:lang w:eastAsia="en-US"/>
        </w:rPr>
        <w:t>.</w:t>
      </w:r>
    </w:p>
    <w:p w:rsidR="00DC19EB" w:rsidRPr="007C0CDA" w:rsidRDefault="00DC19EB" w:rsidP="00DC19EB">
      <w:pPr>
        <w:rPr>
          <w:lang w:eastAsia="en-US"/>
        </w:rPr>
      </w:pPr>
    </w:p>
    <w:p w:rsidR="00DC19EB" w:rsidRPr="007C0CDA" w:rsidRDefault="00DC19EB" w:rsidP="00DC19EB">
      <w:pPr>
        <w:rPr>
          <w:lang w:eastAsia="en-US"/>
        </w:rPr>
      </w:pPr>
    </w:p>
    <w:p w:rsidR="00DC19EB" w:rsidRPr="007C0CDA" w:rsidRDefault="00DC19EB" w:rsidP="00DC19EB">
      <w:pPr>
        <w:pStyle w:val="BodyText1"/>
        <w:keepNext/>
        <w:jc w:val="center"/>
      </w:pPr>
      <w:r>
        <w:rPr>
          <w:noProof/>
          <w:lang w:eastAsia="cs-CZ"/>
        </w:rPr>
        <w:drawing>
          <wp:inline distT="0" distB="0" distL="0" distR="0" wp14:anchorId="14D2C33D" wp14:editId="7498C590">
            <wp:extent cx="2343150" cy="1733550"/>
            <wp:effectExtent l="0" t="0" r="0" b="0"/>
            <wp:docPr id="20"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3150" cy="1733550"/>
                    </a:xfrm>
                    <a:prstGeom prst="rect">
                      <a:avLst/>
                    </a:prstGeom>
                    <a:noFill/>
                    <a:ln>
                      <a:noFill/>
                    </a:ln>
                  </pic:spPr>
                </pic:pic>
              </a:graphicData>
            </a:graphic>
          </wp:inline>
        </w:drawing>
      </w:r>
    </w:p>
    <w:p w:rsidR="00DC19EB" w:rsidRPr="007C0CDA" w:rsidRDefault="00DC19EB" w:rsidP="00DC19EB">
      <w:pPr>
        <w:pStyle w:val="Titulek"/>
        <w:jc w:val="center"/>
      </w:pPr>
      <w:r w:rsidRPr="007C0CDA">
        <w:t>Graf 12: Očekávaná doba návratnosti</w:t>
      </w:r>
    </w:p>
    <w:p w:rsidR="00FC002F" w:rsidRDefault="00DC19EB" w:rsidP="002433DA">
      <w:pPr>
        <w:pStyle w:val="Titulek"/>
        <w:ind w:left="2124" w:firstLine="708"/>
      </w:pPr>
      <w:r w:rsidRPr="007C0CDA">
        <w:t>Zdroj: Dotazník ex ante FN OP PIK</w:t>
      </w:r>
      <w:r w:rsidR="00FC002F" w:rsidRPr="00FC002F">
        <w:t xml:space="preserve"> </w:t>
      </w:r>
    </w:p>
    <w:p w:rsidR="00DC19EB" w:rsidRDefault="00FC002F" w:rsidP="002433DA">
      <w:r w:rsidRPr="007C0CDA">
        <w:lastRenderedPageBreak/>
        <w:t xml:space="preserve">V rámci tabulek níže je uveden přehled přidané hodnoty, problémů a rizik z pohledu konečného příjemce a ŘO (tabulka č. 2) a z pohledu celkového dopadu na absorpční kapacitu a dosažení cílů SC 1.2, se zohledněním dopadů na tržní prostředí. Porovnány jsou nástroje formou </w:t>
      </w:r>
      <w:r>
        <w:t xml:space="preserve">záruk, zvýhodněných úvěrů </w:t>
      </w:r>
      <w:r w:rsidRPr="007C0CDA">
        <w:t>a dotací.</w:t>
      </w:r>
    </w:p>
    <w:p w:rsidR="009D2CAE" w:rsidRPr="009D2CAE" w:rsidRDefault="009D2CAE">
      <w:pPr>
        <w:rPr>
          <w:b/>
          <w:lang w:eastAsia="en-US"/>
        </w:rPr>
      </w:pPr>
    </w:p>
    <w:tbl>
      <w:tblPr>
        <w:tblpPr w:leftFromText="141" w:rightFromText="141" w:vertAnchor="text" w:horzAnchor="margin" w:tblpY="-23"/>
        <w:tblW w:w="8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60"/>
        <w:gridCol w:w="960"/>
        <w:gridCol w:w="2414"/>
        <w:gridCol w:w="2330"/>
        <w:gridCol w:w="2330"/>
      </w:tblGrid>
      <w:tr w:rsidR="009D2CAE" w:rsidRPr="007C0CDA" w:rsidTr="00E45795">
        <w:trPr>
          <w:trHeight w:val="315"/>
        </w:trPr>
        <w:tc>
          <w:tcPr>
            <w:tcW w:w="960" w:type="dxa"/>
            <w:shd w:val="clear" w:color="auto" w:fill="365F91"/>
            <w:noWrap/>
            <w:vAlign w:val="bottom"/>
          </w:tcPr>
          <w:p w:rsidR="009D2CAE" w:rsidRPr="007C0CDA" w:rsidRDefault="009D2CAE" w:rsidP="00E45795">
            <w:pPr>
              <w:jc w:val="left"/>
              <w:rPr>
                <w:rFonts w:ascii="Times New Roman" w:hAnsi="Times New Roman"/>
                <w:sz w:val="24"/>
                <w:szCs w:val="24"/>
              </w:rPr>
            </w:pPr>
          </w:p>
        </w:tc>
        <w:tc>
          <w:tcPr>
            <w:tcW w:w="960" w:type="dxa"/>
            <w:shd w:val="clear" w:color="auto" w:fill="365F91"/>
            <w:noWrap/>
            <w:vAlign w:val="bottom"/>
          </w:tcPr>
          <w:p w:rsidR="009D2CAE" w:rsidRPr="007C0CDA" w:rsidRDefault="009D2CAE" w:rsidP="00E45795">
            <w:pPr>
              <w:jc w:val="left"/>
              <w:rPr>
                <w:rFonts w:ascii="Times New Roman" w:hAnsi="Times New Roman"/>
                <w:color w:val="000000"/>
                <w:sz w:val="24"/>
                <w:szCs w:val="24"/>
              </w:rPr>
            </w:pPr>
            <w:r w:rsidRPr="007C0CDA">
              <w:rPr>
                <w:rFonts w:ascii="Times New Roman" w:hAnsi="Times New Roman"/>
                <w:color w:val="000000"/>
                <w:sz w:val="24"/>
                <w:szCs w:val="24"/>
              </w:rPr>
              <w:t> </w:t>
            </w:r>
          </w:p>
        </w:tc>
        <w:tc>
          <w:tcPr>
            <w:tcW w:w="4744" w:type="dxa"/>
            <w:gridSpan w:val="2"/>
            <w:shd w:val="clear" w:color="auto" w:fill="365F91"/>
            <w:noWrap/>
            <w:vAlign w:val="center"/>
          </w:tcPr>
          <w:p w:rsidR="009D2CAE" w:rsidRPr="007C0CDA" w:rsidRDefault="009D2CAE" w:rsidP="00E45795">
            <w:pPr>
              <w:jc w:val="center"/>
              <w:rPr>
                <w:b/>
                <w:bCs/>
                <w:color w:val="FFFFFF"/>
                <w:sz w:val="24"/>
                <w:szCs w:val="24"/>
              </w:rPr>
            </w:pPr>
            <w:r w:rsidRPr="007C0CDA">
              <w:rPr>
                <w:b/>
                <w:bCs/>
                <w:color w:val="FFFFFF"/>
                <w:sz w:val="24"/>
                <w:szCs w:val="24"/>
              </w:rPr>
              <w:t>Finanční nástroj</w:t>
            </w:r>
          </w:p>
        </w:tc>
        <w:tc>
          <w:tcPr>
            <w:tcW w:w="2330" w:type="dxa"/>
            <w:shd w:val="clear" w:color="auto" w:fill="365F91"/>
          </w:tcPr>
          <w:p w:rsidR="009D2CAE" w:rsidRPr="007C0CDA" w:rsidRDefault="009D2CAE" w:rsidP="00E45795">
            <w:pPr>
              <w:jc w:val="center"/>
              <w:rPr>
                <w:b/>
                <w:bCs/>
                <w:color w:val="FFFFFF"/>
                <w:sz w:val="24"/>
                <w:szCs w:val="24"/>
              </w:rPr>
            </w:pPr>
            <w:r w:rsidRPr="007C0CDA">
              <w:rPr>
                <w:b/>
                <w:bCs/>
                <w:color w:val="FFFFFF"/>
                <w:sz w:val="24"/>
                <w:szCs w:val="24"/>
              </w:rPr>
              <w:t>Dotace</w:t>
            </w:r>
          </w:p>
        </w:tc>
      </w:tr>
      <w:tr w:rsidR="009D2CAE" w:rsidRPr="007C0CDA" w:rsidTr="00E45795">
        <w:trPr>
          <w:trHeight w:val="315"/>
        </w:trPr>
        <w:tc>
          <w:tcPr>
            <w:tcW w:w="960" w:type="dxa"/>
            <w:shd w:val="clear" w:color="auto" w:fill="365F91"/>
            <w:noWrap/>
            <w:vAlign w:val="center"/>
          </w:tcPr>
          <w:p w:rsidR="009D2CAE" w:rsidRPr="007C0CDA" w:rsidRDefault="009D2CAE" w:rsidP="00E45795">
            <w:pPr>
              <w:jc w:val="center"/>
              <w:rPr>
                <w:b/>
                <w:bCs/>
                <w:color w:val="000000"/>
                <w:sz w:val="24"/>
                <w:szCs w:val="24"/>
              </w:rPr>
            </w:pPr>
          </w:p>
        </w:tc>
        <w:tc>
          <w:tcPr>
            <w:tcW w:w="960" w:type="dxa"/>
            <w:shd w:val="clear" w:color="auto" w:fill="365F91"/>
            <w:noWrap/>
            <w:vAlign w:val="center"/>
          </w:tcPr>
          <w:p w:rsidR="009D2CAE" w:rsidRPr="007C0CDA" w:rsidRDefault="009D2CAE" w:rsidP="00E45795">
            <w:pPr>
              <w:jc w:val="left"/>
              <w:rPr>
                <w:color w:val="000000"/>
                <w:sz w:val="24"/>
                <w:szCs w:val="24"/>
              </w:rPr>
            </w:pPr>
            <w:r w:rsidRPr="007C0CDA">
              <w:rPr>
                <w:color w:val="000000"/>
                <w:sz w:val="24"/>
                <w:szCs w:val="24"/>
              </w:rPr>
              <w:t> </w:t>
            </w:r>
          </w:p>
        </w:tc>
        <w:tc>
          <w:tcPr>
            <w:tcW w:w="2414" w:type="dxa"/>
            <w:shd w:val="clear" w:color="auto" w:fill="365F91"/>
            <w:vAlign w:val="center"/>
          </w:tcPr>
          <w:p w:rsidR="009D2CAE" w:rsidRPr="007C0CDA" w:rsidRDefault="00FC002F" w:rsidP="00E45795">
            <w:pPr>
              <w:jc w:val="center"/>
              <w:rPr>
                <w:b/>
                <w:bCs/>
                <w:color w:val="FFFFFF"/>
                <w:sz w:val="24"/>
                <w:szCs w:val="24"/>
              </w:rPr>
            </w:pPr>
            <w:r>
              <w:rPr>
                <w:b/>
                <w:bCs/>
                <w:color w:val="FFFFFF"/>
                <w:sz w:val="24"/>
                <w:szCs w:val="24"/>
              </w:rPr>
              <w:t>Záruky</w:t>
            </w:r>
          </w:p>
        </w:tc>
        <w:tc>
          <w:tcPr>
            <w:tcW w:w="2330" w:type="dxa"/>
            <w:shd w:val="clear" w:color="auto" w:fill="365F91"/>
            <w:vAlign w:val="center"/>
          </w:tcPr>
          <w:p w:rsidR="009D2CAE" w:rsidRPr="007C0CDA" w:rsidRDefault="009D2CAE" w:rsidP="00E45795">
            <w:pPr>
              <w:jc w:val="center"/>
              <w:rPr>
                <w:b/>
                <w:bCs/>
                <w:color w:val="FFFFFF"/>
                <w:sz w:val="24"/>
                <w:szCs w:val="24"/>
              </w:rPr>
            </w:pPr>
            <w:r w:rsidRPr="007C0CDA">
              <w:rPr>
                <w:b/>
                <w:bCs/>
                <w:color w:val="FFFFFF"/>
                <w:sz w:val="24"/>
                <w:szCs w:val="24"/>
              </w:rPr>
              <w:t>Zvýhodněný úvěr</w:t>
            </w:r>
          </w:p>
        </w:tc>
        <w:tc>
          <w:tcPr>
            <w:tcW w:w="2330" w:type="dxa"/>
            <w:shd w:val="clear" w:color="auto" w:fill="365F91"/>
          </w:tcPr>
          <w:p w:rsidR="009D2CAE" w:rsidRPr="007C0CDA" w:rsidRDefault="009D2CAE" w:rsidP="00E45795">
            <w:pPr>
              <w:jc w:val="center"/>
              <w:rPr>
                <w:b/>
                <w:bCs/>
                <w:color w:val="FFFFFF"/>
                <w:sz w:val="24"/>
                <w:szCs w:val="24"/>
              </w:rPr>
            </w:pPr>
          </w:p>
        </w:tc>
      </w:tr>
      <w:tr w:rsidR="009D2CAE" w:rsidRPr="007C0CDA" w:rsidTr="00E45795">
        <w:trPr>
          <w:trHeight w:val="720"/>
        </w:trPr>
        <w:tc>
          <w:tcPr>
            <w:tcW w:w="960" w:type="dxa"/>
            <w:vMerge w:val="restart"/>
            <w:shd w:val="clear" w:color="auto" w:fill="8DB3E2"/>
            <w:noWrap/>
            <w:textDirection w:val="btLr"/>
            <w:vAlign w:val="center"/>
          </w:tcPr>
          <w:p w:rsidR="009D2CAE" w:rsidRPr="007C0CDA" w:rsidRDefault="009D2CAE" w:rsidP="00E45795">
            <w:pPr>
              <w:jc w:val="center"/>
              <w:rPr>
                <w:b/>
                <w:bCs/>
                <w:color w:val="FFFFFF"/>
                <w:sz w:val="24"/>
                <w:szCs w:val="24"/>
              </w:rPr>
            </w:pPr>
            <w:r w:rsidRPr="007C0CDA">
              <w:rPr>
                <w:b/>
                <w:bCs/>
                <w:color w:val="FFFFFF"/>
                <w:sz w:val="24"/>
                <w:szCs w:val="24"/>
              </w:rPr>
              <w:t>Přidaná hodnota veřejné podpory pro příjemce a ŘO</w:t>
            </w:r>
          </w:p>
        </w:tc>
        <w:tc>
          <w:tcPr>
            <w:tcW w:w="960" w:type="dxa"/>
            <w:vMerge w:val="restart"/>
            <w:shd w:val="clear" w:color="auto" w:fill="8DB3E2"/>
            <w:noWrap/>
            <w:textDirection w:val="btLr"/>
            <w:vAlign w:val="center"/>
          </w:tcPr>
          <w:p w:rsidR="009D2CAE" w:rsidRPr="007C0CDA" w:rsidRDefault="009D2CAE" w:rsidP="00E45795">
            <w:pPr>
              <w:jc w:val="center"/>
              <w:rPr>
                <w:b/>
                <w:bCs/>
                <w:color w:val="FFFFFF"/>
                <w:sz w:val="24"/>
                <w:szCs w:val="24"/>
              </w:rPr>
            </w:pPr>
            <w:r w:rsidRPr="007C0CDA">
              <w:rPr>
                <w:b/>
                <w:bCs/>
                <w:color w:val="FFFFFF"/>
                <w:sz w:val="24"/>
                <w:szCs w:val="24"/>
              </w:rPr>
              <w:t>Konečný příjemce</w:t>
            </w:r>
          </w:p>
        </w:tc>
        <w:tc>
          <w:tcPr>
            <w:tcW w:w="2414" w:type="dxa"/>
            <w:shd w:val="clear" w:color="auto" w:fill="8DB3E2"/>
            <w:vAlign w:val="center"/>
          </w:tcPr>
          <w:p w:rsidR="009D2CAE" w:rsidRPr="007C0CDA" w:rsidRDefault="009D2CAE" w:rsidP="00E45795">
            <w:pPr>
              <w:jc w:val="center"/>
              <w:rPr>
                <w:b/>
                <w:color w:val="FFFFFF"/>
                <w:sz w:val="20"/>
              </w:rPr>
            </w:pPr>
            <w:r w:rsidRPr="007C0CDA">
              <w:rPr>
                <w:b/>
                <w:color w:val="FFFFFF"/>
                <w:sz w:val="20"/>
              </w:rPr>
              <w:t>Zpřístupnění nedosažitelného financování</w:t>
            </w:r>
          </w:p>
        </w:tc>
        <w:tc>
          <w:tcPr>
            <w:tcW w:w="2330" w:type="dxa"/>
            <w:shd w:val="clear" w:color="auto" w:fill="8DB3E2"/>
            <w:vAlign w:val="center"/>
          </w:tcPr>
          <w:p w:rsidR="009D2CAE" w:rsidRPr="007C0CDA" w:rsidRDefault="009D2CAE" w:rsidP="00E45795">
            <w:pPr>
              <w:jc w:val="center"/>
              <w:rPr>
                <w:b/>
                <w:color w:val="FFFFFF"/>
                <w:sz w:val="20"/>
              </w:rPr>
            </w:pPr>
            <w:r w:rsidRPr="007C0CDA">
              <w:rPr>
                <w:b/>
                <w:color w:val="FFFFFF"/>
                <w:sz w:val="20"/>
              </w:rPr>
              <w:t>Zpřístupnění vyšší míry externího financování</w:t>
            </w:r>
          </w:p>
        </w:tc>
        <w:tc>
          <w:tcPr>
            <w:tcW w:w="2330" w:type="dxa"/>
            <w:shd w:val="clear" w:color="auto" w:fill="8DB3E2"/>
          </w:tcPr>
          <w:p w:rsidR="009D2CAE" w:rsidRPr="007C0CDA" w:rsidRDefault="009D2CAE" w:rsidP="00E45795">
            <w:pPr>
              <w:jc w:val="center"/>
              <w:rPr>
                <w:b/>
                <w:color w:val="FFFFFF"/>
                <w:sz w:val="20"/>
              </w:rPr>
            </w:pPr>
            <w:r w:rsidRPr="007C0CDA">
              <w:rPr>
                <w:b/>
                <w:color w:val="FFFFFF"/>
                <w:sz w:val="20"/>
              </w:rPr>
              <w:t>Nevratný příspěvek na projekt až do třetiny způsobilých nákladů</w:t>
            </w:r>
          </w:p>
        </w:tc>
      </w:tr>
      <w:tr w:rsidR="009D2CAE" w:rsidRPr="007C0CDA" w:rsidTr="00E45795">
        <w:trPr>
          <w:trHeight w:val="480"/>
        </w:trPr>
        <w:tc>
          <w:tcPr>
            <w:tcW w:w="960" w:type="dxa"/>
            <w:vMerge/>
            <w:shd w:val="clear" w:color="auto" w:fill="8DB3E2"/>
            <w:vAlign w:val="center"/>
          </w:tcPr>
          <w:p w:rsidR="009D2CAE" w:rsidRPr="007C0CDA" w:rsidRDefault="009D2CAE" w:rsidP="00E45795">
            <w:pPr>
              <w:jc w:val="left"/>
              <w:rPr>
                <w:b/>
                <w:bCs/>
                <w:color w:val="FFFFFF"/>
                <w:sz w:val="24"/>
                <w:szCs w:val="24"/>
              </w:rPr>
            </w:pPr>
          </w:p>
        </w:tc>
        <w:tc>
          <w:tcPr>
            <w:tcW w:w="960" w:type="dxa"/>
            <w:vMerge/>
            <w:shd w:val="clear" w:color="auto" w:fill="8DB3E2"/>
            <w:vAlign w:val="center"/>
          </w:tcPr>
          <w:p w:rsidR="009D2CAE" w:rsidRPr="007C0CDA" w:rsidRDefault="009D2CAE" w:rsidP="00E45795">
            <w:pPr>
              <w:jc w:val="left"/>
              <w:rPr>
                <w:b/>
                <w:bCs/>
                <w:color w:val="FFFFFF"/>
                <w:sz w:val="24"/>
                <w:szCs w:val="24"/>
              </w:rPr>
            </w:pPr>
          </w:p>
        </w:tc>
        <w:tc>
          <w:tcPr>
            <w:tcW w:w="2414" w:type="dxa"/>
            <w:shd w:val="clear" w:color="auto" w:fill="8DB3E2"/>
            <w:vAlign w:val="center"/>
          </w:tcPr>
          <w:p w:rsidR="009D2CAE" w:rsidRPr="007C0CDA" w:rsidRDefault="009D2CAE" w:rsidP="00E45795">
            <w:pPr>
              <w:jc w:val="center"/>
              <w:rPr>
                <w:b/>
                <w:color w:val="FFFFFF"/>
                <w:sz w:val="20"/>
              </w:rPr>
            </w:pPr>
            <w:r w:rsidRPr="007C0CDA">
              <w:rPr>
                <w:b/>
                <w:color w:val="FFFFFF"/>
                <w:sz w:val="20"/>
              </w:rPr>
              <w:t>Částečné snížení úrokové sazby snížením rizikové přirážky</w:t>
            </w:r>
          </w:p>
        </w:tc>
        <w:tc>
          <w:tcPr>
            <w:tcW w:w="2330" w:type="dxa"/>
            <w:shd w:val="clear" w:color="auto" w:fill="8DB3E2"/>
            <w:vAlign w:val="center"/>
          </w:tcPr>
          <w:p w:rsidR="009D2CAE" w:rsidRPr="007C0CDA" w:rsidRDefault="009D2CAE" w:rsidP="00E45795">
            <w:pPr>
              <w:jc w:val="center"/>
              <w:rPr>
                <w:b/>
                <w:color w:val="FFFFFF"/>
                <w:sz w:val="20"/>
              </w:rPr>
            </w:pPr>
            <w:r w:rsidRPr="007C0CDA">
              <w:rPr>
                <w:b/>
                <w:color w:val="FFFFFF"/>
                <w:sz w:val="20"/>
              </w:rPr>
              <w:t>Snížení úrokové sazby</w:t>
            </w:r>
          </w:p>
        </w:tc>
        <w:tc>
          <w:tcPr>
            <w:tcW w:w="2330" w:type="dxa"/>
            <w:shd w:val="clear" w:color="auto" w:fill="8DB3E2"/>
          </w:tcPr>
          <w:p w:rsidR="009D2CAE" w:rsidRPr="007C0CDA" w:rsidRDefault="009D2CAE" w:rsidP="00183F1E">
            <w:pPr>
              <w:jc w:val="center"/>
              <w:rPr>
                <w:b/>
                <w:color w:val="FFFFFF"/>
                <w:sz w:val="20"/>
              </w:rPr>
            </w:pPr>
            <w:r w:rsidRPr="007C0CDA">
              <w:rPr>
                <w:b/>
                <w:color w:val="FFFFFF"/>
                <w:sz w:val="20"/>
              </w:rPr>
              <w:t xml:space="preserve">Vysoce snížená doba návratnosti </w:t>
            </w:r>
          </w:p>
        </w:tc>
      </w:tr>
      <w:tr w:rsidR="009D2CAE" w:rsidRPr="007C0CDA" w:rsidTr="00E45795">
        <w:trPr>
          <w:trHeight w:val="720"/>
        </w:trPr>
        <w:tc>
          <w:tcPr>
            <w:tcW w:w="960" w:type="dxa"/>
            <w:vMerge/>
            <w:shd w:val="clear" w:color="auto" w:fill="8DB3E2"/>
            <w:vAlign w:val="center"/>
          </w:tcPr>
          <w:p w:rsidR="009D2CAE" w:rsidRPr="007C0CDA" w:rsidRDefault="009D2CAE" w:rsidP="00E45795">
            <w:pPr>
              <w:jc w:val="left"/>
              <w:rPr>
                <w:b/>
                <w:bCs/>
                <w:color w:val="FFFFFF"/>
                <w:sz w:val="24"/>
                <w:szCs w:val="24"/>
              </w:rPr>
            </w:pPr>
          </w:p>
        </w:tc>
        <w:tc>
          <w:tcPr>
            <w:tcW w:w="960" w:type="dxa"/>
            <w:vMerge/>
            <w:shd w:val="clear" w:color="auto" w:fill="8DB3E2"/>
            <w:vAlign w:val="center"/>
          </w:tcPr>
          <w:p w:rsidR="009D2CAE" w:rsidRPr="007C0CDA" w:rsidRDefault="009D2CAE" w:rsidP="00E45795">
            <w:pPr>
              <w:jc w:val="left"/>
              <w:rPr>
                <w:b/>
                <w:bCs/>
                <w:color w:val="FFFFFF"/>
                <w:sz w:val="24"/>
                <w:szCs w:val="24"/>
              </w:rPr>
            </w:pPr>
          </w:p>
        </w:tc>
        <w:tc>
          <w:tcPr>
            <w:tcW w:w="2414" w:type="dxa"/>
            <w:shd w:val="clear" w:color="auto" w:fill="8DB3E2"/>
            <w:vAlign w:val="center"/>
          </w:tcPr>
          <w:p w:rsidR="009D2CAE" w:rsidRPr="007C0CDA" w:rsidRDefault="009D2CAE" w:rsidP="00E45795">
            <w:pPr>
              <w:jc w:val="center"/>
              <w:rPr>
                <w:b/>
                <w:color w:val="FFFFFF"/>
                <w:sz w:val="20"/>
              </w:rPr>
            </w:pPr>
            <w:r w:rsidRPr="007C0CDA">
              <w:rPr>
                <w:b/>
                <w:color w:val="FFFFFF"/>
                <w:sz w:val="20"/>
              </w:rPr>
              <w:t>Snížení nároků na zástavu podniku</w:t>
            </w:r>
          </w:p>
        </w:tc>
        <w:tc>
          <w:tcPr>
            <w:tcW w:w="2330" w:type="dxa"/>
            <w:shd w:val="clear" w:color="auto" w:fill="8DB3E2"/>
            <w:vAlign w:val="center"/>
          </w:tcPr>
          <w:p w:rsidR="009D2CAE" w:rsidRPr="007C0CDA" w:rsidRDefault="009D2CAE" w:rsidP="00E45795">
            <w:pPr>
              <w:jc w:val="center"/>
              <w:rPr>
                <w:b/>
                <w:color w:val="FFFFFF"/>
                <w:sz w:val="20"/>
              </w:rPr>
            </w:pPr>
            <w:r w:rsidRPr="007C0CDA">
              <w:rPr>
                <w:b/>
                <w:color w:val="FFFFFF"/>
                <w:sz w:val="20"/>
              </w:rPr>
              <w:t>Delší doba splatnosti</w:t>
            </w:r>
          </w:p>
        </w:tc>
        <w:tc>
          <w:tcPr>
            <w:tcW w:w="2330" w:type="dxa"/>
            <w:shd w:val="clear" w:color="auto" w:fill="8DB3E2"/>
          </w:tcPr>
          <w:p w:rsidR="009D2CAE" w:rsidRPr="007C0CDA" w:rsidRDefault="009D2CAE" w:rsidP="00E45795">
            <w:pPr>
              <w:jc w:val="center"/>
              <w:rPr>
                <w:b/>
                <w:color w:val="FFFFFF"/>
                <w:sz w:val="20"/>
              </w:rPr>
            </w:pPr>
            <w:r w:rsidRPr="007C0CDA">
              <w:rPr>
                <w:b/>
                <w:color w:val="FFFFFF"/>
                <w:sz w:val="20"/>
              </w:rPr>
              <w:t>Snazší opatření úvěru na zbytek nákladů projektu</w:t>
            </w:r>
          </w:p>
        </w:tc>
      </w:tr>
      <w:tr w:rsidR="009D2CAE" w:rsidRPr="007C0CDA" w:rsidTr="00E45795">
        <w:trPr>
          <w:trHeight w:val="478"/>
        </w:trPr>
        <w:tc>
          <w:tcPr>
            <w:tcW w:w="960" w:type="dxa"/>
            <w:vMerge/>
            <w:shd w:val="clear" w:color="auto" w:fill="8DB3E2"/>
            <w:vAlign w:val="center"/>
          </w:tcPr>
          <w:p w:rsidR="009D2CAE" w:rsidRPr="007C0CDA" w:rsidRDefault="009D2CAE" w:rsidP="00E45795">
            <w:pPr>
              <w:jc w:val="left"/>
              <w:rPr>
                <w:b/>
                <w:bCs/>
                <w:color w:val="FFFFFF"/>
                <w:sz w:val="24"/>
                <w:szCs w:val="24"/>
              </w:rPr>
            </w:pPr>
          </w:p>
        </w:tc>
        <w:tc>
          <w:tcPr>
            <w:tcW w:w="960" w:type="dxa"/>
            <w:vMerge/>
            <w:shd w:val="clear" w:color="auto" w:fill="8DB3E2"/>
            <w:vAlign w:val="center"/>
          </w:tcPr>
          <w:p w:rsidR="009D2CAE" w:rsidRPr="007C0CDA" w:rsidRDefault="009D2CAE" w:rsidP="00E45795">
            <w:pPr>
              <w:jc w:val="left"/>
              <w:rPr>
                <w:b/>
                <w:bCs/>
                <w:color w:val="FFFFFF"/>
                <w:sz w:val="24"/>
                <w:szCs w:val="24"/>
              </w:rPr>
            </w:pPr>
          </w:p>
        </w:tc>
        <w:tc>
          <w:tcPr>
            <w:tcW w:w="2414" w:type="dxa"/>
            <w:shd w:val="clear" w:color="auto" w:fill="8DB3E2"/>
            <w:noWrap/>
            <w:vAlign w:val="center"/>
          </w:tcPr>
          <w:p w:rsidR="009D2CAE" w:rsidRPr="007C0CDA" w:rsidRDefault="009D2CAE" w:rsidP="00E45795">
            <w:pPr>
              <w:jc w:val="center"/>
              <w:rPr>
                <w:b/>
                <w:color w:val="FFFFFF"/>
                <w:sz w:val="20"/>
              </w:rPr>
            </w:pPr>
          </w:p>
        </w:tc>
        <w:tc>
          <w:tcPr>
            <w:tcW w:w="2330" w:type="dxa"/>
            <w:shd w:val="clear" w:color="auto" w:fill="8DB3E2"/>
            <w:vAlign w:val="center"/>
          </w:tcPr>
          <w:p w:rsidR="009D2CAE" w:rsidRPr="007C0CDA" w:rsidRDefault="009D2CAE" w:rsidP="00E45795">
            <w:pPr>
              <w:jc w:val="center"/>
              <w:rPr>
                <w:b/>
                <w:color w:val="FFFFFF"/>
                <w:sz w:val="20"/>
              </w:rPr>
            </w:pPr>
            <w:r w:rsidRPr="007C0CDA">
              <w:rPr>
                <w:b/>
                <w:color w:val="FFFFFF"/>
                <w:sz w:val="20"/>
              </w:rPr>
              <w:t>Snížená doba návratnosti</w:t>
            </w:r>
          </w:p>
        </w:tc>
        <w:tc>
          <w:tcPr>
            <w:tcW w:w="2330" w:type="dxa"/>
            <w:shd w:val="clear" w:color="auto" w:fill="8DB3E2"/>
          </w:tcPr>
          <w:p w:rsidR="009D2CAE" w:rsidRPr="007C0CDA" w:rsidRDefault="009D2CAE" w:rsidP="00E45795">
            <w:pPr>
              <w:jc w:val="center"/>
              <w:rPr>
                <w:b/>
                <w:color w:val="FFFFFF"/>
                <w:sz w:val="20"/>
              </w:rPr>
            </w:pPr>
          </w:p>
        </w:tc>
      </w:tr>
      <w:tr w:rsidR="009D2CAE" w:rsidRPr="007C0CDA" w:rsidTr="00E45795">
        <w:trPr>
          <w:trHeight w:val="680"/>
        </w:trPr>
        <w:tc>
          <w:tcPr>
            <w:tcW w:w="960" w:type="dxa"/>
            <w:vMerge/>
            <w:shd w:val="clear" w:color="auto" w:fill="8DB3E2"/>
            <w:vAlign w:val="center"/>
          </w:tcPr>
          <w:p w:rsidR="009D2CAE" w:rsidRPr="007C0CDA" w:rsidRDefault="009D2CAE" w:rsidP="00E45795">
            <w:pPr>
              <w:jc w:val="left"/>
              <w:rPr>
                <w:b/>
                <w:bCs/>
                <w:color w:val="FFFFFF"/>
                <w:sz w:val="24"/>
                <w:szCs w:val="24"/>
              </w:rPr>
            </w:pPr>
          </w:p>
        </w:tc>
        <w:tc>
          <w:tcPr>
            <w:tcW w:w="960" w:type="dxa"/>
            <w:vMerge/>
            <w:shd w:val="clear" w:color="auto" w:fill="8DB3E2"/>
            <w:vAlign w:val="center"/>
          </w:tcPr>
          <w:p w:rsidR="009D2CAE" w:rsidRPr="007C0CDA" w:rsidRDefault="009D2CAE" w:rsidP="00E45795">
            <w:pPr>
              <w:jc w:val="left"/>
              <w:rPr>
                <w:b/>
                <w:bCs/>
                <w:color w:val="FFFFFF"/>
                <w:sz w:val="24"/>
                <w:szCs w:val="24"/>
              </w:rPr>
            </w:pPr>
          </w:p>
        </w:tc>
        <w:tc>
          <w:tcPr>
            <w:tcW w:w="2414" w:type="dxa"/>
            <w:shd w:val="clear" w:color="auto" w:fill="8DB3E2"/>
            <w:vAlign w:val="center"/>
          </w:tcPr>
          <w:p w:rsidR="009D2CAE" w:rsidRPr="007C0CDA" w:rsidRDefault="009D2CAE" w:rsidP="00E45795">
            <w:pPr>
              <w:jc w:val="center"/>
              <w:rPr>
                <w:b/>
                <w:color w:val="FFFFFF"/>
                <w:sz w:val="20"/>
              </w:rPr>
            </w:pPr>
            <w:r w:rsidRPr="007C0CDA">
              <w:rPr>
                <w:b/>
                <w:color w:val="FFFFFF"/>
                <w:sz w:val="20"/>
              </w:rPr>
              <w:t>Platba v předstihu v podobě úvěru</w:t>
            </w:r>
          </w:p>
        </w:tc>
        <w:tc>
          <w:tcPr>
            <w:tcW w:w="2330" w:type="dxa"/>
            <w:shd w:val="clear" w:color="auto" w:fill="8DB3E2"/>
            <w:vAlign w:val="center"/>
          </w:tcPr>
          <w:p w:rsidR="009D2CAE" w:rsidRPr="007C0CDA" w:rsidRDefault="009D2CAE" w:rsidP="00E45795">
            <w:pPr>
              <w:jc w:val="center"/>
              <w:rPr>
                <w:b/>
                <w:color w:val="FFFFFF"/>
                <w:sz w:val="20"/>
              </w:rPr>
            </w:pPr>
            <w:r w:rsidRPr="007C0CDA">
              <w:rPr>
                <w:b/>
                <w:color w:val="FFFFFF"/>
                <w:sz w:val="20"/>
              </w:rPr>
              <w:t>Platba v předstihu v podobě úvěru</w:t>
            </w:r>
          </w:p>
        </w:tc>
        <w:tc>
          <w:tcPr>
            <w:tcW w:w="2330" w:type="dxa"/>
            <w:shd w:val="clear" w:color="auto" w:fill="8DB3E2"/>
          </w:tcPr>
          <w:p w:rsidR="009D2CAE" w:rsidRPr="007C0CDA" w:rsidRDefault="009D2CAE" w:rsidP="00E45795">
            <w:pPr>
              <w:jc w:val="center"/>
              <w:rPr>
                <w:b/>
                <w:color w:val="FFFFFF"/>
                <w:sz w:val="20"/>
              </w:rPr>
            </w:pPr>
          </w:p>
        </w:tc>
      </w:tr>
      <w:tr w:rsidR="009D2CAE" w:rsidRPr="007C0CDA" w:rsidTr="00E45795">
        <w:trPr>
          <w:trHeight w:val="690"/>
        </w:trPr>
        <w:tc>
          <w:tcPr>
            <w:tcW w:w="960" w:type="dxa"/>
            <w:vMerge/>
            <w:shd w:val="clear" w:color="auto" w:fill="8DB3E2"/>
            <w:vAlign w:val="center"/>
          </w:tcPr>
          <w:p w:rsidR="009D2CAE" w:rsidRPr="007C0CDA" w:rsidRDefault="009D2CAE" w:rsidP="00E45795">
            <w:pPr>
              <w:jc w:val="left"/>
              <w:rPr>
                <w:b/>
                <w:bCs/>
                <w:color w:val="FFFFFF"/>
                <w:sz w:val="24"/>
                <w:szCs w:val="24"/>
              </w:rPr>
            </w:pPr>
          </w:p>
        </w:tc>
        <w:tc>
          <w:tcPr>
            <w:tcW w:w="960" w:type="dxa"/>
            <w:vMerge/>
            <w:shd w:val="clear" w:color="auto" w:fill="8DB3E2"/>
            <w:vAlign w:val="center"/>
          </w:tcPr>
          <w:p w:rsidR="009D2CAE" w:rsidRPr="007C0CDA" w:rsidRDefault="009D2CAE" w:rsidP="00E45795">
            <w:pPr>
              <w:jc w:val="left"/>
              <w:rPr>
                <w:b/>
                <w:bCs/>
                <w:color w:val="FFFFFF"/>
                <w:sz w:val="24"/>
                <w:szCs w:val="24"/>
              </w:rPr>
            </w:pPr>
          </w:p>
        </w:tc>
        <w:tc>
          <w:tcPr>
            <w:tcW w:w="2414" w:type="dxa"/>
            <w:shd w:val="clear" w:color="auto" w:fill="8DB3E2"/>
            <w:vAlign w:val="center"/>
          </w:tcPr>
          <w:p w:rsidR="009D2CAE" w:rsidRPr="007C0CDA" w:rsidRDefault="009D2CAE" w:rsidP="00E45795">
            <w:pPr>
              <w:jc w:val="center"/>
              <w:rPr>
                <w:b/>
                <w:color w:val="FFFFFF"/>
                <w:sz w:val="20"/>
              </w:rPr>
            </w:pPr>
          </w:p>
        </w:tc>
        <w:tc>
          <w:tcPr>
            <w:tcW w:w="2330" w:type="dxa"/>
            <w:shd w:val="clear" w:color="auto" w:fill="8DB3E2"/>
            <w:vAlign w:val="center"/>
          </w:tcPr>
          <w:p w:rsidR="009D2CAE" w:rsidRPr="007C0CDA" w:rsidRDefault="009D2CAE" w:rsidP="00E45795">
            <w:pPr>
              <w:jc w:val="center"/>
              <w:rPr>
                <w:b/>
                <w:color w:val="FFFFFF"/>
                <w:sz w:val="20"/>
              </w:rPr>
            </w:pPr>
            <w:r w:rsidRPr="007C0CDA">
              <w:rPr>
                <w:b/>
                <w:color w:val="FFFFFF"/>
                <w:sz w:val="20"/>
              </w:rPr>
              <w:t>Příspěvek na přípravu projektu</w:t>
            </w:r>
          </w:p>
        </w:tc>
        <w:tc>
          <w:tcPr>
            <w:tcW w:w="2330" w:type="dxa"/>
            <w:shd w:val="clear" w:color="auto" w:fill="8DB3E2"/>
          </w:tcPr>
          <w:p w:rsidR="009D2CAE" w:rsidRPr="007C0CDA" w:rsidRDefault="009D2CAE" w:rsidP="00E45795">
            <w:pPr>
              <w:jc w:val="left"/>
              <w:rPr>
                <w:rFonts w:ascii="Times New Roman" w:hAnsi="Times New Roman"/>
                <w:b/>
                <w:color w:val="FFFFFF"/>
                <w:sz w:val="20"/>
              </w:rPr>
            </w:pPr>
          </w:p>
        </w:tc>
      </w:tr>
      <w:tr w:rsidR="009D2CAE" w:rsidRPr="007C0CDA" w:rsidTr="00E45795">
        <w:trPr>
          <w:trHeight w:val="690"/>
        </w:trPr>
        <w:tc>
          <w:tcPr>
            <w:tcW w:w="960" w:type="dxa"/>
            <w:vMerge/>
            <w:shd w:val="clear" w:color="auto" w:fill="8DB3E2"/>
            <w:vAlign w:val="center"/>
          </w:tcPr>
          <w:p w:rsidR="009D2CAE" w:rsidRPr="007C0CDA" w:rsidRDefault="009D2CAE" w:rsidP="00E45795">
            <w:pPr>
              <w:jc w:val="left"/>
              <w:rPr>
                <w:b/>
                <w:bCs/>
                <w:color w:val="FFFFFF"/>
                <w:sz w:val="24"/>
                <w:szCs w:val="24"/>
              </w:rPr>
            </w:pPr>
          </w:p>
        </w:tc>
        <w:tc>
          <w:tcPr>
            <w:tcW w:w="960" w:type="dxa"/>
            <w:vMerge/>
            <w:shd w:val="clear" w:color="auto" w:fill="8DB3E2"/>
            <w:vAlign w:val="center"/>
          </w:tcPr>
          <w:p w:rsidR="009D2CAE" w:rsidRPr="007C0CDA" w:rsidRDefault="009D2CAE" w:rsidP="00E45795">
            <w:pPr>
              <w:jc w:val="left"/>
              <w:rPr>
                <w:b/>
                <w:bCs/>
                <w:color w:val="FFFFFF"/>
                <w:sz w:val="24"/>
                <w:szCs w:val="24"/>
              </w:rPr>
            </w:pPr>
          </w:p>
        </w:tc>
        <w:tc>
          <w:tcPr>
            <w:tcW w:w="2414" w:type="dxa"/>
            <w:shd w:val="clear" w:color="auto" w:fill="8DB3E2"/>
            <w:vAlign w:val="center"/>
          </w:tcPr>
          <w:p w:rsidR="009D2CAE" w:rsidRPr="007C0CDA" w:rsidRDefault="009D2CAE" w:rsidP="00E45795">
            <w:pPr>
              <w:jc w:val="center"/>
              <w:rPr>
                <w:b/>
                <w:color w:val="FFFFFF"/>
                <w:sz w:val="20"/>
              </w:rPr>
            </w:pPr>
            <w:r w:rsidRPr="007C0CDA">
              <w:rPr>
                <w:b/>
                <w:color w:val="FFFFFF"/>
                <w:sz w:val="20"/>
              </w:rPr>
              <w:t>Nižší administrativní náročnost</w:t>
            </w:r>
          </w:p>
        </w:tc>
        <w:tc>
          <w:tcPr>
            <w:tcW w:w="2330" w:type="dxa"/>
            <w:shd w:val="clear" w:color="auto" w:fill="8DB3E2"/>
            <w:vAlign w:val="center"/>
          </w:tcPr>
          <w:p w:rsidR="009D2CAE" w:rsidRPr="007C0CDA" w:rsidRDefault="009D2CAE" w:rsidP="00E45795">
            <w:pPr>
              <w:jc w:val="center"/>
              <w:rPr>
                <w:b/>
                <w:color w:val="FFFFFF"/>
                <w:sz w:val="20"/>
              </w:rPr>
            </w:pPr>
            <w:r w:rsidRPr="007C0CDA">
              <w:rPr>
                <w:b/>
                <w:color w:val="FFFFFF"/>
                <w:sz w:val="20"/>
              </w:rPr>
              <w:t>Nižší administrativní náročnost</w:t>
            </w:r>
          </w:p>
        </w:tc>
        <w:tc>
          <w:tcPr>
            <w:tcW w:w="2330" w:type="dxa"/>
            <w:shd w:val="clear" w:color="auto" w:fill="8DB3E2"/>
          </w:tcPr>
          <w:p w:rsidR="009D2CAE" w:rsidRPr="007C0CDA" w:rsidRDefault="009D2CAE" w:rsidP="00E45795">
            <w:pPr>
              <w:jc w:val="left"/>
              <w:rPr>
                <w:rFonts w:ascii="Times New Roman" w:hAnsi="Times New Roman"/>
                <w:b/>
                <w:color w:val="FFFFFF"/>
                <w:sz w:val="20"/>
              </w:rPr>
            </w:pPr>
          </w:p>
        </w:tc>
      </w:tr>
      <w:tr w:rsidR="009D2CAE" w:rsidRPr="007C0CDA" w:rsidTr="00E45795">
        <w:trPr>
          <w:trHeight w:val="735"/>
        </w:trPr>
        <w:tc>
          <w:tcPr>
            <w:tcW w:w="960" w:type="dxa"/>
            <w:vMerge/>
            <w:shd w:val="clear" w:color="auto" w:fill="8DB3E2"/>
            <w:vAlign w:val="center"/>
          </w:tcPr>
          <w:p w:rsidR="009D2CAE" w:rsidRPr="007C0CDA" w:rsidRDefault="009D2CAE" w:rsidP="00E45795">
            <w:pPr>
              <w:jc w:val="left"/>
              <w:rPr>
                <w:b/>
                <w:bCs/>
                <w:color w:val="FFFFFF"/>
                <w:sz w:val="24"/>
                <w:szCs w:val="24"/>
              </w:rPr>
            </w:pPr>
          </w:p>
        </w:tc>
        <w:tc>
          <w:tcPr>
            <w:tcW w:w="960" w:type="dxa"/>
            <w:vMerge w:val="restart"/>
            <w:shd w:val="clear" w:color="auto" w:fill="8DB3E2"/>
            <w:noWrap/>
            <w:textDirection w:val="btLr"/>
            <w:vAlign w:val="center"/>
          </w:tcPr>
          <w:p w:rsidR="009D2CAE" w:rsidRPr="007C0CDA" w:rsidRDefault="009D2CAE" w:rsidP="00E45795">
            <w:pPr>
              <w:jc w:val="center"/>
              <w:rPr>
                <w:b/>
                <w:bCs/>
                <w:color w:val="FFFFFF"/>
                <w:sz w:val="24"/>
                <w:szCs w:val="24"/>
              </w:rPr>
            </w:pPr>
            <w:r w:rsidRPr="007C0CDA">
              <w:rPr>
                <w:b/>
                <w:bCs/>
                <w:color w:val="FFFFFF"/>
                <w:sz w:val="24"/>
                <w:szCs w:val="24"/>
              </w:rPr>
              <w:t>ŘO</w:t>
            </w:r>
          </w:p>
        </w:tc>
        <w:tc>
          <w:tcPr>
            <w:tcW w:w="2414" w:type="dxa"/>
            <w:shd w:val="clear" w:color="auto" w:fill="8DB3E2"/>
            <w:vAlign w:val="center"/>
          </w:tcPr>
          <w:p w:rsidR="009D2CAE" w:rsidRPr="007C0CDA" w:rsidRDefault="009D2CAE" w:rsidP="00E45795">
            <w:pPr>
              <w:jc w:val="center"/>
              <w:rPr>
                <w:b/>
                <w:color w:val="FFFFFF"/>
                <w:sz w:val="20"/>
              </w:rPr>
            </w:pPr>
            <w:r w:rsidRPr="007C0CDA">
              <w:rPr>
                <w:b/>
                <w:color w:val="FFFFFF"/>
                <w:sz w:val="20"/>
              </w:rPr>
              <w:t>Vysoký pákový efekt a širší objem podpořených projektů a investic</w:t>
            </w:r>
          </w:p>
        </w:tc>
        <w:tc>
          <w:tcPr>
            <w:tcW w:w="2330" w:type="dxa"/>
            <w:shd w:val="clear" w:color="auto" w:fill="8DB3E2"/>
            <w:vAlign w:val="center"/>
          </w:tcPr>
          <w:p w:rsidR="009D2CAE" w:rsidRPr="007C0CDA" w:rsidRDefault="009D2CAE" w:rsidP="00E45795">
            <w:pPr>
              <w:jc w:val="center"/>
              <w:rPr>
                <w:b/>
                <w:color w:val="FFFFFF"/>
                <w:sz w:val="20"/>
              </w:rPr>
            </w:pPr>
            <w:r w:rsidRPr="007C0CDA">
              <w:rPr>
                <w:b/>
                <w:color w:val="FFFFFF"/>
                <w:sz w:val="20"/>
              </w:rPr>
              <w:t>Vysoký revolvingový efekt a podpoření projektů v dalších cyklech</w:t>
            </w:r>
          </w:p>
        </w:tc>
        <w:tc>
          <w:tcPr>
            <w:tcW w:w="2330" w:type="dxa"/>
            <w:shd w:val="clear" w:color="auto" w:fill="8DB3E2"/>
          </w:tcPr>
          <w:p w:rsidR="009D2CAE" w:rsidRPr="007C0CDA" w:rsidRDefault="009D2CAE" w:rsidP="00E45795">
            <w:pPr>
              <w:jc w:val="center"/>
              <w:rPr>
                <w:b/>
                <w:color w:val="FFFFFF"/>
                <w:sz w:val="20"/>
              </w:rPr>
            </w:pPr>
            <w:r w:rsidRPr="007C0CDA">
              <w:rPr>
                <w:b/>
                <w:color w:val="FFFFFF"/>
                <w:sz w:val="20"/>
              </w:rPr>
              <w:t>Vysoká absorpční kapacita</w:t>
            </w:r>
          </w:p>
        </w:tc>
      </w:tr>
      <w:tr w:rsidR="009D2CAE" w:rsidRPr="007C0CDA" w:rsidTr="00E45795">
        <w:trPr>
          <w:trHeight w:val="735"/>
        </w:trPr>
        <w:tc>
          <w:tcPr>
            <w:tcW w:w="960" w:type="dxa"/>
            <w:vMerge/>
            <w:shd w:val="clear" w:color="auto" w:fill="8DB3E2"/>
            <w:vAlign w:val="center"/>
          </w:tcPr>
          <w:p w:rsidR="009D2CAE" w:rsidRPr="007C0CDA" w:rsidRDefault="009D2CAE" w:rsidP="00E45795">
            <w:pPr>
              <w:jc w:val="left"/>
              <w:rPr>
                <w:b/>
                <w:bCs/>
                <w:color w:val="FFFFFF"/>
                <w:sz w:val="18"/>
                <w:szCs w:val="18"/>
              </w:rPr>
            </w:pPr>
          </w:p>
        </w:tc>
        <w:tc>
          <w:tcPr>
            <w:tcW w:w="960" w:type="dxa"/>
            <w:vMerge/>
            <w:shd w:val="clear" w:color="auto" w:fill="8DB3E2"/>
            <w:noWrap/>
            <w:textDirection w:val="btLr"/>
            <w:vAlign w:val="center"/>
          </w:tcPr>
          <w:p w:rsidR="009D2CAE" w:rsidRPr="007C0CDA" w:rsidRDefault="009D2CAE" w:rsidP="00E45795">
            <w:pPr>
              <w:jc w:val="center"/>
              <w:rPr>
                <w:b/>
                <w:bCs/>
                <w:color w:val="FFFFFF"/>
                <w:sz w:val="18"/>
                <w:szCs w:val="18"/>
              </w:rPr>
            </w:pPr>
          </w:p>
        </w:tc>
        <w:tc>
          <w:tcPr>
            <w:tcW w:w="2414" w:type="dxa"/>
            <w:shd w:val="clear" w:color="auto" w:fill="8DB3E2"/>
            <w:vAlign w:val="center"/>
          </w:tcPr>
          <w:p w:rsidR="009D2CAE" w:rsidRPr="007C0CDA" w:rsidRDefault="009D2CAE" w:rsidP="00E45795">
            <w:pPr>
              <w:jc w:val="center"/>
              <w:rPr>
                <w:b/>
                <w:color w:val="FFFFFF"/>
                <w:sz w:val="20"/>
              </w:rPr>
            </w:pPr>
            <w:r w:rsidRPr="007C0CDA">
              <w:rPr>
                <w:b/>
                <w:color w:val="FFFFFF"/>
                <w:sz w:val="20"/>
              </w:rPr>
              <w:t>Možnost revolvingu v závislosti na rizikové strategii</w:t>
            </w:r>
          </w:p>
        </w:tc>
        <w:tc>
          <w:tcPr>
            <w:tcW w:w="2330" w:type="dxa"/>
            <w:shd w:val="clear" w:color="auto" w:fill="8DB3E2"/>
            <w:vAlign w:val="center"/>
          </w:tcPr>
          <w:p w:rsidR="009D2CAE" w:rsidRPr="007C0CDA" w:rsidRDefault="009D2CAE" w:rsidP="00E45795">
            <w:pPr>
              <w:jc w:val="center"/>
              <w:rPr>
                <w:b/>
                <w:color w:val="FFFFFF"/>
                <w:sz w:val="20"/>
              </w:rPr>
            </w:pPr>
            <w:r w:rsidRPr="007C0CDA">
              <w:rPr>
                <w:b/>
                <w:color w:val="FFFFFF"/>
                <w:sz w:val="20"/>
              </w:rPr>
              <w:t>Predikovatelné splátky</w:t>
            </w:r>
          </w:p>
        </w:tc>
        <w:tc>
          <w:tcPr>
            <w:tcW w:w="2330" w:type="dxa"/>
            <w:shd w:val="clear" w:color="auto" w:fill="8DB3E2"/>
          </w:tcPr>
          <w:p w:rsidR="009D2CAE" w:rsidRPr="007C0CDA" w:rsidRDefault="009D2CAE" w:rsidP="00E45795">
            <w:pPr>
              <w:jc w:val="center"/>
              <w:rPr>
                <w:b/>
                <w:color w:val="FFFFFF"/>
                <w:sz w:val="20"/>
              </w:rPr>
            </w:pPr>
            <w:r w:rsidRPr="007C0CDA">
              <w:rPr>
                <w:b/>
                <w:color w:val="FFFFFF"/>
                <w:sz w:val="20"/>
              </w:rPr>
              <w:t>Možnost podpoření tržně nerealizovatelných BF</w:t>
            </w:r>
          </w:p>
        </w:tc>
      </w:tr>
      <w:tr w:rsidR="009D2CAE" w:rsidRPr="007C0CDA" w:rsidTr="00E45795">
        <w:trPr>
          <w:trHeight w:val="311"/>
        </w:trPr>
        <w:tc>
          <w:tcPr>
            <w:tcW w:w="960" w:type="dxa"/>
            <w:vMerge/>
            <w:shd w:val="clear" w:color="auto" w:fill="8DB3E2"/>
            <w:vAlign w:val="center"/>
          </w:tcPr>
          <w:p w:rsidR="009D2CAE" w:rsidRPr="007C0CDA" w:rsidRDefault="009D2CAE" w:rsidP="00E45795">
            <w:pPr>
              <w:jc w:val="left"/>
              <w:rPr>
                <w:b/>
                <w:bCs/>
                <w:color w:val="FFFFFF"/>
                <w:sz w:val="18"/>
                <w:szCs w:val="18"/>
              </w:rPr>
            </w:pPr>
          </w:p>
        </w:tc>
        <w:tc>
          <w:tcPr>
            <w:tcW w:w="960" w:type="dxa"/>
            <w:vMerge/>
            <w:shd w:val="clear" w:color="auto" w:fill="8DB3E2"/>
            <w:noWrap/>
            <w:textDirection w:val="btLr"/>
            <w:vAlign w:val="center"/>
          </w:tcPr>
          <w:p w:rsidR="009D2CAE" w:rsidRPr="007C0CDA" w:rsidRDefault="009D2CAE" w:rsidP="00E45795">
            <w:pPr>
              <w:jc w:val="center"/>
              <w:rPr>
                <w:b/>
                <w:bCs/>
                <w:color w:val="FFFFFF"/>
                <w:sz w:val="18"/>
                <w:szCs w:val="18"/>
              </w:rPr>
            </w:pPr>
          </w:p>
        </w:tc>
        <w:tc>
          <w:tcPr>
            <w:tcW w:w="2414" w:type="dxa"/>
            <w:shd w:val="clear" w:color="auto" w:fill="8DB3E2"/>
            <w:vAlign w:val="center"/>
          </w:tcPr>
          <w:p w:rsidR="009D2CAE" w:rsidRPr="007C0CDA" w:rsidRDefault="009D2CAE" w:rsidP="00E45795">
            <w:pPr>
              <w:jc w:val="center"/>
              <w:rPr>
                <w:b/>
                <w:color w:val="FFFFFF"/>
                <w:sz w:val="20"/>
              </w:rPr>
            </w:pPr>
            <w:r w:rsidRPr="007C0CDA">
              <w:rPr>
                <w:b/>
                <w:color w:val="FFFFFF"/>
                <w:sz w:val="20"/>
              </w:rPr>
              <w:t>Rychlé čerpání</w:t>
            </w:r>
          </w:p>
        </w:tc>
        <w:tc>
          <w:tcPr>
            <w:tcW w:w="2330" w:type="dxa"/>
            <w:shd w:val="clear" w:color="auto" w:fill="8DB3E2"/>
            <w:vAlign w:val="center"/>
          </w:tcPr>
          <w:p w:rsidR="009D2CAE" w:rsidRPr="007C0CDA" w:rsidRDefault="009D2CAE" w:rsidP="00E45795">
            <w:pPr>
              <w:jc w:val="center"/>
              <w:rPr>
                <w:b/>
                <w:color w:val="FFFFFF"/>
                <w:sz w:val="20"/>
              </w:rPr>
            </w:pPr>
            <w:r w:rsidRPr="007C0CDA">
              <w:rPr>
                <w:b/>
                <w:color w:val="FFFFFF"/>
                <w:sz w:val="20"/>
              </w:rPr>
              <w:t>Rychlé čerpání</w:t>
            </w:r>
          </w:p>
        </w:tc>
        <w:tc>
          <w:tcPr>
            <w:tcW w:w="2330" w:type="dxa"/>
            <w:shd w:val="clear" w:color="auto" w:fill="8DB3E2"/>
          </w:tcPr>
          <w:p w:rsidR="009D2CAE" w:rsidRPr="007C0CDA" w:rsidRDefault="009D2CAE" w:rsidP="00E45795">
            <w:pPr>
              <w:jc w:val="center"/>
              <w:rPr>
                <w:b/>
                <w:color w:val="FFFFFF"/>
                <w:sz w:val="20"/>
              </w:rPr>
            </w:pPr>
          </w:p>
        </w:tc>
      </w:tr>
      <w:tr w:rsidR="009D2CAE" w:rsidRPr="007C0CDA" w:rsidTr="00E45795">
        <w:trPr>
          <w:trHeight w:val="735"/>
        </w:trPr>
        <w:tc>
          <w:tcPr>
            <w:tcW w:w="960" w:type="dxa"/>
            <w:vMerge w:val="restart"/>
            <w:shd w:val="clear" w:color="auto" w:fill="FF0000"/>
            <w:textDirection w:val="btLr"/>
            <w:vAlign w:val="center"/>
          </w:tcPr>
          <w:p w:rsidR="009D2CAE" w:rsidRPr="007C0CDA" w:rsidRDefault="009D2CAE" w:rsidP="00FB3D68">
            <w:pPr>
              <w:ind w:left="113" w:right="113"/>
              <w:jc w:val="center"/>
              <w:rPr>
                <w:b/>
                <w:bCs/>
                <w:color w:val="FFFFFF"/>
                <w:sz w:val="24"/>
                <w:szCs w:val="24"/>
              </w:rPr>
            </w:pPr>
            <w:r w:rsidRPr="007C0CDA">
              <w:rPr>
                <w:b/>
                <w:bCs/>
                <w:color w:val="FFFFFF"/>
                <w:sz w:val="24"/>
                <w:szCs w:val="24"/>
              </w:rPr>
              <w:t>Nevýhody a rizika</w:t>
            </w:r>
          </w:p>
        </w:tc>
        <w:tc>
          <w:tcPr>
            <w:tcW w:w="960" w:type="dxa"/>
            <w:vMerge w:val="restart"/>
            <w:shd w:val="clear" w:color="auto" w:fill="FF0000"/>
            <w:noWrap/>
            <w:textDirection w:val="btLr"/>
            <w:vAlign w:val="center"/>
          </w:tcPr>
          <w:p w:rsidR="009D2CAE" w:rsidRPr="007C0CDA" w:rsidRDefault="009D2CAE" w:rsidP="00FB3D68">
            <w:pPr>
              <w:jc w:val="center"/>
              <w:rPr>
                <w:b/>
                <w:bCs/>
                <w:color w:val="FFFFFF"/>
                <w:sz w:val="24"/>
                <w:szCs w:val="24"/>
              </w:rPr>
            </w:pPr>
            <w:r w:rsidRPr="007C0CDA">
              <w:rPr>
                <w:b/>
                <w:bCs/>
                <w:color w:val="FFFFFF"/>
                <w:sz w:val="24"/>
                <w:szCs w:val="24"/>
              </w:rPr>
              <w:t>Konečný příjemce</w:t>
            </w:r>
          </w:p>
        </w:tc>
        <w:tc>
          <w:tcPr>
            <w:tcW w:w="2414" w:type="dxa"/>
            <w:shd w:val="clear" w:color="auto" w:fill="FF0000"/>
            <w:vAlign w:val="center"/>
          </w:tcPr>
          <w:p w:rsidR="009D2CAE" w:rsidRPr="007C0CDA" w:rsidRDefault="009D2CAE" w:rsidP="00FB3D68">
            <w:pPr>
              <w:jc w:val="center"/>
              <w:rPr>
                <w:b/>
                <w:color w:val="FFFFFF"/>
                <w:sz w:val="20"/>
              </w:rPr>
            </w:pPr>
            <w:r w:rsidRPr="007C0CDA">
              <w:rPr>
                <w:b/>
                <w:color w:val="FFFFFF"/>
                <w:sz w:val="20"/>
              </w:rPr>
              <w:t>Minimální vliv na návratnost projektu</w:t>
            </w:r>
          </w:p>
        </w:tc>
        <w:tc>
          <w:tcPr>
            <w:tcW w:w="2330" w:type="dxa"/>
            <w:shd w:val="clear" w:color="auto" w:fill="FF0000"/>
            <w:vAlign w:val="center"/>
          </w:tcPr>
          <w:p w:rsidR="009D2CAE" w:rsidRPr="007C0CDA" w:rsidRDefault="009D2CAE" w:rsidP="00C767FC">
            <w:pPr>
              <w:jc w:val="center"/>
              <w:rPr>
                <w:b/>
                <w:color w:val="FFFFFF"/>
                <w:sz w:val="20"/>
              </w:rPr>
            </w:pPr>
            <w:r w:rsidRPr="007C0CDA">
              <w:rPr>
                <w:b/>
                <w:color w:val="FFFFFF"/>
                <w:sz w:val="20"/>
              </w:rPr>
              <w:t>Výrazně nižší vliv na návratnost projektu v porovnání s dotací</w:t>
            </w:r>
          </w:p>
        </w:tc>
        <w:tc>
          <w:tcPr>
            <w:tcW w:w="2330" w:type="dxa"/>
            <w:shd w:val="clear" w:color="auto" w:fill="FF0000"/>
          </w:tcPr>
          <w:p w:rsidR="009D2CAE" w:rsidRPr="007C0CDA" w:rsidRDefault="009D2CAE" w:rsidP="00FB3D68">
            <w:pPr>
              <w:jc w:val="center"/>
              <w:rPr>
                <w:b/>
                <w:color w:val="FFFFFF"/>
                <w:sz w:val="20"/>
              </w:rPr>
            </w:pPr>
            <w:r w:rsidRPr="007C0CDA">
              <w:rPr>
                <w:b/>
                <w:color w:val="FFFFFF"/>
                <w:sz w:val="20"/>
              </w:rPr>
              <w:t>Vysoká administrativní náročnost</w:t>
            </w:r>
          </w:p>
        </w:tc>
      </w:tr>
      <w:tr w:rsidR="009D2CAE" w:rsidRPr="007C0CDA" w:rsidTr="00E45795">
        <w:trPr>
          <w:trHeight w:val="735"/>
        </w:trPr>
        <w:tc>
          <w:tcPr>
            <w:tcW w:w="960" w:type="dxa"/>
            <w:vMerge/>
            <w:shd w:val="clear" w:color="auto" w:fill="FF0000"/>
            <w:vAlign w:val="center"/>
          </w:tcPr>
          <w:p w:rsidR="009D2CAE" w:rsidRPr="007C0CDA" w:rsidRDefault="009D2CAE" w:rsidP="00FB3D68">
            <w:pPr>
              <w:jc w:val="left"/>
              <w:rPr>
                <w:b/>
                <w:bCs/>
                <w:color w:val="000000"/>
                <w:sz w:val="24"/>
                <w:szCs w:val="24"/>
              </w:rPr>
            </w:pPr>
          </w:p>
        </w:tc>
        <w:tc>
          <w:tcPr>
            <w:tcW w:w="960" w:type="dxa"/>
            <w:vMerge/>
            <w:shd w:val="clear" w:color="auto" w:fill="FF0000"/>
            <w:noWrap/>
            <w:textDirection w:val="btLr"/>
            <w:vAlign w:val="center"/>
          </w:tcPr>
          <w:p w:rsidR="009D2CAE" w:rsidRPr="007C0CDA" w:rsidRDefault="009D2CAE" w:rsidP="00FB3D68">
            <w:pPr>
              <w:jc w:val="center"/>
              <w:rPr>
                <w:b/>
                <w:bCs/>
                <w:color w:val="000000"/>
                <w:sz w:val="24"/>
                <w:szCs w:val="24"/>
              </w:rPr>
            </w:pPr>
          </w:p>
        </w:tc>
        <w:tc>
          <w:tcPr>
            <w:tcW w:w="2414" w:type="dxa"/>
            <w:shd w:val="clear" w:color="auto" w:fill="FF0000"/>
            <w:vAlign w:val="center"/>
          </w:tcPr>
          <w:p w:rsidR="009D2CAE" w:rsidRPr="007C0CDA" w:rsidRDefault="009D2CAE" w:rsidP="00FB3D68">
            <w:pPr>
              <w:jc w:val="center"/>
              <w:rPr>
                <w:b/>
                <w:color w:val="FFFFFF"/>
                <w:sz w:val="20"/>
              </w:rPr>
            </w:pPr>
          </w:p>
        </w:tc>
        <w:tc>
          <w:tcPr>
            <w:tcW w:w="2330" w:type="dxa"/>
            <w:shd w:val="clear" w:color="auto" w:fill="FF0000"/>
            <w:vAlign w:val="center"/>
          </w:tcPr>
          <w:p w:rsidR="009D2CAE" w:rsidRPr="007C0CDA" w:rsidRDefault="009D2CAE" w:rsidP="00FB3D68">
            <w:pPr>
              <w:jc w:val="center"/>
              <w:rPr>
                <w:b/>
                <w:color w:val="FFFFFF"/>
                <w:sz w:val="20"/>
              </w:rPr>
            </w:pPr>
          </w:p>
        </w:tc>
        <w:tc>
          <w:tcPr>
            <w:tcW w:w="2330" w:type="dxa"/>
            <w:shd w:val="clear" w:color="auto" w:fill="FF0000"/>
          </w:tcPr>
          <w:p w:rsidR="009D2CAE" w:rsidRPr="007C0CDA" w:rsidRDefault="009D2CAE" w:rsidP="00FB3D68">
            <w:pPr>
              <w:jc w:val="center"/>
              <w:rPr>
                <w:b/>
                <w:color w:val="FFFFFF"/>
                <w:sz w:val="20"/>
              </w:rPr>
            </w:pPr>
            <w:r w:rsidRPr="007C0CDA">
              <w:rPr>
                <w:b/>
                <w:color w:val="FFFFFF"/>
                <w:sz w:val="20"/>
              </w:rPr>
              <w:t>Regulovaná výběrová řízení na dodavatele – vyšší náklady</w:t>
            </w:r>
          </w:p>
        </w:tc>
      </w:tr>
      <w:tr w:rsidR="009D2CAE" w:rsidRPr="007C0CDA" w:rsidTr="00E45795">
        <w:trPr>
          <w:trHeight w:val="456"/>
        </w:trPr>
        <w:tc>
          <w:tcPr>
            <w:tcW w:w="960" w:type="dxa"/>
            <w:vMerge/>
            <w:shd w:val="clear" w:color="auto" w:fill="FF0000"/>
            <w:vAlign w:val="center"/>
          </w:tcPr>
          <w:p w:rsidR="009D2CAE" w:rsidRPr="007C0CDA" w:rsidRDefault="009D2CAE" w:rsidP="00FB3D68">
            <w:pPr>
              <w:jc w:val="left"/>
              <w:rPr>
                <w:b/>
                <w:bCs/>
                <w:color w:val="000000"/>
                <w:sz w:val="24"/>
                <w:szCs w:val="24"/>
              </w:rPr>
            </w:pPr>
          </w:p>
        </w:tc>
        <w:tc>
          <w:tcPr>
            <w:tcW w:w="960" w:type="dxa"/>
            <w:vMerge/>
            <w:shd w:val="clear" w:color="auto" w:fill="FF0000"/>
            <w:noWrap/>
            <w:textDirection w:val="btLr"/>
            <w:vAlign w:val="center"/>
          </w:tcPr>
          <w:p w:rsidR="009D2CAE" w:rsidRPr="007C0CDA" w:rsidRDefault="009D2CAE" w:rsidP="00FB3D68">
            <w:pPr>
              <w:jc w:val="center"/>
              <w:rPr>
                <w:b/>
                <w:bCs/>
                <w:color w:val="000000"/>
                <w:sz w:val="24"/>
                <w:szCs w:val="24"/>
              </w:rPr>
            </w:pPr>
          </w:p>
        </w:tc>
        <w:tc>
          <w:tcPr>
            <w:tcW w:w="2414" w:type="dxa"/>
            <w:shd w:val="clear" w:color="auto" w:fill="FF0000"/>
            <w:vAlign w:val="center"/>
          </w:tcPr>
          <w:p w:rsidR="009D2CAE" w:rsidRPr="007C0CDA" w:rsidRDefault="009D2CAE" w:rsidP="00FB3D68">
            <w:pPr>
              <w:jc w:val="center"/>
              <w:rPr>
                <w:b/>
                <w:color w:val="FFFFFF"/>
                <w:sz w:val="20"/>
              </w:rPr>
            </w:pPr>
          </w:p>
        </w:tc>
        <w:tc>
          <w:tcPr>
            <w:tcW w:w="2330" w:type="dxa"/>
            <w:shd w:val="clear" w:color="auto" w:fill="FF0000"/>
            <w:vAlign w:val="center"/>
          </w:tcPr>
          <w:p w:rsidR="009D2CAE" w:rsidRPr="007C0CDA" w:rsidRDefault="009D2CAE" w:rsidP="00FB3D68">
            <w:pPr>
              <w:jc w:val="center"/>
              <w:rPr>
                <w:b/>
                <w:color w:val="FFFFFF"/>
                <w:sz w:val="20"/>
              </w:rPr>
            </w:pPr>
          </w:p>
        </w:tc>
        <w:tc>
          <w:tcPr>
            <w:tcW w:w="2330" w:type="dxa"/>
            <w:shd w:val="clear" w:color="auto" w:fill="FF0000"/>
          </w:tcPr>
          <w:p w:rsidR="009D2CAE" w:rsidRPr="007C0CDA" w:rsidRDefault="00DC19EB" w:rsidP="00FB3D68">
            <w:pPr>
              <w:jc w:val="center"/>
              <w:rPr>
                <w:b/>
                <w:color w:val="FFFFFF"/>
                <w:sz w:val="20"/>
              </w:rPr>
            </w:pPr>
            <w:r w:rsidRPr="007C0CDA">
              <w:rPr>
                <w:b/>
                <w:color w:val="FFFFFF"/>
                <w:sz w:val="20"/>
              </w:rPr>
              <w:t xml:space="preserve">Nutnost předfinancování –  </w:t>
            </w:r>
            <w:r>
              <w:rPr>
                <w:b/>
                <w:color w:val="FFFFFF"/>
                <w:sz w:val="20"/>
              </w:rPr>
              <w:t>p</w:t>
            </w:r>
            <w:r w:rsidRPr="007C0CDA">
              <w:rPr>
                <w:b/>
                <w:color w:val="FFFFFF"/>
                <w:sz w:val="20"/>
              </w:rPr>
              <w:t>latba ex post  po dokončení realizace projektu nebo etapy</w:t>
            </w:r>
          </w:p>
        </w:tc>
      </w:tr>
      <w:tr w:rsidR="009D2CAE" w:rsidRPr="007C0CDA" w:rsidTr="00E45795">
        <w:trPr>
          <w:trHeight w:val="735"/>
        </w:trPr>
        <w:tc>
          <w:tcPr>
            <w:tcW w:w="960" w:type="dxa"/>
            <w:vMerge/>
            <w:shd w:val="clear" w:color="auto" w:fill="FF0000"/>
            <w:vAlign w:val="center"/>
          </w:tcPr>
          <w:p w:rsidR="009D2CAE" w:rsidRPr="007C0CDA" w:rsidRDefault="009D2CAE" w:rsidP="00FB3D68">
            <w:pPr>
              <w:jc w:val="left"/>
              <w:rPr>
                <w:b/>
                <w:bCs/>
                <w:color w:val="000000"/>
                <w:sz w:val="24"/>
                <w:szCs w:val="24"/>
              </w:rPr>
            </w:pPr>
          </w:p>
        </w:tc>
        <w:tc>
          <w:tcPr>
            <w:tcW w:w="960" w:type="dxa"/>
            <w:vMerge/>
            <w:shd w:val="clear" w:color="auto" w:fill="FF0000"/>
            <w:noWrap/>
            <w:textDirection w:val="btLr"/>
            <w:vAlign w:val="center"/>
          </w:tcPr>
          <w:p w:rsidR="009D2CAE" w:rsidRPr="007C0CDA" w:rsidRDefault="009D2CAE" w:rsidP="00FB3D68">
            <w:pPr>
              <w:jc w:val="center"/>
              <w:rPr>
                <w:b/>
                <w:bCs/>
                <w:color w:val="000000"/>
                <w:sz w:val="24"/>
                <w:szCs w:val="24"/>
              </w:rPr>
            </w:pPr>
          </w:p>
        </w:tc>
        <w:tc>
          <w:tcPr>
            <w:tcW w:w="2414" w:type="dxa"/>
            <w:shd w:val="clear" w:color="auto" w:fill="FF0000"/>
            <w:vAlign w:val="center"/>
          </w:tcPr>
          <w:p w:rsidR="009D2CAE" w:rsidRPr="007C0CDA" w:rsidRDefault="009D2CAE" w:rsidP="00FB3D68">
            <w:pPr>
              <w:jc w:val="center"/>
              <w:rPr>
                <w:b/>
                <w:color w:val="FFFFFF"/>
                <w:sz w:val="20"/>
              </w:rPr>
            </w:pPr>
          </w:p>
        </w:tc>
        <w:tc>
          <w:tcPr>
            <w:tcW w:w="2330" w:type="dxa"/>
            <w:shd w:val="clear" w:color="auto" w:fill="FF0000"/>
            <w:vAlign w:val="center"/>
          </w:tcPr>
          <w:p w:rsidR="009D2CAE" w:rsidRPr="007C0CDA" w:rsidRDefault="009D2CAE" w:rsidP="00FB3D68">
            <w:pPr>
              <w:jc w:val="center"/>
              <w:rPr>
                <w:b/>
                <w:color w:val="FFFFFF"/>
                <w:sz w:val="20"/>
              </w:rPr>
            </w:pPr>
          </w:p>
        </w:tc>
        <w:tc>
          <w:tcPr>
            <w:tcW w:w="2330" w:type="dxa"/>
            <w:shd w:val="clear" w:color="auto" w:fill="FF0000"/>
          </w:tcPr>
          <w:p w:rsidR="009D2CAE" w:rsidRPr="007C0CDA" w:rsidRDefault="009D2CAE" w:rsidP="00FB3D68">
            <w:pPr>
              <w:jc w:val="center"/>
              <w:rPr>
                <w:b/>
                <w:color w:val="FFFFFF"/>
                <w:sz w:val="20"/>
              </w:rPr>
            </w:pPr>
            <w:r w:rsidRPr="007C0CDA">
              <w:rPr>
                <w:b/>
                <w:color w:val="FFFFFF"/>
                <w:sz w:val="20"/>
              </w:rPr>
              <w:t>Riziko dodatečného odebrání dotace z důvodu chyb v projektu a nesplnění podmínek</w:t>
            </w:r>
          </w:p>
        </w:tc>
      </w:tr>
      <w:tr w:rsidR="009D2CAE" w:rsidRPr="007C0CDA" w:rsidTr="00E45795">
        <w:trPr>
          <w:trHeight w:val="735"/>
        </w:trPr>
        <w:tc>
          <w:tcPr>
            <w:tcW w:w="960" w:type="dxa"/>
            <w:vMerge/>
            <w:shd w:val="clear" w:color="auto" w:fill="FF0000"/>
            <w:vAlign w:val="center"/>
          </w:tcPr>
          <w:p w:rsidR="009D2CAE" w:rsidRPr="007C0CDA" w:rsidRDefault="009D2CAE" w:rsidP="00FB3D68">
            <w:pPr>
              <w:jc w:val="left"/>
              <w:rPr>
                <w:b/>
                <w:bCs/>
                <w:color w:val="000000"/>
                <w:sz w:val="24"/>
                <w:szCs w:val="24"/>
              </w:rPr>
            </w:pPr>
          </w:p>
        </w:tc>
        <w:tc>
          <w:tcPr>
            <w:tcW w:w="960" w:type="dxa"/>
            <w:vMerge w:val="restart"/>
            <w:shd w:val="clear" w:color="auto" w:fill="FF0000"/>
            <w:noWrap/>
            <w:textDirection w:val="btLr"/>
            <w:vAlign w:val="center"/>
          </w:tcPr>
          <w:p w:rsidR="009D2CAE" w:rsidRPr="007C0CDA" w:rsidRDefault="009D2CAE" w:rsidP="00FB3D68">
            <w:pPr>
              <w:jc w:val="center"/>
              <w:rPr>
                <w:b/>
                <w:bCs/>
                <w:color w:val="FFFFFF"/>
                <w:sz w:val="24"/>
                <w:szCs w:val="24"/>
              </w:rPr>
            </w:pPr>
            <w:r w:rsidRPr="007C0CDA">
              <w:rPr>
                <w:b/>
                <w:bCs/>
                <w:color w:val="FFFFFF"/>
                <w:sz w:val="24"/>
                <w:szCs w:val="24"/>
              </w:rPr>
              <w:t>ŘO</w:t>
            </w:r>
          </w:p>
        </w:tc>
        <w:tc>
          <w:tcPr>
            <w:tcW w:w="2414" w:type="dxa"/>
            <w:shd w:val="clear" w:color="auto" w:fill="FF0000"/>
            <w:vAlign w:val="center"/>
          </w:tcPr>
          <w:p w:rsidR="009D2CAE" w:rsidRPr="007C0CDA" w:rsidRDefault="009D2CAE" w:rsidP="00FB3D68">
            <w:pPr>
              <w:jc w:val="center"/>
              <w:rPr>
                <w:b/>
                <w:color w:val="FFFFFF"/>
                <w:sz w:val="20"/>
              </w:rPr>
            </w:pPr>
            <w:r w:rsidRPr="007C0CDA">
              <w:rPr>
                <w:b/>
                <w:color w:val="FFFFFF"/>
                <w:sz w:val="20"/>
              </w:rPr>
              <w:t>Podporuje jen tržně proveditelné subjekty</w:t>
            </w:r>
          </w:p>
        </w:tc>
        <w:tc>
          <w:tcPr>
            <w:tcW w:w="2330" w:type="dxa"/>
            <w:shd w:val="clear" w:color="auto" w:fill="FF0000"/>
            <w:vAlign w:val="center"/>
          </w:tcPr>
          <w:p w:rsidR="009D2CAE" w:rsidRPr="007C0CDA" w:rsidRDefault="009D2CAE" w:rsidP="00FB3D68">
            <w:pPr>
              <w:jc w:val="center"/>
              <w:rPr>
                <w:b/>
                <w:color w:val="FFFFFF"/>
                <w:sz w:val="20"/>
              </w:rPr>
            </w:pPr>
            <w:r w:rsidRPr="007C0CDA">
              <w:rPr>
                <w:b/>
                <w:color w:val="FFFFFF"/>
                <w:sz w:val="20"/>
              </w:rPr>
              <w:t>Omezená absorpční kapacita pro tržně problematické projekty</w:t>
            </w:r>
          </w:p>
        </w:tc>
        <w:tc>
          <w:tcPr>
            <w:tcW w:w="2330" w:type="dxa"/>
            <w:shd w:val="clear" w:color="auto" w:fill="FF0000"/>
          </w:tcPr>
          <w:p w:rsidR="009D2CAE" w:rsidRPr="007C0CDA" w:rsidRDefault="009D2CAE" w:rsidP="00FB3D68">
            <w:pPr>
              <w:jc w:val="center"/>
              <w:rPr>
                <w:b/>
                <w:color w:val="FFFFFF"/>
                <w:sz w:val="20"/>
              </w:rPr>
            </w:pPr>
            <w:r w:rsidRPr="007C0CDA">
              <w:rPr>
                <w:b/>
                <w:color w:val="FFFFFF"/>
                <w:sz w:val="20"/>
              </w:rPr>
              <w:t>Nenávratné výdaje</w:t>
            </w:r>
          </w:p>
        </w:tc>
      </w:tr>
      <w:tr w:rsidR="009D2CAE" w:rsidRPr="007C0CDA" w:rsidTr="00E45795">
        <w:trPr>
          <w:trHeight w:val="735"/>
        </w:trPr>
        <w:tc>
          <w:tcPr>
            <w:tcW w:w="960" w:type="dxa"/>
            <w:vMerge/>
            <w:shd w:val="clear" w:color="auto" w:fill="FF0000"/>
            <w:vAlign w:val="center"/>
          </w:tcPr>
          <w:p w:rsidR="009D2CAE" w:rsidRPr="007C0CDA" w:rsidRDefault="009D2CAE" w:rsidP="00FB3D68">
            <w:pPr>
              <w:jc w:val="left"/>
              <w:rPr>
                <w:b/>
                <w:bCs/>
                <w:color w:val="000000"/>
                <w:sz w:val="24"/>
                <w:szCs w:val="24"/>
              </w:rPr>
            </w:pPr>
          </w:p>
        </w:tc>
        <w:tc>
          <w:tcPr>
            <w:tcW w:w="960" w:type="dxa"/>
            <w:vMerge/>
            <w:shd w:val="clear" w:color="auto" w:fill="FF0000"/>
            <w:noWrap/>
            <w:textDirection w:val="btLr"/>
            <w:vAlign w:val="center"/>
          </w:tcPr>
          <w:p w:rsidR="009D2CAE" w:rsidRPr="007C0CDA" w:rsidRDefault="009D2CAE" w:rsidP="00FB3D68">
            <w:pPr>
              <w:jc w:val="center"/>
              <w:rPr>
                <w:b/>
                <w:bCs/>
                <w:color w:val="FFFFFF"/>
                <w:sz w:val="24"/>
                <w:szCs w:val="24"/>
              </w:rPr>
            </w:pPr>
          </w:p>
        </w:tc>
        <w:tc>
          <w:tcPr>
            <w:tcW w:w="2414" w:type="dxa"/>
            <w:shd w:val="clear" w:color="auto" w:fill="FF0000"/>
            <w:vAlign w:val="center"/>
          </w:tcPr>
          <w:p w:rsidR="009D2CAE" w:rsidRPr="007C0CDA" w:rsidRDefault="009D2CAE" w:rsidP="00FB3D68">
            <w:pPr>
              <w:jc w:val="center"/>
              <w:rPr>
                <w:b/>
                <w:color w:val="FFFFFF"/>
                <w:sz w:val="20"/>
              </w:rPr>
            </w:pPr>
            <w:r w:rsidRPr="007C0CDA">
              <w:rPr>
                <w:b/>
                <w:color w:val="FFFFFF"/>
                <w:sz w:val="20"/>
              </w:rPr>
              <w:t>Velmi nízký revolvingový efekt</w:t>
            </w:r>
          </w:p>
        </w:tc>
        <w:tc>
          <w:tcPr>
            <w:tcW w:w="2330" w:type="dxa"/>
            <w:shd w:val="clear" w:color="auto" w:fill="FF0000"/>
            <w:vAlign w:val="center"/>
          </w:tcPr>
          <w:p w:rsidR="009D2CAE" w:rsidRPr="007C0CDA" w:rsidRDefault="009D2CAE" w:rsidP="00FB3D68">
            <w:pPr>
              <w:jc w:val="center"/>
              <w:rPr>
                <w:b/>
                <w:color w:val="FFFFFF"/>
                <w:sz w:val="20"/>
              </w:rPr>
            </w:pPr>
            <w:r w:rsidRPr="007C0CDA">
              <w:rPr>
                <w:b/>
                <w:color w:val="FFFFFF"/>
                <w:sz w:val="20"/>
              </w:rPr>
              <w:t>Nižší pákový efekt než záruky</w:t>
            </w:r>
          </w:p>
        </w:tc>
        <w:tc>
          <w:tcPr>
            <w:tcW w:w="2330" w:type="dxa"/>
            <w:shd w:val="clear" w:color="auto" w:fill="FF0000"/>
          </w:tcPr>
          <w:p w:rsidR="009D2CAE" w:rsidRPr="007C0CDA" w:rsidRDefault="009D2CAE" w:rsidP="00FB3D68">
            <w:pPr>
              <w:jc w:val="center"/>
              <w:rPr>
                <w:b/>
                <w:color w:val="FFFFFF"/>
                <w:sz w:val="20"/>
              </w:rPr>
            </w:pPr>
            <w:r w:rsidRPr="007C0CDA">
              <w:rPr>
                <w:b/>
                <w:color w:val="FFFFFF"/>
                <w:sz w:val="20"/>
              </w:rPr>
              <w:t>Nižší počet podpořených projektů</w:t>
            </w:r>
          </w:p>
        </w:tc>
      </w:tr>
      <w:tr w:rsidR="009D2CAE" w:rsidRPr="007C0CDA" w:rsidTr="00E45795">
        <w:trPr>
          <w:trHeight w:val="566"/>
        </w:trPr>
        <w:tc>
          <w:tcPr>
            <w:tcW w:w="960" w:type="dxa"/>
            <w:vMerge/>
            <w:shd w:val="clear" w:color="auto" w:fill="FF0000"/>
            <w:vAlign w:val="center"/>
          </w:tcPr>
          <w:p w:rsidR="009D2CAE" w:rsidRPr="007C0CDA" w:rsidRDefault="009D2CAE" w:rsidP="00FB3D68">
            <w:pPr>
              <w:jc w:val="left"/>
              <w:rPr>
                <w:b/>
                <w:bCs/>
                <w:color w:val="000000"/>
                <w:sz w:val="18"/>
                <w:szCs w:val="18"/>
              </w:rPr>
            </w:pPr>
          </w:p>
        </w:tc>
        <w:tc>
          <w:tcPr>
            <w:tcW w:w="960" w:type="dxa"/>
            <w:vMerge/>
            <w:shd w:val="clear" w:color="auto" w:fill="FF0000"/>
            <w:noWrap/>
            <w:textDirection w:val="btLr"/>
            <w:vAlign w:val="center"/>
          </w:tcPr>
          <w:p w:rsidR="009D2CAE" w:rsidRPr="007C0CDA" w:rsidRDefault="009D2CAE" w:rsidP="00FB3D68">
            <w:pPr>
              <w:jc w:val="center"/>
              <w:rPr>
                <w:b/>
                <w:bCs/>
                <w:color w:val="000000"/>
                <w:sz w:val="18"/>
                <w:szCs w:val="18"/>
              </w:rPr>
            </w:pPr>
          </w:p>
        </w:tc>
        <w:tc>
          <w:tcPr>
            <w:tcW w:w="2414" w:type="dxa"/>
            <w:shd w:val="clear" w:color="auto" w:fill="FF0000"/>
            <w:vAlign w:val="center"/>
          </w:tcPr>
          <w:p w:rsidR="009D2CAE" w:rsidRPr="007C0CDA" w:rsidRDefault="009D2CAE" w:rsidP="00FB3D68">
            <w:pPr>
              <w:jc w:val="center"/>
              <w:rPr>
                <w:b/>
                <w:color w:val="FFFFFF"/>
                <w:sz w:val="20"/>
              </w:rPr>
            </w:pPr>
          </w:p>
        </w:tc>
        <w:tc>
          <w:tcPr>
            <w:tcW w:w="2330" w:type="dxa"/>
            <w:shd w:val="clear" w:color="auto" w:fill="FF0000"/>
            <w:vAlign w:val="center"/>
          </w:tcPr>
          <w:p w:rsidR="009D2CAE" w:rsidRPr="007C0CDA" w:rsidRDefault="009D2CAE" w:rsidP="00FB3D68">
            <w:pPr>
              <w:jc w:val="center"/>
              <w:rPr>
                <w:b/>
                <w:color w:val="FFFFFF"/>
                <w:sz w:val="20"/>
              </w:rPr>
            </w:pPr>
            <w:r w:rsidRPr="007C0CDA">
              <w:rPr>
                <w:b/>
                <w:color w:val="FFFFFF"/>
                <w:sz w:val="20"/>
              </w:rPr>
              <w:t>Revolving omezují poplatky zprostředkovatelskému subjektu</w:t>
            </w:r>
          </w:p>
        </w:tc>
        <w:tc>
          <w:tcPr>
            <w:tcW w:w="2330" w:type="dxa"/>
            <w:shd w:val="clear" w:color="auto" w:fill="FF0000"/>
          </w:tcPr>
          <w:p w:rsidR="009D2CAE" w:rsidRPr="007C0CDA" w:rsidRDefault="009D2CAE" w:rsidP="00FB3D68">
            <w:pPr>
              <w:jc w:val="center"/>
              <w:rPr>
                <w:b/>
                <w:color w:val="FFFFFF"/>
                <w:sz w:val="20"/>
              </w:rPr>
            </w:pPr>
            <w:r w:rsidRPr="007C0CDA">
              <w:rPr>
                <w:b/>
                <w:color w:val="FFFFFF"/>
                <w:sz w:val="20"/>
              </w:rPr>
              <w:t>Pomalejší čerpání</w:t>
            </w:r>
          </w:p>
        </w:tc>
      </w:tr>
      <w:tr w:rsidR="009D2CAE" w:rsidRPr="007C0CDA" w:rsidTr="00E45795">
        <w:trPr>
          <w:trHeight w:val="264"/>
        </w:trPr>
        <w:tc>
          <w:tcPr>
            <w:tcW w:w="960" w:type="dxa"/>
            <w:vMerge/>
            <w:shd w:val="clear" w:color="auto" w:fill="FF0000"/>
            <w:vAlign w:val="center"/>
          </w:tcPr>
          <w:p w:rsidR="009D2CAE" w:rsidRPr="007C0CDA" w:rsidRDefault="009D2CAE" w:rsidP="00FB3D68">
            <w:pPr>
              <w:jc w:val="left"/>
              <w:rPr>
                <w:b/>
                <w:bCs/>
                <w:color w:val="000000"/>
                <w:sz w:val="18"/>
                <w:szCs w:val="18"/>
              </w:rPr>
            </w:pPr>
          </w:p>
        </w:tc>
        <w:tc>
          <w:tcPr>
            <w:tcW w:w="960" w:type="dxa"/>
            <w:vMerge/>
            <w:shd w:val="clear" w:color="auto" w:fill="FF0000"/>
            <w:noWrap/>
            <w:textDirection w:val="btLr"/>
            <w:vAlign w:val="center"/>
          </w:tcPr>
          <w:p w:rsidR="009D2CAE" w:rsidRPr="007C0CDA" w:rsidRDefault="009D2CAE" w:rsidP="00FB3D68">
            <w:pPr>
              <w:jc w:val="center"/>
              <w:rPr>
                <w:b/>
                <w:bCs/>
                <w:color w:val="000000"/>
                <w:sz w:val="18"/>
                <w:szCs w:val="18"/>
              </w:rPr>
            </w:pPr>
          </w:p>
        </w:tc>
        <w:tc>
          <w:tcPr>
            <w:tcW w:w="2414" w:type="dxa"/>
            <w:shd w:val="clear" w:color="auto" w:fill="FF0000"/>
            <w:vAlign w:val="center"/>
          </w:tcPr>
          <w:p w:rsidR="009D2CAE" w:rsidRPr="007C0CDA" w:rsidRDefault="009D2CAE" w:rsidP="00FB3D68">
            <w:pPr>
              <w:jc w:val="center"/>
              <w:rPr>
                <w:b/>
                <w:color w:val="FFFFFF"/>
                <w:sz w:val="20"/>
              </w:rPr>
            </w:pPr>
          </w:p>
        </w:tc>
        <w:tc>
          <w:tcPr>
            <w:tcW w:w="2330" w:type="dxa"/>
            <w:shd w:val="clear" w:color="auto" w:fill="FF0000"/>
            <w:vAlign w:val="center"/>
          </w:tcPr>
          <w:p w:rsidR="009D2CAE" w:rsidRPr="007C0CDA" w:rsidRDefault="009D2CAE" w:rsidP="00FB3D68">
            <w:pPr>
              <w:jc w:val="center"/>
              <w:rPr>
                <w:b/>
                <w:color w:val="FFFFFF"/>
                <w:sz w:val="20"/>
              </w:rPr>
            </w:pPr>
          </w:p>
        </w:tc>
        <w:tc>
          <w:tcPr>
            <w:tcW w:w="2330" w:type="dxa"/>
            <w:shd w:val="clear" w:color="auto" w:fill="FF0000"/>
          </w:tcPr>
          <w:p w:rsidR="009D2CAE" w:rsidRPr="007C0CDA" w:rsidRDefault="009D2CAE" w:rsidP="00FB3D68">
            <w:pPr>
              <w:keepNext/>
              <w:jc w:val="center"/>
              <w:rPr>
                <w:b/>
                <w:color w:val="FFFFFF"/>
                <w:sz w:val="20"/>
              </w:rPr>
            </w:pPr>
          </w:p>
        </w:tc>
      </w:tr>
    </w:tbl>
    <w:p w:rsidR="009D2CAE" w:rsidRPr="007C0CDA" w:rsidRDefault="009D2CAE" w:rsidP="00BE1884">
      <w:pPr>
        <w:pStyle w:val="Titulek"/>
      </w:pPr>
      <w:r w:rsidRPr="007C0CDA">
        <w:t xml:space="preserve">Tabulka </w:t>
      </w:r>
      <w:r w:rsidRPr="00854519">
        <w:fldChar w:fldCharType="begin"/>
      </w:r>
      <w:r w:rsidRPr="007C0CDA">
        <w:instrText xml:space="preserve"> SEQ Tabulka \* ARABIC </w:instrText>
      </w:r>
      <w:r w:rsidRPr="002433DA">
        <w:fldChar w:fldCharType="separate"/>
      </w:r>
      <w:r w:rsidRPr="007C0CDA">
        <w:rPr>
          <w:noProof/>
        </w:rPr>
        <w:t>11</w:t>
      </w:r>
      <w:r w:rsidRPr="00854519">
        <w:fldChar w:fldCharType="end"/>
      </w:r>
      <w:r w:rsidRPr="007C0CDA">
        <w:t>: Přidaná hodnota, nevýhody a rizika veřejné podpory pro příjemce a ŘO</w:t>
      </w:r>
    </w:p>
    <w:p w:rsidR="009D2CAE" w:rsidRPr="007C0CDA" w:rsidRDefault="009D2CAE" w:rsidP="00BE1884"/>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9"/>
        <w:gridCol w:w="2694"/>
        <w:gridCol w:w="2268"/>
        <w:gridCol w:w="2268"/>
      </w:tblGrid>
      <w:tr w:rsidR="009D2CAE" w:rsidRPr="007C0CDA" w:rsidTr="002433DA">
        <w:tc>
          <w:tcPr>
            <w:tcW w:w="1729" w:type="dxa"/>
            <w:shd w:val="clear" w:color="auto" w:fill="4F81BD" w:themeFill="accent1"/>
          </w:tcPr>
          <w:p w:rsidR="009D2CAE" w:rsidRPr="007C0CDA" w:rsidRDefault="009D2CAE" w:rsidP="00B03681">
            <w:pPr>
              <w:pStyle w:val="Highlight2"/>
              <w:jc w:val="center"/>
              <w:rPr>
                <w:rFonts w:ascii="Calibri" w:hAnsi="Calibri" w:cs="Calibri"/>
                <w:color w:val="FFFFFF"/>
                <w:sz w:val="22"/>
                <w:szCs w:val="22"/>
              </w:rPr>
            </w:pPr>
            <w:r w:rsidRPr="007C0CDA">
              <w:rPr>
                <w:rFonts w:ascii="Calibri" w:hAnsi="Calibri" w:cs="Calibri"/>
                <w:color w:val="FFFFFF"/>
                <w:sz w:val="22"/>
                <w:szCs w:val="22"/>
                <w:lang w:eastAsia="cs-CZ"/>
              </w:rPr>
              <w:t>Tržní selhání</w:t>
            </w:r>
          </w:p>
        </w:tc>
        <w:tc>
          <w:tcPr>
            <w:tcW w:w="2694" w:type="dxa"/>
            <w:shd w:val="clear" w:color="auto" w:fill="4F81BD" w:themeFill="accent1"/>
          </w:tcPr>
          <w:p w:rsidR="009D2CAE" w:rsidRPr="007C0CDA" w:rsidRDefault="009D2CAE" w:rsidP="00B03681">
            <w:pPr>
              <w:pStyle w:val="Highlight2"/>
              <w:jc w:val="center"/>
              <w:rPr>
                <w:rFonts w:ascii="Calibri" w:hAnsi="Calibri" w:cs="Calibri"/>
                <w:bCs/>
                <w:color w:val="FFFFFF"/>
                <w:sz w:val="22"/>
                <w:szCs w:val="22"/>
                <w:lang w:eastAsia="cs-CZ"/>
              </w:rPr>
            </w:pPr>
            <w:r w:rsidRPr="007C0CDA">
              <w:rPr>
                <w:rFonts w:ascii="Calibri" w:hAnsi="Calibri" w:cs="Calibri"/>
                <w:bCs/>
                <w:color w:val="FFFFFF"/>
                <w:sz w:val="22"/>
                <w:szCs w:val="22"/>
                <w:lang w:eastAsia="cs-CZ"/>
              </w:rPr>
              <w:t>Záruční nástroj</w:t>
            </w:r>
          </w:p>
        </w:tc>
        <w:tc>
          <w:tcPr>
            <w:tcW w:w="2268" w:type="dxa"/>
            <w:shd w:val="clear" w:color="auto" w:fill="4F81BD" w:themeFill="accent1"/>
          </w:tcPr>
          <w:p w:rsidR="009D2CAE" w:rsidRPr="007C0CDA" w:rsidRDefault="009D2CAE" w:rsidP="00B03681">
            <w:pPr>
              <w:pStyle w:val="Highlight2"/>
              <w:jc w:val="center"/>
              <w:rPr>
                <w:rFonts w:ascii="Calibri" w:hAnsi="Calibri" w:cs="Calibri"/>
                <w:color w:val="FFFFFF"/>
                <w:sz w:val="22"/>
                <w:szCs w:val="22"/>
              </w:rPr>
            </w:pPr>
            <w:r w:rsidRPr="007C0CDA">
              <w:rPr>
                <w:rFonts w:ascii="Calibri" w:hAnsi="Calibri" w:cs="Calibri"/>
                <w:bCs/>
                <w:color w:val="FFFFFF"/>
                <w:sz w:val="22"/>
                <w:szCs w:val="22"/>
                <w:lang w:eastAsia="cs-CZ"/>
              </w:rPr>
              <w:t>Zvýhodněný úvěr</w:t>
            </w:r>
          </w:p>
        </w:tc>
        <w:tc>
          <w:tcPr>
            <w:tcW w:w="2268" w:type="dxa"/>
            <w:shd w:val="clear" w:color="auto" w:fill="4F81BD" w:themeFill="accent1"/>
          </w:tcPr>
          <w:p w:rsidR="009D2CAE" w:rsidRPr="007C0CDA" w:rsidRDefault="009D2CAE" w:rsidP="00B03681">
            <w:pPr>
              <w:pStyle w:val="Highlight2"/>
              <w:jc w:val="center"/>
              <w:rPr>
                <w:rFonts w:ascii="Calibri" w:hAnsi="Calibri" w:cs="Calibri"/>
                <w:bCs/>
                <w:color w:val="FFFFFF"/>
                <w:sz w:val="22"/>
                <w:szCs w:val="22"/>
                <w:lang w:eastAsia="cs-CZ"/>
              </w:rPr>
            </w:pPr>
            <w:r w:rsidRPr="007C0CDA">
              <w:rPr>
                <w:rFonts w:ascii="Calibri" w:hAnsi="Calibri" w:cs="Calibri"/>
                <w:bCs/>
                <w:color w:val="FFFFFF"/>
                <w:sz w:val="22"/>
                <w:szCs w:val="22"/>
                <w:lang w:eastAsia="cs-CZ"/>
              </w:rPr>
              <w:t>Dotace</w:t>
            </w:r>
          </w:p>
        </w:tc>
      </w:tr>
      <w:tr w:rsidR="009D2CAE" w:rsidRPr="007C0CDA" w:rsidTr="002433DA">
        <w:trPr>
          <w:trHeight w:val="793"/>
        </w:trPr>
        <w:tc>
          <w:tcPr>
            <w:tcW w:w="1729" w:type="dxa"/>
          </w:tcPr>
          <w:p w:rsidR="009D2CAE" w:rsidRPr="007C0CDA" w:rsidRDefault="009D2CAE" w:rsidP="00B03681">
            <w:pPr>
              <w:pStyle w:val="Highlight2"/>
              <w:jc w:val="left"/>
              <w:rPr>
                <w:rFonts w:ascii="Calibri" w:hAnsi="Calibri" w:cs="Calibri"/>
              </w:rPr>
            </w:pPr>
            <w:r w:rsidRPr="007C0CDA">
              <w:rPr>
                <w:rFonts w:ascii="Calibri" w:hAnsi="Calibri" w:cs="Calibri"/>
                <w:color w:val="auto"/>
                <w:szCs w:val="20"/>
              </w:rPr>
              <w:t>Náklady projektu a návratnost</w:t>
            </w:r>
          </w:p>
        </w:tc>
        <w:tc>
          <w:tcPr>
            <w:tcW w:w="2694" w:type="dxa"/>
          </w:tcPr>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auto"/>
                <w:szCs w:val="20"/>
              </w:rPr>
              <w:t>Nemá velký vliv na snížení nákladů projektu a jeho návratnost</w:t>
            </w:r>
          </w:p>
        </w:tc>
        <w:tc>
          <w:tcPr>
            <w:tcW w:w="2268" w:type="dxa"/>
          </w:tcPr>
          <w:p w:rsidR="009D2CAE" w:rsidRPr="007C0CDA" w:rsidRDefault="009D2CAE" w:rsidP="002F7B85">
            <w:pPr>
              <w:pStyle w:val="Highlight2"/>
              <w:jc w:val="center"/>
              <w:rPr>
                <w:rFonts w:ascii="Calibri" w:hAnsi="Calibri" w:cs="Calibri"/>
                <w:b w:val="0"/>
              </w:rPr>
            </w:pPr>
            <w:r w:rsidRPr="007C0CDA">
              <w:rPr>
                <w:rFonts w:ascii="Calibri" w:hAnsi="Calibri" w:cs="Calibri"/>
                <w:b w:val="0"/>
                <w:color w:val="auto"/>
                <w:szCs w:val="20"/>
              </w:rPr>
              <w:t>Částečně snižuje úrokové náklady a počáteční náklady na přípravu, radikálně však nemění parametry návratnosti</w:t>
            </w:r>
          </w:p>
        </w:tc>
        <w:tc>
          <w:tcPr>
            <w:tcW w:w="2268" w:type="dxa"/>
          </w:tcPr>
          <w:p w:rsidR="009D2CAE" w:rsidRPr="007C0CDA" w:rsidRDefault="009D2CAE" w:rsidP="002433DA">
            <w:pPr>
              <w:pStyle w:val="Highlight2"/>
              <w:jc w:val="center"/>
              <w:rPr>
                <w:rFonts w:ascii="Calibri" w:hAnsi="Calibri" w:cs="Calibri"/>
                <w:b w:val="0"/>
                <w:color w:val="000000"/>
                <w:lang w:eastAsia="cs-CZ"/>
              </w:rPr>
            </w:pPr>
            <w:r w:rsidRPr="007C0CDA">
              <w:rPr>
                <w:rFonts w:ascii="Calibri" w:hAnsi="Calibri" w:cs="Calibri"/>
                <w:b w:val="0"/>
                <w:color w:val="auto"/>
                <w:szCs w:val="20"/>
              </w:rPr>
              <w:t>Výrazně snižuje náklady pro žadatele a tedy i návratnost projektu.</w:t>
            </w:r>
          </w:p>
        </w:tc>
      </w:tr>
      <w:tr w:rsidR="009D2CAE" w:rsidRPr="007C0CDA" w:rsidTr="002433DA">
        <w:trPr>
          <w:trHeight w:val="1521"/>
        </w:trPr>
        <w:tc>
          <w:tcPr>
            <w:tcW w:w="1729" w:type="dxa"/>
          </w:tcPr>
          <w:p w:rsidR="009D2CAE" w:rsidRPr="007C0CDA" w:rsidRDefault="009D2CAE" w:rsidP="00B03681">
            <w:pPr>
              <w:pStyle w:val="Highlight2"/>
              <w:jc w:val="left"/>
              <w:rPr>
                <w:rFonts w:ascii="Calibri" w:hAnsi="Calibri" w:cs="Calibri"/>
                <w:bCs/>
                <w:color w:val="000000"/>
                <w:lang w:eastAsia="cs-CZ"/>
              </w:rPr>
            </w:pPr>
            <w:r w:rsidRPr="007C0CDA">
              <w:rPr>
                <w:rFonts w:ascii="Calibri" w:hAnsi="Calibri" w:cs="Calibri"/>
                <w:bCs/>
                <w:color w:val="000000"/>
                <w:lang w:eastAsia="cs-CZ"/>
              </w:rPr>
              <w:t>Riziko projektu</w:t>
            </w:r>
          </w:p>
        </w:tc>
        <w:tc>
          <w:tcPr>
            <w:tcW w:w="2694" w:type="dxa"/>
          </w:tcPr>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Z pohledu úvěrování rozděluje riziko mezi příjemce, banku a FN. Likvidnější zástava, výrazné snížení rizika pro úvěrující instituci</w:t>
            </w:r>
          </w:p>
          <w:p w:rsidR="009D2CAE" w:rsidRPr="007C0CDA" w:rsidRDefault="009D2CAE" w:rsidP="00B03681">
            <w:pPr>
              <w:pStyle w:val="Highlight2"/>
              <w:jc w:val="center"/>
              <w:rPr>
                <w:rFonts w:ascii="Calibri" w:hAnsi="Calibri" w:cs="Calibri"/>
                <w:b w:val="0"/>
                <w:color w:val="000000"/>
                <w:lang w:eastAsia="cs-CZ"/>
              </w:rPr>
            </w:pPr>
          </w:p>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Riziko zvýšených nákladů pro příjemce zůstává</w:t>
            </w:r>
          </w:p>
          <w:p w:rsidR="009D2CAE" w:rsidRPr="007C0CDA" w:rsidRDefault="009D2CAE" w:rsidP="00B03681">
            <w:pPr>
              <w:pStyle w:val="Highlight2"/>
              <w:jc w:val="center"/>
              <w:rPr>
                <w:rFonts w:ascii="Calibri" w:hAnsi="Calibri" w:cs="Calibri"/>
                <w:b w:val="0"/>
                <w:color w:val="000000"/>
                <w:lang w:eastAsia="cs-CZ"/>
              </w:rPr>
            </w:pPr>
          </w:p>
          <w:p w:rsidR="009D2CAE" w:rsidRPr="007C0CDA" w:rsidRDefault="009D2CAE" w:rsidP="00B03681">
            <w:pPr>
              <w:pStyle w:val="Highlight2"/>
              <w:jc w:val="center"/>
              <w:rPr>
                <w:rFonts w:ascii="Calibri" w:hAnsi="Calibri" w:cs="Calibri"/>
                <w:b w:val="0"/>
                <w:color w:val="000000"/>
                <w:lang w:eastAsia="cs-CZ"/>
              </w:rPr>
            </w:pPr>
          </w:p>
        </w:tc>
        <w:tc>
          <w:tcPr>
            <w:tcW w:w="2268" w:type="dxa"/>
          </w:tcPr>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Rozděluje riziko mezi příjemce, banku a FN.</w:t>
            </w:r>
          </w:p>
          <w:p w:rsidR="009D2CAE" w:rsidRPr="007C0CDA" w:rsidRDefault="009D2CAE" w:rsidP="00B03681">
            <w:pPr>
              <w:pStyle w:val="Highlight2"/>
              <w:jc w:val="center"/>
              <w:rPr>
                <w:rFonts w:ascii="Calibri" w:hAnsi="Calibri" w:cs="Calibri"/>
                <w:b w:val="0"/>
                <w:color w:val="000000"/>
                <w:lang w:eastAsia="cs-CZ"/>
              </w:rPr>
            </w:pPr>
          </w:p>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Riziko zvýšených nákladů pro příjemce zůstává</w:t>
            </w:r>
          </w:p>
          <w:p w:rsidR="009D2CAE" w:rsidRPr="007C0CDA" w:rsidRDefault="009D2CAE" w:rsidP="00B03681">
            <w:pPr>
              <w:pStyle w:val="Highlight2"/>
              <w:jc w:val="center"/>
              <w:rPr>
                <w:rFonts w:ascii="Calibri" w:hAnsi="Calibri" w:cs="Calibri"/>
                <w:b w:val="0"/>
                <w:color w:val="000000"/>
                <w:lang w:eastAsia="cs-CZ"/>
              </w:rPr>
            </w:pPr>
          </w:p>
          <w:p w:rsidR="009D2CAE" w:rsidRPr="007C0CDA" w:rsidRDefault="009D2CAE" w:rsidP="00B03681">
            <w:pPr>
              <w:pStyle w:val="Highlight2"/>
              <w:jc w:val="center"/>
              <w:rPr>
                <w:rFonts w:ascii="Calibri" w:hAnsi="Calibri" w:cs="Calibri"/>
                <w:b w:val="0"/>
                <w:color w:val="000000"/>
                <w:lang w:eastAsia="cs-CZ"/>
              </w:rPr>
            </w:pPr>
          </w:p>
        </w:tc>
        <w:tc>
          <w:tcPr>
            <w:tcW w:w="2268" w:type="dxa"/>
          </w:tcPr>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Dotace části nákladů snižuje rizika příjemce z negativního vývoje revitalizace. Příjemce přebírá riziko jen do výše spoluúčasti způsobilých a nezpůsobilých nákladů</w:t>
            </w:r>
          </w:p>
          <w:p w:rsidR="009D2CAE" w:rsidRPr="007C0CDA" w:rsidRDefault="009D2CAE" w:rsidP="00B03681">
            <w:pPr>
              <w:pStyle w:val="Highlight2"/>
              <w:jc w:val="center"/>
              <w:rPr>
                <w:rFonts w:ascii="Calibri" w:hAnsi="Calibri" w:cs="Calibri"/>
                <w:b w:val="0"/>
                <w:color w:val="000000"/>
                <w:lang w:eastAsia="cs-CZ"/>
              </w:rPr>
            </w:pPr>
          </w:p>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Zlepšená úvěrovatelnost dotovaných projektů</w:t>
            </w:r>
          </w:p>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w:t>
            </w:r>
          </w:p>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rPr>
              <w:t xml:space="preserve"> ŘO má předem dané ztráty do absolutní výše dotace.</w:t>
            </w:r>
          </w:p>
        </w:tc>
      </w:tr>
      <w:tr w:rsidR="009D2CAE" w:rsidRPr="007C0CDA" w:rsidTr="002433DA">
        <w:tc>
          <w:tcPr>
            <w:tcW w:w="1729" w:type="dxa"/>
          </w:tcPr>
          <w:p w:rsidR="009D2CAE" w:rsidRPr="007C0CDA" w:rsidRDefault="009D2CAE" w:rsidP="00B03681">
            <w:pPr>
              <w:pStyle w:val="Highlight2"/>
              <w:jc w:val="left"/>
              <w:rPr>
                <w:rFonts w:ascii="Calibri" w:hAnsi="Calibri" w:cs="Calibri"/>
                <w:color w:val="auto"/>
                <w:szCs w:val="20"/>
              </w:rPr>
            </w:pPr>
          </w:p>
        </w:tc>
        <w:tc>
          <w:tcPr>
            <w:tcW w:w="2694" w:type="dxa"/>
          </w:tcPr>
          <w:p w:rsidR="009D2CAE" w:rsidRPr="007C0CDA" w:rsidRDefault="009D2CAE" w:rsidP="00B03681">
            <w:pPr>
              <w:pStyle w:val="Highlight2"/>
              <w:jc w:val="center"/>
              <w:rPr>
                <w:rFonts w:ascii="Calibri" w:hAnsi="Calibri" w:cs="Calibri"/>
                <w:b w:val="0"/>
                <w:color w:val="auto"/>
                <w:szCs w:val="20"/>
              </w:rPr>
            </w:pPr>
          </w:p>
        </w:tc>
        <w:tc>
          <w:tcPr>
            <w:tcW w:w="2268" w:type="dxa"/>
          </w:tcPr>
          <w:p w:rsidR="009D2CAE" w:rsidRPr="007C0CDA" w:rsidRDefault="009D2CAE" w:rsidP="00B03681">
            <w:pPr>
              <w:pStyle w:val="Highlight2"/>
              <w:jc w:val="center"/>
              <w:rPr>
                <w:rFonts w:ascii="Calibri" w:hAnsi="Calibri" w:cs="Calibri"/>
                <w:b w:val="0"/>
                <w:color w:val="auto"/>
                <w:szCs w:val="20"/>
              </w:rPr>
            </w:pPr>
          </w:p>
        </w:tc>
        <w:tc>
          <w:tcPr>
            <w:tcW w:w="2268" w:type="dxa"/>
          </w:tcPr>
          <w:p w:rsidR="009D2CAE" w:rsidRPr="007C0CDA" w:rsidRDefault="009D2CAE" w:rsidP="00B03681">
            <w:pPr>
              <w:pStyle w:val="Highlight2"/>
              <w:jc w:val="center"/>
              <w:rPr>
                <w:rFonts w:ascii="Calibri" w:hAnsi="Calibri" w:cs="Calibri"/>
                <w:b w:val="0"/>
                <w:color w:val="auto"/>
                <w:szCs w:val="20"/>
              </w:rPr>
            </w:pPr>
          </w:p>
        </w:tc>
      </w:tr>
      <w:tr w:rsidR="009D2CAE" w:rsidRPr="007C0CDA" w:rsidTr="002433DA">
        <w:tc>
          <w:tcPr>
            <w:tcW w:w="1729" w:type="dxa"/>
          </w:tcPr>
          <w:p w:rsidR="009D2CAE" w:rsidRPr="007C0CDA" w:rsidRDefault="009D2CAE" w:rsidP="00B03681">
            <w:pPr>
              <w:pStyle w:val="Highlight2"/>
              <w:jc w:val="left"/>
              <w:rPr>
                <w:rFonts w:ascii="Calibri" w:hAnsi="Calibri" w:cs="Calibri"/>
              </w:rPr>
            </w:pPr>
            <w:r w:rsidRPr="007C0CDA">
              <w:rPr>
                <w:rFonts w:ascii="Calibri" w:hAnsi="Calibri" w:cs="Calibri"/>
                <w:bCs/>
                <w:color w:val="000000"/>
                <w:lang w:eastAsia="cs-CZ"/>
              </w:rPr>
              <w:t>Administrativní zátěž</w:t>
            </w:r>
          </w:p>
        </w:tc>
        <w:tc>
          <w:tcPr>
            <w:tcW w:w="2694" w:type="dxa"/>
          </w:tcPr>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Jednoduchá administrace, bez rizika odebrání podpory z důvodu technických chyb</w:t>
            </w:r>
          </w:p>
          <w:p w:rsidR="009D2CAE" w:rsidRPr="007C0CDA" w:rsidRDefault="009D2CAE" w:rsidP="00B03681">
            <w:pPr>
              <w:pStyle w:val="Highlight2"/>
              <w:jc w:val="center"/>
              <w:rPr>
                <w:rFonts w:ascii="Calibri" w:hAnsi="Calibri" w:cs="Calibri"/>
                <w:b w:val="0"/>
                <w:color w:val="000000"/>
                <w:lang w:eastAsia="cs-CZ"/>
              </w:rPr>
            </w:pPr>
          </w:p>
        </w:tc>
        <w:tc>
          <w:tcPr>
            <w:tcW w:w="2268" w:type="dxa"/>
          </w:tcPr>
          <w:p w:rsidR="009D2CAE" w:rsidRPr="007C0CDA" w:rsidRDefault="009D2CAE" w:rsidP="00B03681">
            <w:pPr>
              <w:pStyle w:val="Highlight2"/>
              <w:jc w:val="center"/>
              <w:rPr>
                <w:rFonts w:ascii="Calibri" w:hAnsi="Calibri" w:cs="Calibri"/>
                <w:b w:val="0"/>
              </w:rPr>
            </w:pPr>
            <w:r w:rsidRPr="007C0CDA">
              <w:rPr>
                <w:rFonts w:ascii="Calibri" w:hAnsi="Calibri" w:cs="Calibri"/>
                <w:b w:val="0"/>
                <w:color w:val="000000"/>
                <w:lang w:eastAsia="cs-CZ"/>
              </w:rPr>
              <w:t>Jednoduchá administrace, bez rizika odebrání podpory z důvodu technických chyb</w:t>
            </w:r>
          </w:p>
        </w:tc>
        <w:tc>
          <w:tcPr>
            <w:tcW w:w="2268" w:type="dxa"/>
          </w:tcPr>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Vysoká administrativní a regulační zátěž omezuje příjemce, zvyšuje náklady a přináší riziko odebrání dotace.</w:t>
            </w:r>
          </w:p>
        </w:tc>
      </w:tr>
      <w:tr w:rsidR="009D2CAE" w:rsidRPr="007C0CDA" w:rsidTr="002433DA">
        <w:trPr>
          <w:trHeight w:val="1474"/>
        </w:trPr>
        <w:tc>
          <w:tcPr>
            <w:tcW w:w="1729" w:type="dxa"/>
          </w:tcPr>
          <w:p w:rsidR="009D2CAE" w:rsidRPr="007C0CDA" w:rsidRDefault="009D2CAE" w:rsidP="00E45795">
            <w:pPr>
              <w:rPr>
                <w:sz w:val="19"/>
              </w:rPr>
            </w:pPr>
            <w:r w:rsidRPr="007C0CDA">
              <w:rPr>
                <w:b/>
                <w:sz w:val="20"/>
              </w:rPr>
              <w:t>Celkový efekt na Investiční aktivitu a absorpci v SC</w:t>
            </w:r>
          </w:p>
        </w:tc>
        <w:tc>
          <w:tcPr>
            <w:tcW w:w="2694" w:type="dxa"/>
          </w:tcPr>
          <w:p w:rsidR="009D2CAE" w:rsidRPr="007C0CDA" w:rsidRDefault="009D2CAE" w:rsidP="00183F1E">
            <w:pPr>
              <w:pStyle w:val="Highlight2"/>
              <w:jc w:val="center"/>
              <w:rPr>
                <w:rFonts w:ascii="Calibri" w:hAnsi="Calibri" w:cs="Calibri"/>
                <w:b w:val="0"/>
                <w:bCs/>
                <w:color w:val="000000"/>
                <w:lang w:eastAsia="cs-CZ"/>
              </w:rPr>
            </w:pPr>
            <w:r w:rsidRPr="007C0CDA">
              <w:rPr>
                <w:rFonts w:ascii="Calibri" w:hAnsi="Calibri" w:cs="Calibri"/>
                <w:b w:val="0"/>
                <w:bCs/>
                <w:color w:val="000000"/>
                <w:lang w:eastAsia="cs-CZ"/>
              </w:rPr>
              <w:t xml:space="preserve">Na rozšíření investiční aktivity v oblasti BF </w:t>
            </w:r>
            <w:r w:rsidR="002934A3">
              <w:rPr>
                <w:rFonts w:ascii="Calibri" w:hAnsi="Calibri" w:cs="Calibri"/>
                <w:b w:val="0"/>
                <w:bCs/>
                <w:color w:val="000000"/>
                <w:lang w:eastAsia="cs-CZ"/>
              </w:rPr>
              <w:t>mají záruky vliv pouze z hlediska zpřístupnění financování pro rizikovější</w:t>
            </w:r>
            <w:r w:rsidRPr="007C0CDA">
              <w:rPr>
                <w:rFonts w:ascii="Calibri" w:hAnsi="Calibri" w:cs="Calibri"/>
                <w:b w:val="0"/>
                <w:bCs/>
                <w:color w:val="000000"/>
                <w:lang w:eastAsia="cs-CZ"/>
              </w:rPr>
              <w:t xml:space="preserve"> MSP.</w:t>
            </w:r>
          </w:p>
        </w:tc>
        <w:tc>
          <w:tcPr>
            <w:tcW w:w="2268" w:type="dxa"/>
          </w:tcPr>
          <w:p w:rsidR="002934A3" w:rsidRDefault="009D2CAE" w:rsidP="00E45795">
            <w:pPr>
              <w:rPr>
                <w:sz w:val="20"/>
              </w:rPr>
            </w:pPr>
            <w:r w:rsidRPr="007C0CDA">
              <w:rPr>
                <w:sz w:val="20"/>
              </w:rPr>
              <w:t>Mírné zkrácení doby návratnosti, přístup k vyššímu externímu financování a příspěvek na projektovou přípravu</w:t>
            </w:r>
          </w:p>
          <w:p w:rsidR="002934A3" w:rsidRDefault="002934A3" w:rsidP="00E45795">
            <w:pPr>
              <w:rPr>
                <w:sz w:val="20"/>
              </w:rPr>
            </w:pPr>
            <w:r>
              <w:rPr>
                <w:sz w:val="20"/>
              </w:rPr>
              <w:t>umožní částečně vyšší investiční aktivitu v segmentu rekonstrukcí s rentabilním výhledem.</w:t>
            </w:r>
          </w:p>
          <w:p w:rsidR="002934A3" w:rsidRDefault="002934A3" w:rsidP="00E45795">
            <w:pPr>
              <w:rPr>
                <w:sz w:val="20"/>
              </w:rPr>
            </w:pPr>
            <w:r>
              <w:rPr>
                <w:sz w:val="20"/>
              </w:rPr>
              <w:t>Motivační efekt na investice do BF je malý.</w:t>
            </w:r>
          </w:p>
          <w:p w:rsidR="009D2CAE" w:rsidRPr="007C0CDA" w:rsidRDefault="002934A3" w:rsidP="007B2DEF">
            <w:pPr>
              <w:rPr>
                <w:b/>
                <w:sz w:val="19"/>
              </w:rPr>
            </w:pPr>
            <w:r w:rsidRPr="007C0CDA">
              <w:rPr>
                <w:sz w:val="20"/>
              </w:rPr>
              <w:t>Neefektivita pro vysoce nákladné BF</w:t>
            </w:r>
            <w:r>
              <w:rPr>
                <w:sz w:val="20"/>
              </w:rPr>
              <w:t xml:space="preserve"> s primárním tržním selhání – malá přidaná hodnota z hlediska SC 2.3</w:t>
            </w:r>
          </w:p>
        </w:tc>
        <w:tc>
          <w:tcPr>
            <w:tcW w:w="2268" w:type="dxa"/>
          </w:tcPr>
          <w:p w:rsidR="009D2CAE" w:rsidRPr="007C0CDA" w:rsidRDefault="009D2CAE" w:rsidP="00E45795">
            <w:pPr>
              <w:rPr>
                <w:color w:val="000000"/>
                <w:sz w:val="20"/>
              </w:rPr>
            </w:pPr>
            <w:r w:rsidRPr="007C0CDA">
              <w:rPr>
                <w:color w:val="000000"/>
                <w:sz w:val="20"/>
              </w:rPr>
              <w:t>Výrazný efekt na nákladovost a návratnost projektu výrazně zvyšuje absorpci i pro tržně nerevitalizovatelné BF – avšak kvůli omezení na 1/3 způsobilých nákladů ne pro všechny.</w:t>
            </w:r>
          </w:p>
          <w:p w:rsidR="009D2CAE" w:rsidRPr="007C0CDA" w:rsidRDefault="009D2CAE" w:rsidP="00E45795">
            <w:pPr>
              <w:rPr>
                <w:color w:val="000000"/>
                <w:sz w:val="19"/>
              </w:rPr>
            </w:pPr>
            <w:r w:rsidRPr="007C0CDA">
              <w:rPr>
                <w:color w:val="000000"/>
                <w:sz w:val="20"/>
              </w:rPr>
              <w:t>Částečné omezení kvůli administrativní složitosti.</w:t>
            </w:r>
          </w:p>
          <w:p w:rsidR="002934A3" w:rsidRDefault="009D2CAE" w:rsidP="007B2DEF">
            <w:pPr>
              <w:rPr>
                <w:b/>
                <w:color w:val="000000"/>
                <w:sz w:val="19"/>
              </w:rPr>
            </w:pPr>
            <w:r w:rsidRPr="007C0CDA">
              <w:rPr>
                <w:color w:val="000000"/>
                <w:sz w:val="20"/>
              </w:rPr>
              <w:t xml:space="preserve">Omezení dané nedostatkem disponibilních zdrojů </w:t>
            </w:r>
          </w:p>
          <w:p w:rsidR="002934A3" w:rsidRPr="00183F1E" w:rsidRDefault="002934A3" w:rsidP="002F7B85">
            <w:pPr>
              <w:rPr>
                <w:color w:val="000000"/>
                <w:sz w:val="19"/>
              </w:rPr>
            </w:pPr>
            <w:r>
              <w:rPr>
                <w:color w:val="000000"/>
                <w:sz w:val="19"/>
              </w:rPr>
              <w:t>Mělo by výrazně podpořit investiční aktivitu v cílových BF.</w:t>
            </w:r>
          </w:p>
          <w:p w:rsidR="009D2CAE" w:rsidRPr="007C0CDA" w:rsidRDefault="009D2CAE" w:rsidP="002433DA">
            <w:pPr>
              <w:rPr>
                <w:b/>
                <w:color w:val="000000"/>
                <w:sz w:val="19"/>
              </w:rPr>
            </w:pPr>
          </w:p>
        </w:tc>
      </w:tr>
      <w:tr w:rsidR="009D2CAE" w:rsidRPr="007C0CDA" w:rsidTr="002433DA">
        <w:tc>
          <w:tcPr>
            <w:tcW w:w="1729" w:type="dxa"/>
          </w:tcPr>
          <w:p w:rsidR="009D2CAE" w:rsidRPr="007C0CDA" w:rsidRDefault="009D2CAE" w:rsidP="00B03681">
            <w:pPr>
              <w:pStyle w:val="Highlight2"/>
              <w:jc w:val="left"/>
              <w:rPr>
                <w:rFonts w:ascii="Calibri" w:hAnsi="Calibri" w:cs="Calibri"/>
                <w:bCs/>
                <w:color w:val="000000"/>
                <w:lang w:eastAsia="cs-CZ"/>
              </w:rPr>
            </w:pPr>
            <w:r w:rsidRPr="007C0CDA">
              <w:rPr>
                <w:rFonts w:ascii="Calibri" w:hAnsi="Calibri" w:cs="Calibri"/>
                <w:bCs/>
                <w:color w:val="000000"/>
                <w:lang w:eastAsia="cs-CZ"/>
              </w:rPr>
              <w:t>Efekt na narušení tržního prostředí</w:t>
            </w:r>
          </w:p>
        </w:tc>
        <w:tc>
          <w:tcPr>
            <w:tcW w:w="2694" w:type="dxa"/>
          </w:tcPr>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Minimální vliv na tržní prostředí, zvyšují konkurenci odstraněním finanční bariéry pro menší subjekty</w:t>
            </w:r>
          </w:p>
        </w:tc>
        <w:tc>
          <w:tcPr>
            <w:tcW w:w="2268" w:type="dxa"/>
          </w:tcPr>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Malý vliv na tržní prostředí, návratná podpora motivuje ekonomicky efektivní počínání subjektů</w:t>
            </w:r>
          </w:p>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lastRenderedPageBreak/>
              <w:t>Doplnění soukromého finančního trhu</w:t>
            </w:r>
          </w:p>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color w:val="000000"/>
                <w:lang w:eastAsia="cs-CZ"/>
              </w:rPr>
              <w:t>Malé zvýhodnění BF vůči GF</w:t>
            </w:r>
          </w:p>
        </w:tc>
        <w:tc>
          <w:tcPr>
            <w:tcW w:w="2268" w:type="dxa"/>
          </w:tcPr>
          <w:p w:rsidR="009D2CAE" w:rsidRPr="007C0CDA" w:rsidRDefault="009D2CAE" w:rsidP="00B03681">
            <w:pPr>
              <w:pStyle w:val="Highlight2"/>
              <w:jc w:val="center"/>
              <w:rPr>
                <w:rFonts w:ascii="Calibri" w:hAnsi="Calibri" w:cs="Calibri"/>
                <w:b w:val="0"/>
                <w:color w:val="000000"/>
                <w:lang w:eastAsia="cs-CZ"/>
              </w:rPr>
            </w:pPr>
            <w:r w:rsidRPr="007C0CDA">
              <w:rPr>
                <w:rFonts w:ascii="Calibri" w:hAnsi="Calibri" w:cs="Calibri"/>
                <w:b w:val="0"/>
                <w:bCs/>
                <w:color w:val="000000"/>
                <w:lang w:eastAsia="cs-CZ"/>
              </w:rPr>
              <w:lastRenderedPageBreak/>
              <w:t xml:space="preserve">Výrazné dotování nákladů projektu ingeruje do trhu nemovitostí a zvýhodňuje některé </w:t>
            </w:r>
            <w:r w:rsidRPr="007C0CDA">
              <w:rPr>
                <w:rFonts w:ascii="Calibri" w:hAnsi="Calibri" w:cs="Calibri"/>
                <w:b w:val="0"/>
                <w:bCs/>
                <w:color w:val="000000"/>
                <w:lang w:eastAsia="cs-CZ"/>
              </w:rPr>
              <w:lastRenderedPageBreak/>
              <w:t>starší nemovitosti vůči GF, resp. narovnává tržní selhání v souladu s cílem SC 2.3.</w:t>
            </w:r>
            <w:r w:rsidR="002934A3">
              <w:rPr>
                <w:rFonts w:ascii="Calibri" w:hAnsi="Calibri" w:cs="Calibri"/>
                <w:b w:val="0"/>
                <w:bCs/>
                <w:color w:val="000000"/>
                <w:lang w:eastAsia="cs-CZ"/>
              </w:rPr>
              <w:t xml:space="preserve"> </w:t>
            </w:r>
            <w:r w:rsidRPr="007C0CDA">
              <w:rPr>
                <w:rFonts w:ascii="Calibri" w:hAnsi="Calibri" w:cs="Calibri"/>
                <w:b w:val="0"/>
                <w:bCs/>
                <w:color w:val="000000"/>
                <w:lang w:eastAsia="cs-CZ"/>
              </w:rPr>
              <w:t xml:space="preserve">Při plošném užití problém </w:t>
            </w:r>
            <w:r w:rsidR="002934A3">
              <w:rPr>
                <w:rFonts w:ascii="Calibri" w:hAnsi="Calibri" w:cs="Calibri"/>
                <w:b w:val="0"/>
                <w:bCs/>
                <w:color w:val="000000"/>
                <w:lang w:eastAsia="cs-CZ"/>
              </w:rPr>
              <w:t xml:space="preserve">neadekvátního </w:t>
            </w:r>
            <w:r w:rsidRPr="007C0CDA">
              <w:rPr>
                <w:rFonts w:ascii="Calibri" w:hAnsi="Calibri" w:cs="Calibri"/>
                <w:b w:val="0"/>
                <w:bCs/>
                <w:color w:val="000000"/>
                <w:lang w:eastAsia="cs-CZ"/>
              </w:rPr>
              <w:t>podpoření i tržně realizovatelných projektů</w:t>
            </w:r>
          </w:p>
        </w:tc>
      </w:tr>
    </w:tbl>
    <w:p w:rsidR="009D2CAE" w:rsidRPr="007C0CDA" w:rsidRDefault="009D2CAE" w:rsidP="00BE1884"/>
    <w:p w:rsidR="009D2CAE" w:rsidRPr="007C0CDA" w:rsidRDefault="009D2CAE" w:rsidP="00BE1884">
      <w:pPr>
        <w:pStyle w:val="Titulek"/>
      </w:pPr>
      <w:r w:rsidRPr="007C0CDA">
        <w:t xml:space="preserve">Tabulka </w:t>
      </w:r>
      <w:r w:rsidRPr="00854519">
        <w:fldChar w:fldCharType="begin"/>
      </w:r>
      <w:r w:rsidRPr="007C0CDA">
        <w:instrText xml:space="preserve"> SEQ Tabulka \* ARABIC </w:instrText>
      </w:r>
      <w:r w:rsidRPr="002433DA">
        <w:fldChar w:fldCharType="separate"/>
      </w:r>
      <w:r w:rsidRPr="007C0CDA">
        <w:rPr>
          <w:noProof/>
        </w:rPr>
        <w:t>12</w:t>
      </w:r>
      <w:r w:rsidRPr="00854519">
        <w:fldChar w:fldCharType="end"/>
      </w:r>
      <w:r w:rsidRPr="007C0CDA">
        <w:t xml:space="preserve"> – Přidaná hodnota podpory pro cíle SC 2.3 (etablované MSP) OP PIK a vliv na tržní prostředí</w:t>
      </w:r>
    </w:p>
    <w:p w:rsidR="009D2CAE" w:rsidRPr="007C0CDA" w:rsidRDefault="009D2CAE" w:rsidP="001B56F4">
      <w:pPr>
        <w:rPr>
          <w:lang w:eastAsia="en-US"/>
        </w:rPr>
      </w:pPr>
    </w:p>
    <w:p w:rsidR="009D2CAE" w:rsidRDefault="00FC002F" w:rsidP="001B56F4">
      <w:pPr>
        <w:rPr>
          <w:lang w:eastAsia="en-US"/>
        </w:rPr>
      </w:pPr>
      <w:r>
        <w:rPr>
          <w:lang w:eastAsia="en-US"/>
        </w:rPr>
        <w:t xml:space="preserve">Z porovnání </w:t>
      </w:r>
      <w:r w:rsidR="002934A3">
        <w:rPr>
          <w:lang w:eastAsia="en-US"/>
        </w:rPr>
        <w:t xml:space="preserve">přidané hodnoty FN s dotační podporou vyplývá, že zásadní efekt na investiční aktivitu v oblasti s typickým tržním selháním pro BF </w:t>
      </w:r>
      <w:r w:rsidR="00AC31A9">
        <w:rPr>
          <w:lang w:eastAsia="en-US"/>
        </w:rPr>
        <w:t>má dotační podpora. Úvěrový nástroj řeší zejména přístup k financování MSP a částečné zvýhodnění u projektů s tržně realizovatelným výhledem.</w:t>
      </w:r>
    </w:p>
    <w:p w:rsidR="00790406" w:rsidRDefault="00790406" w:rsidP="001B56F4">
      <w:pPr>
        <w:rPr>
          <w:lang w:eastAsia="en-US"/>
        </w:rPr>
      </w:pPr>
    </w:p>
    <w:p w:rsidR="00FC002F" w:rsidRDefault="00790406" w:rsidP="001B56F4">
      <w:pPr>
        <w:rPr>
          <w:lang w:eastAsia="en-US"/>
        </w:rPr>
      </w:pPr>
      <w:r>
        <w:rPr>
          <w:lang w:eastAsia="en-US"/>
        </w:rPr>
        <w:t>Porovnání přidané hodnoty nástroje formou rozvojové společnosti nebylo v tomto srovnání zahrnuto a bude doplněno.</w:t>
      </w:r>
    </w:p>
    <w:p w:rsidR="00FC002F" w:rsidRPr="007C0CDA" w:rsidRDefault="00FC002F" w:rsidP="001B56F4">
      <w:pPr>
        <w:rPr>
          <w:lang w:eastAsia="en-US"/>
        </w:rPr>
      </w:pPr>
    </w:p>
    <w:p w:rsidR="009D2CAE" w:rsidRPr="007C0CDA" w:rsidRDefault="009D2CAE" w:rsidP="00E866EA">
      <w:pPr>
        <w:pStyle w:val="Neslovannadpisy"/>
      </w:pPr>
      <w:r w:rsidRPr="007C0CDA">
        <w:t>Veřejná podpora</w:t>
      </w:r>
    </w:p>
    <w:p w:rsidR="009D2CAE" w:rsidRPr="007C0CDA" w:rsidRDefault="009D2CAE" w:rsidP="00E866EA">
      <w:r w:rsidRPr="007C0CDA">
        <w:t>Pro úvěrový finanční nástroj lze řešit veřejnou podporu poskytnutím podpory de minimis nebo podpory podle Obecného nařízení o blokových výjimkách, v případě kapitálového finančního nástroje pouze podpory podle Obecného nařízení o blokových výjimkách.</w:t>
      </w:r>
    </w:p>
    <w:p w:rsidR="009D2CAE" w:rsidRPr="007C0CDA" w:rsidRDefault="009D2CAE">
      <w:pPr>
        <w:pStyle w:val="Neslovannadpisy"/>
      </w:pPr>
    </w:p>
    <w:p w:rsidR="009D2CAE" w:rsidRPr="007C0CDA" w:rsidRDefault="009D2CAE">
      <w:pPr>
        <w:pStyle w:val="Neslovannadpisy"/>
        <w:rPr>
          <w:lang w:eastAsia="en-US"/>
        </w:rPr>
      </w:pPr>
      <w:r w:rsidRPr="007C0CDA">
        <w:rPr>
          <w:lang w:eastAsia="en-US"/>
        </w:rPr>
        <w:t>Komplementarity a synergie</w:t>
      </w:r>
    </w:p>
    <w:p w:rsidR="009D2CAE" w:rsidRDefault="009D2CAE" w:rsidP="001B56F4">
      <w:pPr>
        <w:rPr>
          <w:lang w:eastAsia="en-US"/>
        </w:rPr>
      </w:pPr>
      <w:r w:rsidRPr="007C0CDA">
        <w:rPr>
          <w:lang w:eastAsia="en-US"/>
        </w:rPr>
        <w:t>Finanční nástroje v SC 2.3 jsou komplementární k dotační podpoře OP PIK za předpokladu navrhovaného vymezení podporovaných skupin. Stejně tak komplementární k nim jsou programy regenerace a revitalizace BF v</w:t>
      </w:r>
      <w:r w:rsidR="00E03980">
        <w:rPr>
          <w:lang w:eastAsia="en-US"/>
        </w:rPr>
        <w:t> </w:t>
      </w:r>
      <w:r w:rsidRPr="007C0CDA">
        <w:rPr>
          <w:lang w:eastAsia="en-US"/>
        </w:rPr>
        <w:t>OP</w:t>
      </w:r>
      <w:r w:rsidR="00E03980">
        <w:rPr>
          <w:lang w:eastAsia="en-US"/>
        </w:rPr>
        <w:t xml:space="preserve"> </w:t>
      </w:r>
      <w:r w:rsidRPr="007C0CDA">
        <w:rPr>
          <w:lang w:eastAsia="en-US"/>
        </w:rPr>
        <w:t>ŽP. Program odstraňování ekologických škod MŽP funguje synergicky se všemi zmíněnými programy, jelikož řeší problém ekologických škod na lokalitách BF.</w:t>
      </w:r>
    </w:p>
    <w:p w:rsidR="00E03980" w:rsidRDefault="00E03980" w:rsidP="001B56F4">
      <w:pPr>
        <w:rPr>
          <w:lang w:eastAsia="en-US"/>
        </w:rPr>
      </w:pPr>
    </w:p>
    <w:p w:rsidR="00E03980" w:rsidRPr="007C0CDA" w:rsidRDefault="00E03980" w:rsidP="001B56F4">
      <w:pPr>
        <w:rPr>
          <w:lang w:eastAsia="en-US"/>
        </w:rPr>
      </w:pPr>
      <w:r>
        <w:rPr>
          <w:lang w:eastAsia="en-US"/>
        </w:rPr>
        <w:t>Částečný překryv může znamenat užití úvěrového nástroje v SC 2.1 i SC 2.3, kde je zapotřebí přesnějšího vymezení podporovaných projektů.</w:t>
      </w:r>
    </w:p>
    <w:p w:rsidR="009D2CAE" w:rsidRPr="007C0CDA" w:rsidRDefault="009D2CAE" w:rsidP="001B56F4">
      <w:pPr>
        <w:rPr>
          <w:lang w:eastAsia="en-US"/>
        </w:rPr>
      </w:pPr>
    </w:p>
    <w:p w:rsidR="009D2CAE" w:rsidRPr="007C0CDA" w:rsidRDefault="009D2CAE" w:rsidP="001B56F4">
      <w:pPr>
        <w:rPr>
          <w:lang w:eastAsia="en-US"/>
        </w:rPr>
      </w:pPr>
      <w:r w:rsidRPr="007C0CDA">
        <w:rPr>
          <w:lang w:eastAsia="en-US"/>
        </w:rPr>
        <w:t>Důležitou komplementaritu představuje také možnost zapojení Investičního plánu pro Evropu a Evropského fondu pro strategické investice.</w:t>
      </w:r>
    </w:p>
    <w:p w:rsidR="009D2CAE" w:rsidRPr="007C0CDA" w:rsidRDefault="009D2CAE" w:rsidP="001B56F4">
      <w:pPr>
        <w:rPr>
          <w:lang w:eastAsia="en-US"/>
        </w:rPr>
      </w:pPr>
    </w:p>
    <w:p w:rsidR="009D2CAE" w:rsidRPr="00197F96" w:rsidRDefault="009D2CAE" w:rsidP="002433DA">
      <w:pPr>
        <w:pStyle w:val="Nadpis2"/>
        <w:rPr>
          <w:lang w:eastAsia="en-US"/>
        </w:rPr>
      </w:pPr>
      <w:bookmarkStart w:id="490" w:name="_Toc416447833"/>
      <w:bookmarkStart w:id="491" w:name="_Toc416383845"/>
      <w:bookmarkStart w:id="492" w:name="_Toc416447834"/>
      <w:bookmarkStart w:id="493" w:name="_Toc413824148"/>
      <w:bookmarkStart w:id="494" w:name="_Toc413831131"/>
      <w:bookmarkStart w:id="495" w:name="_Toc413831161"/>
      <w:bookmarkStart w:id="496" w:name="_Toc416447835"/>
      <w:bookmarkEnd w:id="490"/>
      <w:bookmarkEnd w:id="491"/>
      <w:bookmarkEnd w:id="492"/>
      <w:bookmarkEnd w:id="493"/>
      <w:bookmarkEnd w:id="494"/>
      <w:bookmarkEnd w:id="495"/>
      <w:r w:rsidRPr="00EB326E">
        <w:rPr>
          <w:lang w:eastAsia="en-US"/>
        </w:rPr>
        <w:t xml:space="preserve">Specifický cíl 3.1- </w:t>
      </w:r>
      <w:r w:rsidRPr="00D51B9B">
        <w:t>Zvýšit podíl výroby energie z obnovitelných zdrojů na hrubé konečné spotřebě ČR</w:t>
      </w:r>
      <w:bookmarkEnd w:id="496"/>
    </w:p>
    <w:p w:rsidR="009D2CAE" w:rsidRPr="007C0CDA" w:rsidRDefault="009D2CAE" w:rsidP="002413B6">
      <w:pPr>
        <w:pStyle w:val="Nadpis3"/>
      </w:pPr>
      <w:bookmarkStart w:id="497" w:name="_Toc416447836"/>
      <w:r w:rsidRPr="007C0CDA">
        <w:t>Zaměření cíle</w:t>
      </w:r>
      <w:bookmarkEnd w:id="497"/>
    </w:p>
    <w:p w:rsidR="009D2CAE" w:rsidRPr="007C0CDA" w:rsidRDefault="009D2CAE" w:rsidP="00EE0F25">
      <w:pPr>
        <w:pStyle w:val="Neslovannadpisy"/>
      </w:pPr>
      <w:r w:rsidRPr="007C0CDA">
        <w:t>Podporované aktivity:</w:t>
      </w:r>
    </w:p>
    <w:p w:rsidR="009D2CAE" w:rsidRPr="007C0CDA" w:rsidRDefault="009D2CAE" w:rsidP="002433DA">
      <w:pPr>
        <w:pStyle w:val="Odstavecseseznamem"/>
        <w:numPr>
          <w:ilvl w:val="0"/>
          <w:numId w:val="11"/>
        </w:numPr>
      </w:pPr>
      <w:r w:rsidRPr="007C0CDA">
        <w:t>Výstavba nových a rekonstrukce / modernizace stávajících výroben elektřiny a tepla z OZE s tím, že vyrobená energie bude určena primárně pro distribuci, nikoli vlastní spotřebu; zejména se bude jednat o:</w:t>
      </w:r>
    </w:p>
    <w:p w:rsidR="009D2CAE" w:rsidRPr="007C0CDA" w:rsidRDefault="009D2CAE" w:rsidP="002433DA">
      <w:pPr>
        <w:pStyle w:val="Odstavecseseznamem"/>
        <w:numPr>
          <w:ilvl w:val="1"/>
          <w:numId w:val="11"/>
        </w:numPr>
      </w:pPr>
      <w:r w:rsidRPr="007C0CDA">
        <w:t>podporu výstavby a rekonstrukce / modernizace malých vodních elektráren (do 10 MWe instalovaného výkonu),</w:t>
      </w:r>
    </w:p>
    <w:p w:rsidR="009D2CAE" w:rsidRPr="007C0CDA" w:rsidRDefault="009D2CAE" w:rsidP="002433DA">
      <w:pPr>
        <w:pStyle w:val="Odstavecseseznamem"/>
        <w:numPr>
          <w:ilvl w:val="1"/>
          <w:numId w:val="11"/>
        </w:numPr>
      </w:pPr>
      <w:r w:rsidRPr="007C0CDA">
        <w:t xml:space="preserve">o vyvedení tepla ze stávajících bioplynových stanic pomocí tepelných rozvodných zařízení do místa spotřeby, </w:t>
      </w:r>
    </w:p>
    <w:p w:rsidR="009D2CAE" w:rsidRPr="007C0CDA" w:rsidRDefault="009D2CAE" w:rsidP="002433DA">
      <w:pPr>
        <w:pStyle w:val="Odstavecseseznamem"/>
        <w:numPr>
          <w:ilvl w:val="1"/>
          <w:numId w:val="11"/>
        </w:numPr>
      </w:pPr>
      <w:r w:rsidRPr="007C0CDA">
        <w:lastRenderedPageBreak/>
        <w:t>instalace vzdálené kogenerační jednotky využívající bioplyn ze stávající bioplynové stanice za účelem využití užitečného tepla v soustavě zásobování teplem či jiným vysoce efektivním způsobem,</w:t>
      </w:r>
    </w:p>
    <w:p w:rsidR="009D2CAE" w:rsidRPr="007C0CDA" w:rsidRDefault="009D2CAE" w:rsidP="002433DA">
      <w:pPr>
        <w:pStyle w:val="Odstavecseseznamem"/>
        <w:numPr>
          <w:ilvl w:val="1"/>
          <w:numId w:val="11"/>
        </w:numPr>
      </w:pPr>
      <w:r w:rsidRPr="007C0CDA">
        <w:t>o výstavbu a rekonstrukci zdrojů tepla a kombinované výroby elektřiny a tepla z biomasy a vyvedení tepla.</w:t>
      </w:r>
    </w:p>
    <w:p w:rsidR="009D2CAE" w:rsidRPr="007C0CDA" w:rsidRDefault="009D2CAE" w:rsidP="00DF6E0B">
      <w:pPr>
        <w:pStyle w:val="Neslovannadpisy"/>
        <w:ind w:left="720"/>
      </w:pPr>
    </w:p>
    <w:p w:rsidR="009D2CAE" w:rsidRPr="007C0CDA" w:rsidRDefault="009D2CAE" w:rsidP="00DF6E0B">
      <w:pPr>
        <w:pStyle w:val="Neslovannadpisy"/>
      </w:pPr>
      <w:r w:rsidRPr="007C0CDA">
        <w:t xml:space="preserve">Hlavní cílová skupina: </w:t>
      </w:r>
    </w:p>
    <w:p w:rsidR="009D2CAE" w:rsidRPr="007C0CDA" w:rsidRDefault="009D2CAE" w:rsidP="00DF6E0B">
      <w:r w:rsidRPr="007C0CDA">
        <w:t>Podnikatelské subjekty (malé, střední a případně velké podniky)</w:t>
      </w:r>
    </w:p>
    <w:p w:rsidR="009D2CAE" w:rsidRPr="007C0CDA" w:rsidRDefault="009D2CAE" w:rsidP="00DF6E0B">
      <w:pPr>
        <w:pStyle w:val="Neslovannadpisy"/>
      </w:pPr>
    </w:p>
    <w:p w:rsidR="009D2CAE" w:rsidRPr="007C0CDA" w:rsidRDefault="009D2CAE" w:rsidP="00DF6E0B">
      <w:pPr>
        <w:pStyle w:val="Neslovannadpisy"/>
      </w:pPr>
      <w:r w:rsidRPr="007C0CDA">
        <w:t>Cílové území:</w:t>
      </w:r>
    </w:p>
    <w:p w:rsidR="009D2CAE" w:rsidRPr="007C0CDA" w:rsidRDefault="009D2CAE" w:rsidP="00DF6E0B">
      <w:r w:rsidRPr="007C0CDA">
        <w:t>Všechny regiony v ČR kromě hl. m. Prahy</w:t>
      </w:r>
    </w:p>
    <w:p w:rsidR="009D2CAE" w:rsidRPr="007C0CDA" w:rsidRDefault="009D2CAE" w:rsidP="00DF6E0B"/>
    <w:p w:rsidR="009D2CAE" w:rsidRPr="007C0CDA" w:rsidRDefault="009D2CAE">
      <w:pPr>
        <w:pStyle w:val="Neslovannadpisy"/>
      </w:pPr>
      <w:r w:rsidRPr="007C0CDA">
        <w:t>Výběr aktivit k posouzení vhodnosti finančního nástroje</w:t>
      </w:r>
    </w:p>
    <w:p w:rsidR="009D2CAE" w:rsidRPr="007C0CDA" w:rsidRDefault="009D2CAE" w:rsidP="00DF6E0B">
      <w:r w:rsidRPr="007C0CDA">
        <w:t>K předběžnému posouzení byly vybrány všechny podporované aktivity cíle SC 3.1. Podporované projekty svým investičním a ziskovým charakterem tvoří potenciálně vhodnou oblast pro návratnou formu podpory.</w:t>
      </w:r>
    </w:p>
    <w:p w:rsidR="009D2CAE" w:rsidRPr="007C0CDA" w:rsidRDefault="009D2CAE" w:rsidP="00DF6E0B"/>
    <w:p w:rsidR="009D2CAE" w:rsidRPr="00172EF4" w:rsidRDefault="009D2CAE" w:rsidP="002433DA">
      <w:pPr>
        <w:pStyle w:val="Nadpis3"/>
      </w:pPr>
      <w:bookmarkStart w:id="498" w:name="_Toc416447837"/>
      <w:r w:rsidRPr="00B675D6">
        <w:t>Trž</w:t>
      </w:r>
      <w:r w:rsidRPr="00854519">
        <w:t>ní analýza</w:t>
      </w:r>
      <w:bookmarkEnd w:id="498"/>
    </w:p>
    <w:p w:rsidR="009D2CAE" w:rsidRPr="007C0CDA" w:rsidRDefault="009D2CAE" w:rsidP="00EE0F25">
      <w:r w:rsidRPr="007C0CDA">
        <w:t>Dle tržních statistik se podíl výroby elektřiny z OZE na hrubé domácí spotřebě v ČR se v roce 2013 zvýšil na 14,53 %. Existující závazek ČR vůči EU ukládá dosáhnout do roku 2020 13%podílu, z čehož vyplývá, že byl cíl splněn se sedmiletým předstihem. Spotřeba energií v ČR každoročně klesá, což napomáhá růstu podílu spotřeby elektřiny vyrobené z OZE.</w:t>
      </w:r>
      <w:r w:rsidRPr="007C0CDA">
        <w:rPr>
          <w:rStyle w:val="Znakapoznpodarou"/>
        </w:rPr>
        <w:footnoteReference w:id="19"/>
      </w:r>
      <w:r w:rsidRPr="007C0CDA">
        <w:t xml:space="preserve"> S ohledem na další přijaté závazky EU v roce 2014 (cíle do roku 2030, celoevropský cíl 27 % vyrobené energie z </w:t>
      </w:r>
      <w:commentRangeStart w:id="499"/>
      <w:r w:rsidRPr="007C0CDA">
        <w:t>OZE</w:t>
      </w:r>
      <w:commentRangeEnd w:id="499"/>
      <w:r w:rsidRPr="007C0CDA">
        <w:rPr>
          <w:rStyle w:val="Odkaznakoment"/>
        </w:rPr>
        <w:commentReference w:id="499"/>
      </w:r>
      <w:r w:rsidRPr="007C0CDA">
        <w:rPr>
          <w:rStyle w:val="Znakapoznpodarou"/>
        </w:rPr>
        <w:footnoteReference w:id="20"/>
      </w:r>
      <w:r w:rsidRPr="007C0CDA">
        <w:t>) bude i nadále evoluční a udržitelný růst produkce energie z OZE jedním z cílů ČR. Po překotném vývoji zejména v oblasti solární energie v minulých letech je spatřován potenciál především v oblasti malých vodních elektráren (MVE), biomasy a bioplynových stanic (BPS), obecně ve zefektivňování stávajících zařízení.</w:t>
      </w:r>
    </w:p>
    <w:p w:rsidR="009D2CAE" w:rsidRPr="007C0CDA" w:rsidRDefault="009D2CAE" w:rsidP="00EE0F25"/>
    <w:p w:rsidR="009D2CAE" w:rsidRPr="007C0CDA" w:rsidRDefault="009D2CAE" w:rsidP="00EE0F25">
      <w:r w:rsidRPr="007C0CDA">
        <w:t xml:space="preserve">Prostor pro výstavbu velkých vodních elektráren v ČR byl vyčerpán a jejich další výstavba představuje velký zásah do životního prostředí, proto jsou podporovány malé vodní elektrárny (MVE), pro které stále existuji vhodné lokality. Největší prostor pro zvýšení instalovaného výkonu MVE představuje rekonstrukce stávajících zařízení. </w:t>
      </w:r>
      <w:r w:rsidRPr="007C0CDA">
        <w:rPr>
          <w:b/>
        </w:rPr>
        <w:t>V prvním kvartálu 2014 bylo evidováno 1 572 MVE s celkovým výkonem 348 MW.</w:t>
      </w:r>
      <w:r w:rsidRPr="007C0CDA">
        <w:t xml:space="preserve"> V roce 2013 se podíl MVE na výrobě elektřiny z OZE nacházel na úrovni 11,6 % a na celkové výrobě elektřiny pouze 1 %. </w:t>
      </w:r>
    </w:p>
    <w:p w:rsidR="009D2CAE" w:rsidRPr="007C0CDA" w:rsidRDefault="009D2CAE" w:rsidP="00EE0F25"/>
    <w:p w:rsidR="009D2CAE" w:rsidRPr="007C0CDA" w:rsidRDefault="009D2CAE" w:rsidP="00EE0F25">
      <w:r w:rsidRPr="007C0CDA">
        <w:t xml:space="preserve">Druhým podporovaným okruhem SC 3.1 bude využití tepla z bioplynových stanic (BPS). </w:t>
      </w:r>
      <w:r w:rsidRPr="002433DA">
        <w:rPr>
          <w:b/>
        </w:rPr>
        <w:t>V</w:t>
      </w:r>
      <w:r w:rsidRPr="007C0CDA">
        <w:rPr>
          <w:b/>
        </w:rPr>
        <w:t> </w:t>
      </w:r>
      <w:r w:rsidRPr="002433DA">
        <w:rPr>
          <w:b/>
        </w:rPr>
        <w:t>rámci OP PIK nebude podporována stavba nových BPS, nýbrž primárně úprava k</w:t>
      </w:r>
      <w:r w:rsidRPr="007C0CDA">
        <w:rPr>
          <w:b/>
        </w:rPr>
        <w:t> </w:t>
      </w:r>
      <w:r w:rsidRPr="002433DA">
        <w:rPr>
          <w:b/>
        </w:rPr>
        <w:t>využití tepla u stávajících</w:t>
      </w:r>
      <w:r w:rsidRPr="007C0CDA">
        <w:t>.Mnoho bioplynových stanic (BPS) nyní nevhodným legislativním nastavením slouží pouze ke generování zisku z prodeje dotované elektřiny. Dochází k plýtvání vyrobeným teplem a nevyužívá se energetický potenciál často náročně pěstované biomasy. Podíl bioplynu na celkové výrobě elektřiny v roce 2013 byl 2,6 % a podíl BPS na výrobě elektřiny z OZE dosahuje až 22,1 %.</w:t>
      </w:r>
      <w:r w:rsidRPr="007C0CDA">
        <w:rPr>
          <w:rStyle w:val="Znakapoznpodarou"/>
        </w:rPr>
        <w:footnoteReference w:id="21"/>
      </w:r>
      <w:r w:rsidRPr="007C0CDA">
        <w:rPr>
          <w:b/>
        </w:rPr>
        <w:t>Výroba elektřiny z BPS v roce 2013 vzrostla o 47 %</w:t>
      </w:r>
      <w:r w:rsidRPr="007C0CDA">
        <w:t>.</w:t>
      </w:r>
      <w:r w:rsidRPr="007C0CDA">
        <w:rPr>
          <w:rStyle w:val="Znakapoznpodarou"/>
        </w:rPr>
        <w:footnoteReference w:id="22"/>
      </w:r>
      <w:r w:rsidRPr="007C0CDA">
        <w:rPr>
          <w:b/>
        </w:rPr>
        <w:t>Počet BPS k 31. 12. 2013 byl 487</w:t>
      </w:r>
      <w:r w:rsidRPr="007C0CDA">
        <w:t xml:space="preserve"> s celkovou produkcí 2 243 GWh (+ 837 GWh oproti 2012).  Plán do roku 2020 počítá s výrobou elektřiny na úrovni 3 000 GWh ročně, což bude s největší pravděpodobností překročeno, a očekávaná produkce tepla z BPS je 8500 TJ. </w:t>
      </w:r>
      <w:r w:rsidRPr="007C0CDA">
        <w:rPr>
          <w:b/>
        </w:rPr>
        <w:t>BPS jsou lokalizovány v místech, kde není možné nalézt efektivní využití pro veškeré teplo</w:t>
      </w:r>
      <w:r w:rsidRPr="007C0CDA">
        <w:t xml:space="preserve">. </w:t>
      </w:r>
      <w:r w:rsidRPr="007C0CDA">
        <w:rPr>
          <w:b/>
        </w:rPr>
        <w:lastRenderedPageBreak/>
        <w:t>Dochází k nespotřebování až třetiny energie z bioplynu(převážně tepla)</w:t>
      </w:r>
      <w:r w:rsidRPr="007C0CDA">
        <w:t xml:space="preserve"> a to z důvodu, že vstupní suroviny pro BPS jsou pěstovány na orné půdě odloučené od větších odběrných míst. Zamezení těmto únikům by proporčně snížilo nutný zábor orné půdy pro technické plodiny. Způsobem, jak zvýšit množství vyráběné elektřiny je zavedení kogenerační jednotky (KJ) přímo do stanice. Bez KJ by byla efektivita využití BPS pouze třetinová (cca 35 %).</w:t>
      </w:r>
    </w:p>
    <w:p w:rsidR="009D2CAE" w:rsidRPr="007C0CDA" w:rsidRDefault="009D2CAE" w:rsidP="00EE0F25"/>
    <w:p w:rsidR="009D2CAE" w:rsidRPr="007C0CDA" w:rsidRDefault="002D1138" w:rsidP="00272B8D">
      <w:pPr>
        <w:keepNext/>
      </w:pPr>
      <w:r>
        <w:rPr>
          <w:noProof/>
        </w:rPr>
        <w:drawing>
          <wp:inline distT="0" distB="0" distL="0" distR="0" wp14:anchorId="55A727E6" wp14:editId="08B29234">
            <wp:extent cx="3314700" cy="1562100"/>
            <wp:effectExtent l="0" t="0" r="0" b="0"/>
            <wp:docPr id="22"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14700" cy="1562100"/>
                    </a:xfrm>
                    <a:prstGeom prst="rect">
                      <a:avLst/>
                    </a:prstGeom>
                    <a:noFill/>
                    <a:ln>
                      <a:noFill/>
                    </a:ln>
                  </pic:spPr>
                </pic:pic>
              </a:graphicData>
            </a:graphic>
          </wp:inline>
        </w:drawing>
      </w:r>
    </w:p>
    <w:p w:rsidR="009D2CAE" w:rsidRPr="007C0CDA" w:rsidRDefault="009D2CAE" w:rsidP="00272B8D">
      <w:pPr>
        <w:pStyle w:val="Titulek"/>
      </w:pPr>
      <w:r w:rsidRPr="007C0CDA">
        <w:t xml:space="preserve">Obrázek </w:t>
      </w:r>
      <w:r w:rsidRPr="00854519">
        <w:fldChar w:fldCharType="begin"/>
      </w:r>
      <w:r w:rsidRPr="007C0CDA">
        <w:instrText xml:space="preserve"> SEQ Obrázek \* ARABIC </w:instrText>
      </w:r>
      <w:r w:rsidRPr="002433DA">
        <w:fldChar w:fldCharType="separate"/>
      </w:r>
      <w:r w:rsidRPr="007C0CDA">
        <w:rPr>
          <w:noProof/>
        </w:rPr>
        <w:t>1</w:t>
      </w:r>
      <w:r w:rsidRPr="00854519">
        <w:fldChar w:fldCharType="end"/>
      </w:r>
      <w:r w:rsidRPr="007C0CDA">
        <w:t>:  zavedení kogenerační jednotky do BPS</w:t>
      </w:r>
    </w:p>
    <w:p w:rsidR="009D2CAE" w:rsidRPr="007C0CDA" w:rsidRDefault="009D2CAE" w:rsidP="00272B8D">
      <w:pPr>
        <w:pStyle w:val="Titulek"/>
      </w:pPr>
      <w:r w:rsidRPr="007C0CDA">
        <w:t>Zdroj: Česká bioplynová asociace</w:t>
      </w:r>
    </w:p>
    <w:p w:rsidR="009D2CAE" w:rsidRPr="007C0CDA" w:rsidRDefault="009D2CAE" w:rsidP="00EE0F25"/>
    <w:p w:rsidR="009D2CAE" w:rsidRPr="007C0CDA" w:rsidRDefault="009D2CAE" w:rsidP="00272B8D">
      <w:r w:rsidRPr="007C0CDA">
        <w:t>Druhou možností je vyvedení tepla teplovodem z kogenerační jednotky do sousedící obytné zóny nebo průmyslového areálu, který ale musí ležet v okruhu 1 km. Při větší vzdálenosti je dodávka tepla problematická kvůli vysokým investičním i provozním nákladům.Obě řešení zvýšení čisté energetické účinnosti BPS vyhovují zaměření podporovaných aktivit oblasti podpory SC 3.1.</w:t>
      </w:r>
    </w:p>
    <w:p w:rsidR="009D2CAE" w:rsidRPr="007C0CDA" w:rsidRDefault="009D2CAE" w:rsidP="00272B8D"/>
    <w:p w:rsidR="009D2CAE" w:rsidRPr="007C0CDA" w:rsidRDefault="009D2CAE" w:rsidP="00272B8D">
      <w:r w:rsidRPr="007C0CDA">
        <w:t>Ne všechny BPS jsou vhodné pro zavádění kogenerace a lokální vyvádění tepla. V mnoha případech neexistuje v okolí žádný vhodný odběratel. Výčet vytipovaných vhodných objektů je ke zhlédnutí v tabulce 12, která ohraničuje pravděpodobnou absorpční kapacitu v této oblasti.</w:t>
      </w:r>
    </w:p>
    <w:p w:rsidR="009D2CAE" w:rsidRPr="007C0CDA" w:rsidRDefault="009D2CAE" w:rsidP="00272B8D"/>
    <w:p w:rsidR="009D2CAE" w:rsidRPr="007C0CDA" w:rsidRDefault="002D1138">
      <w:pPr>
        <w:keepNext/>
      </w:pPr>
      <w:r>
        <w:rPr>
          <w:noProof/>
        </w:rPr>
        <w:drawing>
          <wp:inline distT="0" distB="0" distL="0" distR="0" wp14:anchorId="7A8BDF0C" wp14:editId="62F8C3F2">
            <wp:extent cx="4648200" cy="2647950"/>
            <wp:effectExtent l="0" t="0" r="0" b="0"/>
            <wp:docPr id="23"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8"/>
                    <pic:cNvPicPr>
                      <a:picLocks noChangeAspect="1" noChangeArrowheads="1"/>
                    </pic:cNvPicPr>
                  </pic:nvPicPr>
                  <pic:blipFill>
                    <a:blip r:embed="rId30">
                      <a:extLst>
                        <a:ext uri="{28A0092B-C50C-407E-A947-70E740481C1C}">
                          <a14:useLocalDpi xmlns:a14="http://schemas.microsoft.com/office/drawing/2010/main" val="0"/>
                        </a:ext>
                      </a:extLst>
                    </a:blip>
                    <a:srcRect l="17125" t="45059" r="27625" b="16263"/>
                    <a:stretch>
                      <a:fillRect/>
                    </a:stretch>
                  </pic:blipFill>
                  <pic:spPr bwMode="auto">
                    <a:xfrm>
                      <a:off x="0" y="0"/>
                      <a:ext cx="4648200" cy="2647950"/>
                    </a:xfrm>
                    <a:prstGeom prst="rect">
                      <a:avLst/>
                    </a:prstGeom>
                    <a:noFill/>
                    <a:ln>
                      <a:noFill/>
                    </a:ln>
                  </pic:spPr>
                </pic:pic>
              </a:graphicData>
            </a:graphic>
          </wp:inline>
        </w:drawing>
      </w:r>
    </w:p>
    <w:p w:rsidR="009D2CAE" w:rsidRPr="007C0CDA" w:rsidRDefault="009D2CAE" w:rsidP="009E2316">
      <w:pPr>
        <w:pStyle w:val="Titulek"/>
      </w:pPr>
      <w:r w:rsidRPr="007C0CDA">
        <w:t>Tabulka 12: Možnosti využití tepla / vzdálené kogenerace na stávajících bioplynových stanicích z hlediska jednotlivých krajů ČR (Zdroj: MPO, OP PIK)</w:t>
      </w:r>
    </w:p>
    <w:p w:rsidR="009D2CAE" w:rsidRPr="007C0CDA" w:rsidRDefault="009D2CAE" w:rsidP="009E2316">
      <w:pPr>
        <w:pStyle w:val="Titulek"/>
      </w:pPr>
    </w:p>
    <w:p w:rsidR="009D2CAE" w:rsidRPr="002433DA" w:rsidRDefault="009D2CAE">
      <w:pPr>
        <w:rPr>
          <w:b/>
          <w:lang w:eastAsia="en-US"/>
        </w:rPr>
      </w:pPr>
      <w:r w:rsidRPr="002433DA">
        <w:rPr>
          <w:b/>
          <w:lang w:eastAsia="en-US"/>
        </w:rPr>
        <w:t>Zdroje financování</w:t>
      </w:r>
    </w:p>
    <w:p w:rsidR="009D2CAE" w:rsidRPr="009D2CAE" w:rsidRDefault="009D2CAE">
      <w:pPr>
        <w:rPr>
          <w:b/>
          <w:lang w:eastAsia="en-US"/>
        </w:rPr>
      </w:pPr>
      <w:r w:rsidRPr="002433DA">
        <w:rPr>
          <w:b/>
          <w:lang w:eastAsia="en-US"/>
        </w:rPr>
        <w:t>Investice do OZE jsou z</w:t>
      </w:r>
      <w:r w:rsidRPr="007C0CDA">
        <w:rPr>
          <w:b/>
          <w:lang w:eastAsia="en-US"/>
        </w:rPr>
        <w:t> </w:t>
      </w:r>
      <w:r w:rsidRPr="002433DA">
        <w:rPr>
          <w:b/>
          <w:lang w:eastAsia="en-US"/>
        </w:rPr>
        <w:t>velké části financované úvěrem od komerčních bank, typicky ve formě projektového financování</w:t>
      </w:r>
      <w:r w:rsidRPr="009D2CAE">
        <w:rPr>
          <w:lang w:eastAsia="en-US"/>
        </w:rPr>
        <w:t>. Legislativní zvýhodnění provozní podporou a garantovaným odkupem elektřiny z</w:t>
      </w:r>
      <w:r w:rsidRPr="007C0CDA">
        <w:rPr>
          <w:lang w:eastAsia="en-US"/>
        </w:rPr>
        <w:t> </w:t>
      </w:r>
      <w:r w:rsidRPr="009D2CAE">
        <w:rPr>
          <w:lang w:eastAsia="en-US"/>
        </w:rPr>
        <w:t>MVE, BPS a biomasy redukuje do značné míry odbytová rizika a tím částečně zvýhodňuje též přístup k</w:t>
      </w:r>
      <w:r w:rsidRPr="007C0CDA">
        <w:rPr>
          <w:lang w:eastAsia="en-US"/>
        </w:rPr>
        <w:t> </w:t>
      </w:r>
      <w:r w:rsidRPr="009D2CAE">
        <w:rPr>
          <w:lang w:eastAsia="en-US"/>
        </w:rPr>
        <w:t>financování. Velké banky nabízejí na energetické produkty specializované produkty a expertízu. Nabízené úvěry byly z</w:t>
      </w:r>
      <w:r w:rsidRPr="007C0CDA">
        <w:rPr>
          <w:lang w:eastAsia="en-US"/>
        </w:rPr>
        <w:t> </w:t>
      </w:r>
      <w:r w:rsidRPr="009D2CAE">
        <w:rPr>
          <w:lang w:eastAsia="en-US"/>
        </w:rPr>
        <w:t>velké části kombinované také s</w:t>
      </w:r>
      <w:r w:rsidRPr="007C0CDA">
        <w:rPr>
          <w:lang w:eastAsia="en-US"/>
        </w:rPr>
        <w:t> </w:t>
      </w:r>
      <w:r w:rsidRPr="009D2CAE">
        <w:rPr>
          <w:lang w:eastAsia="en-US"/>
        </w:rPr>
        <w:t>dotační podporou.</w:t>
      </w:r>
    </w:p>
    <w:p w:rsidR="009D2CAE" w:rsidRPr="009D2CAE" w:rsidRDefault="009D2CAE">
      <w:pPr>
        <w:rPr>
          <w:b/>
          <w:lang w:eastAsia="en-US"/>
        </w:rPr>
      </w:pPr>
    </w:p>
    <w:p w:rsidR="009D2CAE" w:rsidRPr="009D2CAE" w:rsidRDefault="009D2CAE">
      <w:pPr>
        <w:rPr>
          <w:b/>
          <w:lang w:eastAsia="en-US"/>
        </w:rPr>
      </w:pPr>
      <w:r w:rsidRPr="002433DA">
        <w:rPr>
          <w:b/>
          <w:lang w:eastAsia="en-US"/>
        </w:rPr>
        <w:lastRenderedPageBreak/>
        <w:t>Veřejná podpora ve formě dotací znamenala významný zdroj financování projektů OZE v</w:t>
      </w:r>
      <w:r w:rsidRPr="007C0CDA">
        <w:rPr>
          <w:b/>
          <w:lang w:eastAsia="en-US"/>
        </w:rPr>
        <w:t> </w:t>
      </w:r>
      <w:r w:rsidRPr="002433DA">
        <w:rPr>
          <w:b/>
          <w:lang w:eastAsia="en-US"/>
        </w:rPr>
        <w:t>minulém období.</w:t>
      </w:r>
      <w:r w:rsidRPr="009D2CAE">
        <w:rPr>
          <w:lang w:eastAsia="en-US"/>
        </w:rPr>
        <w:t>Pro projekty OP PIK je nejrelevantnější analogický program podpory v</w:t>
      </w:r>
      <w:r w:rsidRPr="007C0CDA">
        <w:rPr>
          <w:lang w:eastAsia="en-US"/>
        </w:rPr>
        <w:t> </w:t>
      </w:r>
      <w:r w:rsidRPr="009D2CAE">
        <w:rPr>
          <w:lang w:eastAsia="en-US"/>
        </w:rPr>
        <w:t>OP PI EKO ENERGIE.</w:t>
      </w:r>
    </w:p>
    <w:p w:rsidR="009D2CAE" w:rsidRPr="007C0CDA" w:rsidRDefault="009D2CAE" w:rsidP="00E4726C">
      <w:pPr>
        <w:pStyle w:val="BodyText1"/>
        <w:jc w:val="both"/>
        <w:rPr>
          <w:b/>
        </w:rPr>
      </w:pPr>
    </w:p>
    <w:p w:rsidR="009D2CAE" w:rsidRPr="007C0CDA" w:rsidRDefault="009D2CAE" w:rsidP="00E4726C">
      <w:pPr>
        <w:pStyle w:val="BodyText1"/>
        <w:jc w:val="both"/>
      </w:pPr>
      <w:r w:rsidRPr="007C0CDA">
        <w:rPr>
          <w:b/>
        </w:rPr>
        <w:t xml:space="preserve">OPPI EKO ENERGIE </w:t>
      </w:r>
      <w:r w:rsidRPr="007C0CDA">
        <w:t>poskytoval podnikatelům kromě jiného i dotace na investice do OZE. Vzhledem k tomu, že aktuální oblasti veřejné podpory spadají technologicky pod zvýšení energetické účinností při výrobě elektřiny pomoci modernizace nebo výstavby nových výroben a technologických prvků, v tabulce níže je prezentovaná výše výdajů na projekty, které byly v tomto cíli podpořené.</w:t>
      </w:r>
    </w:p>
    <w:p w:rsidR="009D2CAE" w:rsidRPr="007C0CDA" w:rsidRDefault="009D2CAE" w:rsidP="00E4726C">
      <w:pPr>
        <w:pStyle w:val="BodyText1"/>
        <w:jc w:val="both"/>
      </w:pPr>
    </w:p>
    <w:tbl>
      <w:tblPr>
        <w:tblpPr w:leftFromText="141" w:rightFromText="141" w:vertAnchor="text" w:horzAnchor="margin" w:tblpY="375"/>
        <w:tblW w:w="9213" w:type="dxa"/>
        <w:tblBorders>
          <w:bottom w:val="single" w:sz="4" w:space="0" w:color="00A1DE"/>
          <w:insideH w:val="single" w:sz="4" w:space="0" w:color="00A1DE"/>
        </w:tblBorders>
        <w:tblLayout w:type="fixed"/>
        <w:tblCellMar>
          <w:top w:w="28" w:type="dxa"/>
          <w:left w:w="28" w:type="dxa"/>
          <w:bottom w:w="28" w:type="dxa"/>
          <w:right w:w="28" w:type="dxa"/>
        </w:tblCellMar>
        <w:tblLook w:val="00A0" w:firstRow="1" w:lastRow="0" w:firstColumn="1" w:lastColumn="0" w:noHBand="0" w:noVBand="0"/>
      </w:tblPr>
      <w:tblGrid>
        <w:gridCol w:w="4252"/>
        <w:gridCol w:w="1984"/>
        <w:gridCol w:w="1560"/>
        <w:gridCol w:w="1417"/>
      </w:tblGrid>
      <w:tr w:rsidR="009D2CAE" w:rsidRPr="007C0CDA" w:rsidTr="002223E8">
        <w:trPr>
          <w:trHeight w:val="20"/>
        </w:trPr>
        <w:tc>
          <w:tcPr>
            <w:tcW w:w="4252" w:type="dxa"/>
            <w:shd w:val="clear" w:color="auto" w:fill="00A1DE"/>
          </w:tcPr>
          <w:p w:rsidR="009D2CAE" w:rsidRPr="007C0CDA" w:rsidRDefault="009D2CAE" w:rsidP="002223E8">
            <w:pPr>
              <w:jc w:val="left"/>
              <w:rPr>
                <w:b/>
                <w:color w:val="000000"/>
                <w:sz w:val="18"/>
                <w:szCs w:val="18"/>
              </w:rPr>
            </w:pPr>
            <w:r w:rsidRPr="007C0CDA">
              <w:rPr>
                <w:b/>
                <w:color w:val="000000"/>
                <w:sz w:val="18"/>
                <w:szCs w:val="18"/>
              </w:rPr>
              <w:t>Snižování energetické náročností/zvyšování energetické účinností výrobních a technologických procesů</w:t>
            </w:r>
          </w:p>
        </w:tc>
        <w:tc>
          <w:tcPr>
            <w:tcW w:w="1984" w:type="dxa"/>
            <w:shd w:val="clear" w:color="auto" w:fill="00A1DE"/>
          </w:tcPr>
          <w:p w:rsidR="009D2CAE" w:rsidRPr="007C0CDA" w:rsidRDefault="009D2CAE" w:rsidP="002223E8">
            <w:pPr>
              <w:jc w:val="left"/>
              <w:rPr>
                <w:b/>
                <w:color w:val="000000"/>
                <w:sz w:val="18"/>
                <w:szCs w:val="18"/>
              </w:rPr>
            </w:pPr>
            <w:r w:rsidRPr="007C0CDA">
              <w:rPr>
                <w:b/>
                <w:color w:val="000000"/>
                <w:sz w:val="18"/>
                <w:szCs w:val="18"/>
              </w:rPr>
              <w:t>Počet projektů s tímto převažujícím úsporným opatřením</w:t>
            </w:r>
          </w:p>
        </w:tc>
        <w:tc>
          <w:tcPr>
            <w:tcW w:w="1560" w:type="dxa"/>
            <w:shd w:val="clear" w:color="auto" w:fill="00A1DE"/>
          </w:tcPr>
          <w:p w:rsidR="009D2CAE" w:rsidRPr="007C0CDA" w:rsidRDefault="009D2CAE" w:rsidP="002223E8">
            <w:pPr>
              <w:jc w:val="left"/>
              <w:rPr>
                <w:b/>
                <w:color w:val="000000"/>
                <w:sz w:val="18"/>
                <w:szCs w:val="18"/>
              </w:rPr>
            </w:pPr>
            <w:r w:rsidRPr="007C0CDA">
              <w:rPr>
                <w:b/>
                <w:color w:val="000000"/>
                <w:sz w:val="18"/>
                <w:szCs w:val="18"/>
              </w:rPr>
              <w:t>Celkové způsobilé výdaje (tis. Kč)</w:t>
            </w:r>
          </w:p>
        </w:tc>
        <w:tc>
          <w:tcPr>
            <w:tcW w:w="1417" w:type="dxa"/>
            <w:shd w:val="clear" w:color="auto" w:fill="00A1DE"/>
          </w:tcPr>
          <w:p w:rsidR="009D2CAE" w:rsidRPr="007C0CDA" w:rsidRDefault="009D2CAE" w:rsidP="002223E8">
            <w:pPr>
              <w:jc w:val="left"/>
              <w:rPr>
                <w:b/>
                <w:color w:val="000000"/>
                <w:sz w:val="18"/>
                <w:szCs w:val="18"/>
              </w:rPr>
            </w:pPr>
            <w:r w:rsidRPr="007C0CDA">
              <w:rPr>
                <w:b/>
                <w:color w:val="000000"/>
                <w:sz w:val="18"/>
                <w:szCs w:val="18"/>
              </w:rPr>
              <w:t>Průměrné IRR před zdaněním při s.c.</w:t>
            </w:r>
          </w:p>
        </w:tc>
      </w:tr>
      <w:tr w:rsidR="009D2CAE" w:rsidRPr="007C0CDA" w:rsidTr="002223E8">
        <w:trPr>
          <w:trHeight w:val="20"/>
        </w:trPr>
        <w:tc>
          <w:tcPr>
            <w:tcW w:w="4252" w:type="dxa"/>
            <w:shd w:val="clear" w:color="auto" w:fill="FFFFFF"/>
            <w:noWrap/>
          </w:tcPr>
          <w:p w:rsidR="009D2CAE" w:rsidRPr="007C0CDA" w:rsidRDefault="009D2CAE" w:rsidP="002223E8">
            <w:pPr>
              <w:jc w:val="left"/>
              <w:rPr>
                <w:color w:val="000000"/>
                <w:sz w:val="18"/>
                <w:szCs w:val="18"/>
              </w:rPr>
            </w:pPr>
            <w:r w:rsidRPr="007C0CDA">
              <w:rPr>
                <w:color w:val="000000"/>
                <w:sz w:val="18"/>
                <w:szCs w:val="18"/>
              </w:rPr>
              <w:t>1. výzva</w:t>
            </w:r>
          </w:p>
        </w:tc>
        <w:tc>
          <w:tcPr>
            <w:tcW w:w="1984" w:type="dxa"/>
            <w:shd w:val="clear" w:color="auto" w:fill="FFFFFF"/>
            <w:noWrap/>
          </w:tcPr>
          <w:p w:rsidR="009D2CAE" w:rsidRPr="007C0CDA" w:rsidRDefault="009D2CAE" w:rsidP="002223E8">
            <w:pPr>
              <w:jc w:val="right"/>
              <w:rPr>
                <w:color w:val="000000"/>
                <w:sz w:val="18"/>
                <w:szCs w:val="18"/>
              </w:rPr>
            </w:pPr>
            <w:r w:rsidRPr="007C0CDA">
              <w:rPr>
                <w:color w:val="000000"/>
                <w:sz w:val="18"/>
                <w:szCs w:val="18"/>
              </w:rPr>
              <w:t>4</w:t>
            </w:r>
          </w:p>
        </w:tc>
        <w:tc>
          <w:tcPr>
            <w:tcW w:w="1560" w:type="dxa"/>
            <w:shd w:val="clear" w:color="auto" w:fill="FFFFFF"/>
            <w:noWrap/>
          </w:tcPr>
          <w:p w:rsidR="009D2CAE" w:rsidRPr="007C0CDA" w:rsidRDefault="009D2CAE" w:rsidP="002223E8">
            <w:pPr>
              <w:jc w:val="right"/>
              <w:rPr>
                <w:color w:val="000000"/>
                <w:sz w:val="18"/>
                <w:szCs w:val="18"/>
              </w:rPr>
            </w:pPr>
            <w:r w:rsidRPr="007C0CDA">
              <w:rPr>
                <w:color w:val="000000"/>
                <w:sz w:val="18"/>
                <w:szCs w:val="18"/>
              </w:rPr>
              <w:t>28 650</w:t>
            </w:r>
          </w:p>
        </w:tc>
        <w:tc>
          <w:tcPr>
            <w:tcW w:w="1417" w:type="dxa"/>
            <w:shd w:val="clear" w:color="auto" w:fill="FFFFFF"/>
            <w:noWrap/>
          </w:tcPr>
          <w:p w:rsidR="009D2CAE" w:rsidRPr="007C0CDA" w:rsidRDefault="009D2CAE" w:rsidP="002223E8">
            <w:pPr>
              <w:jc w:val="right"/>
              <w:rPr>
                <w:color w:val="000000"/>
                <w:sz w:val="18"/>
                <w:szCs w:val="18"/>
              </w:rPr>
            </w:pPr>
            <w:r w:rsidRPr="007C0CDA">
              <w:rPr>
                <w:color w:val="000000"/>
                <w:sz w:val="18"/>
                <w:szCs w:val="18"/>
              </w:rPr>
              <w:t>17,70 %</w:t>
            </w:r>
          </w:p>
        </w:tc>
      </w:tr>
      <w:tr w:rsidR="009D2CAE" w:rsidRPr="007C0CDA" w:rsidTr="002223E8">
        <w:trPr>
          <w:trHeight w:val="20"/>
        </w:trPr>
        <w:tc>
          <w:tcPr>
            <w:tcW w:w="4252" w:type="dxa"/>
            <w:shd w:val="clear" w:color="auto" w:fill="FFFFFF"/>
            <w:noWrap/>
          </w:tcPr>
          <w:p w:rsidR="009D2CAE" w:rsidRPr="007C0CDA" w:rsidRDefault="009D2CAE" w:rsidP="002223E8">
            <w:pPr>
              <w:jc w:val="left"/>
              <w:rPr>
                <w:color w:val="000000"/>
                <w:sz w:val="18"/>
                <w:szCs w:val="18"/>
              </w:rPr>
            </w:pPr>
            <w:r w:rsidRPr="007C0CDA">
              <w:rPr>
                <w:color w:val="000000"/>
                <w:sz w:val="18"/>
                <w:szCs w:val="18"/>
              </w:rPr>
              <w:t>2. výzva (konečná spotřeba)</w:t>
            </w:r>
          </w:p>
        </w:tc>
        <w:tc>
          <w:tcPr>
            <w:tcW w:w="1984" w:type="dxa"/>
            <w:shd w:val="clear" w:color="auto" w:fill="FFFFFF"/>
            <w:noWrap/>
          </w:tcPr>
          <w:p w:rsidR="009D2CAE" w:rsidRPr="007C0CDA" w:rsidRDefault="009D2CAE" w:rsidP="002223E8">
            <w:pPr>
              <w:jc w:val="right"/>
              <w:rPr>
                <w:color w:val="000000"/>
                <w:sz w:val="18"/>
                <w:szCs w:val="18"/>
              </w:rPr>
            </w:pPr>
            <w:r w:rsidRPr="007C0CDA">
              <w:rPr>
                <w:color w:val="000000"/>
                <w:sz w:val="18"/>
                <w:szCs w:val="18"/>
              </w:rPr>
              <w:t>24</w:t>
            </w:r>
          </w:p>
        </w:tc>
        <w:tc>
          <w:tcPr>
            <w:tcW w:w="1560" w:type="dxa"/>
            <w:shd w:val="clear" w:color="auto" w:fill="FFFFFF"/>
            <w:noWrap/>
          </w:tcPr>
          <w:p w:rsidR="009D2CAE" w:rsidRPr="007C0CDA" w:rsidRDefault="009D2CAE" w:rsidP="002223E8">
            <w:pPr>
              <w:jc w:val="right"/>
              <w:rPr>
                <w:color w:val="000000"/>
                <w:sz w:val="18"/>
                <w:szCs w:val="18"/>
              </w:rPr>
            </w:pPr>
            <w:r w:rsidRPr="007C0CDA">
              <w:rPr>
                <w:color w:val="000000"/>
                <w:sz w:val="18"/>
                <w:szCs w:val="18"/>
              </w:rPr>
              <w:t>1 081 778</w:t>
            </w:r>
          </w:p>
        </w:tc>
        <w:tc>
          <w:tcPr>
            <w:tcW w:w="1417" w:type="dxa"/>
            <w:shd w:val="clear" w:color="auto" w:fill="FFFFFF"/>
            <w:noWrap/>
          </w:tcPr>
          <w:p w:rsidR="009D2CAE" w:rsidRPr="007C0CDA" w:rsidRDefault="009D2CAE" w:rsidP="002223E8">
            <w:pPr>
              <w:jc w:val="right"/>
              <w:rPr>
                <w:color w:val="000000"/>
                <w:sz w:val="18"/>
                <w:szCs w:val="18"/>
              </w:rPr>
            </w:pPr>
            <w:r w:rsidRPr="007C0CDA">
              <w:rPr>
                <w:color w:val="000000"/>
                <w:sz w:val="18"/>
                <w:szCs w:val="18"/>
              </w:rPr>
              <w:t>19,62 %</w:t>
            </w:r>
          </w:p>
        </w:tc>
      </w:tr>
      <w:tr w:rsidR="009D2CAE" w:rsidRPr="007C0CDA" w:rsidTr="002223E8">
        <w:trPr>
          <w:trHeight w:val="20"/>
        </w:trPr>
        <w:tc>
          <w:tcPr>
            <w:tcW w:w="4252" w:type="dxa"/>
            <w:shd w:val="clear" w:color="auto" w:fill="FFFFFF"/>
            <w:noWrap/>
          </w:tcPr>
          <w:p w:rsidR="009D2CAE" w:rsidRPr="007C0CDA" w:rsidRDefault="009D2CAE" w:rsidP="002223E8">
            <w:pPr>
              <w:jc w:val="left"/>
              <w:rPr>
                <w:color w:val="000000"/>
                <w:sz w:val="18"/>
                <w:szCs w:val="18"/>
              </w:rPr>
            </w:pPr>
            <w:r w:rsidRPr="007C0CDA">
              <w:rPr>
                <w:color w:val="000000"/>
                <w:sz w:val="18"/>
                <w:szCs w:val="18"/>
              </w:rPr>
              <w:t>2. výzva (primární spotřeba)</w:t>
            </w:r>
          </w:p>
        </w:tc>
        <w:tc>
          <w:tcPr>
            <w:tcW w:w="1984" w:type="dxa"/>
            <w:shd w:val="clear" w:color="auto" w:fill="FFFFFF"/>
            <w:noWrap/>
          </w:tcPr>
          <w:p w:rsidR="009D2CAE" w:rsidRPr="007C0CDA" w:rsidRDefault="009D2CAE" w:rsidP="002223E8">
            <w:pPr>
              <w:jc w:val="right"/>
              <w:rPr>
                <w:color w:val="000000"/>
                <w:sz w:val="18"/>
                <w:szCs w:val="18"/>
              </w:rPr>
            </w:pPr>
            <w:r w:rsidRPr="007C0CDA">
              <w:rPr>
                <w:color w:val="000000"/>
                <w:sz w:val="18"/>
                <w:szCs w:val="18"/>
              </w:rPr>
              <w:t>1</w:t>
            </w:r>
          </w:p>
        </w:tc>
        <w:tc>
          <w:tcPr>
            <w:tcW w:w="1560" w:type="dxa"/>
            <w:shd w:val="clear" w:color="auto" w:fill="FFFFFF"/>
            <w:noWrap/>
          </w:tcPr>
          <w:p w:rsidR="009D2CAE" w:rsidRPr="007C0CDA" w:rsidRDefault="009D2CAE" w:rsidP="002223E8">
            <w:pPr>
              <w:jc w:val="right"/>
              <w:rPr>
                <w:color w:val="000000"/>
                <w:sz w:val="18"/>
                <w:szCs w:val="18"/>
              </w:rPr>
            </w:pPr>
            <w:r w:rsidRPr="007C0CDA">
              <w:rPr>
                <w:color w:val="000000"/>
                <w:sz w:val="18"/>
                <w:szCs w:val="18"/>
              </w:rPr>
              <w:t>205 150</w:t>
            </w:r>
          </w:p>
        </w:tc>
        <w:tc>
          <w:tcPr>
            <w:tcW w:w="1417" w:type="dxa"/>
            <w:shd w:val="clear" w:color="auto" w:fill="FFFFFF"/>
            <w:noWrap/>
          </w:tcPr>
          <w:p w:rsidR="009D2CAE" w:rsidRPr="007C0CDA" w:rsidRDefault="009D2CAE" w:rsidP="002223E8">
            <w:pPr>
              <w:jc w:val="right"/>
              <w:rPr>
                <w:color w:val="000000"/>
                <w:sz w:val="18"/>
                <w:szCs w:val="18"/>
              </w:rPr>
            </w:pPr>
            <w:r w:rsidRPr="007C0CDA">
              <w:rPr>
                <w:color w:val="000000"/>
                <w:sz w:val="18"/>
                <w:szCs w:val="18"/>
              </w:rPr>
              <w:t>16,42 %</w:t>
            </w:r>
          </w:p>
        </w:tc>
      </w:tr>
      <w:tr w:rsidR="009D2CAE" w:rsidRPr="007C0CDA" w:rsidTr="002223E8">
        <w:trPr>
          <w:trHeight w:val="20"/>
        </w:trPr>
        <w:tc>
          <w:tcPr>
            <w:tcW w:w="4252" w:type="dxa"/>
            <w:shd w:val="clear" w:color="auto" w:fill="FFFFFF"/>
            <w:noWrap/>
          </w:tcPr>
          <w:p w:rsidR="009D2CAE" w:rsidRPr="007C0CDA" w:rsidRDefault="009D2CAE" w:rsidP="002223E8">
            <w:pPr>
              <w:jc w:val="left"/>
              <w:rPr>
                <w:color w:val="000000"/>
                <w:sz w:val="18"/>
                <w:szCs w:val="18"/>
              </w:rPr>
            </w:pPr>
            <w:r w:rsidRPr="007C0CDA">
              <w:rPr>
                <w:color w:val="000000"/>
                <w:sz w:val="18"/>
                <w:szCs w:val="18"/>
              </w:rPr>
              <w:t>3. výzva (konečná spotřeba)</w:t>
            </w:r>
          </w:p>
        </w:tc>
        <w:tc>
          <w:tcPr>
            <w:tcW w:w="1984" w:type="dxa"/>
            <w:shd w:val="clear" w:color="auto" w:fill="FFFFFF"/>
            <w:noWrap/>
          </w:tcPr>
          <w:p w:rsidR="009D2CAE" w:rsidRPr="007C0CDA" w:rsidRDefault="009D2CAE" w:rsidP="002223E8">
            <w:pPr>
              <w:jc w:val="right"/>
              <w:rPr>
                <w:color w:val="000000"/>
                <w:sz w:val="18"/>
                <w:szCs w:val="18"/>
              </w:rPr>
            </w:pPr>
            <w:r w:rsidRPr="007C0CDA">
              <w:rPr>
                <w:color w:val="000000"/>
                <w:sz w:val="18"/>
                <w:szCs w:val="18"/>
              </w:rPr>
              <w:t>17</w:t>
            </w:r>
          </w:p>
        </w:tc>
        <w:tc>
          <w:tcPr>
            <w:tcW w:w="1560" w:type="dxa"/>
            <w:shd w:val="clear" w:color="auto" w:fill="FFFFFF"/>
            <w:noWrap/>
          </w:tcPr>
          <w:p w:rsidR="009D2CAE" w:rsidRPr="007C0CDA" w:rsidRDefault="009D2CAE" w:rsidP="002223E8">
            <w:pPr>
              <w:jc w:val="right"/>
              <w:rPr>
                <w:color w:val="000000"/>
                <w:sz w:val="18"/>
                <w:szCs w:val="18"/>
              </w:rPr>
            </w:pPr>
            <w:r w:rsidRPr="007C0CDA">
              <w:rPr>
                <w:color w:val="000000"/>
                <w:sz w:val="18"/>
                <w:szCs w:val="18"/>
              </w:rPr>
              <w:t>1 247 702</w:t>
            </w:r>
          </w:p>
        </w:tc>
        <w:tc>
          <w:tcPr>
            <w:tcW w:w="1417" w:type="dxa"/>
            <w:shd w:val="clear" w:color="auto" w:fill="FFFFFF"/>
            <w:noWrap/>
          </w:tcPr>
          <w:p w:rsidR="009D2CAE" w:rsidRPr="007C0CDA" w:rsidRDefault="009D2CAE" w:rsidP="002223E8">
            <w:pPr>
              <w:jc w:val="right"/>
              <w:rPr>
                <w:color w:val="000000"/>
                <w:sz w:val="18"/>
                <w:szCs w:val="18"/>
              </w:rPr>
            </w:pPr>
            <w:r w:rsidRPr="007C0CDA">
              <w:rPr>
                <w:color w:val="000000"/>
                <w:sz w:val="18"/>
                <w:szCs w:val="18"/>
              </w:rPr>
              <w:t>13,85 %</w:t>
            </w:r>
          </w:p>
        </w:tc>
      </w:tr>
      <w:tr w:rsidR="009D2CAE" w:rsidRPr="007C0CDA" w:rsidTr="002223E8">
        <w:trPr>
          <w:trHeight w:val="20"/>
        </w:trPr>
        <w:tc>
          <w:tcPr>
            <w:tcW w:w="4252" w:type="dxa"/>
            <w:shd w:val="clear" w:color="auto" w:fill="FFFFFF"/>
            <w:noWrap/>
          </w:tcPr>
          <w:p w:rsidR="009D2CAE" w:rsidRPr="007C0CDA" w:rsidRDefault="009D2CAE" w:rsidP="002223E8">
            <w:pPr>
              <w:jc w:val="left"/>
              <w:rPr>
                <w:color w:val="000000"/>
                <w:sz w:val="18"/>
                <w:szCs w:val="18"/>
              </w:rPr>
            </w:pPr>
            <w:r w:rsidRPr="007C0CDA">
              <w:rPr>
                <w:color w:val="000000"/>
                <w:sz w:val="18"/>
                <w:szCs w:val="18"/>
              </w:rPr>
              <w:t>3. výzva (primární spotřeba)</w:t>
            </w:r>
          </w:p>
        </w:tc>
        <w:tc>
          <w:tcPr>
            <w:tcW w:w="1984" w:type="dxa"/>
            <w:shd w:val="clear" w:color="auto" w:fill="FFFFFF"/>
            <w:noWrap/>
          </w:tcPr>
          <w:p w:rsidR="009D2CAE" w:rsidRPr="007C0CDA" w:rsidRDefault="009D2CAE" w:rsidP="002223E8">
            <w:pPr>
              <w:jc w:val="right"/>
              <w:rPr>
                <w:color w:val="000000"/>
                <w:sz w:val="18"/>
                <w:szCs w:val="18"/>
              </w:rPr>
            </w:pPr>
            <w:r w:rsidRPr="007C0CDA">
              <w:rPr>
                <w:color w:val="000000"/>
                <w:sz w:val="18"/>
                <w:szCs w:val="18"/>
              </w:rPr>
              <w:t>0</w:t>
            </w:r>
          </w:p>
        </w:tc>
        <w:tc>
          <w:tcPr>
            <w:tcW w:w="1560" w:type="dxa"/>
            <w:shd w:val="clear" w:color="auto" w:fill="FFFFFF"/>
            <w:noWrap/>
          </w:tcPr>
          <w:p w:rsidR="009D2CAE" w:rsidRPr="007C0CDA" w:rsidRDefault="009D2CAE" w:rsidP="002223E8">
            <w:pPr>
              <w:jc w:val="right"/>
              <w:rPr>
                <w:color w:val="000000"/>
                <w:sz w:val="18"/>
                <w:szCs w:val="18"/>
              </w:rPr>
            </w:pPr>
            <w:r w:rsidRPr="007C0CDA">
              <w:rPr>
                <w:color w:val="000000"/>
                <w:sz w:val="18"/>
                <w:szCs w:val="18"/>
              </w:rPr>
              <w:t>0</w:t>
            </w:r>
          </w:p>
        </w:tc>
        <w:tc>
          <w:tcPr>
            <w:tcW w:w="1417" w:type="dxa"/>
            <w:shd w:val="clear" w:color="auto" w:fill="FFFFFF"/>
            <w:noWrap/>
          </w:tcPr>
          <w:p w:rsidR="009D2CAE" w:rsidRPr="007C0CDA" w:rsidRDefault="009D2CAE" w:rsidP="002223E8">
            <w:pPr>
              <w:keepNext/>
              <w:jc w:val="right"/>
              <w:rPr>
                <w:color w:val="000000"/>
                <w:sz w:val="18"/>
                <w:szCs w:val="18"/>
              </w:rPr>
            </w:pPr>
            <w:r w:rsidRPr="007C0CDA">
              <w:rPr>
                <w:color w:val="000000"/>
                <w:sz w:val="18"/>
                <w:szCs w:val="18"/>
              </w:rPr>
              <w:t>n/a</w:t>
            </w:r>
          </w:p>
        </w:tc>
      </w:tr>
      <w:tr w:rsidR="009D2CAE" w:rsidRPr="007C0CDA" w:rsidTr="002223E8">
        <w:trPr>
          <w:trHeight w:val="20"/>
        </w:trPr>
        <w:tc>
          <w:tcPr>
            <w:tcW w:w="4252" w:type="dxa"/>
            <w:shd w:val="clear" w:color="auto" w:fill="92D050"/>
            <w:noWrap/>
          </w:tcPr>
          <w:p w:rsidR="009D2CAE" w:rsidRPr="007C0CDA" w:rsidRDefault="009D2CAE" w:rsidP="002223E8">
            <w:pPr>
              <w:jc w:val="left"/>
              <w:rPr>
                <w:b/>
                <w:color w:val="000000"/>
                <w:sz w:val="18"/>
                <w:szCs w:val="18"/>
              </w:rPr>
            </w:pPr>
            <w:r w:rsidRPr="007C0CDA">
              <w:rPr>
                <w:b/>
                <w:color w:val="000000"/>
                <w:sz w:val="18"/>
                <w:szCs w:val="18"/>
              </w:rPr>
              <w:t>Celkem</w:t>
            </w:r>
          </w:p>
        </w:tc>
        <w:tc>
          <w:tcPr>
            <w:tcW w:w="1984" w:type="dxa"/>
            <w:shd w:val="clear" w:color="auto" w:fill="92D050"/>
            <w:noWrap/>
          </w:tcPr>
          <w:p w:rsidR="009D2CAE" w:rsidRPr="007C0CDA" w:rsidRDefault="009D2CAE" w:rsidP="002223E8">
            <w:pPr>
              <w:jc w:val="right"/>
              <w:rPr>
                <w:b/>
                <w:color w:val="000000"/>
                <w:sz w:val="18"/>
                <w:szCs w:val="18"/>
              </w:rPr>
            </w:pPr>
            <w:r w:rsidRPr="007C0CDA">
              <w:rPr>
                <w:b/>
                <w:color w:val="000000"/>
                <w:sz w:val="18"/>
                <w:szCs w:val="18"/>
              </w:rPr>
              <w:t>46</w:t>
            </w:r>
          </w:p>
        </w:tc>
        <w:tc>
          <w:tcPr>
            <w:tcW w:w="1560" w:type="dxa"/>
            <w:shd w:val="clear" w:color="auto" w:fill="92D050"/>
            <w:noWrap/>
          </w:tcPr>
          <w:p w:rsidR="009D2CAE" w:rsidRPr="007C0CDA" w:rsidRDefault="009D2CAE" w:rsidP="002223E8">
            <w:pPr>
              <w:jc w:val="right"/>
              <w:rPr>
                <w:b/>
                <w:color w:val="000000"/>
                <w:sz w:val="18"/>
                <w:szCs w:val="18"/>
              </w:rPr>
            </w:pPr>
            <w:r w:rsidRPr="007C0CDA">
              <w:rPr>
                <w:b/>
                <w:color w:val="000000"/>
                <w:sz w:val="18"/>
                <w:szCs w:val="18"/>
              </w:rPr>
              <w:t>2 563 280</w:t>
            </w:r>
          </w:p>
        </w:tc>
        <w:tc>
          <w:tcPr>
            <w:tcW w:w="1417" w:type="dxa"/>
            <w:shd w:val="clear" w:color="auto" w:fill="92D050"/>
            <w:noWrap/>
          </w:tcPr>
          <w:p w:rsidR="009D2CAE" w:rsidRPr="007C0CDA" w:rsidRDefault="009D2CAE" w:rsidP="002223E8">
            <w:pPr>
              <w:keepNext/>
              <w:jc w:val="right"/>
              <w:rPr>
                <w:b/>
                <w:color w:val="000000"/>
                <w:sz w:val="18"/>
                <w:szCs w:val="18"/>
              </w:rPr>
            </w:pPr>
            <w:r w:rsidRPr="007C0CDA">
              <w:rPr>
                <w:b/>
                <w:color w:val="000000"/>
                <w:sz w:val="18"/>
                <w:szCs w:val="18"/>
              </w:rPr>
              <w:t>n/a</w:t>
            </w:r>
          </w:p>
        </w:tc>
      </w:tr>
    </w:tbl>
    <w:p w:rsidR="009D2CAE" w:rsidRPr="007C0CDA" w:rsidRDefault="009D2CAE" w:rsidP="00C20B34"/>
    <w:p w:rsidR="009D2CAE" w:rsidRPr="007C0CDA" w:rsidRDefault="009D2CAE" w:rsidP="00C20B34">
      <w:pPr>
        <w:pStyle w:val="Titulek"/>
      </w:pPr>
      <w:r w:rsidRPr="007C0CDA">
        <w:t>Tabulka 13: Celkové způsobile výdaje na projekty podpořené v oblasti OZE (počet projektů a IRR)</w:t>
      </w:r>
    </w:p>
    <w:p w:rsidR="009D2CAE" w:rsidRPr="007C0CDA" w:rsidRDefault="009D2CAE" w:rsidP="00C20B34">
      <w:pPr>
        <w:pStyle w:val="Titulek"/>
        <w:rPr>
          <w:i/>
        </w:rPr>
      </w:pPr>
      <w:r w:rsidRPr="007C0CDA">
        <w:rPr>
          <w:i/>
        </w:rPr>
        <w:t xml:space="preserve">Zdroj: MPO </w:t>
      </w:r>
    </w:p>
    <w:p w:rsidR="009D2CAE" w:rsidRPr="007C0CDA" w:rsidRDefault="009D2CAE" w:rsidP="00DF6E0B"/>
    <w:p w:rsidR="009D2CAE" w:rsidRPr="007C0CDA" w:rsidRDefault="009D2CAE" w:rsidP="00C20B34">
      <w:r w:rsidRPr="007C0CDA">
        <w:t xml:space="preserve">Investiční kapacita z programu EKO-ENERGIE se odhaduje poměrně náročně kvůli rozličné struktuře oproti prioritní osy 3 v OP PIK. Celkově bylo podpořeno 46 projektů OZE jak na straně konečné spotřeby, tak při primární spotřebě ve výši 2,5 mld. Kč. </w:t>
      </w:r>
    </w:p>
    <w:p w:rsidR="009D2CAE" w:rsidRPr="007C0CDA" w:rsidRDefault="009D2CAE" w:rsidP="00C20B34"/>
    <w:p w:rsidR="009D2CAE" w:rsidRPr="007C0CDA" w:rsidRDefault="009D2CAE" w:rsidP="00C20B34">
      <w:r w:rsidRPr="007C0CDA">
        <w:t>Investiční podporu na OZE poskytovalo také OP ŽP, nicméně vzhledem k omezení na veřejné subjekty, vysoké školy a neziskové organizace spadá tato investiční poptávka mimo cíl OP PIK.  Program EFEKT (MPO) je svou alokací a širokým zaměřením pro investiční aktivitu v této oblasti zanedbatelný.</w:t>
      </w:r>
    </w:p>
    <w:p w:rsidR="009D2CAE" w:rsidRPr="007C0CDA" w:rsidRDefault="009D2CAE" w:rsidP="00DC310F"/>
    <w:p w:rsidR="009D2CAE" w:rsidRPr="002433DA" w:rsidRDefault="009D2CAE">
      <w:pPr>
        <w:pStyle w:val="Neslovannadpisy"/>
      </w:pPr>
      <w:r w:rsidRPr="002433DA">
        <w:t>Provozní podpora</w:t>
      </w:r>
    </w:p>
    <w:p w:rsidR="009D2CAE" w:rsidRPr="002433DA" w:rsidRDefault="009D2CAE" w:rsidP="00E6270B">
      <w:r w:rsidRPr="002433DA">
        <w:rPr>
          <w:b/>
        </w:rPr>
        <w:t>MVE čerpají na rozdíl od větrné a solární energie provozní podporu na elektřinu dodanou do sítě a podle aktuálního cenového rozhodnutí je výkupní cena pro nové zdroje zapojené do sítě 3,23</w:t>
      </w:r>
      <w:r w:rsidRPr="007C0CDA">
        <w:rPr>
          <w:b/>
        </w:rPr>
        <w:t> </w:t>
      </w:r>
      <w:r w:rsidRPr="002433DA">
        <w:rPr>
          <w:b/>
        </w:rPr>
        <w:t>Kč/kWh</w:t>
      </w:r>
      <w:r w:rsidRPr="002433DA">
        <w:t xml:space="preserve">. Je nutné zdůraznit, že současné </w:t>
      </w:r>
      <w:r w:rsidRPr="002433DA">
        <w:rPr>
          <w:b/>
        </w:rPr>
        <w:t>nastavení OP PIK neumožňuje zároveň čerpat investiční a provozní podporu</w:t>
      </w:r>
      <w:r w:rsidRPr="002433DA">
        <w:t>.</w:t>
      </w:r>
      <w:r w:rsidR="00930B30">
        <w:t xml:space="preserve"> </w:t>
      </w:r>
      <w:r w:rsidRPr="002433DA">
        <w:t>Vzhledem k</w:t>
      </w:r>
      <w:r w:rsidRPr="007C0CDA">
        <w:t> </w:t>
      </w:r>
      <w:r w:rsidRPr="002433DA">
        <w:t xml:space="preserve">výši současné provozní podpory toto ustanovení zásadním způsobem </w:t>
      </w:r>
      <w:r w:rsidRPr="002433DA">
        <w:rPr>
          <w:b/>
        </w:rPr>
        <w:t>omezuje absorpční kapacitu nejen pro finanční nástroje, ale i pro dotace</w:t>
      </w:r>
      <w:r w:rsidRPr="002433DA">
        <w:t xml:space="preserve"> v</w:t>
      </w:r>
      <w:r w:rsidRPr="007C0CDA">
        <w:t> </w:t>
      </w:r>
      <w:r w:rsidRPr="002433DA">
        <w:t>limitu veřejné podpory. Také žadatelé o investiční dotaci z</w:t>
      </w:r>
      <w:r w:rsidRPr="007C0CDA">
        <w:t> </w:t>
      </w:r>
      <w:r w:rsidRPr="002433DA">
        <w:t xml:space="preserve">národního programu EFEKT </w:t>
      </w:r>
      <w:r w:rsidR="004D7B04">
        <w:t>měly</w:t>
      </w:r>
      <w:r w:rsidR="004D7B04" w:rsidRPr="002433DA">
        <w:t xml:space="preserve"> </w:t>
      </w:r>
      <w:r w:rsidRPr="002433DA">
        <w:t>krácenou maximální míru dotace, chtějí-li provozní podporu čerpat.</w:t>
      </w:r>
      <w:r w:rsidR="00930B30">
        <w:t xml:space="preserve"> </w:t>
      </w:r>
      <w:r w:rsidRPr="002433DA">
        <w:t>Procentuální krácení podpory provozovatelům, kteří přijali dotaci na výstavbu MVE je vyšší, než např. při KVET, která vyrábí energii z fosilního paliva - plynu.</w:t>
      </w:r>
    </w:p>
    <w:p w:rsidR="009D2CAE" w:rsidRPr="002433DA" w:rsidRDefault="009D2CAE" w:rsidP="00E6270B"/>
    <w:p w:rsidR="009D2CAE" w:rsidRPr="002433DA" w:rsidRDefault="009D2CAE" w:rsidP="00DC310F">
      <w:r w:rsidRPr="002433DA">
        <w:t>Provozní podporu na výkup elektřiny odebírá i většina BPS. U podpory investic do kogenerační výroby tepla z</w:t>
      </w:r>
      <w:r w:rsidRPr="007C0CDA">
        <w:t> </w:t>
      </w:r>
      <w:r w:rsidRPr="002433DA">
        <w:t>BPS ale v OP PIK nenastává konflikt s</w:t>
      </w:r>
      <w:r w:rsidRPr="007C0CDA">
        <w:t> </w:t>
      </w:r>
      <w:r w:rsidRPr="002433DA">
        <w:t>provozní podporou jako u MVE. Ta se totiž vztahuje na odkup elektřiny, nikoli tepla.</w:t>
      </w:r>
    </w:p>
    <w:p w:rsidR="009D2CAE" w:rsidRPr="002433DA" w:rsidRDefault="009D2CAE" w:rsidP="00DC310F"/>
    <w:p w:rsidR="009D2CAE" w:rsidRPr="00172EF4" w:rsidRDefault="009D2CAE" w:rsidP="002433DA">
      <w:pPr>
        <w:pStyle w:val="Nadpis3"/>
      </w:pPr>
      <w:bookmarkStart w:id="500" w:name="_Toc416447838"/>
      <w:r w:rsidRPr="00B675D6">
        <w:t>Vyčíslení potenciální abso</w:t>
      </w:r>
      <w:r w:rsidRPr="00854519">
        <w:t>rpční kapacity</w:t>
      </w:r>
      <w:bookmarkEnd w:id="500"/>
    </w:p>
    <w:p w:rsidR="009D2CAE" w:rsidRPr="007C0CDA" w:rsidRDefault="009D2CAE" w:rsidP="00AC4ED5">
      <w:pPr>
        <w:rPr>
          <w:b/>
        </w:rPr>
      </w:pPr>
      <w:r w:rsidRPr="007C0CDA">
        <w:t xml:space="preserve">V dotazníkovém šetření pro tuto analýzu vyjádřilo 109 společností svůj plánovaný investiční záměr k SC 3.1. Uvažované investiční záměry dosahují výše 1,2 mld. Kč. S přihlédnutím k dosavadním zkušenostem s podporou (především OPPI) a počtu dnes aktivních zařízení typu MVE a BPS lze tuto </w:t>
      </w:r>
      <w:r w:rsidRPr="007C0CDA">
        <w:lastRenderedPageBreak/>
        <w:t xml:space="preserve">poptávku extrapolovat na 8násobný vzorek. </w:t>
      </w:r>
      <w:r w:rsidRPr="007C0CDA">
        <w:rPr>
          <w:b/>
        </w:rPr>
        <w:t>Výslednou investiční poptávku odhadujeme na 9,6 mld. Kč</w:t>
      </w:r>
      <w:r w:rsidRPr="007C0CDA">
        <w:t>. Pouze 14 % dotázaných by investiční projekt realizovalo bez podpory. 64 % má projektů by mělo zájem o zvýhodněné úvěry. Vzhledem k relativně delší době návratnosti typových projektů tuto hodnotu ale považujeme za horní limit.</w:t>
      </w:r>
      <w:r w:rsidR="0043060B">
        <w:t xml:space="preserve"> </w:t>
      </w:r>
      <w:r w:rsidRPr="007C0CDA">
        <w:rPr>
          <w:b/>
        </w:rPr>
        <w:t>Absorpční kapacitu úvěrového nástroje tak odhadujeme na 3 - 6 mld. Kč, v závislosti na jeho parametrech.</w:t>
      </w:r>
    </w:p>
    <w:p w:rsidR="009D2CAE" w:rsidRPr="007C0CDA" w:rsidRDefault="009D2CAE" w:rsidP="00AC4ED5">
      <w:pPr>
        <w:rPr>
          <w:b/>
        </w:rPr>
      </w:pPr>
    </w:p>
    <w:p w:rsidR="009D2CAE" w:rsidRPr="007C0CDA" w:rsidRDefault="009D2CAE" w:rsidP="00AC4ED5">
      <w:r w:rsidRPr="007C0CDA">
        <w:t>Investiční poptávka v oblasti BPS, která je v tomto odhadu obsažena, tvoří dle analýzy MPO/NovaEnergo max.3,2 mld. Kč, jak vyplývá z počtu BPS vhodných k lokálnímu vyvádění tepla. Větší část alokace SC 3.1 (až 2/3) obsáhnou MVE.</w:t>
      </w:r>
      <w:r w:rsidRPr="002433DA">
        <w:rPr>
          <w:b/>
        </w:rPr>
        <w:t>V</w:t>
      </w:r>
      <w:r w:rsidRPr="007C0CDA">
        <w:rPr>
          <w:b/>
        </w:rPr>
        <w:t> </w:t>
      </w:r>
      <w:r w:rsidRPr="002433DA">
        <w:rPr>
          <w:b/>
        </w:rPr>
        <w:t>případě nemožnosti kombinace FN s</w:t>
      </w:r>
      <w:r w:rsidRPr="007C0CDA">
        <w:rPr>
          <w:b/>
        </w:rPr>
        <w:t> </w:t>
      </w:r>
      <w:r w:rsidRPr="002433DA">
        <w:rPr>
          <w:b/>
        </w:rPr>
        <w:t xml:space="preserve">provozní podporou u MVE odhadujeme absorpční kapacitu </w:t>
      </w:r>
      <w:r w:rsidRPr="007C0CDA">
        <w:rPr>
          <w:b/>
        </w:rPr>
        <w:t>v jejich případě nulovou</w:t>
      </w:r>
      <w:r w:rsidRPr="002433DA">
        <w:rPr>
          <w:b/>
        </w:rPr>
        <w:t>.</w:t>
      </w:r>
    </w:p>
    <w:p w:rsidR="009D2CAE" w:rsidRPr="007C0CDA" w:rsidRDefault="009D2CAE" w:rsidP="00AC4ED5">
      <w:pPr>
        <w:rPr>
          <w:b/>
        </w:rPr>
      </w:pPr>
    </w:p>
    <w:p w:rsidR="009D2CAE" w:rsidRPr="00854519" w:rsidRDefault="009D2CAE" w:rsidP="002433DA">
      <w:pPr>
        <w:pStyle w:val="Nadpis3"/>
      </w:pPr>
      <w:bookmarkStart w:id="501" w:name="_Toc416447839"/>
      <w:r w:rsidRPr="00B675D6">
        <w:t>Analýza tržních selhání a suboptimálních investičních situací</w:t>
      </w:r>
      <w:bookmarkEnd w:id="501"/>
    </w:p>
    <w:p w:rsidR="00B66AFC" w:rsidRDefault="00B66AFC" w:rsidP="00B66AFC">
      <w:r>
        <w:t>Nejvýraznějším problémem pro investice ve sledovaných oblastech MVE, biomasy a BPS jsou vysoké náklady a doba návratnosti, která se s nimi pojí. Sledované typy OZE z tohoto pohledu nemohou za tržních podmínek konku</w:t>
      </w:r>
      <w:r w:rsidR="0043060B">
        <w:t>rovat zdrojům uhelné energetiky, také proto čerpají provozní podporu (která byla zastavena pro nové zdroje zapojené po roce 2014 s výjimkou MVE).</w:t>
      </w:r>
    </w:p>
    <w:p w:rsidR="0043060B" w:rsidRDefault="0043060B" w:rsidP="00B66AFC"/>
    <w:p w:rsidR="0043060B" w:rsidRDefault="0043060B" w:rsidP="00B66AFC">
      <w:r>
        <w:t>V případě investic do zužitkování tepla a jeho vzdáleného vyvedení ke spotřebitelům u BPS a biomasy není provozní podpora aplikována. Investice tedy mohou být motivovány jen tržními výnosy v této oblasti, které nepožívají zvláštního zvýhodnění. Tržní selhání se váže především na nákladnost těchto opatření a relativní vzdálenost, která v řadě případů dělí produkční místa od nejbližších spotřebitelských center. Investice do vedení tepla jsou poměrně náročné (viz SC 3.5), administrativně složité, nákladné a složité i co do zajištění a získání bankovního financování.</w:t>
      </w:r>
    </w:p>
    <w:p w:rsidR="0043060B" w:rsidRDefault="0043060B" w:rsidP="00B66AFC"/>
    <w:p w:rsidR="0043060B" w:rsidRDefault="0043060B" w:rsidP="00B66AFC">
      <w:r>
        <w:t>Výroba elektřiny z MVE požívá dosud provozní podporu, investice do jejich zefektivnění je tedy z tohoto pohledu snáze realizovatelná. I v rámci této oblasti však vysoké náklady a doba návratnosti mohou od investic odrazovat.</w:t>
      </w:r>
      <w:r w:rsidR="00DA7FCC">
        <w:t xml:space="preserve"> Některé MVE </w:t>
      </w:r>
      <w:r w:rsidR="00057BCB">
        <w:t>s potřebou rekonstrukce jsou i mnoho desítek let staré a nejde tedy pouze o dílčí úpravy.</w:t>
      </w:r>
      <w:r>
        <w:t xml:space="preserve"> Oblast se navíc potýká s vysokou zátěží administrativní.</w:t>
      </w:r>
    </w:p>
    <w:p w:rsidR="009D2CAE" w:rsidRPr="007C0CDA" w:rsidRDefault="009D2CAE" w:rsidP="001A387B"/>
    <w:p w:rsidR="009D2CAE" w:rsidRPr="004153D2" w:rsidRDefault="009D2CAE" w:rsidP="002433DA">
      <w:pPr>
        <w:pStyle w:val="Nadpis3"/>
      </w:pPr>
      <w:bookmarkStart w:id="502" w:name="_Toc416383851"/>
      <w:bookmarkStart w:id="503" w:name="_Toc416447840"/>
      <w:bookmarkStart w:id="504" w:name="_Toc416383852"/>
      <w:bookmarkStart w:id="505" w:name="_Toc416447841"/>
      <w:bookmarkStart w:id="506" w:name="_Toc416447842"/>
      <w:bookmarkEnd w:id="502"/>
      <w:bookmarkEnd w:id="503"/>
      <w:bookmarkEnd w:id="504"/>
      <w:bookmarkEnd w:id="505"/>
      <w:r w:rsidRPr="00172EF4">
        <w:t>Návrh opatření</w:t>
      </w:r>
      <w:bookmarkEnd w:id="506"/>
    </w:p>
    <w:p w:rsidR="00E61CBB" w:rsidRPr="007C0CDA" w:rsidRDefault="00E61CBB" w:rsidP="00E61CBB">
      <w:r w:rsidRPr="007C0CDA">
        <w:t xml:space="preserve">Dle tržní analýzy sektoru obnovitelných zdrojů energie (OZE) a vyhodnocení dotazníkového šetření potencionálních investičních projektů v sledované oblasti vykazuje specifický cíl </w:t>
      </w:r>
      <w:r w:rsidRPr="007C0CDA">
        <w:rPr>
          <w:b/>
        </w:rPr>
        <w:t>3.1 – “</w:t>
      </w:r>
      <w:r w:rsidRPr="007C0CDA">
        <w:rPr>
          <w:rFonts w:cs="Arial"/>
          <w:b/>
          <w:szCs w:val="19"/>
        </w:rPr>
        <w:t>Zvýšit podíl výroby energie z obnovitelných zdrojů na hrubé konečné spotřebě ČR</w:t>
      </w:r>
      <w:r w:rsidRPr="007C0CDA">
        <w:rPr>
          <w:b/>
        </w:rPr>
        <w:t xml:space="preserve">“ </w:t>
      </w:r>
      <w:r w:rsidRPr="007C0CDA">
        <w:t xml:space="preserve">částečný potenciál pro zapojení finančních nástrojů. Hlavním problémem jsou náklady modernizace těchto zařízení, které implikují dlouhou návratnost cílových investic i v případě provozní podpory odkupu vyrobené elektřiny, kterou tyto zařízení dnes čerpají.Výsledky dotazníkového šetření poukazují na fakt, že pouze 12 % subjektů je ochotných realizovat investici do OZE bez nějaké formy veřejné podpory. </w:t>
      </w:r>
    </w:p>
    <w:p w:rsidR="00E61CBB" w:rsidRPr="007C0CDA" w:rsidRDefault="00E61CBB" w:rsidP="00E61CBB">
      <w:pPr>
        <w:pStyle w:val="BodyText1"/>
        <w:jc w:val="both"/>
      </w:pPr>
    </w:p>
    <w:p w:rsidR="00E61CBB" w:rsidRPr="007C0CDA" w:rsidRDefault="00E61CBB" w:rsidP="00E61CBB">
      <w:r w:rsidRPr="007C0CDA">
        <w:t xml:space="preserve">Zejména na základě vyvedení tepla v případě BPS a KVETu je nutné vzít v úvahu vysoké náklady na konstrukci/modernizaci soustav pro zásobování teplem blízkého okolí, kde doba návratnosti investice </w:t>
      </w:r>
      <w:r>
        <w:t>může překračovat tržní akceptovatelnost a kritéria</w:t>
      </w:r>
      <w:r w:rsidRPr="007C0CDA">
        <w:t xml:space="preserve"> poskytnutí úvěru. U těchto aktivit tedy navrhujeme ponechat primárně dotační podporu.</w:t>
      </w:r>
    </w:p>
    <w:p w:rsidR="00E61CBB" w:rsidRPr="007C0CDA" w:rsidRDefault="00E61CBB" w:rsidP="00E61CBB"/>
    <w:p w:rsidR="00E61CBB" w:rsidRPr="007C0CDA" w:rsidRDefault="00E61CBB" w:rsidP="00E61CBB">
      <w:r w:rsidRPr="007C0CDA">
        <w:t>Potenciál na využití zvýhodněných úvěrů spatřujeme u MVE, které i pro nově zapojené zdroje budou moci čerpat provozní podporu na výkup elektřiny – na rozdíl od ostatních OZE.</w:t>
      </w:r>
      <w:r>
        <w:t xml:space="preserve"> I zde je však v mnoha případech vhodné motivovat větší investiční aktivitu v rekonstrukci starých zdrojů, která je nákladná a může být problematická z hlediska návratnosti a získání financování. </w:t>
      </w:r>
      <w:r w:rsidRPr="007C0CDA">
        <w:t xml:space="preserve"> Zvýhodněný úvěr by ulehčil přístup k financování a jeho cenu a může tak pomoci větší investiční aktivitě v této oblasti. Komplikací </w:t>
      </w:r>
      <w:r w:rsidRPr="007C0CDA">
        <w:lastRenderedPageBreak/>
        <w:t>v tomto ohledu je možnost kombinace provozní a investiční podpory, která v případě OZE limituje i použití dotací.</w:t>
      </w:r>
    </w:p>
    <w:p w:rsidR="00E61CBB" w:rsidRPr="007C0CDA" w:rsidRDefault="00E61CBB" w:rsidP="00E61CBB"/>
    <w:p w:rsidR="009D2CAE" w:rsidRPr="00854519" w:rsidRDefault="009D2CAE" w:rsidP="002433DA">
      <w:pPr>
        <w:pStyle w:val="Nadpis3"/>
        <w:rPr>
          <w:lang w:eastAsia="en-US"/>
        </w:rPr>
      </w:pPr>
      <w:bookmarkStart w:id="507" w:name="_Toc416447843"/>
      <w:bookmarkStart w:id="508" w:name="_Toc416447844"/>
      <w:bookmarkStart w:id="509" w:name="_Toc416447845"/>
      <w:bookmarkStart w:id="510" w:name="_Toc416447846"/>
      <w:bookmarkStart w:id="511" w:name="_Toc416447847"/>
      <w:bookmarkStart w:id="512" w:name="_Toc416447848"/>
      <w:bookmarkStart w:id="513" w:name="_Toc416447849"/>
      <w:bookmarkStart w:id="514" w:name="_Toc416447850"/>
      <w:bookmarkStart w:id="515" w:name="_Toc416447851"/>
      <w:bookmarkStart w:id="516" w:name="_Toc416447853"/>
      <w:bookmarkStart w:id="517" w:name="_Toc416447854"/>
      <w:bookmarkEnd w:id="507"/>
      <w:bookmarkEnd w:id="508"/>
      <w:bookmarkEnd w:id="509"/>
      <w:bookmarkEnd w:id="510"/>
      <w:bookmarkEnd w:id="511"/>
      <w:bookmarkEnd w:id="512"/>
      <w:bookmarkEnd w:id="513"/>
      <w:bookmarkEnd w:id="514"/>
      <w:bookmarkEnd w:id="515"/>
      <w:bookmarkEnd w:id="516"/>
      <w:r w:rsidRPr="00B675D6">
        <w:rPr>
          <w:lang w:eastAsia="en-US"/>
        </w:rPr>
        <w:t>Posouzení přidané hodnoty finančních nástrojů</w:t>
      </w:r>
      <w:bookmarkEnd w:id="517"/>
    </w:p>
    <w:p w:rsidR="00DE0CB4" w:rsidRDefault="00DE0CB4" w:rsidP="00DE0CB4">
      <w:r w:rsidRPr="007C0CDA">
        <w:t xml:space="preserve">V rámci tabulek níže je uveden přehled přidané hodnoty, problémů a rizik z pohledu konečného příjemce a ŘO (tabulka č. 2) a z pohledu celkového dopadu na absorpční kapacitu a dosažení cílů SC </w:t>
      </w:r>
      <w:r>
        <w:t>3</w:t>
      </w:r>
      <w:r w:rsidRPr="007C0CDA">
        <w:t>.</w:t>
      </w:r>
      <w:r>
        <w:t>1</w:t>
      </w:r>
      <w:r w:rsidRPr="007C0CDA">
        <w:t xml:space="preserve">, se zohledněním dopadů na tržní prostředí. Porovnány jsou nástroje formou </w:t>
      </w:r>
      <w:r>
        <w:t xml:space="preserve">záruk, zvýhodněných úvěrů </w:t>
      </w:r>
      <w:r w:rsidRPr="007C0CDA">
        <w:t>a dotací.</w:t>
      </w:r>
    </w:p>
    <w:p w:rsidR="004B44BD" w:rsidRPr="007C0CDA" w:rsidRDefault="004B44BD" w:rsidP="004B44BD"/>
    <w:tbl>
      <w:tblPr>
        <w:tblpPr w:leftFromText="141" w:rightFromText="141" w:vertAnchor="text" w:horzAnchor="margin" w:tblpY="-23"/>
        <w:tblW w:w="8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60"/>
        <w:gridCol w:w="960"/>
        <w:gridCol w:w="2414"/>
        <w:gridCol w:w="2330"/>
        <w:gridCol w:w="2330"/>
      </w:tblGrid>
      <w:tr w:rsidR="004B44BD" w:rsidRPr="007C0CDA" w:rsidTr="002E3AE9">
        <w:trPr>
          <w:trHeight w:val="315"/>
        </w:trPr>
        <w:tc>
          <w:tcPr>
            <w:tcW w:w="960" w:type="dxa"/>
            <w:shd w:val="clear" w:color="auto" w:fill="365F91"/>
            <w:noWrap/>
            <w:vAlign w:val="bottom"/>
          </w:tcPr>
          <w:p w:rsidR="004B44BD" w:rsidRPr="007C0CDA" w:rsidRDefault="004B44BD" w:rsidP="002E3AE9">
            <w:pPr>
              <w:jc w:val="left"/>
              <w:rPr>
                <w:rFonts w:ascii="Times New Roman" w:hAnsi="Times New Roman"/>
                <w:sz w:val="24"/>
                <w:szCs w:val="24"/>
              </w:rPr>
            </w:pPr>
          </w:p>
        </w:tc>
        <w:tc>
          <w:tcPr>
            <w:tcW w:w="960" w:type="dxa"/>
            <w:shd w:val="clear" w:color="auto" w:fill="365F91"/>
            <w:noWrap/>
            <w:vAlign w:val="bottom"/>
          </w:tcPr>
          <w:p w:rsidR="004B44BD" w:rsidRPr="007C0CDA" w:rsidRDefault="004B44BD" w:rsidP="002E3AE9">
            <w:pPr>
              <w:jc w:val="left"/>
              <w:rPr>
                <w:rFonts w:ascii="Times New Roman" w:hAnsi="Times New Roman"/>
                <w:color w:val="000000"/>
                <w:sz w:val="24"/>
                <w:szCs w:val="24"/>
              </w:rPr>
            </w:pPr>
            <w:r w:rsidRPr="007C0CDA">
              <w:rPr>
                <w:rFonts w:ascii="Times New Roman" w:hAnsi="Times New Roman"/>
                <w:color w:val="000000"/>
                <w:sz w:val="24"/>
                <w:szCs w:val="24"/>
              </w:rPr>
              <w:t> </w:t>
            </w:r>
          </w:p>
        </w:tc>
        <w:tc>
          <w:tcPr>
            <w:tcW w:w="4744" w:type="dxa"/>
            <w:gridSpan w:val="2"/>
            <w:shd w:val="clear" w:color="auto" w:fill="365F91"/>
            <w:noWrap/>
            <w:vAlign w:val="center"/>
          </w:tcPr>
          <w:p w:rsidR="004B44BD" w:rsidRPr="007C0CDA" w:rsidRDefault="004B44BD" w:rsidP="002E3AE9">
            <w:pPr>
              <w:jc w:val="center"/>
              <w:rPr>
                <w:b/>
                <w:bCs/>
                <w:color w:val="FFFFFF"/>
                <w:sz w:val="24"/>
                <w:szCs w:val="24"/>
              </w:rPr>
            </w:pPr>
            <w:r w:rsidRPr="007C0CDA">
              <w:rPr>
                <w:b/>
                <w:bCs/>
                <w:color w:val="FFFFFF"/>
                <w:sz w:val="24"/>
                <w:szCs w:val="24"/>
              </w:rPr>
              <w:t>Finanční nástroj</w:t>
            </w:r>
          </w:p>
        </w:tc>
        <w:tc>
          <w:tcPr>
            <w:tcW w:w="2330" w:type="dxa"/>
            <w:shd w:val="clear" w:color="auto" w:fill="365F91"/>
          </w:tcPr>
          <w:p w:rsidR="004B44BD" w:rsidRPr="007C0CDA" w:rsidRDefault="004B44BD" w:rsidP="002E3AE9">
            <w:pPr>
              <w:jc w:val="center"/>
              <w:rPr>
                <w:b/>
                <w:bCs/>
                <w:color w:val="FFFFFF"/>
                <w:sz w:val="24"/>
                <w:szCs w:val="24"/>
              </w:rPr>
            </w:pPr>
            <w:r w:rsidRPr="007C0CDA">
              <w:rPr>
                <w:b/>
                <w:bCs/>
                <w:color w:val="FFFFFF"/>
                <w:sz w:val="24"/>
                <w:szCs w:val="24"/>
              </w:rPr>
              <w:t>Dotace</w:t>
            </w:r>
          </w:p>
        </w:tc>
      </w:tr>
      <w:tr w:rsidR="004B44BD" w:rsidRPr="007C0CDA" w:rsidTr="002E3AE9">
        <w:trPr>
          <w:trHeight w:val="315"/>
        </w:trPr>
        <w:tc>
          <w:tcPr>
            <w:tcW w:w="960" w:type="dxa"/>
            <w:shd w:val="clear" w:color="auto" w:fill="365F91"/>
            <w:noWrap/>
            <w:vAlign w:val="center"/>
          </w:tcPr>
          <w:p w:rsidR="004B44BD" w:rsidRPr="007C0CDA" w:rsidRDefault="004B44BD" w:rsidP="002E3AE9">
            <w:pPr>
              <w:jc w:val="center"/>
              <w:rPr>
                <w:b/>
                <w:bCs/>
                <w:color w:val="000000"/>
                <w:sz w:val="24"/>
                <w:szCs w:val="24"/>
              </w:rPr>
            </w:pPr>
          </w:p>
        </w:tc>
        <w:tc>
          <w:tcPr>
            <w:tcW w:w="960" w:type="dxa"/>
            <w:shd w:val="clear" w:color="auto" w:fill="365F91"/>
            <w:noWrap/>
            <w:vAlign w:val="center"/>
          </w:tcPr>
          <w:p w:rsidR="004B44BD" w:rsidRPr="007C0CDA" w:rsidRDefault="004B44BD" w:rsidP="002E3AE9">
            <w:pPr>
              <w:jc w:val="left"/>
              <w:rPr>
                <w:color w:val="000000"/>
                <w:sz w:val="24"/>
                <w:szCs w:val="24"/>
              </w:rPr>
            </w:pPr>
            <w:r w:rsidRPr="007C0CDA">
              <w:rPr>
                <w:color w:val="000000"/>
                <w:sz w:val="24"/>
                <w:szCs w:val="24"/>
              </w:rPr>
              <w:t> </w:t>
            </w:r>
          </w:p>
        </w:tc>
        <w:tc>
          <w:tcPr>
            <w:tcW w:w="2414" w:type="dxa"/>
            <w:shd w:val="clear" w:color="auto" w:fill="365F91"/>
            <w:vAlign w:val="center"/>
          </w:tcPr>
          <w:p w:rsidR="004B44BD" w:rsidRPr="007C0CDA" w:rsidRDefault="004B44BD" w:rsidP="002E3AE9">
            <w:pPr>
              <w:jc w:val="center"/>
              <w:rPr>
                <w:b/>
                <w:bCs/>
                <w:color w:val="FFFFFF"/>
                <w:sz w:val="24"/>
                <w:szCs w:val="24"/>
              </w:rPr>
            </w:pPr>
            <w:r w:rsidRPr="007C0CDA">
              <w:rPr>
                <w:b/>
                <w:bCs/>
                <w:color w:val="FFFFFF"/>
                <w:sz w:val="24"/>
                <w:szCs w:val="24"/>
              </w:rPr>
              <w:t>Záruční nástroj</w:t>
            </w:r>
          </w:p>
        </w:tc>
        <w:tc>
          <w:tcPr>
            <w:tcW w:w="2330" w:type="dxa"/>
            <w:shd w:val="clear" w:color="auto" w:fill="365F91"/>
            <w:vAlign w:val="center"/>
          </w:tcPr>
          <w:p w:rsidR="004B44BD" w:rsidRPr="007C0CDA" w:rsidRDefault="004B44BD" w:rsidP="002E3AE9">
            <w:pPr>
              <w:jc w:val="center"/>
              <w:rPr>
                <w:b/>
                <w:bCs/>
                <w:color w:val="FFFFFF"/>
                <w:sz w:val="24"/>
                <w:szCs w:val="24"/>
              </w:rPr>
            </w:pPr>
            <w:r w:rsidRPr="007C0CDA">
              <w:rPr>
                <w:b/>
                <w:bCs/>
                <w:color w:val="FFFFFF"/>
                <w:sz w:val="24"/>
                <w:szCs w:val="24"/>
              </w:rPr>
              <w:t>Zvýhodněný úvěr</w:t>
            </w:r>
          </w:p>
        </w:tc>
        <w:tc>
          <w:tcPr>
            <w:tcW w:w="2330" w:type="dxa"/>
            <w:shd w:val="clear" w:color="auto" w:fill="365F91"/>
          </w:tcPr>
          <w:p w:rsidR="004B44BD" w:rsidRPr="007C0CDA" w:rsidRDefault="004B44BD" w:rsidP="002E3AE9">
            <w:pPr>
              <w:jc w:val="center"/>
              <w:rPr>
                <w:b/>
                <w:bCs/>
                <w:color w:val="FFFFFF"/>
                <w:sz w:val="24"/>
                <w:szCs w:val="24"/>
              </w:rPr>
            </w:pPr>
          </w:p>
        </w:tc>
      </w:tr>
      <w:tr w:rsidR="004B44BD" w:rsidRPr="007C0CDA" w:rsidTr="002E3AE9">
        <w:trPr>
          <w:trHeight w:val="720"/>
        </w:trPr>
        <w:tc>
          <w:tcPr>
            <w:tcW w:w="960" w:type="dxa"/>
            <w:vMerge w:val="restart"/>
            <w:shd w:val="clear" w:color="auto" w:fill="8DB3E2"/>
            <w:noWrap/>
            <w:textDirection w:val="btLr"/>
            <w:vAlign w:val="center"/>
          </w:tcPr>
          <w:p w:rsidR="004B44BD" w:rsidRPr="007C0CDA" w:rsidRDefault="004B44BD" w:rsidP="002E3AE9">
            <w:pPr>
              <w:jc w:val="center"/>
              <w:rPr>
                <w:b/>
                <w:bCs/>
                <w:color w:val="FFFFFF"/>
                <w:sz w:val="24"/>
                <w:szCs w:val="24"/>
              </w:rPr>
            </w:pPr>
            <w:r w:rsidRPr="007C0CDA">
              <w:rPr>
                <w:b/>
                <w:bCs/>
                <w:color w:val="FFFFFF"/>
                <w:sz w:val="24"/>
                <w:szCs w:val="24"/>
              </w:rPr>
              <w:t>Přidaná hodnota veřejné podpory pro příjemce a ŘO</w:t>
            </w:r>
          </w:p>
        </w:tc>
        <w:tc>
          <w:tcPr>
            <w:tcW w:w="960" w:type="dxa"/>
            <w:vMerge w:val="restart"/>
            <w:shd w:val="clear" w:color="auto" w:fill="8DB3E2"/>
            <w:noWrap/>
            <w:textDirection w:val="btLr"/>
            <w:vAlign w:val="center"/>
          </w:tcPr>
          <w:p w:rsidR="004B44BD" w:rsidRPr="007C0CDA" w:rsidRDefault="004B44BD" w:rsidP="002E3AE9">
            <w:pPr>
              <w:jc w:val="center"/>
              <w:rPr>
                <w:b/>
                <w:bCs/>
                <w:color w:val="FFFFFF"/>
                <w:sz w:val="24"/>
                <w:szCs w:val="24"/>
              </w:rPr>
            </w:pPr>
            <w:r w:rsidRPr="007C0CDA">
              <w:rPr>
                <w:b/>
                <w:bCs/>
                <w:color w:val="FFFFFF"/>
                <w:sz w:val="24"/>
                <w:szCs w:val="24"/>
              </w:rPr>
              <w:t>Konečný příjemce</w:t>
            </w:r>
          </w:p>
        </w:tc>
        <w:tc>
          <w:tcPr>
            <w:tcW w:w="2414" w:type="dxa"/>
            <w:shd w:val="clear" w:color="auto" w:fill="8DB3E2"/>
            <w:vAlign w:val="center"/>
          </w:tcPr>
          <w:p w:rsidR="004B44BD" w:rsidRPr="007C0CDA" w:rsidRDefault="004B44BD" w:rsidP="002E3AE9">
            <w:pPr>
              <w:jc w:val="center"/>
              <w:rPr>
                <w:b/>
                <w:color w:val="FFFFFF"/>
                <w:sz w:val="20"/>
              </w:rPr>
            </w:pPr>
            <w:r w:rsidRPr="007C0CDA">
              <w:rPr>
                <w:b/>
                <w:color w:val="FFFFFF"/>
                <w:sz w:val="20"/>
              </w:rPr>
              <w:t>Zpřístupnění nedosažitelného financování</w:t>
            </w:r>
          </w:p>
        </w:tc>
        <w:tc>
          <w:tcPr>
            <w:tcW w:w="2330" w:type="dxa"/>
            <w:shd w:val="clear" w:color="auto" w:fill="8DB3E2"/>
            <w:vAlign w:val="center"/>
          </w:tcPr>
          <w:p w:rsidR="004B44BD" w:rsidRPr="007C0CDA" w:rsidRDefault="004B44BD" w:rsidP="002E3AE9">
            <w:pPr>
              <w:jc w:val="center"/>
              <w:rPr>
                <w:b/>
                <w:color w:val="FFFFFF"/>
                <w:sz w:val="20"/>
              </w:rPr>
            </w:pPr>
            <w:r w:rsidRPr="007C0CDA">
              <w:rPr>
                <w:b/>
                <w:color w:val="FFFFFF"/>
                <w:sz w:val="20"/>
              </w:rPr>
              <w:t>Zpřístupnění vyšší míry externího financování</w:t>
            </w:r>
          </w:p>
        </w:tc>
        <w:tc>
          <w:tcPr>
            <w:tcW w:w="2330" w:type="dxa"/>
            <w:shd w:val="clear" w:color="auto" w:fill="8DB3E2"/>
          </w:tcPr>
          <w:p w:rsidR="004B44BD" w:rsidRPr="007C0CDA" w:rsidRDefault="004B44BD" w:rsidP="002E3AE9">
            <w:pPr>
              <w:jc w:val="center"/>
              <w:rPr>
                <w:b/>
                <w:color w:val="FFFFFF"/>
                <w:sz w:val="20"/>
              </w:rPr>
            </w:pPr>
            <w:r w:rsidRPr="007C0CDA">
              <w:rPr>
                <w:b/>
                <w:color w:val="FFFFFF"/>
                <w:sz w:val="20"/>
              </w:rPr>
              <w:t>Nevratný příspěvek na projekt</w:t>
            </w:r>
          </w:p>
        </w:tc>
      </w:tr>
      <w:tr w:rsidR="004B44BD" w:rsidRPr="007C0CDA" w:rsidTr="002E3AE9">
        <w:trPr>
          <w:trHeight w:val="480"/>
        </w:trPr>
        <w:tc>
          <w:tcPr>
            <w:tcW w:w="960" w:type="dxa"/>
            <w:vMerge/>
            <w:shd w:val="clear" w:color="auto" w:fill="8DB3E2"/>
            <w:vAlign w:val="center"/>
          </w:tcPr>
          <w:p w:rsidR="004B44BD" w:rsidRPr="007C0CDA" w:rsidRDefault="004B44BD" w:rsidP="002E3AE9">
            <w:pPr>
              <w:jc w:val="left"/>
              <w:rPr>
                <w:b/>
                <w:bCs/>
                <w:color w:val="FFFFFF"/>
                <w:sz w:val="24"/>
                <w:szCs w:val="24"/>
              </w:rPr>
            </w:pPr>
          </w:p>
        </w:tc>
        <w:tc>
          <w:tcPr>
            <w:tcW w:w="960" w:type="dxa"/>
            <w:vMerge/>
            <w:shd w:val="clear" w:color="auto" w:fill="8DB3E2"/>
            <w:vAlign w:val="center"/>
          </w:tcPr>
          <w:p w:rsidR="004B44BD" w:rsidRPr="007C0CDA" w:rsidRDefault="004B44BD" w:rsidP="002E3AE9">
            <w:pPr>
              <w:jc w:val="left"/>
              <w:rPr>
                <w:b/>
                <w:bCs/>
                <w:color w:val="FFFFFF"/>
                <w:sz w:val="24"/>
                <w:szCs w:val="24"/>
              </w:rPr>
            </w:pPr>
          </w:p>
        </w:tc>
        <w:tc>
          <w:tcPr>
            <w:tcW w:w="2414" w:type="dxa"/>
            <w:shd w:val="clear" w:color="auto" w:fill="8DB3E2"/>
            <w:vAlign w:val="center"/>
          </w:tcPr>
          <w:p w:rsidR="004B44BD" w:rsidRPr="007C0CDA" w:rsidRDefault="004B44BD" w:rsidP="002E3AE9">
            <w:pPr>
              <w:jc w:val="center"/>
              <w:rPr>
                <w:b/>
                <w:color w:val="FFFFFF"/>
                <w:sz w:val="20"/>
              </w:rPr>
            </w:pPr>
            <w:r w:rsidRPr="007C0CDA">
              <w:rPr>
                <w:b/>
                <w:color w:val="FFFFFF"/>
                <w:sz w:val="20"/>
              </w:rPr>
              <w:t>Částečné snížení úrokové sazby snížením rizikové přirážky</w:t>
            </w:r>
          </w:p>
        </w:tc>
        <w:tc>
          <w:tcPr>
            <w:tcW w:w="2330" w:type="dxa"/>
            <w:shd w:val="clear" w:color="auto" w:fill="8DB3E2"/>
            <w:vAlign w:val="center"/>
          </w:tcPr>
          <w:p w:rsidR="004B44BD" w:rsidRPr="007C0CDA" w:rsidRDefault="004B44BD" w:rsidP="002E3AE9">
            <w:pPr>
              <w:jc w:val="center"/>
              <w:rPr>
                <w:b/>
                <w:color w:val="FFFFFF"/>
                <w:sz w:val="20"/>
              </w:rPr>
            </w:pPr>
            <w:r w:rsidRPr="007C0CDA">
              <w:rPr>
                <w:b/>
                <w:color w:val="FFFFFF"/>
                <w:sz w:val="20"/>
              </w:rPr>
              <w:t>Snížení úrokové sazby</w:t>
            </w:r>
          </w:p>
        </w:tc>
        <w:tc>
          <w:tcPr>
            <w:tcW w:w="2330" w:type="dxa"/>
            <w:shd w:val="clear" w:color="auto" w:fill="8DB3E2"/>
          </w:tcPr>
          <w:p w:rsidR="004B44BD" w:rsidRPr="007C0CDA" w:rsidRDefault="004B44BD" w:rsidP="002E3AE9">
            <w:pPr>
              <w:jc w:val="center"/>
              <w:rPr>
                <w:b/>
                <w:color w:val="FFFFFF"/>
                <w:sz w:val="20"/>
              </w:rPr>
            </w:pPr>
            <w:r w:rsidRPr="007C0CDA">
              <w:rPr>
                <w:b/>
                <w:color w:val="FFFFFF"/>
                <w:sz w:val="20"/>
              </w:rPr>
              <w:t xml:space="preserve">Vysoce snížená doba návratnosti </w:t>
            </w:r>
          </w:p>
        </w:tc>
      </w:tr>
      <w:tr w:rsidR="004B44BD" w:rsidRPr="007C0CDA" w:rsidTr="002E3AE9">
        <w:trPr>
          <w:trHeight w:val="720"/>
        </w:trPr>
        <w:tc>
          <w:tcPr>
            <w:tcW w:w="960" w:type="dxa"/>
            <w:vMerge/>
            <w:shd w:val="clear" w:color="auto" w:fill="8DB3E2"/>
            <w:vAlign w:val="center"/>
          </w:tcPr>
          <w:p w:rsidR="004B44BD" w:rsidRPr="007C0CDA" w:rsidRDefault="004B44BD" w:rsidP="002E3AE9">
            <w:pPr>
              <w:jc w:val="left"/>
              <w:rPr>
                <w:b/>
                <w:bCs/>
                <w:color w:val="FFFFFF"/>
                <w:sz w:val="24"/>
                <w:szCs w:val="24"/>
              </w:rPr>
            </w:pPr>
          </w:p>
        </w:tc>
        <w:tc>
          <w:tcPr>
            <w:tcW w:w="960" w:type="dxa"/>
            <w:vMerge/>
            <w:shd w:val="clear" w:color="auto" w:fill="8DB3E2"/>
            <w:vAlign w:val="center"/>
          </w:tcPr>
          <w:p w:rsidR="004B44BD" w:rsidRPr="007C0CDA" w:rsidRDefault="004B44BD" w:rsidP="002E3AE9">
            <w:pPr>
              <w:jc w:val="left"/>
              <w:rPr>
                <w:b/>
                <w:bCs/>
                <w:color w:val="FFFFFF"/>
                <w:sz w:val="24"/>
                <w:szCs w:val="24"/>
              </w:rPr>
            </w:pPr>
          </w:p>
        </w:tc>
        <w:tc>
          <w:tcPr>
            <w:tcW w:w="2414" w:type="dxa"/>
            <w:shd w:val="clear" w:color="auto" w:fill="8DB3E2"/>
            <w:vAlign w:val="center"/>
          </w:tcPr>
          <w:p w:rsidR="004B44BD" w:rsidRPr="007C0CDA" w:rsidRDefault="004B44BD" w:rsidP="002E3AE9">
            <w:pPr>
              <w:jc w:val="center"/>
              <w:rPr>
                <w:b/>
                <w:color w:val="FFFFFF"/>
                <w:sz w:val="20"/>
              </w:rPr>
            </w:pPr>
            <w:r w:rsidRPr="007C0CDA">
              <w:rPr>
                <w:b/>
                <w:color w:val="FFFFFF"/>
                <w:sz w:val="20"/>
              </w:rPr>
              <w:t>Snížení nároků na zástavu podniku</w:t>
            </w:r>
          </w:p>
        </w:tc>
        <w:tc>
          <w:tcPr>
            <w:tcW w:w="2330" w:type="dxa"/>
            <w:shd w:val="clear" w:color="auto" w:fill="8DB3E2"/>
            <w:vAlign w:val="center"/>
          </w:tcPr>
          <w:p w:rsidR="004B44BD" w:rsidRPr="007C0CDA" w:rsidRDefault="004B44BD" w:rsidP="002E3AE9">
            <w:pPr>
              <w:jc w:val="center"/>
              <w:rPr>
                <w:b/>
                <w:color w:val="FFFFFF"/>
                <w:sz w:val="20"/>
              </w:rPr>
            </w:pPr>
            <w:r w:rsidRPr="007C0CDA">
              <w:rPr>
                <w:b/>
                <w:color w:val="FFFFFF"/>
                <w:sz w:val="20"/>
              </w:rPr>
              <w:t>Delší doba splatnosti</w:t>
            </w:r>
          </w:p>
        </w:tc>
        <w:tc>
          <w:tcPr>
            <w:tcW w:w="2330" w:type="dxa"/>
            <w:shd w:val="clear" w:color="auto" w:fill="8DB3E2"/>
          </w:tcPr>
          <w:p w:rsidR="004B44BD" w:rsidRPr="007C0CDA" w:rsidRDefault="004B44BD" w:rsidP="002E3AE9">
            <w:pPr>
              <w:jc w:val="center"/>
              <w:rPr>
                <w:b/>
                <w:color w:val="FFFFFF"/>
                <w:sz w:val="20"/>
              </w:rPr>
            </w:pPr>
            <w:r w:rsidRPr="007C0CDA">
              <w:rPr>
                <w:b/>
                <w:color w:val="FFFFFF"/>
                <w:sz w:val="20"/>
              </w:rPr>
              <w:t>Snazší opatření úvěru na zbytek nákladů projektu</w:t>
            </w:r>
          </w:p>
        </w:tc>
      </w:tr>
      <w:tr w:rsidR="004B44BD" w:rsidRPr="007C0CDA" w:rsidTr="002E3AE9">
        <w:trPr>
          <w:trHeight w:val="478"/>
        </w:trPr>
        <w:tc>
          <w:tcPr>
            <w:tcW w:w="960" w:type="dxa"/>
            <w:vMerge/>
            <w:shd w:val="clear" w:color="auto" w:fill="8DB3E2"/>
            <w:vAlign w:val="center"/>
          </w:tcPr>
          <w:p w:rsidR="004B44BD" w:rsidRPr="007C0CDA" w:rsidRDefault="004B44BD" w:rsidP="002E3AE9">
            <w:pPr>
              <w:jc w:val="left"/>
              <w:rPr>
                <w:b/>
                <w:bCs/>
                <w:color w:val="FFFFFF"/>
                <w:sz w:val="24"/>
                <w:szCs w:val="24"/>
              </w:rPr>
            </w:pPr>
          </w:p>
        </w:tc>
        <w:tc>
          <w:tcPr>
            <w:tcW w:w="960" w:type="dxa"/>
            <w:vMerge/>
            <w:shd w:val="clear" w:color="auto" w:fill="8DB3E2"/>
            <w:vAlign w:val="center"/>
          </w:tcPr>
          <w:p w:rsidR="004B44BD" w:rsidRPr="007C0CDA" w:rsidRDefault="004B44BD" w:rsidP="002E3AE9">
            <w:pPr>
              <w:jc w:val="left"/>
              <w:rPr>
                <w:b/>
                <w:bCs/>
                <w:color w:val="FFFFFF"/>
                <w:sz w:val="24"/>
                <w:szCs w:val="24"/>
              </w:rPr>
            </w:pPr>
          </w:p>
        </w:tc>
        <w:tc>
          <w:tcPr>
            <w:tcW w:w="2414" w:type="dxa"/>
            <w:shd w:val="clear" w:color="auto" w:fill="8DB3E2"/>
            <w:noWrap/>
            <w:vAlign w:val="center"/>
          </w:tcPr>
          <w:p w:rsidR="004B44BD" w:rsidRPr="007C0CDA" w:rsidRDefault="004B44BD" w:rsidP="002E3AE9">
            <w:pPr>
              <w:jc w:val="center"/>
              <w:rPr>
                <w:b/>
                <w:color w:val="FFFFFF"/>
                <w:sz w:val="20"/>
              </w:rPr>
            </w:pPr>
          </w:p>
        </w:tc>
        <w:tc>
          <w:tcPr>
            <w:tcW w:w="2330" w:type="dxa"/>
            <w:shd w:val="clear" w:color="auto" w:fill="8DB3E2"/>
            <w:vAlign w:val="center"/>
          </w:tcPr>
          <w:p w:rsidR="004B44BD" w:rsidRPr="007C0CDA" w:rsidRDefault="004B44BD" w:rsidP="002E3AE9">
            <w:pPr>
              <w:jc w:val="center"/>
              <w:rPr>
                <w:b/>
                <w:color w:val="FFFFFF"/>
                <w:sz w:val="20"/>
              </w:rPr>
            </w:pPr>
            <w:r w:rsidRPr="007C0CDA">
              <w:rPr>
                <w:b/>
                <w:color w:val="FFFFFF"/>
                <w:sz w:val="20"/>
              </w:rPr>
              <w:t>Snížená doba návratnosti</w:t>
            </w:r>
          </w:p>
        </w:tc>
        <w:tc>
          <w:tcPr>
            <w:tcW w:w="2330" w:type="dxa"/>
            <w:shd w:val="clear" w:color="auto" w:fill="8DB3E2"/>
          </w:tcPr>
          <w:p w:rsidR="004B44BD" w:rsidRPr="007C0CDA" w:rsidRDefault="004B44BD" w:rsidP="002E3AE9">
            <w:pPr>
              <w:jc w:val="center"/>
              <w:rPr>
                <w:b/>
                <w:color w:val="FFFFFF"/>
                <w:sz w:val="20"/>
              </w:rPr>
            </w:pPr>
            <w:r w:rsidRPr="007C0CDA">
              <w:rPr>
                <w:b/>
                <w:color w:val="FFFFFF"/>
                <w:sz w:val="20"/>
              </w:rPr>
              <w:t>Možnost investovat nadměrný zisk do dalších investic</w:t>
            </w:r>
          </w:p>
        </w:tc>
      </w:tr>
      <w:tr w:rsidR="004B44BD" w:rsidRPr="007C0CDA" w:rsidTr="002E3AE9">
        <w:trPr>
          <w:trHeight w:val="680"/>
        </w:trPr>
        <w:tc>
          <w:tcPr>
            <w:tcW w:w="960" w:type="dxa"/>
            <w:vMerge/>
            <w:shd w:val="clear" w:color="auto" w:fill="8DB3E2"/>
            <w:vAlign w:val="center"/>
          </w:tcPr>
          <w:p w:rsidR="004B44BD" w:rsidRPr="007C0CDA" w:rsidRDefault="004B44BD" w:rsidP="002E3AE9">
            <w:pPr>
              <w:jc w:val="left"/>
              <w:rPr>
                <w:b/>
                <w:bCs/>
                <w:color w:val="FFFFFF"/>
                <w:sz w:val="24"/>
                <w:szCs w:val="24"/>
              </w:rPr>
            </w:pPr>
          </w:p>
        </w:tc>
        <w:tc>
          <w:tcPr>
            <w:tcW w:w="960" w:type="dxa"/>
            <w:vMerge/>
            <w:shd w:val="clear" w:color="auto" w:fill="8DB3E2"/>
            <w:vAlign w:val="center"/>
          </w:tcPr>
          <w:p w:rsidR="004B44BD" w:rsidRPr="007C0CDA" w:rsidRDefault="004B44BD" w:rsidP="002E3AE9">
            <w:pPr>
              <w:jc w:val="left"/>
              <w:rPr>
                <w:b/>
                <w:bCs/>
                <w:color w:val="FFFFFF"/>
                <w:sz w:val="24"/>
                <w:szCs w:val="24"/>
              </w:rPr>
            </w:pPr>
          </w:p>
        </w:tc>
        <w:tc>
          <w:tcPr>
            <w:tcW w:w="2414" w:type="dxa"/>
            <w:shd w:val="clear" w:color="auto" w:fill="8DB3E2"/>
            <w:vAlign w:val="center"/>
          </w:tcPr>
          <w:p w:rsidR="004B44BD" w:rsidRPr="007C0CDA" w:rsidRDefault="004B44BD" w:rsidP="002E3AE9">
            <w:pPr>
              <w:jc w:val="center"/>
              <w:rPr>
                <w:b/>
                <w:color w:val="FFFFFF"/>
                <w:sz w:val="20"/>
              </w:rPr>
            </w:pPr>
            <w:r w:rsidRPr="007C0CDA">
              <w:rPr>
                <w:b/>
                <w:color w:val="FFFFFF"/>
                <w:sz w:val="20"/>
              </w:rPr>
              <w:t>Platba v předstihu v podobě úvěru</w:t>
            </w:r>
          </w:p>
        </w:tc>
        <w:tc>
          <w:tcPr>
            <w:tcW w:w="2330" w:type="dxa"/>
            <w:shd w:val="clear" w:color="auto" w:fill="8DB3E2"/>
            <w:vAlign w:val="center"/>
          </w:tcPr>
          <w:p w:rsidR="004B44BD" w:rsidRPr="007C0CDA" w:rsidRDefault="004B44BD" w:rsidP="002E3AE9">
            <w:pPr>
              <w:jc w:val="center"/>
              <w:rPr>
                <w:b/>
                <w:color w:val="FFFFFF"/>
                <w:sz w:val="20"/>
              </w:rPr>
            </w:pPr>
            <w:r w:rsidRPr="007C0CDA">
              <w:rPr>
                <w:b/>
                <w:color w:val="FFFFFF"/>
                <w:sz w:val="20"/>
              </w:rPr>
              <w:t>Platba v předstihu v podobě úvěru</w:t>
            </w:r>
          </w:p>
        </w:tc>
        <w:tc>
          <w:tcPr>
            <w:tcW w:w="2330" w:type="dxa"/>
            <w:shd w:val="clear" w:color="auto" w:fill="8DB3E2"/>
          </w:tcPr>
          <w:p w:rsidR="004B44BD" w:rsidRPr="007C0CDA" w:rsidRDefault="004B44BD" w:rsidP="002E3AE9">
            <w:pPr>
              <w:jc w:val="center"/>
              <w:rPr>
                <w:b/>
                <w:color w:val="FFFFFF"/>
                <w:sz w:val="20"/>
              </w:rPr>
            </w:pPr>
          </w:p>
        </w:tc>
      </w:tr>
      <w:tr w:rsidR="004B44BD" w:rsidRPr="007C0CDA" w:rsidTr="002E3AE9">
        <w:trPr>
          <w:trHeight w:val="690"/>
        </w:trPr>
        <w:tc>
          <w:tcPr>
            <w:tcW w:w="960" w:type="dxa"/>
            <w:vMerge/>
            <w:shd w:val="clear" w:color="auto" w:fill="8DB3E2"/>
            <w:vAlign w:val="center"/>
          </w:tcPr>
          <w:p w:rsidR="004B44BD" w:rsidRPr="007C0CDA" w:rsidRDefault="004B44BD" w:rsidP="002E3AE9">
            <w:pPr>
              <w:jc w:val="left"/>
              <w:rPr>
                <w:b/>
                <w:bCs/>
                <w:color w:val="FFFFFF"/>
                <w:sz w:val="24"/>
                <w:szCs w:val="24"/>
              </w:rPr>
            </w:pPr>
          </w:p>
        </w:tc>
        <w:tc>
          <w:tcPr>
            <w:tcW w:w="960" w:type="dxa"/>
            <w:vMerge/>
            <w:shd w:val="clear" w:color="auto" w:fill="8DB3E2"/>
            <w:vAlign w:val="center"/>
          </w:tcPr>
          <w:p w:rsidR="004B44BD" w:rsidRPr="007C0CDA" w:rsidRDefault="004B44BD" w:rsidP="002E3AE9">
            <w:pPr>
              <w:jc w:val="left"/>
              <w:rPr>
                <w:b/>
                <w:bCs/>
                <w:color w:val="FFFFFF"/>
                <w:sz w:val="24"/>
                <w:szCs w:val="24"/>
              </w:rPr>
            </w:pPr>
          </w:p>
        </w:tc>
        <w:tc>
          <w:tcPr>
            <w:tcW w:w="2414" w:type="dxa"/>
            <w:shd w:val="clear" w:color="auto" w:fill="8DB3E2"/>
            <w:vAlign w:val="center"/>
          </w:tcPr>
          <w:p w:rsidR="004B44BD" w:rsidRPr="007C0CDA" w:rsidRDefault="004B44BD" w:rsidP="002E3AE9">
            <w:pPr>
              <w:jc w:val="center"/>
              <w:rPr>
                <w:b/>
                <w:color w:val="FFFFFF"/>
                <w:sz w:val="20"/>
              </w:rPr>
            </w:pPr>
            <w:r w:rsidRPr="007C0CDA">
              <w:rPr>
                <w:b/>
                <w:color w:val="FFFFFF"/>
                <w:sz w:val="20"/>
              </w:rPr>
              <w:t>Nižší administrativní náročnost</w:t>
            </w:r>
          </w:p>
        </w:tc>
        <w:tc>
          <w:tcPr>
            <w:tcW w:w="2330" w:type="dxa"/>
            <w:shd w:val="clear" w:color="auto" w:fill="8DB3E2"/>
            <w:vAlign w:val="center"/>
          </w:tcPr>
          <w:p w:rsidR="004B44BD" w:rsidRPr="007C0CDA" w:rsidRDefault="004B44BD" w:rsidP="002E3AE9">
            <w:pPr>
              <w:jc w:val="center"/>
              <w:rPr>
                <w:b/>
                <w:color w:val="FFFFFF"/>
                <w:sz w:val="20"/>
              </w:rPr>
            </w:pPr>
            <w:r w:rsidRPr="007C0CDA">
              <w:rPr>
                <w:b/>
                <w:color w:val="FFFFFF"/>
                <w:sz w:val="20"/>
              </w:rPr>
              <w:t>Nižší administrativní náročnost</w:t>
            </w:r>
          </w:p>
        </w:tc>
        <w:tc>
          <w:tcPr>
            <w:tcW w:w="2330" w:type="dxa"/>
            <w:shd w:val="clear" w:color="auto" w:fill="8DB3E2"/>
          </w:tcPr>
          <w:p w:rsidR="004B44BD" w:rsidRPr="007C0CDA" w:rsidRDefault="004B44BD" w:rsidP="002E3AE9">
            <w:pPr>
              <w:jc w:val="left"/>
              <w:rPr>
                <w:rFonts w:ascii="Times New Roman" w:hAnsi="Times New Roman"/>
                <w:b/>
                <w:color w:val="FFFFFF"/>
                <w:sz w:val="20"/>
              </w:rPr>
            </w:pPr>
          </w:p>
        </w:tc>
      </w:tr>
      <w:tr w:rsidR="004B44BD" w:rsidRPr="007C0CDA" w:rsidTr="002E3AE9">
        <w:trPr>
          <w:trHeight w:val="735"/>
        </w:trPr>
        <w:tc>
          <w:tcPr>
            <w:tcW w:w="960" w:type="dxa"/>
            <w:vMerge/>
            <w:shd w:val="clear" w:color="auto" w:fill="8DB3E2"/>
            <w:vAlign w:val="center"/>
          </w:tcPr>
          <w:p w:rsidR="004B44BD" w:rsidRPr="007C0CDA" w:rsidRDefault="004B44BD" w:rsidP="002E3AE9">
            <w:pPr>
              <w:jc w:val="left"/>
              <w:rPr>
                <w:b/>
                <w:bCs/>
                <w:color w:val="FFFFFF"/>
                <w:sz w:val="24"/>
                <w:szCs w:val="24"/>
              </w:rPr>
            </w:pPr>
          </w:p>
        </w:tc>
        <w:tc>
          <w:tcPr>
            <w:tcW w:w="960" w:type="dxa"/>
            <w:vMerge w:val="restart"/>
            <w:shd w:val="clear" w:color="auto" w:fill="8DB3E2"/>
            <w:noWrap/>
            <w:textDirection w:val="btLr"/>
            <w:vAlign w:val="center"/>
          </w:tcPr>
          <w:p w:rsidR="004B44BD" w:rsidRPr="007C0CDA" w:rsidRDefault="004B44BD" w:rsidP="002E3AE9">
            <w:pPr>
              <w:jc w:val="center"/>
              <w:rPr>
                <w:b/>
                <w:bCs/>
                <w:color w:val="FFFFFF"/>
                <w:sz w:val="24"/>
                <w:szCs w:val="24"/>
              </w:rPr>
            </w:pPr>
            <w:r w:rsidRPr="007C0CDA">
              <w:rPr>
                <w:b/>
                <w:bCs/>
                <w:color w:val="FFFFFF"/>
                <w:sz w:val="24"/>
                <w:szCs w:val="24"/>
              </w:rPr>
              <w:t>ŘO</w:t>
            </w:r>
          </w:p>
        </w:tc>
        <w:tc>
          <w:tcPr>
            <w:tcW w:w="2414" w:type="dxa"/>
            <w:shd w:val="clear" w:color="auto" w:fill="8DB3E2"/>
            <w:vAlign w:val="center"/>
          </w:tcPr>
          <w:p w:rsidR="004B44BD" w:rsidRPr="007C0CDA" w:rsidRDefault="004B44BD" w:rsidP="002E3AE9">
            <w:pPr>
              <w:jc w:val="center"/>
              <w:rPr>
                <w:b/>
                <w:color w:val="FFFFFF"/>
                <w:sz w:val="20"/>
              </w:rPr>
            </w:pPr>
            <w:r w:rsidRPr="007C0CDA">
              <w:rPr>
                <w:b/>
                <w:color w:val="FFFFFF"/>
                <w:sz w:val="20"/>
              </w:rPr>
              <w:t>Vysoký pákový efekt a širší objem podpořených projektů a investic</w:t>
            </w:r>
          </w:p>
        </w:tc>
        <w:tc>
          <w:tcPr>
            <w:tcW w:w="2330" w:type="dxa"/>
            <w:shd w:val="clear" w:color="auto" w:fill="8DB3E2"/>
            <w:vAlign w:val="center"/>
          </w:tcPr>
          <w:p w:rsidR="004B44BD" w:rsidRPr="007C0CDA" w:rsidRDefault="004B44BD" w:rsidP="002E3AE9">
            <w:pPr>
              <w:jc w:val="center"/>
              <w:rPr>
                <w:b/>
                <w:color w:val="FFFFFF"/>
                <w:sz w:val="20"/>
              </w:rPr>
            </w:pPr>
            <w:r w:rsidRPr="007C0CDA">
              <w:rPr>
                <w:b/>
                <w:color w:val="FFFFFF"/>
                <w:sz w:val="20"/>
              </w:rPr>
              <w:t>Vysoký revolvingový efekt a podpoření projektů v dalších cyklech</w:t>
            </w:r>
          </w:p>
        </w:tc>
        <w:tc>
          <w:tcPr>
            <w:tcW w:w="2330" w:type="dxa"/>
            <w:shd w:val="clear" w:color="auto" w:fill="8DB3E2"/>
          </w:tcPr>
          <w:p w:rsidR="004B44BD" w:rsidRPr="007C0CDA" w:rsidRDefault="004B44BD" w:rsidP="002433DA">
            <w:pPr>
              <w:rPr>
                <w:b/>
                <w:color w:val="FFFFFF"/>
                <w:sz w:val="20"/>
              </w:rPr>
            </w:pPr>
            <w:r>
              <w:rPr>
                <w:b/>
                <w:color w:val="FFFFFF"/>
                <w:sz w:val="20"/>
              </w:rPr>
              <w:t>Vysoká absorpční kapacita</w:t>
            </w:r>
          </w:p>
        </w:tc>
      </w:tr>
      <w:tr w:rsidR="004B44BD" w:rsidRPr="007C0CDA" w:rsidTr="002E3AE9">
        <w:trPr>
          <w:trHeight w:val="735"/>
        </w:trPr>
        <w:tc>
          <w:tcPr>
            <w:tcW w:w="960" w:type="dxa"/>
            <w:vMerge/>
            <w:shd w:val="clear" w:color="auto" w:fill="8DB3E2"/>
            <w:vAlign w:val="center"/>
          </w:tcPr>
          <w:p w:rsidR="004B44BD" w:rsidRPr="007C0CDA" w:rsidRDefault="004B44BD" w:rsidP="002E3AE9">
            <w:pPr>
              <w:jc w:val="left"/>
              <w:rPr>
                <w:b/>
                <w:bCs/>
                <w:color w:val="FFFFFF"/>
                <w:sz w:val="18"/>
                <w:szCs w:val="18"/>
              </w:rPr>
            </w:pPr>
          </w:p>
        </w:tc>
        <w:tc>
          <w:tcPr>
            <w:tcW w:w="960" w:type="dxa"/>
            <w:vMerge/>
            <w:shd w:val="clear" w:color="auto" w:fill="8DB3E2"/>
            <w:noWrap/>
            <w:textDirection w:val="btLr"/>
            <w:vAlign w:val="center"/>
          </w:tcPr>
          <w:p w:rsidR="004B44BD" w:rsidRPr="007C0CDA" w:rsidRDefault="004B44BD" w:rsidP="002E3AE9">
            <w:pPr>
              <w:jc w:val="center"/>
              <w:rPr>
                <w:b/>
                <w:bCs/>
                <w:color w:val="FFFFFF"/>
                <w:sz w:val="18"/>
                <w:szCs w:val="18"/>
              </w:rPr>
            </w:pPr>
          </w:p>
        </w:tc>
        <w:tc>
          <w:tcPr>
            <w:tcW w:w="2414" w:type="dxa"/>
            <w:shd w:val="clear" w:color="auto" w:fill="8DB3E2"/>
            <w:vAlign w:val="center"/>
          </w:tcPr>
          <w:p w:rsidR="004B44BD" w:rsidRPr="007C0CDA" w:rsidRDefault="004B44BD" w:rsidP="002E3AE9">
            <w:pPr>
              <w:jc w:val="center"/>
              <w:rPr>
                <w:b/>
                <w:color w:val="FFFFFF"/>
                <w:sz w:val="20"/>
              </w:rPr>
            </w:pPr>
            <w:r w:rsidRPr="007C0CDA">
              <w:rPr>
                <w:b/>
                <w:color w:val="FFFFFF"/>
                <w:sz w:val="20"/>
              </w:rPr>
              <w:t>Možnost revolvingu v závislosti na rizikové strategii</w:t>
            </w:r>
          </w:p>
        </w:tc>
        <w:tc>
          <w:tcPr>
            <w:tcW w:w="2330" w:type="dxa"/>
            <w:shd w:val="clear" w:color="auto" w:fill="8DB3E2"/>
            <w:vAlign w:val="center"/>
          </w:tcPr>
          <w:p w:rsidR="004B44BD" w:rsidRPr="007C0CDA" w:rsidRDefault="004B44BD" w:rsidP="002E3AE9">
            <w:pPr>
              <w:jc w:val="center"/>
              <w:rPr>
                <w:b/>
                <w:color w:val="FFFFFF"/>
                <w:sz w:val="20"/>
              </w:rPr>
            </w:pPr>
            <w:r w:rsidRPr="007C0CDA">
              <w:rPr>
                <w:b/>
                <w:color w:val="FFFFFF"/>
                <w:sz w:val="20"/>
              </w:rPr>
              <w:t>Predikovatelné splátky</w:t>
            </w:r>
          </w:p>
        </w:tc>
        <w:tc>
          <w:tcPr>
            <w:tcW w:w="2330" w:type="dxa"/>
            <w:shd w:val="clear" w:color="auto" w:fill="8DB3E2"/>
          </w:tcPr>
          <w:p w:rsidR="004B44BD" w:rsidRPr="007C0CDA" w:rsidRDefault="004B44BD" w:rsidP="002E3AE9">
            <w:pPr>
              <w:jc w:val="center"/>
              <w:rPr>
                <w:b/>
                <w:color w:val="FFFFFF"/>
                <w:sz w:val="20"/>
              </w:rPr>
            </w:pPr>
            <w:r>
              <w:rPr>
                <w:b/>
                <w:color w:val="FFFFFF"/>
                <w:sz w:val="20"/>
              </w:rPr>
              <w:t>Motivace subjektů k investicím v této oblasti</w:t>
            </w:r>
          </w:p>
        </w:tc>
      </w:tr>
      <w:tr w:rsidR="004B44BD" w:rsidRPr="007C0CDA" w:rsidTr="002E3AE9">
        <w:trPr>
          <w:trHeight w:val="311"/>
        </w:trPr>
        <w:tc>
          <w:tcPr>
            <w:tcW w:w="960" w:type="dxa"/>
            <w:vMerge/>
            <w:shd w:val="clear" w:color="auto" w:fill="8DB3E2"/>
            <w:vAlign w:val="center"/>
          </w:tcPr>
          <w:p w:rsidR="004B44BD" w:rsidRPr="007C0CDA" w:rsidRDefault="004B44BD" w:rsidP="002E3AE9">
            <w:pPr>
              <w:jc w:val="left"/>
              <w:rPr>
                <w:b/>
                <w:bCs/>
                <w:color w:val="FFFFFF"/>
                <w:sz w:val="18"/>
                <w:szCs w:val="18"/>
              </w:rPr>
            </w:pPr>
          </w:p>
        </w:tc>
        <w:tc>
          <w:tcPr>
            <w:tcW w:w="960" w:type="dxa"/>
            <w:vMerge/>
            <w:shd w:val="clear" w:color="auto" w:fill="8DB3E2"/>
            <w:noWrap/>
            <w:textDirection w:val="btLr"/>
            <w:vAlign w:val="center"/>
          </w:tcPr>
          <w:p w:rsidR="004B44BD" w:rsidRPr="007C0CDA" w:rsidRDefault="004B44BD" w:rsidP="002E3AE9">
            <w:pPr>
              <w:jc w:val="center"/>
              <w:rPr>
                <w:b/>
                <w:bCs/>
                <w:color w:val="FFFFFF"/>
                <w:sz w:val="18"/>
                <w:szCs w:val="18"/>
              </w:rPr>
            </w:pPr>
          </w:p>
        </w:tc>
        <w:tc>
          <w:tcPr>
            <w:tcW w:w="2414" w:type="dxa"/>
            <w:shd w:val="clear" w:color="auto" w:fill="8DB3E2"/>
            <w:vAlign w:val="center"/>
          </w:tcPr>
          <w:p w:rsidR="004B44BD" w:rsidRPr="007C0CDA" w:rsidRDefault="004B44BD" w:rsidP="002E3AE9">
            <w:pPr>
              <w:jc w:val="center"/>
              <w:rPr>
                <w:b/>
                <w:color w:val="FFFFFF"/>
                <w:sz w:val="20"/>
              </w:rPr>
            </w:pPr>
            <w:r w:rsidRPr="007C0CDA">
              <w:rPr>
                <w:b/>
                <w:color w:val="FFFFFF"/>
                <w:sz w:val="20"/>
              </w:rPr>
              <w:t>Rychlé čerpání</w:t>
            </w:r>
          </w:p>
        </w:tc>
        <w:tc>
          <w:tcPr>
            <w:tcW w:w="2330" w:type="dxa"/>
            <w:shd w:val="clear" w:color="auto" w:fill="8DB3E2"/>
            <w:vAlign w:val="center"/>
          </w:tcPr>
          <w:p w:rsidR="004B44BD" w:rsidRPr="007C0CDA" w:rsidRDefault="004B44BD" w:rsidP="002E3AE9">
            <w:pPr>
              <w:jc w:val="center"/>
              <w:rPr>
                <w:b/>
                <w:color w:val="FFFFFF"/>
                <w:sz w:val="20"/>
              </w:rPr>
            </w:pPr>
            <w:r w:rsidRPr="007C0CDA">
              <w:rPr>
                <w:b/>
                <w:color w:val="FFFFFF"/>
                <w:sz w:val="20"/>
              </w:rPr>
              <w:t>Rychlé čerpání</w:t>
            </w:r>
          </w:p>
        </w:tc>
        <w:tc>
          <w:tcPr>
            <w:tcW w:w="2330" w:type="dxa"/>
            <w:shd w:val="clear" w:color="auto" w:fill="8DB3E2"/>
          </w:tcPr>
          <w:p w:rsidR="004B44BD" w:rsidRPr="007C0CDA" w:rsidRDefault="004B44BD" w:rsidP="002E3AE9">
            <w:pPr>
              <w:jc w:val="center"/>
              <w:rPr>
                <w:b/>
                <w:color w:val="FFFFFF"/>
                <w:sz w:val="20"/>
              </w:rPr>
            </w:pPr>
          </w:p>
        </w:tc>
      </w:tr>
      <w:tr w:rsidR="004B44BD" w:rsidRPr="007C0CDA" w:rsidTr="002E3AE9">
        <w:trPr>
          <w:trHeight w:val="735"/>
        </w:trPr>
        <w:tc>
          <w:tcPr>
            <w:tcW w:w="960" w:type="dxa"/>
            <w:vMerge w:val="restart"/>
            <w:shd w:val="clear" w:color="auto" w:fill="FF0000"/>
            <w:textDirection w:val="btLr"/>
            <w:vAlign w:val="center"/>
          </w:tcPr>
          <w:p w:rsidR="004B44BD" w:rsidRPr="007C0CDA" w:rsidRDefault="004B44BD" w:rsidP="002E3AE9">
            <w:pPr>
              <w:ind w:left="113" w:right="113"/>
              <w:jc w:val="center"/>
              <w:rPr>
                <w:b/>
                <w:bCs/>
                <w:color w:val="FFFFFF"/>
                <w:sz w:val="24"/>
                <w:szCs w:val="24"/>
              </w:rPr>
            </w:pPr>
            <w:r w:rsidRPr="007C0CDA">
              <w:rPr>
                <w:b/>
                <w:bCs/>
                <w:color w:val="FFFFFF"/>
                <w:sz w:val="24"/>
                <w:szCs w:val="24"/>
              </w:rPr>
              <w:t>Nevýhody a rizika</w:t>
            </w:r>
          </w:p>
        </w:tc>
        <w:tc>
          <w:tcPr>
            <w:tcW w:w="960" w:type="dxa"/>
            <w:vMerge w:val="restart"/>
            <w:shd w:val="clear" w:color="auto" w:fill="FF0000"/>
            <w:noWrap/>
            <w:textDirection w:val="btLr"/>
            <w:vAlign w:val="center"/>
          </w:tcPr>
          <w:p w:rsidR="004B44BD" w:rsidRPr="007C0CDA" w:rsidRDefault="004B44BD" w:rsidP="002E3AE9">
            <w:pPr>
              <w:jc w:val="center"/>
              <w:rPr>
                <w:b/>
                <w:bCs/>
                <w:color w:val="FFFFFF"/>
                <w:sz w:val="24"/>
                <w:szCs w:val="24"/>
              </w:rPr>
            </w:pPr>
            <w:r w:rsidRPr="007C0CDA">
              <w:rPr>
                <w:b/>
                <w:bCs/>
                <w:color w:val="FFFFFF"/>
                <w:sz w:val="24"/>
                <w:szCs w:val="24"/>
              </w:rPr>
              <w:t>Konečný příjemce</w:t>
            </w:r>
          </w:p>
        </w:tc>
        <w:tc>
          <w:tcPr>
            <w:tcW w:w="2414" w:type="dxa"/>
            <w:shd w:val="clear" w:color="auto" w:fill="FF0000"/>
            <w:vAlign w:val="center"/>
          </w:tcPr>
          <w:p w:rsidR="004B44BD" w:rsidRPr="007C0CDA" w:rsidRDefault="004B44BD" w:rsidP="002E3AE9">
            <w:pPr>
              <w:jc w:val="center"/>
              <w:rPr>
                <w:b/>
                <w:color w:val="FFFFFF"/>
                <w:sz w:val="20"/>
              </w:rPr>
            </w:pPr>
            <w:r w:rsidRPr="007C0CDA">
              <w:rPr>
                <w:b/>
                <w:color w:val="FFFFFF"/>
                <w:sz w:val="20"/>
              </w:rPr>
              <w:t>Nedostává peníze, musí splácet</w:t>
            </w:r>
          </w:p>
        </w:tc>
        <w:tc>
          <w:tcPr>
            <w:tcW w:w="2330" w:type="dxa"/>
            <w:shd w:val="clear" w:color="auto" w:fill="FF0000"/>
            <w:vAlign w:val="center"/>
          </w:tcPr>
          <w:p w:rsidR="004B44BD" w:rsidRPr="007C0CDA" w:rsidRDefault="004B44BD" w:rsidP="002E3AE9">
            <w:pPr>
              <w:jc w:val="center"/>
              <w:rPr>
                <w:b/>
                <w:color w:val="FFFFFF"/>
                <w:sz w:val="20"/>
              </w:rPr>
            </w:pPr>
            <w:r w:rsidRPr="007C0CDA">
              <w:rPr>
                <w:b/>
                <w:color w:val="FFFFFF"/>
                <w:sz w:val="20"/>
              </w:rPr>
              <w:t>Nedostává peníze, musí splácet</w:t>
            </w:r>
          </w:p>
        </w:tc>
        <w:tc>
          <w:tcPr>
            <w:tcW w:w="2330" w:type="dxa"/>
            <w:shd w:val="clear" w:color="auto" w:fill="FF0000"/>
          </w:tcPr>
          <w:p w:rsidR="004B44BD" w:rsidRPr="007C0CDA" w:rsidRDefault="004B44BD" w:rsidP="002E3AE9">
            <w:pPr>
              <w:jc w:val="center"/>
              <w:rPr>
                <w:b/>
                <w:color w:val="FFFFFF"/>
                <w:sz w:val="20"/>
              </w:rPr>
            </w:pPr>
            <w:r w:rsidRPr="007C0CDA">
              <w:rPr>
                <w:b/>
                <w:color w:val="FFFFFF"/>
                <w:sz w:val="20"/>
              </w:rPr>
              <w:t>Vysoká administrativní náročnost</w:t>
            </w:r>
          </w:p>
        </w:tc>
      </w:tr>
      <w:tr w:rsidR="004B44BD" w:rsidRPr="007C0CDA" w:rsidTr="002E3AE9">
        <w:trPr>
          <w:trHeight w:val="735"/>
        </w:trPr>
        <w:tc>
          <w:tcPr>
            <w:tcW w:w="960" w:type="dxa"/>
            <w:vMerge/>
            <w:shd w:val="clear" w:color="auto" w:fill="FF0000"/>
            <w:vAlign w:val="center"/>
          </w:tcPr>
          <w:p w:rsidR="004B44BD" w:rsidRPr="007C0CDA" w:rsidRDefault="004B44BD" w:rsidP="002E3AE9">
            <w:pPr>
              <w:jc w:val="left"/>
              <w:rPr>
                <w:b/>
                <w:bCs/>
                <w:color w:val="000000"/>
                <w:sz w:val="24"/>
                <w:szCs w:val="24"/>
              </w:rPr>
            </w:pPr>
          </w:p>
        </w:tc>
        <w:tc>
          <w:tcPr>
            <w:tcW w:w="960" w:type="dxa"/>
            <w:vMerge/>
            <w:shd w:val="clear" w:color="auto" w:fill="FF0000"/>
            <w:noWrap/>
            <w:textDirection w:val="btLr"/>
            <w:vAlign w:val="center"/>
          </w:tcPr>
          <w:p w:rsidR="004B44BD" w:rsidRPr="007C0CDA" w:rsidRDefault="004B44BD" w:rsidP="002E3AE9">
            <w:pPr>
              <w:jc w:val="center"/>
              <w:rPr>
                <w:b/>
                <w:bCs/>
                <w:color w:val="000000"/>
                <w:sz w:val="24"/>
                <w:szCs w:val="24"/>
              </w:rPr>
            </w:pPr>
          </w:p>
        </w:tc>
        <w:tc>
          <w:tcPr>
            <w:tcW w:w="2414" w:type="dxa"/>
            <w:shd w:val="clear" w:color="auto" w:fill="FF0000"/>
            <w:vAlign w:val="center"/>
          </w:tcPr>
          <w:p w:rsidR="004B44BD" w:rsidRPr="007C0CDA" w:rsidRDefault="004B44BD" w:rsidP="002E3AE9">
            <w:pPr>
              <w:jc w:val="center"/>
              <w:rPr>
                <w:b/>
                <w:color w:val="FFFFFF"/>
                <w:sz w:val="20"/>
              </w:rPr>
            </w:pPr>
            <w:r w:rsidRPr="007C0CDA">
              <w:rPr>
                <w:b/>
                <w:color w:val="FFFFFF"/>
                <w:sz w:val="20"/>
              </w:rPr>
              <w:t>Malý efekt na snížení úroků</w:t>
            </w:r>
          </w:p>
        </w:tc>
        <w:tc>
          <w:tcPr>
            <w:tcW w:w="2330" w:type="dxa"/>
            <w:shd w:val="clear" w:color="auto" w:fill="FF0000"/>
            <w:vAlign w:val="center"/>
          </w:tcPr>
          <w:p w:rsidR="004B44BD" w:rsidRPr="007C0CDA" w:rsidRDefault="004B44BD" w:rsidP="002E3AE9">
            <w:pPr>
              <w:jc w:val="center"/>
              <w:rPr>
                <w:b/>
                <w:color w:val="FFFFFF"/>
                <w:sz w:val="20"/>
              </w:rPr>
            </w:pPr>
            <w:r w:rsidRPr="007C0CDA">
              <w:rPr>
                <w:b/>
                <w:color w:val="FFFFFF"/>
                <w:sz w:val="20"/>
              </w:rPr>
              <w:t>Nižší efekt na návratnost projektu v porovnání s dotací</w:t>
            </w:r>
          </w:p>
        </w:tc>
        <w:tc>
          <w:tcPr>
            <w:tcW w:w="2330" w:type="dxa"/>
            <w:shd w:val="clear" w:color="auto" w:fill="FF0000"/>
          </w:tcPr>
          <w:p w:rsidR="004B44BD" w:rsidRPr="007C0CDA" w:rsidRDefault="004B44BD" w:rsidP="002E3AE9">
            <w:pPr>
              <w:jc w:val="center"/>
              <w:rPr>
                <w:b/>
                <w:color w:val="FFFFFF"/>
                <w:sz w:val="20"/>
              </w:rPr>
            </w:pPr>
            <w:r w:rsidRPr="007C0CDA">
              <w:rPr>
                <w:b/>
                <w:color w:val="FFFFFF"/>
                <w:sz w:val="20"/>
              </w:rPr>
              <w:t>Regulovaná výběrová řízení na dodavatele – vyšší náklady</w:t>
            </w:r>
          </w:p>
        </w:tc>
      </w:tr>
      <w:tr w:rsidR="004B44BD" w:rsidRPr="007C0CDA" w:rsidTr="002E3AE9">
        <w:trPr>
          <w:trHeight w:val="456"/>
        </w:trPr>
        <w:tc>
          <w:tcPr>
            <w:tcW w:w="960" w:type="dxa"/>
            <w:vMerge/>
            <w:shd w:val="clear" w:color="auto" w:fill="FF0000"/>
            <w:vAlign w:val="center"/>
          </w:tcPr>
          <w:p w:rsidR="004B44BD" w:rsidRPr="007C0CDA" w:rsidRDefault="004B44BD" w:rsidP="002E3AE9">
            <w:pPr>
              <w:jc w:val="left"/>
              <w:rPr>
                <w:b/>
                <w:bCs/>
                <w:color w:val="000000"/>
                <w:sz w:val="24"/>
                <w:szCs w:val="24"/>
              </w:rPr>
            </w:pPr>
          </w:p>
        </w:tc>
        <w:tc>
          <w:tcPr>
            <w:tcW w:w="960" w:type="dxa"/>
            <w:vMerge/>
            <w:shd w:val="clear" w:color="auto" w:fill="FF0000"/>
            <w:noWrap/>
            <w:textDirection w:val="btLr"/>
            <w:vAlign w:val="center"/>
          </w:tcPr>
          <w:p w:rsidR="004B44BD" w:rsidRPr="007C0CDA" w:rsidRDefault="004B44BD" w:rsidP="002E3AE9">
            <w:pPr>
              <w:jc w:val="center"/>
              <w:rPr>
                <w:b/>
                <w:bCs/>
                <w:color w:val="000000"/>
                <w:sz w:val="24"/>
                <w:szCs w:val="24"/>
              </w:rPr>
            </w:pPr>
          </w:p>
        </w:tc>
        <w:tc>
          <w:tcPr>
            <w:tcW w:w="2414" w:type="dxa"/>
            <w:shd w:val="clear" w:color="auto" w:fill="FF0000"/>
            <w:vAlign w:val="center"/>
          </w:tcPr>
          <w:p w:rsidR="004B44BD" w:rsidRPr="007C0CDA" w:rsidRDefault="004B44BD" w:rsidP="002E3AE9">
            <w:pPr>
              <w:jc w:val="center"/>
              <w:rPr>
                <w:b/>
                <w:color w:val="FFFFFF"/>
                <w:sz w:val="20"/>
              </w:rPr>
            </w:pPr>
          </w:p>
        </w:tc>
        <w:tc>
          <w:tcPr>
            <w:tcW w:w="2330" w:type="dxa"/>
            <w:shd w:val="clear" w:color="auto" w:fill="FF0000"/>
            <w:vAlign w:val="center"/>
          </w:tcPr>
          <w:p w:rsidR="004B44BD" w:rsidRPr="007C0CDA" w:rsidRDefault="004B44BD" w:rsidP="002E3AE9">
            <w:pPr>
              <w:jc w:val="center"/>
              <w:rPr>
                <w:b/>
                <w:color w:val="FFFFFF"/>
                <w:sz w:val="20"/>
              </w:rPr>
            </w:pPr>
            <w:r w:rsidRPr="007C0CDA">
              <w:rPr>
                <w:b/>
                <w:color w:val="FFFFFF"/>
                <w:sz w:val="20"/>
              </w:rPr>
              <w:t>Nižší efekt zpřístupnění financování pro velmi rizikové projekty</w:t>
            </w:r>
          </w:p>
        </w:tc>
        <w:tc>
          <w:tcPr>
            <w:tcW w:w="2330" w:type="dxa"/>
            <w:shd w:val="clear" w:color="auto" w:fill="FF0000"/>
          </w:tcPr>
          <w:p w:rsidR="004B44BD" w:rsidRPr="007C0CDA" w:rsidRDefault="004B44BD" w:rsidP="002E3AE9">
            <w:pPr>
              <w:jc w:val="center"/>
              <w:rPr>
                <w:b/>
                <w:color w:val="FFFFFF"/>
                <w:sz w:val="20"/>
              </w:rPr>
            </w:pPr>
            <w:r w:rsidRPr="007C0CDA">
              <w:rPr>
                <w:b/>
                <w:color w:val="FFFFFF"/>
                <w:sz w:val="20"/>
              </w:rPr>
              <w:t>Nutnost předfinancování – platba ex post</w:t>
            </w:r>
          </w:p>
        </w:tc>
      </w:tr>
      <w:tr w:rsidR="004B44BD" w:rsidRPr="007C0CDA" w:rsidTr="002E3AE9">
        <w:trPr>
          <w:trHeight w:val="735"/>
        </w:trPr>
        <w:tc>
          <w:tcPr>
            <w:tcW w:w="960" w:type="dxa"/>
            <w:vMerge/>
            <w:shd w:val="clear" w:color="auto" w:fill="FF0000"/>
            <w:vAlign w:val="center"/>
          </w:tcPr>
          <w:p w:rsidR="004B44BD" w:rsidRPr="007C0CDA" w:rsidRDefault="004B44BD" w:rsidP="002E3AE9">
            <w:pPr>
              <w:jc w:val="left"/>
              <w:rPr>
                <w:b/>
                <w:bCs/>
                <w:color w:val="000000"/>
                <w:sz w:val="24"/>
                <w:szCs w:val="24"/>
              </w:rPr>
            </w:pPr>
          </w:p>
        </w:tc>
        <w:tc>
          <w:tcPr>
            <w:tcW w:w="960" w:type="dxa"/>
            <w:vMerge/>
            <w:shd w:val="clear" w:color="auto" w:fill="FF0000"/>
            <w:noWrap/>
            <w:textDirection w:val="btLr"/>
            <w:vAlign w:val="center"/>
          </w:tcPr>
          <w:p w:rsidR="004B44BD" w:rsidRPr="007C0CDA" w:rsidRDefault="004B44BD" w:rsidP="002E3AE9">
            <w:pPr>
              <w:jc w:val="center"/>
              <w:rPr>
                <w:b/>
                <w:bCs/>
                <w:color w:val="000000"/>
                <w:sz w:val="24"/>
                <w:szCs w:val="24"/>
              </w:rPr>
            </w:pPr>
          </w:p>
        </w:tc>
        <w:tc>
          <w:tcPr>
            <w:tcW w:w="2414" w:type="dxa"/>
            <w:shd w:val="clear" w:color="auto" w:fill="FF0000"/>
            <w:vAlign w:val="center"/>
          </w:tcPr>
          <w:p w:rsidR="004B44BD" w:rsidRPr="007C0CDA" w:rsidRDefault="004B44BD" w:rsidP="002E3AE9">
            <w:pPr>
              <w:jc w:val="center"/>
              <w:rPr>
                <w:b/>
                <w:color w:val="FFFFFF"/>
                <w:sz w:val="20"/>
              </w:rPr>
            </w:pPr>
          </w:p>
        </w:tc>
        <w:tc>
          <w:tcPr>
            <w:tcW w:w="2330" w:type="dxa"/>
            <w:shd w:val="clear" w:color="auto" w:fill="FF0000"/>
            <w:vAlign w:val="center"/>
          </w:tcPr>
          <w:p w:rsidR="004B44BD" w:rsidRPr="007C0CDA" w:rsidRDefault="004B44BD" w:rsidP="002E3AE9">
            <w:pPr>
              <w:jc w:val="center"/>
              <w:rPr>
                <w:b/>
                <w:color w:val="FFFFFF"/>
                <w:sz w:val="20"/>
              </w:rPr>
            </w:pPr>
          </w:p>
        </w:tc>
        <w:tc>
          <w:tcPr>
            <w:tcW w:w="2330" w:type="dxa"/>
            <w:shd w:val="clear" w:color="auto" w:fill="FF0000"/>
          </w:tcPr>
          <w:p w:rsidR="004B44BD" w:rsidRPr="007C0CDA" w:rsidRDefault="004B44BD" w:rsidP="002E3AE9">
            <w:pPr>
              <w:jc w:val="center"/>
              <w:rPr>
                <w:b/>
                <w:color w:val="FFFFFF"/>
                <w:sz w:val="20"/>
              </w:rPr>
            </w:pPr>
            <w:r w:rsidRPr="007C0CDA">
              <w:rPr>
                <w:b/>
                <w:color w:val="FFFFFF"/>
                <w:sz w:val="20"/>
              </w:rPr>
              <w:t>Riziko dodatečného odebrání dotace z důvodu chyb v projektu a nesplnění podmínek</w:t>
            </w:r>
          </w:p>
        </w:tc>
      </w:tr>
      <w:tr w:rsidR="004B44BD" w:rsidRPr="007C0CDA" w:rsidTr="002E3AE9">
        <w:trPr>
          <w:trHeight w:val="735"/>
        </w:trPr>
        <w:tc>
          <w:tcPr>
            <w:tcW w:w="960" w:type="dxa"/>
            <w:vMerge/>
            <w:shd w:val="clear" w:color="auto" w:fill="FF0000"/>
            <w:vAlign w:val="center"/>
          </w:tcPr>
          <w:p w:rsidR="004B44BD" w:rsidRPr="007C0CDA" w:rsidRDefault="004B44BD" w:rsidP="002E3AE9">
            <w:pPr>
              <w:jc w:val="left"/>
              <w:rPr>
                <w:b/>
                <w:bCs/>
                <w:color w:val="000000"/>
                <w:sz w:val="24"/>
                <w:szCs w:val="24"/>
              </w:rPr>
            </w:pPr>
          </w:p>
        </w:tc>
        <w:tc>
          <w:tcPr>
            <w:tcW w:w="960" w:type="dxa"/>
            <w:vMerge w:val="restart"/>
            <w:shd w:val="clear" w:color="auto" w:fill="FF0000"/>
            <w:noWrap/>
            <w:textDirection w:val="btLr"/>
            <w:vAlign w:val="center"/>
          </w:tcPr>
          <w:p w:rsidR="004B44BD" w:rsidRPr="007C0CDA" w:rsidRDefault="004B44BD" w:rsidP="002E3AE9">
            <w:pPr>
              <w:jc w:val="center"/>
              <w:rPr>
                <w:b/>
                <w:bCs/>
                <w:color w:val="FFFFFF"/>
                <w:sz w:val="24"/>
                <w:szCs w:val="24"/>
              </w:rPr>
            </w:pPr>
            <w:r w:rsidRPr="007C0CDA">
              <w:rPr>
                <w:b/>
                <w:bCs/>
                <w:color w:val="FFFFFF"/>
                <w:sz w:val="24"/>
                <w:szCs w:val="24"/>
              </w:rPr>
              <w:t>ŘO</w:t>
            </w:r>
          </w:p>
        </w:tc>
        <w:tc>
          <w:tcPr>
            <w:tcW w:w="2414" w:type="dxa"/>
            <w:shd w:val="clear" w:color="auto" w:fill="FF0000"/>
            <w:vAlign w:val="center"/>
          </w:tcPr>
          <w:p w:rsidR="004B44BD" w:rsidRPr="007C0CDA" w:rsidRDefault="004B44BD" w:rsidP="002E3AE9">
            <w:pPr>
              <w:jc w:val="center"/>
              <w:rPr>
                <w:b/>
                <w:color w:val="FFFFFF"/>
                <w:sz w:val="20"/>
              </w:rPr>
            </w:pPr>
            <w:r w:rsidRPr="007C0CDA">
              <w:rPr>
                <w:b/>
                <w:color w:val="FFFFFF"/>
                <w:sz w:val="20"/>
              </w:rPr>
              <w:t>Velmi nízký revolvingový efekt</w:t>
            </w:r>
          </w:p>
        </w:tc>
        <w:tc>
          <w:tcPr>
            <w:tcW w:w="2330" w:type="dxa"/>
            <w:shd w:val="clear" w:color="auto" w:fill="FF0000"/>
            <w:vAlign w:val="center"/>
          </w:tcPr>
          <w:p w:rsidR="004B44BD" w:rsidRPr="007C0CDA" w:rsidRDefault="004B44BD" w:rsidP="002E3AE9">
            <w:pPr>
              <w:jc w:val="center"/>
              <w:rPr>
                <w:b/>
                <w:color w:val="FFFFFF"/>
                <w:sz w:val="20"/>
              </w:rPr>
            </w:pPr>
            <w:r w:rsidRPr="007C0CDA">
              <w:rPr>
                <w:b/>
                <w:color w:val="FFFFFF"/>
                <w:sz w:val="20"/>
              </w:rPr>
              <w:t>Nižší pákový efekt než záruky</w:t>
            </w:r>
          </w:p>
        </w:tc>
        <w:tc>
          <w:tcPr>
            <w:tcW w:w="2330" w:type="dxa"/>
            <w:shd w:val="clear" w:color="auto" w:fill="FF0000"/>
          </w:tcPr>
          <w:p w:rsidR="004B44BD" w:rsidRPr="007C0CDA" w:rsidRDefault="004B44BD" w:rsidP="002E3AE9">
            <w:pPr>
              <w:jc w:val="center"/>
              <w:rPr>
                <w:b/>
                <w:color w:val="FFFFFF"/>
                <w:sz w:val="20"/>
              </w:rPr>
            </w:pPr>
            <w:r w:rsidRPr="007C0CDA">
              <w:rPr>
                <w:b/>
                <w:color w:val="FFFFFF"/>
                <w:sz w:val="20"/>
              </w:rPr>
              <w:t>Nenávratné výdaje</w:t>
            </w:r>
          </w:p>
        </w:tc>
      </w:tr>
      <w:tr w:rsidR="004B44BD" w:rsidRPr="007C0CDA" w:rsidTr="002E3AE9">
        <w:trPr>
          <w:trHeight w:val="566"/>
        </w:trPr>
        <w:tc>
          <w:tcPr>
            <w:tcW w:w="960" w:type="dxa"/>
            <w:vMerge/>
            <w:shd w:val="clear" w:color="auto" w:fill="FF0000"/>
            <w:vAlign w:val="center"/>
          </w:tcPr>
          <w:p w:rsidR="004B44BD" w:rsidRPr="007C0CDA" w:rsidRDefault="004B44BD" w:rsidP="002E3AE9">
            <w:pPr>
              <w:jc w:val="left"/>
              <w:rPr>
                <w:b/>
                <w:bCs/>
                <w:color w:val="000000"/>
                <w:sz w:val="18"/>
                <w:szCs w:val="18"/>
              </w:rPr>
            </w:pPr>
          </w:p>
        </w:tc>
        <w:tc>
          <w:tcPr>
            <w:tcW w:w="960" w:type="dxa"/>
            <w:vMerge/>
            <w:shd w:val="clear" w:color="auto" w:fill="FF0000"/>
            <w:noWrap/>
            <w:textDirection w:val="btLr"/>
            <w:vAlign w:val="center"/>
          </w:tcPr>
          <w:p w:rsidR="004B44BD" w:rsidRPr="007C0CDA" w:rsidRDefault="004B44BD" w:rsidP="002E3AE9">
            <w:pPr>
              <w:jc w:val="center"/>
              <w:rPr>
                <w:b/>
                <w:bCs/>
                <w:color w:val="000000"/>
                <w:sz w:val="18"/>
                <w:szCs w:val="18"/>
              </w:rPr>
            </w:pPr>
          </w:p>
        </w:tc>
        <w:tc>
          <w:tcPr>
            <w:tcW w:w="2414" w:type="dxa"/>
            <w:shd w:val="clear" w:color="auto" w:fill="FF0000"/>
            <w:vAlign w:val="center"/>
          </w:tcPr>
          <w:p w:rsidR="004B44BD" w:rsidRPr="007C0CDA" w:rsidRDefault="00D507F4" w:rsidP="002E3AE9">
            <w:pPr>
              <w:jc w:val="center"/>
              <w:rPr>
                <w:b/>
                <w:color w:val="FFFFFF"/>
                <w:sz w:val="20"/>
              </w:rPr>
            </w:pPr>
            <w:r>
              <w:rPr>
                <w:b/>
                <w:color w:val="FFFFFF"/>
                <w:sz w:val="20"/>
              </w:rPr>
              <w:t>Malý efekt na investiční aktivitu</w:t>
            </w:r>
          </w:p>
        </w:tc>
        <w:tc>
          <w:tcPr>
            <w:tcW w:w="2330" w:type="dxa"/>
            <w:shd w:val="clear" w:color="auto" w:fill="FF0000"/>
            <w:vAlign w:val="center"/>
          </w:tcPr>
          <w:p w:rsidR="004B44BD" w:rsidRPr="007C0CDA" w:rsidRDefault="004B44BD" w:rsidP="002E3AE9">
            <w:pPr>
              <w:jc w:val="center"/>
              <w:rPr>
                <w:b/>
                <w:color w:val="FFFFFF"/>
                <w:sz w:val="20"/>
              </w:rPr>
            </w:pPr>
            <w:r w:rsidRPr="007C0CDA">
              <w:rPr>
                <w:b/>
                <w:color w:val="FFFFFF"/>
                <w:sz w:val="20"/>
              </w:rPr>
              <w:t>Revolving omezují poplatky zprostředkovatelskému subjektu</w:t>
            </w:r>
          </w:p>
        </w:tc>
        <w:tc>
          <w:tcPr>
            <w:tcW w:w="2330" w:type="dxa"/>
            <w:shd w:val="clear" w:color="auto" w:fill="FF0000"/>
          </w:tcPr>
          <w:p w:rsidR="004B44BD" w:rsidRPr="007C0CDA" w:rsidRDefault="00D507F4" w:rsidP="002E3AE9">
            <w:pPr>
              <w:jc w:val="center"/>
              <w:rPr>
                <w:b/>
                <w:color w:val="FFFFFF"/>
                <w:sz w:val="20"/>
              </w:rPr>
            </w:pPr>
            <w:r>
              <w:rPr>
                <w:b/>
                <w:color w:val="FFFFFF"/>
                <w:sz w:val="20"/>
              </w:rPr>
              <w:t>Počet podpořených projektů přímo omezen alokací</w:t>
            </w:r>
          </w:p>
        </w:tc>
      </w:tr>
      <w:tr w:rsidR="004B44BD" w:rsidRPr="007C0CDA" w:rsidTr="002E3AE9">
        <w:trPr>
          <w:trHeight w:val="264"/>
        </w:trPr>
        <w:tc>
          <w:tcPr>
            <w:tcW w:w="960" w:type="dxa"/>
            <w:vMerge/>
            <w:shd w:val="clear" w:color="auto" w:fill="FF0000"/>
            <w:vAlign w:val="center"/>
          </w:tcPr>
          <w:p w:rsidR="004B44BD" w:rsidRPr="007C0CDA" w:rsidRDefault="004B44BD" w:rsidP="002E3AE9">
            <w:pPr>
              <w:jc w:val="left"/>
              <w:rPr>
                <w:b/>
                <w:bCs/>
                <w:color w:val="000000"/>
                <w:sz w:val="18"/>
                <w:szCs w:val="18"/>
              </w:rPr>
            </w:pPr>
          </w:p>
        </w:tc>
        <w:tc>
          <w:tcPr>
            <w:tcW w:w="960" w:type="dxa"/>
            <w:vMerge/>
            <w:shd w:val="clear" w:color="auto" w:fill="FF0000"/>
            <w:noWrap/>
            <w:textDirection w:val="btLr"/>
            <w:vAlign w:val="center"/>
          </w:tcPr>
          <w:p w:rsidR="004B44BD" w:rsidRPr="007C0CDA" w:rsidRDefault="004B44BD" w:rsidP="002E3AE9">
            <w:pPr>
              <w:jc w:val="center"/>
              <w:rPr>
                <w:b/>
                <w:bCs/>
                <w:color w:val="000000"/>
                <w:sz w:val="18"/>
                <w:szCs w:val="18"/>
              </w:rPr>
            </w:pPr>
          </w:p>
        </w:tc>
        <w:tc>
          <w:tcPr>
            <w:tcW w:w="2414" w:type="dxa"/>
            <w:shd w:val="clear" w:color="auto" w:fill="FF0000"/>
            <w:vAlign w:val="center"/>
          </w:tcPr>
          <w:p w:rsidR="004B44BD" w:rsidRPr="007C0CDA" w:rsidRDefault="004B44BD" w:rsidP="002E3AE9">
            <w:pPr>
              <w:jc w:val="center"/>
              <w:rPr>
                <w:b/>
                <w:color w:val="FFFFFF"/>
                <w:sz w:val="20"/>
              </w:rPr>
            </w:pPr>
          </w:p>
        </w:tc>
        <w:tc>
          <w:tcPr>
            <w:tcW w:w="2330" w:type="dxa"/>
            <w:shd w:val="clear" w:color="auto" w:fill="FF0000"/>
            <w:vAlign w:val="center"/>
          </w:tcPr>
          <w:p w:rsidR="004B44BD" w:rsidRPr="007C0CDA" w:rsidRDefault="004B44BD" w:rsidP="002E3AE9">
            <w:pPr>
              <w:jc w:val="center"/>
              <w:rPr>
                <w:b/>
                <w:color w:val="FFFFFF"/>
                <w:sz w:val="20"/>
              </w:rPr>
            </w:pPr>
          </w:p>
        </w:tc>
        <w:tc>
          <w:tcPr>
            <w:tcW w:w="2330" w:type="dxa"/>
            <w:shd w:val="clear" w:color="auto" w:fill="FF0000"/>
          </w:tcPr>
          <w:p w:rsidR="004B44BD" w:rsidRPr="007C0CDA" w:rsidRDefault="004B44BD" w:rsidP="002E3AE9">
            <w:pPr>
              <w:keepNext/>
              <w:jc w:val="center"/>
              <w:rPr>
                <w:b/>
                <w:color w:val="FFFFFF"/>
                <w:sz w:val="20"/>
              </w:rPr>
            </w:pPr>
            <w:r w:rsidRPr="007C0CDA">
              <w:rPr>
                <w:b/>
                <w:color w:val="FFFFFF"/>
                <w:sz w:val="20"/>
              </w:rPr>
              <w:t>Pomalejší čerpání</w:t>
            </w:r>
          </w:p>
        </w:tc>
      </w:tr>
    </w:tbl>
    <w:p w:rsidR="004B44BD" w:rsidRPr="007C0CDA" w:rsidRDefault="004B44BD" w:rsidP="004B44BD">
      <w:pPr>
        <w:pStyle w:val="Titulek"/>
      </w:pPr>
      <w:r w:rsidRPr="007C0CDA">
        <w:t xml:space="preserve">Tabulka </w:t>
      </w:r>
      <w:r w:rsidRPr="00B675D6">
        <w:fldChar w:fldCharType="begin"/>
      </w:r>
      <w:r w:rsidRPr="007C0CDA">
        <w:instrText xml:space="preserve"> SEQ Tabulka \* ARABIC </w:instrText>
      </w:r>
      <w:r w:rsidRPr="005C7064">
        <w:fldChar w:fldCharType="separate"/>
      </w:r>
      <w:r w:rsidRPr="007C0CDA">
        <w:rPr>
          <w:noProof/>
        </w:rPr>
        <w:t>7</w:t>
      </w:r>
      <w:r w:rsidRPr="00B675D6">
        <w:fldChar w:fldCharType="end"/>
      </w:r>
      <w:r w:rsidRPr="007C0CDA">
        <w:t>: Přidaná hodnota, nevýhody a rizika veřejné podpory pro příjemce a ŘO</w:t>
      </w:r>
    </w:p>
    <w:p w:rsidR="004B44BD" w:rsidRPr="007C0CDA" w:rsidRDefault="004B44BD" w:rsidP="002433DA">
      <w:pPr>
        <w:shd w:val="clear" w:color="auto" w:fill="FFFFFF" w:themeFill="background1"/>
      </w:pP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9"/>
        <w:gridCol w:w="2694"/>
        <w:gridCol w:w="2268"/>
        <w:gridCol w:w="2268"/>
        <w:tblGridChange w:id="518">
          <w:tblGrid>
            <w:gridCol w:w="1729"/>
            <w:gridCol w:w="2694"/>
            <w:gridCol w:w="2268"/>
            <w:gridCol w:w="2268"/>
          </w:tblGrid>
        </w:tblGridChange>
      </w:tblGrid>
      <w:tr w:rsidR="004B44BD" w:rsidRPr="007C0CDA" w:rsidTr="002433DA">
        <w:tc>
          <w:tcPr>
            <w:tcW w:w="1729" w:type="dxa"/>
            <w:shd w:val="clear" w:color="auto" w:fill="548DD4" w:themeFill="text2" w:themeFillTint="99"/>
          </w:tcPr>
          <w:p w:rsidR="004B44BD" w:rsidRPr="007C0CDA" w:rsidRDefault="004B44BD" w:rsidP="002433DA">
            <w:pPr>
              <w:pStyle w:val="Highlight2"/>
              <w:shd w:val="clear" w:color="auto" w:fill="8DB3E2" w:themeFill="text2" w:themeFillTint="66"/>
              <w:jc w:val="center"/>
              <w:rPr>
                <w:rFonts w:ascii="Calibri" w:hAnsi="Calibri" w:cs="Calibri"/>
                <w:color w:val="FFFFFF"/>
                <w:sz w:val="22"/>
                <w:szCs w:val="22"/>
              </w:rPr>
            </w:pPr>
            <w:r w:rsidRPr="007C0CDA">
              <w:rPr>
                <w:rFonts w:ascii="Calibri" w:hAnsi="Calibri" w:cs="Calibri"/>
                <w:color w:val="FFFFFF"/>
                <w:sz w:val="22"/>
                <w:szCs w:val="22"/>
                <w:lang w:eastAsia="cs-CZ"/>
              </w:rPr>
              <w:t>Tržní selhání</w:t>
            </w:r>
          </w:p>
        </w:tc>
        <w:tc>
          <w:tcPr>
            <w:tcW w:w="2694" w:type="dxa"/>
            <w:shd w:val="clear" w:color="auto" w:fill="548DD4" w:themeFill="text2" w:themeFillTint="99"/>
          </w:tcPr>
          <w:p w:rsidR="004B44BD" w:rsidRPr="007C0CDA" w:rsidRDefault="004B44BD" w:rsidP="002433DA">
            <w:pPr>
              <w:pStyle w:val="Highlight2"/>
              <w:shd w:val="clear" w:color="auto" w:fill="8DB3E2" w:themeFill="text2" w:themeFillTint="66"/>
              <w:jc w:val="center"/>
              <w:rPr>
                <w:rFonts w:ascii="Calibri" w:hAnsi="Calibri" w:cs="Calibri"/>
                <w:bCs/>
                <w:color w:val="FFFFFF"/>
                <w:sz w:val="22"/>
                <w:szCs w:val="22"/>
                <w:lang w:eastAsia="cs-CZ"/>
              </w:rPr>
            </w:pPr>
            <w:r w:rsidRPr="007C0CDA">
              <w:rPr>
                <w:rFonts w:ascii="Calibri" w:hAnsi="Calibri" w:cs="Calibri"/>
                <w:bCs/>
                <w:color w:val="FFFFFF"/>
                <w:sz w:val="22"/>
                <w:szCs w:val="22"/>
                <w:lang w:eastAsia="cs-CZ"/>
              </w:rPr>
              <w:t>Záruční nástroj</w:t>
            </w:r>
          </w:p>
        </w:tc>
        <w:tc>
          <w:tcPr>
            <w:tcW w:w="2268" w:type="dxa"/>
            <w:shd w:val="clear" w:color="auto" w:fill="548DD4" w:themeFill="text2" w:themeFillTint="99"/>
          </w:tcPr>
          <w:p w:rsidR="004B44BD" w:rsidRPr="007C0CDA" w:rsidRDefault="004B44BD" w:rsidP="002433DA">
            <w:pPr>
              <w:pStyle w:val="Highlight2"/>
              <w:shd w:val="clear" w:color="auto" w:fill="8DB3E2" w:themeFill="text2" w:themeFillTint="66"/>
              <w:jc w:val="center"/>
              <w:rPr>
                <w:rFonts w:ascii="Calibri" w:hAnsi="Calibri" w:cs="Calibri"/>
                <w:color w:val="FFFFFF"/>
                <w:sz w:val="22"/>
                <w:szCs w:val="22"/>
              </w:rPr>
            </w:pPr>
            <w:r w:rsidRPr="007C0CDA">
              <w:rPr>
                <w:rFonts w:ascii="Calibri" w:hAnsi="Calibri" w:cs="Calibri"/>
                <w:bCs/>
                <w:color w:val="FFFFFF"/>
                <w:sz w:val="22"/>
                <w:szCs w:val="22"/>
                <w:lang w:eastAsia="cs-CZ"/>
              </w:rPr>
              <w:t>Zvýhodněný úvěr</w:t>
            </w:r>
          </w:p>
        </w:tc>
        <w:tc>
          <w:tcPr>
            <w:tcW w:w="2268" w:type="dxa"/>
            <w:shd w:val="clear" w:color="auto" w:fill="548DD4" w:themeFill="text2" w:themeFillTint="99"/>
          </w:tcPr>
          <w:p w:rsidR="004B44BD" w:rsidRPr="007C0CDA" w:rsidRDefault="004B44BD" w:rsidP="002433DA">
            <w:pPr>
              <w:pStyle w:val="Highlight2"/>
              <w:shd w:val="clear" w:color="auto" w:fill="8DB3E2" w:themeFill="text2" w:themeFillTint="66"/>
              <w:jc w:val="center"/>
              <w:rPr>
                <w:rFonts w:ascii="Calibri" w:hAnsi="Calibri" w:cs="Calibri"/>
                <w:bCs/>
                <w:color w:val="FFFFFF"/>
                <w:sz w:val="22"/>
                <w:szCs w:val="22"/>
                <w:lang w:eastAsia="cs-CZ"/>
              </w:rPr>
            </w:pPr>
            <w:r w:rsidRPr="007C0CDA">
              <w:rPr>
                <w:rFonts w:ascii="Calibri" w:hAnsi="Calibri" w:cs="Calibri"/>
                <w:bCs/>
                <w:color w:val="FFFFFF"/>
                <w:sz w:val="22"/>
                <w:szCs w:val="22"/>
                <w:lang w:eastAsia="cs-CZ"/>
              </w:rPr>
              <w:t>Dotace</w:t>
            </w:r>
          </w:p>
        </w:tc>
      </w:tr>
      <w:tr w:rsidR="00D507F4" w:rsidRPr="007C0CDA" w:rsidTr="002433DA">
        <w:trPr>
          <w:trHeight w:val="793"/>
        </w:trPr>
        <w:tc>
          <w:tcPr>
            <w:tcW w:w="1729" w:type="dxa"/>
          </w:tcPr>
          <w:p w:rsidR="00D507F4" w:rsidRPr="007C0CDA" w:rsidRDefault="00D507F4" w:rsidP="002E3AE9">
            <w:pPr>
              <w:pStyle w:val="Highlight2"/>
              <w:jc w:val="left"/>
              <w:rPr>
                <w:rFonts w:ascii="Calibri" w:hAnsi="Calibri" w:cs="Calibri"/>
              </w:rPr>
            </w:pPr>
            <w:r w:rsidRPr="007C0CDA">
              <w:rPr>
                <w:rFonts w:ascii="Calibri" w:hAnsi="Calibri" w:cs="Calibri"/>
                <w:color w:val="auto"/>
                <w:szCs w:val="20"/>
              </w:rPr>
              <w:t>Náklady projektu a návratnost</w:t>
            </w:r>
          </w:p>
        </w:tc>
        <w:tc>
          <w:tcPr>
            <w:tcW w:w="2694" w:type="dxa"/>
          </w:tcPr>
          <w:p w:rsidR="00D507F4" w:rsidRPr="007C0CDA" w:rsidRDefault="00D507F4" w:rsidP="002E3AE9">
            <w:pPr>
              <w:pStyle w:val="Highlight2"/>
              <w:jc w:val="center"/>
              <w:rPr>
                <w:rFonts w:ascii="Calibri" w:hAnsi="Calibri" w:cs="Calibri"/>
                <w:b w:val="0"/>
                <w:color w:val="000000"/>
                <w:lang w:eastAsia="cs-CZ"/>
              </w:rPr>
            </w:pPr>
            <w:r w:rsidRPr="007C0CDA">
              <w:rPr>
                <w:rFonts w:ascii="Calibri" w:hAnsi="Calibri" w:cs="Calibri"/>
                <w:b w:val="0"/>
                <w:color w:val="auto"/>
                <w:szCs w:val="20"/>
              </w:rPr>
              <w:t>Nemá velký vliv na snížení nákladů projektu a jeho návratnost</w:t>
            </w:r>
          </w:p>
        </w:tc>
        <w:tc>
          <w:tcPr>
            <w:tcW w:w="2268" w:type="dxa"/>
          </w:tcPr>
          <w:p w:rsidR="00D507F4" w:rsidRPr="007C0CDA" w:rsidRDefault="00D507F4" w:rsidP="002F7B85">
            <w:pPr>
              <w:pStyle w:val="Highlight2"/>
              <w:jc w:val="center"/>
              <w:rPr>
                <w:rFonts w:ascii="Calibri" w:hAnsi="Calibri" w:cs="Calibri"/>
                <w:b w:val="0"/>
              </w:rPr>
            </w:pPr>
            <w:r w:rsidRPr="007C0CDA">
              <w:rPr>
                <w:rFonts w:ascii="Calibri" w:hAnsi="Calibri" w:cs="Calibri"/>
                <w:b w:val="0"/>
                <w:color w:val="auto"/>
                <w:szCs w:val="20"/>
              </w:rPr>
              <w:t xml:space="preserve">Částečně snižuje úrokové náklady a počáteční náklady na přípravu, radikálně však </w:t>
            </w:r>
            <w:r>
              <w:rPr>
                <w:rFonts w:ascii="Calibri" w:hAnsi="Calibri" w:cs="Calibri"/>
                <w:b w:val="0"/>
                <w:color w:val="auto"/>
                <w:szCs w:val="20"/>
              </w:rPr>
              <w:t>nemění parametry</w:t>
            </w:r>
            <w:r w:rsidRPr="007C0CDA">
              <w:rPr>
                <w:rFonts w:ascii="Calibri" w:hAnsi="Calibri" w:cs="Calibri"/>
                <w:b w:val="0"/>
                <w:color w:val="auto"/>
                <w:szCs w:val="20"/>
              </w:rPr>
              <w:t xml:space="preserve"> návratnosti</w:t>
            </w:r>
          </w:p>
        </w:tc>
        <w:tc>
          <w:tcPr>
            <w:tcW w:w="2268" w:type="dxa"/>
          </w:tcPr>
          <w:p w:rsidR="00D507F4" w:rsidRPr="007C0CDA" w:rsidRDefault="00D507F4" w:rsidP="002433DA">
            <w:pPr>
              <w:pStyle w:val="Highlight2"/>
              <w:jc w:val="center"/>
              <w:rPr>
                <w:rFonts w:ascii="Calibri" w:hAnsi="Calibri" w:cs="Calibri"/>
                <w:b w:val="0"/>
                <w:color w:val="000000"/>
                <w:lang w:eastAsia="cs-CZ"/>
              </w:rPr>
            </w:pPr>
            <w:r w:rsidRPr="007C0CDA">
              <w:rPr>
                <w:rFonts w:ascii="Calibri" w:hAnsi="Calibri" w:cs="Calibri"/>
                <w:b w:val="0"/>
                <w:color w:val="auto"/>
                <w:szCs w:val="20"/>
              </w:rPr>
              <w:t>Výrazně snižuj</w:t>
            </w:r>
            <w:r>
              <w:rPr>
                <w:rFonts w:ascii="Calibri" w:hAnsi="Calibri" w:cs="Calibri"/>
                <w:b w:val="0"/>
                <w:color w:val="auto"/>
                <w:szCs w:val="20"/>
              </w:rPr>
              <w:t>e náklady pro žadatele a vylepšuje tedy i</w:t>
            </w:r>
            <w:r w:rsidRPr="007C0CDA">
              <w:rPr>
                <w:rFonts w:ascii="Calibri" w:hAnsi="Calibri" w:cs="Calibri"/>
                <w:b w:val="0"/>
                <w:color w:val="auto"/>
                <w:szCs w:val="20"/>
              </w:rPr>
              <w:t xml:space="preserve"> návratnost projektu.</w:t>
            </w:r>
          </w:p>
        </w:tc>
      </w:tr>
      <w:tr w:rsidR="00D507F4" w:rsidRPr="007C0CDA" w:rsidTr="002433DA">
        <w:trPr>
          <w:trHeight w:val="1521"/>
        </w:trPr>
        <w:tc>
          <w:tcPr>
            <w:tcW w:w="1729" w:type="dxa"/>
          </w:tcPr>
          <w:p w:rsidR="00D507F4" w:rsidRPr="002433DA" w:rsidRDefault="00D507F4" w:rsidP="002E3AE9">
            <w:pPr>
              <w:pStyle w:val="Highlight2"/>
              <w:jc w:val="left"/>
              <w:rPr>
                <w:rFonts w:asciiTheme="minorHAnsi" w:hAnsiTheme="minorHAnsi" w:cstheme="minorHAnsi"/>
                <w:bCs/>
                <w:color w:val="000000"/>
                <w:szCs w:val="20"/>
                <w:lang w:eastAsia="cs-CZ"/>
              </w:rPr>
            </w:pPr>
            <w:r w:rsidRPr="002433DA">
              <w:rPr>
                <w:rFonts w:asciiTheme="minorHAnsi" w:hAnsiTheme="minorHAnsi" w:cstheme="minorHAnsi"/>
                <w:bCs/>
                <w:color w:val="000000"/>
                <w:szCs w:val="20"/>
                <w:lang w:eastAsia="cs-CZ"/>
              </w:rPr>
              <w:t>Riziko projektu</w:t>
            </w:r>
          </w:p>
        </w:tc>
        <w:tc>
          <w:tcPr>
            <w:tcW w:w="2694" w:type="dxa"/>
          </w:tcPr>
          <w:p w:rsidR="00D507F4" w:rsidRPr="007C0CDA" w:rsidRDefault="00D507F4" w:rsidP="002E3AE9">
            <w:pPr>
              <w:pStyle w:val="Highlight2"/>
              <w:jc w:val="center"/>
              <w:rPr>
                <w:rFonts w:ascii="Calibri" w:hAnsi="Calibri" w:cs="Calibri"/>
                <w:b w:val="0"/>
                <w:color w:val="000000"/>
                <w:lang w:eastAsia="cs-CZ"/>
              </w:rPr>
            </w:pPr>
            <w:r w:rsidRPr="007C0CDA">
              <w:rPr>
                <w:rFonts w:ascii="Calibri" w:hAnsi="Calibri" w:cs="Calibri"/>
                <w:b w:val="0"/>
                <w:color w:val="000000"/>
                <w:lang w:eastAsia="cs-CZ"/>
              </w:rPr>
              <w:t>Z pohledu úvěrování rozděluje riziko mezi příjemce, banku a FN. Likvidnější zástava, výrazné snížení rizika pro úvěrující instituci</w:t>
            </w:r>
          </w:p>
          <w:p w:rsidR="00D507F4" w:rsidRPr="007C0CDA" w:rsidRDefault="00D507F4" w:rsidP="002E3AE9">
            <w:pPr>
              <w:pStyle w:val="Highlight2"/>
              <w:jc w:val="center"/>
              <w:rPr>
                <w:rFonts w:ascii="Calibri" w:hAnsi="Calibri" w:cs="Calibri"/>
                <w:b w:val="0"/>
                <w:color w:val="000000"/>
                <w:lang w:eastAsia="cs-CZ"/>
              </w:rPr>
            </w:pPr>
          </w:p>
          <w:p w:rsidR="00D507F4" w:rsidRPr="007C0CDA" w:rsidRDefault="00D507F4" w:rsidP="002E3AE9">
            <w:pPr>
              <w:pStyle w:val="Highlight2"/>
              <w:jc w:val="center"/>
              <w:rPr>
                <w:rFonts w:ascii="Calibri" w:hAnsi="Calibri" w:cs="Calibri"/>
                <w:b w:val="0"/>
                <w:color w:val="000000"/>
                <w:lang w:eastAsia="cs-CZ"/>
              </w:rPr>
            </w:pPr>
            <w:r w:rsidRPr="007C0CDA">
              <w:rPr>
                <w:rFonts w:ascii="Calibri" w:hAnsi="Calibri" w:cs="Calibri"/>
                <w:b w:val="0"/>
                <w:color w:val="000000"/>
                <w:lang w:eastAsia="cs-CZ"/>
              </w:rPr>
              <w:t>Riziko zvýšených nákladů pro příjemce zůstává</w:t>
            </w:r>
          </w:p>
          <w:p w:rsidR="00D507F4" w:rsidRPr="007C0CDA" w:rsidRDefault="00D507F4" w:rsidP="002E3AE9">
            <w:pPr>
              <w:pStyle w:val="Highlight2"/>
              <w:jc w:val="center"/>
              <w:rPr>
                <w:rFonts w:ascii="Calibri" w:hAnsi="Calibri" w:cs="Calibri"/>
                <w:b w:val="0"/>
                <w:color w:val="000000"/>
                <w:lang w:eastAsia="cs-CZ"/>
              </w:rPr>
            </w:pPr>
          </w:p>
          <w:p w:rsidR="00D507F4" w:rsidRPr="007C0CDA" w:rsidRDefault="00D507F4" w:rsidP="002E3AE9">
            <w:pPr>
              <w:pStyle w:val="Highlight2"/>
              <w:jc w:val="center"/>
              <w:rPr>
                <w:rFonts w:ascii="Calibri" w:hAnsi="Calibri" w:cs="Calibri"/>
                <w:b w:val="0"/>
                <w:color w:val="000000"/>
                <w:lang w:eastAsia="cs-CZ"/>
              </w:rPr>
            </w:pPr>
          </w:p>
        </w:tc>
        <w:tc>
          <w:tcPr>
            <w:tcW w:w="2268" w:type="dxa"/>
          </w:tcPr>
          <w:p w:rsidR="00D507F4" w:rsidRPr="007C0CDA" w:rsidRDefault="00D507F4" w:rsidP="002E3AE9">
            <w:pPr>
              <w:pStyle w:val="Highlight2"/>
              <w:jc w:val="center"/>
              <w:rPr>
                <w:rFonts w:ascii="Calibri" w:hAnsi="Calibri" w:cs="Calibri"/>
                <w:b w:val="0"/>
                <w:color w:val="000000"/>
                <w:lang w:eastAsia="cs-CZ"/>
              </w:rPr>
            </w:pPr>
            <w:r w:rsidRPr="007C0CDA">
              <w:rPr>
                <w:rFonts w:ascii="Calibri" w:hAnsi="Calibri" w:cs="Calibri"/>
                <w:b w:val="0"/>
                <w:color w:val="000000"/>
                <w:lang w:eastAsia="cs-CZ"/>
              </w:rPr>
              <w:t>Rozděluje riziko mezi příjemce, banku a FN.</w:t>
            </w:r>
          </w:p>
          <w:p w:rsidR="00D507F4" w:rsidRPr="007C0CDA" w:rsidRDefault="00D507F4" w:rsidP="002E3AE9">
            <w:pPr>
              <w:pStyle w:val="Highlight2"/>
              <w:jc w:val="center"/>
              <w:rPr>
                <w:rFonts w:ascii="Calibri" w:hAnsi="Calibri" w:cs="Calibri"/>
                <w:b w:val="0"/>
                <w:color w:val="000000"/>
                <w:lang w:eastAsia="cs-CZ"/>
              </w:rPr>
            </w:pPr>
          </w:p>
          <w:p w:rsidR="00D507F4" w:rsidRPr="007C0CDA" w:rsidRDefault="00D507F4" w:rsidP="002E3AE9">
            <w:pPr>
              <w:pStyle w:val="Highlight2"/>
              <w:jc w:val="center"/>
              <w:rPr>
                <w:rFonts w:ascii="Calibri" w:hAnsi="Calibri" w:cs="Calibri"/>
                <w:b w:val="0"/>
                <w:color w:val="000000"/>
                <w:lang w:eastAsia="cs-CZ"/>
              </w:rPr>
            </w:pPr>
            <w:r w:rsidRPr="007C0CDA">
              <w:rPr>
                <w:rFonts w:ascii="Calibri" w:hAnsi="Calibri" w:cs="Calibri"/>
                <w:b w:val="0"/>
                <w:color w:val="000000"/>
                <w:lang w:eastAsia="cs-CZ"/>
              </w:rPr>
              <w:t>Riziko zvýšených nákladů pro příjemce zůstává</w:t>
            </w:r>
          </w:p>
          <w:p w:rsidR="00D507F4" w:rsidRPr="007C0CDA" w:rsidRDefault="00D507F4" w:rsidP="002E3AE9">
            <w:pPr>
              <w:pStyle w:val="Highlight2"/>
              <w:jc w:val="center"/>
              <w:rPr>
                <w:rFonts w:ascii="Calibri" w:hAnsi="Calibri" w:cs="Calibri"/>
                <w:b w:val="0"/>
                <w:color w:val="000000"/>
                <w:lang w:eastAsia="cs-CZ"/>
              </w:rPr>
            </w:pPr>
          </w:p>
          <w:p w:rsidR="00D507F4" w:rsidRPr="007C0CDA" w:rsidRDefault="00D507F4" w:rsidP="002E3AE9">
            <w:pPr>
              <w:pStyle w:val="Highlight2"/>
              <w:jc w:val="center"/>
              <w:rPr>
                <w:rFonts w:ascii="Calibri" w:hAnsi="Calibri" w:cs="Calibri"/>
                <w:b w:val="0"/>
                <w:color w:val="000000"/>
                <w:lang w:eastAsia="cs-CZ"/>
              </w:rPr>
            </w:pPr>
          </w:p>
        </w:tc>
        <w:tc>
          <w:tcPr>
            <w:tcW w:w="2268" w:type="dxa"/>
          </w:tcPr>
          <w:p w:rsidR="00D507F4" w:rsidRPr="007C0CDA" w:rsidRDefault="00D507F4" w:rsidP="002E3AE9">
            <w:pPr>
              <w:pStyle w:val="Highlight2"/>
              <w:jc w:val="center"/>
              <w:rPr>
                <w:rFonts w:ascii="Calibri" w:hAnsi="Calibri" w:cs="Calibri"/>
                <w:b w:val="0"/>
                <w:color w:val="000000"/>
                <w:lang w:eastAsia="cs-CZ"/>
              </w:rPr>
            </w:pPr>
            <w:r w:rsidRPr="007C0CDA">
              <w:rPr>
                <w:rFonts w:ascii="Calibri" w:hAnsi="Calibri" w:cs="Calibri"/>
                <w:b w:val="0"/>
                <w:color w:val="000000"/>
                <w:lang w:eastAsia="cs-CZ"/>
              </w:rPr>
              <w:t>Dotace části nákladů snižuje rizika příjemce z negativního vývoje revitalizace. Příjemce přebírá riziko jen do výše spoluúčasti způsobilých a nezpůsobilých nákladů</w:t>
            </w:r>
          </w:p>
          <w:p w:rsidR="00D507F4" w:rsidRPr="007C0CDA" w:rsidRDefault="00D507F4" w:rsidP="002E3AE9">
            <w:pPr>
              <w:pStyle w:val="Highlight2"/>
              <w:jc w:val="center"/>
              <w:rPr>
                <w:rFonts w:ascii="Calibri" w:hAnsi="Calibri" w:cs="Calibri"/>
                <w:b w:val="0"/>
                <w:color w:val="000000"/>
                <w:lang w:eastAsia="cs-CZ"/>
              </w:rPr>
            </w:pPr>
          </w:p>
          <w:p w:rsidR="00D507F4" w:rsidRPr="007C0CDA" w:rsidRDefault="00D507F4" w:rsidP="002E3AE9">
            <w:pPr>
              <w:pStyle w:val="Highlight2"/>
              <w:jc w:val="center"/>
              <w:rPr>
                <w:rFonts w:ascii="Calibri" w:hAnsi="Calibri" w:cs="Calibri"/>
                <w:b w:val="0"/>
                <w:color w:val="000000"/>
                <w:lang w:eastAsia="cs-CZ"/>
              </w:rPr>
            </w:pPr>
            <w:r w:rsidRPr="007C0CDA">
              <w:rPr>
                <w:rFonts w:ascii="Calibri" w:hAnsi="Calibri" w:cs="Calibri"/>
                <w:b w:val="0"/>
                <w:color w:val="000000"/>
                <w:lang w:eastAsia="cs-CZ"/>
              </w:rPr>
              <w:t>Zlepšená úvěrovatelnost dotovaných projektů</w:t>
            </w:r>
          </w:p>
          <w:p w:rsidR="00D507F4" w:rsidRPr="007C0CDA" w:rsidRDefault="00D507F4" w:rsidP="002E3AE9">
            <w:pPr>
              <w:pStyle w:val="Highlight2"/>
              <w:jc w:val="center"/>
              <w:rPr>
                <w:rFonts w:ascii="Calibri" w:hAnsi="Calibri" w:cs="Calibri"/>
                <w:b w:val="0"/>
                <w:color w:val="000000"/>
                <w:lang w:eastAsia="cs-CZ"/>
              </w:rPr>
            </w:pPr>
            <w:r w:rsidRPr="007C0CDA">
              <w:rPr>
                <w:rFonts w:ascii="Calibri" w:hAnsi="Calibri" w:cs="Calibri"/>
                <w:b w:val="0"/>
                <w:color w:val="000000"/>
                <w:lang w:eastAsia="cs-CZ"/>
              </w:rPr>
              <w:t>.</w:t>
            </w:r>
          </w:p>
          <w:p w:rsidR="00D507F4" w:rsidRPr="007C0CDA" w:rsidRDefault="00D507F4" w:rsidP="002E3AE9">
            <w:pPr>
              <w:pStyle w:val="Highlight2"/>
              <w:jc w:val="center"/>
              <w:rPr>
                <w:rFonts w:ascii="Calibri" w:hAnsi="Calibri" w:cs="Calibri"/>
                <w:b w:val="0"/>
                <w:color w:val="000000"/>
                <w:lang w:eastAsia="cs-CZ"/>
              </w:rPr>
            </w:pPr>
            <w:r w:rsidRPr="007C0CDA">
              <w:rPr>
                <w:rFonts w:ascii="Calibri" w:hAnsi="Calibri" w:cs="Calibri"/>
                <w:b w:val="0"/>
                <w:color w:val="000000"/>
              </w:rPr>
              <w:t xml:space="preserve"> ŘO má předem dané ztráty do absolutní výše dotace.</w:t>
            </w:r>
          </w:p>
        </w:tc>
      </w:tr>
      <w:tr w:rsidR="00D507F4" w:rsidRPr="007C0CDA" w:rsidTr="002433DA">
        <w:trPr>
          <w:trHeight w:val="1474"/>
        </w:trPr>
        <w:tc>
          <w:tcPr>
            <w:tcW w:w="1729" w:type="dxa"/>
          </w:tcPr>
          <w:p w:rsidR="00D507F4" w:rsidRPr="002433DA" w:rsidRDefault="00D507F4" w:rsidP="002E3AE9">
            <w:pPr>
              <w:rPr>
                <w:rFonts w:asciiTheme="minorHAnsi" w:hAnsiTheme="minorHAnsi" w:cstheme="minorHAnsi"/>
                <w:b/>
                <w:sz w:val="20"/>
              </w:rPr>
            </w:pPr>
            <w:r w:rsidRPr="002433DA">
              <w:rPr>
                <w:rFonts w:asciiTheme="minorHAnsi" w:hAnsiTheme="minorHAnsi" w:cstheme="minorHAnsi"/>
                <w:b/>
                <w:bCs/>
                <w:color w:val="000000"/>
                <w:sz w:val="20"/>
              </w:rPr>
              <w:t>Administrativní zátěž</w:t>
            </w:r>
          </w:p>
        </w:tc>
        <w:tc>
          <w:tcPr>
            <w:tcW w:w="2694" w:type="dxa"/>
          </w:tcPr>
          <w:p w:rsidR="00D507F4" w:rsidRPr="007C0CDA" w:rsidRDefault="00D507F4" w:rsidP="002E3AE9">
            <w:pPr>
              <w:pStyle w:val="Highlight2"/>
              <w:jc w:val="center"/>
              <w:rPr>
                <w:rFonts w:ascii="Calibri" w:hAnsi="Calibri" w:cs="Calibri"/>
                <w:b w:val="0"/>
                <w:color w:val="000000"/>
                <w:lang w:eastAsia="cs-CZ"/>
              </w:rPr>
            </w:pPr>
            <w:r w:rsidRPr="007C0CDA">
              <w:rPr>
                <w:rFonts w:ascii="Calibri" w:hAnsi="Calibri" w:cs="Calibri"/>
                <w:b w:val="0"/>
                <w:color w:val="000000"/>
                <w:lang w:eastAsia="cs-CZ"/>
              </w:rPr>
              <w:t>Jednoduchá administrace, bez rizika odebrání podpory z důvodu technických chyb</w:t>
            </w:r>
          </w:p>
          <w:p w:rsidR="00D507F4" w:rsidRPr="007C0CDA" w:rsidRDefault="00D507F4" w:rsidP="002E3AE9">
            <w:pPr>
              <w:pStyle w:val="Highlight2"/>
              <w:jc w:val="center"/>
              <w:rPr>
                <w:rFonts w:ascii="Calibri" w:hAnsi="Calibri" w:cs="Calibri"/>
                <w:b w:val="0"/>
                <w:bCs/>
                <w:color w:val="000000"/>
                <w:lang w:eastAsia="cs-CZ"/>
              </w:rPr>
            </w:pPr>
          </w:p>
        </w:tc>
        <w:tc>
          <w:tcPr>
            <w:tcW w:w="2268" w:type="dxa"/>
          </w:tcPr>
          <w:p w:rsidR="00D507F4" w:rsidRPr="002433DA" w:rsidRDefault="00D507F4" w:rsidP="002E3AE9">
            <w:pPr>
              <w:rPr>
                <w:sz w:val="20"/>
              </w:rPr>
            </w:pPr>
            <w:r w:rsidRPr="002433DA">
              <w:rPr>
                <w:rFonts w:cs="Calibri"/>
                <w:color w:val="000000"/>
                <w:sz w:val="20"/>
              </w:rPr>
              <w:t>Jednoduchá administrace, bez rizika odebrání podpory z důvodu technických chyb</w:t>
            </w:r>
          </w:p>
        </w:tc>
        <w:tc>
          <w:tcPr>
            <w:tcW w:w="2268" w:type="dxa"/>
          </w:tcPr>
          <w:p w:rsidR="00D507F4" w:rsidRPr="002433DA" w:rsidRDefault="00D507F4" w:rsidP="002E3AE9">
            <w:pPr>
              <w:rPr>
                <w:color w:val="000000"/>
                <w:sz w:val="20"/>
              </w:rPr>
            </w:pPr>
            <w:r w:rsidRPr="002433DA">
              <w:rPr>
                <w:rFonts w:cs="Calibri"/>
                <w:color w:val="000000"/>
                <w:sz w:val="20"/>
              </w:rPr>
              <w:t>Vysoká administrativní a regulační zátěž omezuje příjemce, zvyšuje náklady a přináší riziko odebrání dotace.</w:t>
            </w:r>
          </w:p>
        </w:tc>
      </w:tr>
      <w:tr w:rsidR="00D507F4" w:rsidRPr="007C0CDA" w:rsidTr="002433DA">
        <w:tc>
          <w:tcPr>
            <w:tcW w:w="1729" w:type="dxa"/>
          </w:tcPr>
          <w:p w:rsidR="00D507F4" w:rsidRPr="002433DA" w:rsidRDefault="00D507F4" w:rsidP="002E3AE9">
            <w:pPr>
              <w:pStyle w:val="Highlight2"/>
              <w:jc w:val="left"/>
              <w:rPr>
                <w:rFonts w:asciiTheme="minorHAnsi" w:hAnsiTheme="minorHAnsi" w:cstheme="minorHAnsi"/>
                <w:bCs/>
                <w:color w:val="auto"/>
                <w:szCs w:val="20"/>
                <w:lang w:eastAsia="cs-CZ"/>
              </w:rPr>
            </w:pPr>
            <w:r w:rsidRPr="002433DA">
              <w:rPr>
                <w:rFonts w:asciiTheme="minorHAnsi" w:hAnsiTheme="minorHAnsi" w:cstheme="minorHAnsi"/>
                <w:color w:val="auto"/>
                <w:szCs w:val="20"/>
              </w:rPr>
              <w:t>Celkový efekt na Investiční aktivitu a absorpci v SC</w:t>
            </w:r>
          </w:p>
        </w:tc>
        <w:tc>
          <w:tcPr>
            <w:tcW w:w="2694" w:type="dxa"/>
          </w:tcPr>
          <w:p w:rsidR="00D507F4" w:rsidRPr="007C0CDA" w:rsidRDefault="00D507F4" w:rsidP="002E3AE9">
            <w:pPr>
              <w:pStyle w:val="Highlight2"/>
              <w:jc w:val="center"/>
              <w:rPr>
                <w:rFonts w:ascii="Calibri" w:hAnsi="Calibri" w:cs="Calibri"/>
                <w:b w:val="0"/>
                <w:color w:val="000000"/>
                <w:lang w:eastAsia="cs-CZ"/>
              </w:rPr>
            </w:pPr>
            <w:r>
              <w:rPr>
                <w:rFonts w:ascii="Calibri" w:hAnsi="Calibri" w:cs="Calibri"/>
                <w:b w:val="0"/>
                <w:bCs/>
                <w:color w:val="000000"/>
                <w:lang w:eastAsia="cs-CZ"/>
              </w:rPr>
              <w:t>Záruka nemá výrazný vliv na investiční aktivitu v oblasti OZE, částečně pouze v segmentu rizikových MSP</w:t>
            </w:r>
          </w:p>
        </w:tc>
        <w:tc>
          <w:tcPr>
            <w:tcW w:w="2268" w:type="dxa"/>
          </w:tcPr>
          <w:p w:rsidR="00D507F4" w:rsidRPr="002433DA" w:rsidRDefault="00D507F4" w:rsidP="002E3AE9">
            <w:pPr>
              <w:rPr>
                <w:sz w:val="20"/>
              </w:rPr>
            </w:pPr>
            <w:r w:rsidRPr="002F7B85">
              <w:rPr>
                <w:sz w:val="20"/>
              </w:rPr>
              <w:t>Mírné zkrácení doby návratnosti, přístup k vyššímu externímu financování</w:t>
            </w:r>
            <w:r w:rsidRPr="002433DA">
              <w:rPr>
                <w:sz w:val="20"/>
              </w:rPr>
              <w:t xml:space="preserve"> a příspěvek na projektovou přípravu</w:t>
            </w:r>
          </w:p>
          <w:p w:rsidR="00D507F4" w:rsidRDefault="00D507F4" w:rsidP="002E3AE9">
            <w:pPr>
              <w:rPr>
                <w:sz w:val="20"/>
              </w:rPr>
            </w:pPr>
            <w:r w:rsidRPr="002433DA">
              <w:rPr>
                <w:sz w:val="20"/>
              </w:rPr>
              <w:t>umožní vyšší investiční aktivitu</w:t>
            </w:r>
            <w:r>
              <w:rPr>
                <w:sz w:val="20"/>
              </w:rPr>
              <w:t xml:space="preserve"> v segmentu MVE, který je dále podporován provozní podporou.</w:t>
            </w:r>
          </w:p>
          <w:p w:rsidR="00D507F4" w:rsidRPr="002433DA" w:rsidRDefault="00D507F4" w:rsidP="002E3AE9">
            <w:pPr>
              <w:rPr>
                <w:sz w:val="20"/>
              </w:rPr>
            </w:pPr>
            <w:r w:rsidRPr="002F7B85">
              <w:rPr>
                <w:sz w:val="20"/>
              </w:rPr>
              <w:t xml:space="preserve">Motivační efekt na investice </w:t>
            </w:r>
            <w:r w:rsidRPr="002433DA">
              <w:rPr>
                <w:sz w:val="20"/>
              </w:rPr>
              <w:t>je</w:t>
            </w:r>
            <w:r>
              <w:rPr>
                <w:sz w:val="20"/>
              </w:rPr>
              <w:t xml:space="preserve"> spíše</w:t>
            </w:r>
            <w:r w:rsidRPr="002F7B85">
              <w:rPr>
                <w:sz w:val="20"/>
              </w:rPr>
              <w:t xml:space="preserve"> malý</w:t>
            </w:r>
            <w:r>
              <w:rPr>
                <w:sz w:val="20"/>
              </w:rPr>
              <w:t>, zejména u BPS</w:t>
            </w:r>
            <w:r w:rsidRPr="002F7B85">
              <w:rPr>
                <w:sz w:val="20"/>
              </w:rPr>
              <w:t>.</w:t>
            </w:r>
          </w:p>
          <w:p w:rsidR="00D507F4" w:rsidRPr="002433DA" w:rsidRDefault="00D507F4" w:rsidP="002E3AE9">
            <w:pPr>
              <w:pStyle w:val="Highlight2"/>
              <w:jc w:val="center"/>
              <w:rPr>
                <w:rFonts w:ascii="Calibri" w:hAnsi="Calibri" w:cs="Calibri"/>
                <w:b w:val="0"/>
                <w:color w:val="000000"/>
                <w:szCs w:val="20"/>
                <w:lang w:eastAsia="cs-CZ"/>
              </w:rPr>
            </w:pPr>
          </w:p>
        </w:tc>
        <w:tc>
          <w:tcPr>
            <w:tcW w:w="2268" w:type="dxa"/>
          </w:tcPr>
          <w:p w:rsidR="00D507F4" w:rsidRDefault="00D507F4" w:rsidP="002E3AE9">
            <w:pPr>
              <w:rPr>
                <w:color w:val="000000"/>
                <w:sz w:val="20"/>
              </w:rPr>
            </w:pPr>
            <w:r>
              <w:rPr>
                <w:color w:val="000000"/>
                <w:sz w:val="20"/>
              </w:rPr>
              <w:t>Znatelný</w:t>
            </w:r>
            <w:r w:rsidRPr="002F7B85">
              <w:rPr>
                <w:color w:val="000000"/>
                <w:sz w:val="20"/>
              </w:rPr>
              <w:t xml:space="preserve"> efekt na nákladovost a návratnost projektu </w:t>
            </w:r>
            <w:r>
              <w:rPr>
                <w:color w:val="000000"/>
                <w:sz w:val="20"/>
              </w:rPr>
              <w:t>může značně stimulovat aktivity zužitkování tepla z BPS i biomasy.</w:t>
            </w:r>
          </w:p>
          <w:p w:rsidR="00D507F4" w:rsidRDefault="00D507F4" w:rsidP="002E3AE9">
            <w:pPr>
              <w:rPr>
                <w:color w:val="000000"/>
                <w:sz w:val="20"/>
              </w:rPr>
            </w:pPr>
          </w:p>
          <w:p w:rsidR="00D507F4" w:rsidRDefault="00D507F4" w:rsidP="002E3AE9">
            <w:pPr>
              <w:rPr>
                <w:color w:val="000000"/>
                <w:sz w:val="20"/>
              </w:rPr>
            </w:pPr>
            <w:r>
              <w:rPr>
                <w:color w:val="000000"/>
                <w:sz w:val="20"/>
              </w:rPr>
              <w:t>V případě MVE nastává konflikt s provozní podporou a vzájemné vytlačování těchto forem podpory.</w:t>
            </w:r>
          </w:p>
          <w:p w:rsidR="00D507F4" w:rsidRPr="002433DA" w:rsidRDefault="00D507F4" w:rsidP="002433DA">
            <w:pPr>
              <w:rPr>
                <w:rFonts w:cs="Calibri"/>
                <w:color w:val="000000"/>
                <w:sz w:val="20"/>
              </w:rPr>
            </w:pPr>
          </w:p>
        </w:tc>
      </w:tr>
      <w:tr w:rsidR="00D507F4" w:rsidRPr="007C0CDA" w:rsidTr="004B44BD">
        <w:tc>
          <w:tcPr>
            <w:tcW w:w="1729" w:type="dxa"/>
          </w:tcPr>
          <w:p w:rsidR="00D507F4" w:rsidRPr="002F7B85" w:rsidRDefault="00D507F4" w:rsidP="002E3AE9">
            <w:pPr>
              <w:pStyle w:val="Highlight2"/>
              <w:jc w:val="left"/>
              <w:rPr>
                <w:rFonts w:asciiTheme="minorHAnsi" w:hAnsiTheme="minorHAnsi" w:cstheme="minorHAnsi"/>
                <w:color w:val="auto"/>
                <w:szCs w:val="20"/>
              </w:rPr>
            </w:pPr>
            <w:r w:rsidRPr="007C0CDA">
              <w:rPr>
                <w:rFonts w:ascii="Calibri" w:hAnsi="Calibri" w:cs="Calibri"/>
                <w:bCs/>
                <w:color w:val="000000"/>
                <w:lang w:eastAsia="cs-CZ"/>
              </w:rPr>
              <w:t>Efekt na narušení tržního prostředí</w:t>
            </w:r>
          </w:p>
        </w:tc>
        <w:tc>
          <w:tcPr>
            <w:tcW w:w="2694" w:type="dxa"/>
          </w:tcPr>
          <w:p w:rsidR="00D507F4" w:rsidRPr="002433DA" w:rsidRDefault="00D507F4" w:rsidP="002E3AE9">
            <w:pPr>
              <w:pStyle w:val="Highlight2"/>
              <w:jc w:val="center"/>
              <w:rPr>
                <w:rFonts w:ascii="Calibri" w:hAnsi="Calibri" w:cs="Calibri"/>
                <w:b w:val="0"/>
                <w:bCs/>
                <w:color w:val="000000"/>
                <w:szCs w:val="20"/>
                <w:lang w:eastAsia="cs-CZ"/>
              </w:rPr>
            </w:pPr>
            <w:r w:rsidRPr="002433DA">
              <w:rPr>
                <w:rFonts w:ascii="Calibri" w:hAnsi="Calibri" w:cs="Calibri"/>
                <w:b w:val="0"/>
                <w:color w:val="000000"/>
                <w:szCs w:val="20"/>
                <w:lang w:eastAsia="cs-CZ"/>
              </w:rPr>
              <w:t>Minimální vliv na tržní prostředí, zvyšují konkurenci odstraněním finanční bariéry pro menší subjekty</w:t>
            </w:r>
          </w:p>
        </w:tc>
        <w:tc>
          <w:tcPr>
            <w:tcW w:w="2268" w:type="dxa"/>
          </w:tcPr>
          <w:p w:rsidR="00D507F4" w:rsidRPr="002433DA" w:rsidRDefault="00D507F4" w:rsidP="002E3AE9">
            <w:pPr>
              <w:pStyle w:val="Highlight2"/>
              <w:jc w:val="center"/>
              <w:rPr>
                <w:rFonts w:ascii="Calibri" w:hAnsi="Calibri" w:cs="Calibri"/>
                <w:b w:val="0"/>
                <w:color w:val="000000"/>
                <w:szCs w:val="20"/>
                <w:lang w:eastAsia="cs-CZ"/>
              </w:rPr>
            </w:pPr>
            <w:r w:rsidRPr="002433DA">
              <w:rPr>
                <w:rFonts w:ascii="Calibri" w:hAnsi="Calibri" w:cs="Calibri"/>
                <w:b w:val="0"/>
                <w:color w:val="000000"/>
                <w:szCs w:val="20"/>
                <w:lang w:eastAsia="cs-CZ"/>
              </w:rPr>
              <w:t>Malý vliv na tržní prostředí, návratná podpora motivuje ekonomicky efektivní počínání subjektů</w:t>
            </w:r>
          </w:p>
          <w:p w:rsidR="00DE0CB4" w:rsidRDefault="00DE0CB4" w:rsidP="002E3AE9">
            <w:pPr>
              <w:pStyle w:val="Highlight2"/>
              <w:jc w:val="center"/>
              <w:rPr>
                <w:rFonts w:ascii="Calibri" w:hAnsi="Calibri" w:cs="Calibri"/>
                <w:b w:val="0"/>
                <w:color w:val="000000"/>
                <w:szCs w:val="20"/>
                <w:lang w:eastAsia="cs-CZ"/>
              </w:rPr>
            </w:pPr>
          </w:p>
          <w:p w:rsidR="00D507F4" w:rsidRPr="002433DA" w:rsidRDefault="00D507F4" w:rsidP="002E3AE9">
            <w:pPr>
              <w:pStyle w:val="Highlight2"/>
              <w:jc w:val="center"/>
              <w:rPr>
                <w:rFonts w:ascii="Calibri" w:hAnsi="Calibri" w:cs="Calibri"/>
                <w:b w:val="0"/>
                <w:color w:val="000000"/>
                <w:szCs w:val="20"/>
                <w:lang w:eastAsia="cs-CZ"/>
              </w:rPr>
            </w:pPr>
            <w:r w:rsidRPr="002433DA">
              <w:rPr>
                <w:rFonts w:ascii="Calibri" w:hAnsi="Calibri" w:cs="Calibri"/>
                <w:b w:val="0"/>
                <w:color w:val="000000"/>
                <w:szCs w:val="20"/>
                <w:lang w:eastAsia="cs-CZ"/>
              </w:rPr>
              <w:t>Doplnění soukromého finančního trhu</w:t>
            </w:r>
          </w:p>
          <w:p w:rsidR="00D507F4" w:rsidRPr="002F7B85" w:rsidRDefault="00DE0CB4" w:rsidP="002E3AE9">
            <w:pPr>
              <w:rPr>
                <w:sz w:val="20"/>
              </w:rPr>
            </w:pPr>
            <w:r>
              <w:rPr>
                <w:sz w:val="20"/>
              </w:rPr>
              <w:lastRenderedPageBreak/>
              <w:t>Nenarušuje tržní prostředí podobně jako provozní podpora</w:t>
            </w:r>
          </w:p>
        </w:tc>
        <w:tc>
          <w:tcPr>
            <w:tcW w:w="2268" w:type="dxa"/>
          </w:tcPr>
          <w:p w:rsidR="00D507F4" w:rsidRPr="002F7B85" w:rsidRDefault="00DE0CB4" w:rsidP="002E3AE9">
            <w:pPr>
              <w:rPr>
                <w:color w:val="000000"/>
                <w:sz w:val="20"/>
              </w:rPr>
            </w:pPr>
            <w:r>
              <w:rPr>
                <w:rFonts w:cs="Calibri"/>
                <w:bCs/>
                <w:color w:val="000000"/>
                <w:sz w:val="20"/>
              </w:rPr>
              <w:lastRenderedPageBreak/>
              <w:t xml:space="preserve">Dotace znamenají zvýhodnění pro podnikání dotčených subjektů, nicméně do značné míry vyrovnávají tržní selhání. V rámci trhu se nejedná o závažné narušení, jaké </w:t>
            </w:r>
            <w:r>
              <w:rPr>
                <w:rFonts w:cs="Calibri"/>
                <w:bCs/>
                <w:color w:val="000000"/>
                <w:sz w:val="20"/>
              </w:rPr>
              <w:lastRenderedPageBreak/>
              <w:t>naopak znamená provozní podpora.</w:t>
            </w:r>
          </w:p>
        </w:tc>
      </w:tr>
    </w:tbl>
    <w:p w:rsidR="004B44BD" w:rsidRPr="007C0CDA" w:rsidRDefault="004B44BD" w:rsidP="004B44BD"/>
    <w:p w:rsidR="004B44BD" w:rsidRPr="007C0CDA" w:rsidRDefault="004B44BD" w:rsidP="004B44BD">
      <w:pPr>
        <w:pStyle w:val="Titulek"/>
      </w:pPr>
      <w:r w:rsidRPr="007C0CDA">
        <w:t xml:space="preserve">Tabulka </w:t>
      </w:r>
      <w:r w:rsidRPr="00B675D6">
        <w:fldChar w:fldCharType="begin"/>
      </w:r>
      <w:r w:rsidRPr="007C0CDA">
        <w:instrText xml:space="preserve"> SEQ Tabulka \* ARABIC </w:instrText>
      </w:r>
      <w:r w:rsidRPr="005C7064">
        <w:fldChar w:fldCharType="separate"/>
      </w:r>
      <w:r w:rsidRPr="007C0CDA">
        <w:rPr>
          <w:noProof/>
        </w:rPr>
        <w:t>8</w:t>
      </w:r>
      <w:r w:rsidRPr="00B675D6">
        <w:fldChar w:fldCharType="end"/>
      </w:r>
      <w:r w:rsidRPr="007C0CDA">
        <w:t xml:space="preserve"> – Přida</w:t>
      </w:r>
      <w:r>
        <w:t>ná hodnota podpory pro cíle SC 3</w:t>
      </w:r>
      <w:r w:rsidRPr="007C0CDA">
        <w:t xml:space="preserve">.1 </w:t>
      </w:r>
    </w:p>
    <w:p w:rsidR="00DE0CB4" w:rsidRDefault="00DE0CB4" w:rsidP="001D1877"/>
    <w:p w:rsidR="00DE0CB4" w:rsidRDefault="00DE0CB4" w:rsidP="001D1877">
      <w:r>
        <w:t>Na základě porovnání přidané hodnoty je zřejmé, že v rámci aktivit BPS a tepla z biomasy je vhodnějším nástrojem z větší míry dotační podpora. Naopak v rámci MVE existuje prostor pro úvěrový nástroj, který v rámci trhu neznamená významnější narušení a nejedná se o překompenzaci veřejné podpory.</w:t>
      </w:r>
    </w:p>
    <w:p w:rsidR="009D2CAE" w:rsidRPr="007C0CDA" w:rsidRDefault="009D2CAE" w:rsidP="001D1877"/>
    <w:p w:rsidR="009D2CAE" w:rsidRPr="007C0CDA" w:rsidRDefault="009D2CAE" w:rsidP="00FB61E2">
      <w:pPr>
        <w:pStyle w:val="Neslovannadpisy"/>
        <w:rPr>
          <w:lang w:eastAsia="en-US"/>
        </w:rPr>
      </w:pPr>
      <w:r w:rsidRPr="007C0CDA">
        <w:rPr>
          <w:lang w:eastAsia="en-US"/>
        </w:rPr>
        <w:t>Veřejná podpora</w:t>
      </w:r>
    </w:p>
    <w:p w:rsidR="00C67BB4" w:rsidRDefault="009D2CAE" w:rsidP="00FB61E2">
      <w:pPr>
        <w:pStyle w:val="Neslovannadpisy"/>
        <w:rPr>
          <w:b w:val="0"/>
          <w:color w:val="auto"/>
          <w:lang w:eastAsia="en-US"/>
        </w:rPr>
      </w:pPr>
      <w:r w:rsidRPr="002433DA">
        <w:rPr>
          <w:b w:val="0"/>
          <w:color w:val="auto"/>
          <w:lang w:eastAsia="en-US"/>
        </w:rPr>
        <w:t>Veřejná podpora finančního nástroje by měla být řešena jako podpora de minimis nebo podpora dle Obecného nařízení o blokových výjimkách</w:t>
      </w:r>
      <w:r w:rsidR="00B66AFC">
        <w:rPr>
          <w:b w:val="0"/>
          <w:color w:val="auto"/>
          <w:lang w:eastAsia="en-US"/>
        </w:rPr>
        <w:t>.</w:t>
      </w:r>
    </w:p>
    <w:p w:rsidR="009D2CAE" w:rsidRPr="002433DA" w:rsidRDefault="009D2CAE" w:rsidP="00FB61E2">
      <w:pPr>
        <w:pStyle w:val="Neslovannadpisy"/>
        <w:rPr>
          <w:b w:val="0"/>
          <w:color w:val="auto"/>
          <w:lang w:eastAsia="en-US"/>
        </w:rPr>
      </w:pPr>
    </w:p>
    <w:p w:rsidR="009D2CAE" w:rsidRPr="007C0CDA" w:rsidRDefault="009D2CAE" w:rsidP="00FB61E2">
      <w:pPr>
        <w:pStyle w:val="Neslovannadpisy"/>
        <w:rPr>
          <w:lang w:eastAsia="en-US"/>
        </w:rPr>
      </w:pPr>
      <w:r w:rsidRPr="007C0CDA">
        <w:rPr>
          <w:lang w:eastAsia="en-US"/>
        </w:rPr>
        <w:t>Komplementarity a synergie</w:t>
      </w:r>
    </w:p>
    <w:p w:rsidR="009D2CAE" w:rsidRPr="007C0CDA" w:rsidRDefault="009D2CAE" w:rsidP="00FB61E2">
      <w:pPr>
        <w:rPr>
          <w:lang w:eastAsia="en-US"/>
        </w:rPr>
      </w:pPr>
      <w:r w:rsidRPr="007C0CDA">
        <w:rPr>
          <w:lang w:eastAsia="en-US"/>
        </w:rPr>
        <w:t>Podpora v SC 3.1 je komplementární k podpoře OZE v rámci OPŽP a programu Nová zelená úsporám, která cílí na nepodnikatelské subjekty. V případě kogenerace je investiční podpora na produkci tepla synergická s provozní podporou na odkup elektřiny. Problém nastává u MVE, kde je třeba úpravy v kombinovatelnosti obou podpor v případě FN k omezení vzájemně vylučujícího účinku a umožnění efektivní synergie.</w:t>
      </w:r>
    </w:p>
    <w:p w:rsidR="009D2CAE" w:rsidRPr="007C0CDA" w:rsidRDefault="009D2CAE" w:rsidP="00FB61E2">
      <w:pPr>
        <w:rPr>
          <w:lang w:eastAsia="en-US"/>
        </w:rPr>
      </w:pPr>
    </w:p>
    <w:p w:rsidR="009D2CAE" w:rsidRPr="007C0CDA" w:rsidRDefault="009D2CAE" w:rsidP="00FB61E2">
      <w:pPr>
        <w:rPr>
          <w:lang w:eastAsia="en-US"/>
        </w:rPr>
      </w:pPr>
      <w:r w:rsidRPr="007C0CDA">
        <w:rPr>
          <w:lang w:eastAsia="en-US"/>
        </w:rPr>
        <w:t>Důležitou komplementaritu představuje také možnost zapojení Investičního plánu pro Evropu a Evropského fondu pro strategické investice.</w:t>
      </w:r>
    </w:p>
    <w:p w:rsidR="009D2CAE" w:rsidRPr="007C0CDA" w:rsidRDefault="009D2CAE" w:rsidP="00FB61E2">
      <w:pPr>
        <w:rPr>
          <w:lang w:eastAsia="en-US"/>
        </w:rPr>
      </w:pPr>
    </w:p>
    <w:p w:rsidR="009D2CAE" w:rsidRPr="007C0CDA" w:rsidRDefault="009D2CAE" w:rsidP="001D1877"/>
    <w:p w:rsidR="009D2CAE" w:rsidRPr="007C0CDA" w:rsidRDefault="009D2CAE" w:rsidP="001D1877"/>
    <w:p w:rsidR="009D2CAE" w:rsidRPr="00172EF4" w:rsidRDefault="009D2CAE" w:rsidP="002433DA">
      <w:pPr>
        <w:pStyle w:val="Nadpis2"/>
        <w:rPr>
          <w:lang w:eastAsia="en-US"/>
        </w:rPr>
      </w:pPr>
      <w:bookmarkStart w:id="519" w:name="_Toc416447855"/>
      <w:r w:rsidRPr="00B675D6">
        <w:rPr>
          <w:lang w:eastAsia="en-US"/>
        </w:rPr>
        <w:t xml:space="preserve">Specifický cíl 3.2- Snižování energetické náročnosti podnikatelského </w:t>
      </w:r>
      <w:r w:rsidRPr="00854519">
        <w:rPr>
          <w:lang w:eastAsia="en-US"/>
        </w:rPr>
        <w:t>sektoru a rozvíjení energetických služeb</w:t>
      </w:r>
      <w:bookmarkEnd w:id="519"/>
    </w:p>
    <w:p w:rsidR="009D2CAE" w:rsidRPr="007C0CDA" w:rsidRDefault="009D2CAE" w:rsidP="002413B6">
      <w:pPr>
        <w:pStyle w:val="Nadpis3"/>
      </w:pPr>
      <w:bookmarkStart w:id="520" w:name="_Toc416447856"/>
      <w:r w:rsidRPr="007C0CDA">
        <w:t>Zaměření cíle</w:t>
      </w:r>
      <w:bookmarkEnd w:id="520"/>
    </w:p>
    <w:p w:rsidR="009D2CAE" w:rsidRPr="007C0CDA" w:rsidRDefault="009D2CAE">
      <w:pPr>
        <w:pStyle w:val="Neslovannadpisy"/>
        <w:rPr>
          <w:lang w:eastAsia="en-US"/>
        </w:rPr>
      </w:pPr>
      <w:r w:rsidRPr="007C0CDA">
        <w:rPr>
          <w:lang w:eastAsia="en-US"/>
        </w:rPr>
        <w:t>Podporované aktivity:</w:t>
      </w:r>
    </w:p>
    <w:p w:rsidR="009D2CAE" w:rsidRPr="007C0CDA" w:rsidRDefault="009D2CAE" w:rsidP="00D67A40">
      <w:pPr>
        <w:pStyle w:val="Odstavecseseznamem"/>
        <w:numPr>
          <w:ilvl w:val="0"/>
          <w:numId w:val="36"/>
        </w:numPr>
        <w:overflowPunct/>
        <w:autoSpaceDE/>
        <w:autoSpaceDN/>
        <w:adjustRightInd/>
        <w:spacing w:before="120"/>
        <w:contextualSpacing w:val="0"/>
        <w:jc w:val="left"/>
        <w:textAlignment w:val="auto"/>
      </w:pPr>
      <w:r w:rsidRPr="007C0CDA">
        <w:t>Modernizace a rekonstrukce rozvodů elektřiny, plynu a tepla v budovách a v energetických hospodářstvích výrobních závodů za účelem zvýšení účinnosti</w:t>
      </w:r>
    </w:p>
    <w:p w:rsidR="009D2CAE" w:rsidRPr="007C0CDA" w:rsidRDefault="009D2CAE" w:rsidP="00D67A40">
      <w:pPr>
        <w:pStyle w:val="Odstavecseseznamem"/>
        <w:numPr>
          <w:ilvl w:val="0"/>
          <w:numId w:val="36"/>
        </w:numPr>
        <w:overflowPunct/>
        <w:autoSpaceDE/>
        <w:autoSpaceDN/>
        <w:adjustRightInd/>
        <w:spacing w:before="120"/>
        <w:contextualSpacing w:val="0"/>
        <w:jc w:val="left"/>
        <w:textAlignment w:val="auto"/>
      </w:pPr>
      <w:r w:rsidRPr="007C0CDA">
        <w:t>zavádění a modernizace systémů měření a regulace,</w:t>
      </w:r>
    </w:p>
    <w:p w:rsidR="009D2CAE" w:rsidRPr="007C0CDA" w:rsidRDefault="009D2CAE" w:rsidP="00D67A40">
      <w:pPr>
        <w:pStyle w:val="Odstavecseseznamem"/>
        <w:numPr>
          <w:ilvl w:val="0"/>
          <w:numId w:val="36"/>
        </w:numPr>
        <w:overflowPunct/>
        <w:autoSpaceDE/>
        <w:autoSpaceDN/>
        <w:adjustRightInd/>
        <w:spacing w:before="120"/>
        <w:contextualSpacing w:val="0"/>
        <w:jc w:val="left"/>
        <w:textAlignment w:val="auto"/>
      </w:pPr>
      <w:r w:rsidRPr="007C0CDA">
        <w:t>modernizace, rekonstrukce stávajících zařízení na výrobu energie pro vlastní spotřebu vedoucí ke zvýšení její účinnosti,</w:t>
      </w:r>
    </w:p>
    <w:p w:rsidR="009D2CAE" w:rsidRPr="007C0CDA" w:rsidRDefault="009D2CAE" w:rsidP="00D67A40">
      <w:pPr>
        <w:pStyle w:val="Odstavecseseznamem"/>
        <w:numPr>
          <w:ilvl w:val="0"/>
          <w:numId w:val="36"/>
        </w:numPr>
        <w:overflowPunct/>
        <w:autoSpaceDE/>
        <w:autoSpaceDN/>
        <w:adjustRightInd/>
        <w:spacing w:before="120"/>
        <w:contextualSpacing w:val="0"/>
        <w:jc w:val="left"/>
        <w:textAlignment w:val="auto"/>
      </w:pPr>
      <w:r w:rsidRPr="007C0CDA">
        <w:t>modernizace soustav osvětlení budov a průmyslových areálů (pouze v případě náhrady zastaralých technologií za nové vysoce efektivní osvětlovací systémy, např. světelných diod (LED),</w:t>
      </w:r>
    </w:p>
    <w:p w:rsidR="009D2CAE" w:rsidRPr="007C0CDA" w:rsidRDefault="009D2CAE" w:rsidP="00D67A40">
      <w:pPr>
        <w:pStyle w:val="Odstavecseseznamem"/>
        <w:numPr>
          <w:ilvl w:val="0"/>
          <w:numId w:val="36"/>
        </w:numPr>
        <w:overflowPunct/>
        <w:autoSpaceDE/>
        <w:autoSpaceDN/>
        <w:adjustRightInd/>
        <w:spacing w:before="120"/>
        <w:contextualSpacing w:val="0"/>
        <w:jc w:val="left"/>
        <w:textAlignment w:val="auto"/>
      </w:pPr>
      <w:r w:rsidRPr="007C0CDA">
        <w:t>realizace opatření ke snižování energetické náročnosti budov v podnikatelském sektoru (zateplení obvodového pláště, výměna a renovace otvorových výplní, další stavební opatření mající prokazatelně vliv na energetickou náročnost budovy, instalace vzduchotechniky s rekuperací odpadního tepla),</w:t>
      </w:r>
    </w:p>
    <w:p w:rsidR="009D2CAE" w:rsidRPr="007C0CDA" w:rsidRDefault="009D2CAE" w:rsidP="00D67A40">
      <w:pPr>
        <w:pStyle w:val="Odstavecseseznamem"/>
        <w:numPr>
          <w:ilvl w:val="0"/>
          <w:numId w:val="36"/>
        </w:numPr>
        <w:overflowPunct/>
        <w:autoSpaceDE/>
        <w:autoSpaceDN/>
        <w:adjustRightInd/>
        <w:spacing w:before="120"/>
        <w:contextualSpacing w:val="0"/>
        <w:jc w:val="left"/>
        <w:textAlignment w:val="auto"/>
      </w:pPr>
      <w:r w:rsidRPr="007C0CDA">
        <w:t>využití odpadní energie ve výrobních procesech,</w:t>
      </w:r>
    </w:p>
    <w:p w:rsidR="009D2CAE" w:rsidRPr="007C0CDA" w:rsidRDefault="009D2CAE" w:rsidP="00D67A40">
      <w:pPr>
        <w:pStyle w:val="Odstavecseseznamem"/>
        <w:numPr>
          <w:ilvl w:val="0"/>
          <w:numId w:val="36"/>
        </w:numPr>
        <w:overflowPunct/>
        <w:autoSpaceDE/>
        <w:autoSpaceDN/>
        <w:adjustRightInd/>
        <w:spacing w:before="120"/>
        <w:contextualSpacing w:val="0"/>
        <w:jc w:val="left"/>
        <w:textAlignment w:val="auto"/>
      </w:pPr>
      <w:r w:rsidRPr="007C0CDA">
        <w:lastRenderedPageBreak/>
        <w:t>snižování energetické náročnosti/zvyšování energetické účinnosti výrobních a technologických procesů,</w:t>
      </w:r>
    </w:p>
    <w:p w:rsidR="009D2CAE" w:rsidRPr="007C0CDA" w:rsidRDefault="009D2CAE" w:rsidP="00D67A40">
      <w:pPr>
        <w:pStyle w:val="Odstavecseseznamem"/>
        <w:numPr>
          <w:ilvl w:val="0"/>
          <w:numId w:val="36"/>
        </w:numPr>
        <w:overflowPunct/>
        <w:autoSpaceDE/>
        <w:autoSpaceDN/>
        <w:adjustRightInd/>
        <w:spacing w:before="120"/>
        <w:contextualSpacing w:val="0"/>
        <w:jc w:val="left"/>
        <w:textAlignment w:val="auto"/>
      </w:pPr>
      <w:r w:rsidRPr="007C0CDA">
        <w:t>instalace OZE pro vlastní spotřebu podniku,</w:t>
      </w:r>
    </w:p>
    <w:p w:rsidR="009D2CAE" w:rsidRPr="007C0CDA" w:rsidRDefault="009D2CAE" w:rsidP="00D67A40">
      <w:pPr>
        <w:pStyle w:val="Odstavecseseznamem"/>
        <w:numPr>
          <w:ilvl w:val="0"/>
          <w:numId w:val="36"/>
        </w:numPr>
        <w:overflowPunct/>
        <w:autoSpaceDE/>
        <w:autoSpaceDN/>
        <w:adjustRightInd/>
        <w:spacing w:before="120"/>
        <w:contextualSpacing w:val="0"/>
        <w:jc w:val="left"/>
        <w:textAlignment w:val="auto"/>
      </w:pPr>
      <w:r w:rsidRPr="007C0CDA">
        <w:t>instalace kogenerační jednotky s maximálním využitím elektrické a tepelné energie pro vlastní spotřebu podniku,</w:t>
      </w:r>
    </w:p>
    <w:p w:rsidR="009D2CAE" w:rsidRPr="007C0CDA" w:rsidRDefault="009D2CAE" w:rsidP="00D67A40">
      <w:pPr>
        <w:pStyle w:val="Odstavecseseznamem"/>
        <w:numPr>
          <w:ilvl w:val="0"/>
          <w:numId w:val="36"/>
        </w:numPr>
        <w:overflowPunct/>
        <w:autoSpaceDE/>
        <w:autoSpaceDN/>
        <w:adjustRightInd/>
        <w:spacing w:line="250" w:lineRule="atLeast"/>
        <w:jc w:val="left"/>
        <w:textAlignment w:val="auto"/>
      </w:pPr>
      <w:r w:rsidRPr="007C0CDA">
        <w:t>podpora vícenákladů na dosažení standardu budovy s téměř nulovou spotřebou a pasivního energetického standardu v případě rekonstrukce či výstavby nových podnikatelských budov. Vícenáklady budou odvozeny od modelových příkladů a pro účely podpory stanoveny jako pevná částka na jasně měřitelnou veličinu (např. na metr čtvereční energeticky vztažné plochy).</w:t>
      </w:r>
    </w:p>
    <w:p w:rsidR="009D2CAE" w:rsidRPr="007C0CDA" w:rsidRDefault="009D2CAE" w:rsidP="00DF6E0B">
      <w:pPr>
        <w:rPr>
          <w:lang w:eastAsia="en-US"/>
        </w:rPr>
      </w:pPr>
    </w:p>
    <w:p w:rsidR="009D2CAE" w:rsidRPr="007C0CDA" w:rsidRDefault="009D2CAE" w:rsidP="008674AE">
      <w:pPr>
        <w:pStyle w:val="Neslovannadpisy"/>
      </w:pPr>
      <w:r w:rsidRPr="007C0CDA">
        <w:t xml:space="preserve">Hlavní cílová skupina: </w:t>
      </w:r>
    </w:p>
    <w:p w:rsidR="009D2CAE" w:rsidRPr="007C0CDA" w:rsidRDefault="009D2CAE" w:rsidP="008674AE">
      <w:r w:rsidRPr="007C0CDA">
        <w:t>Podnikatelské subjekty (malé, střední a případně velké podniky)</w:t>
      </w:r>
    </w:p>
    <w:p w:rsidR="009D2CAE" w:rsidRPr="007C0CDA" w:rsidRDefault="009D2CAE" w:rsidP="008674AE">
      <w:pPr>
        <w:pStyle w:val="Neslovannadpisy"/>
      </w:pPr>
    </w:p>
    <w:p w:rsidR="009D2CAE" w:rsidRPr="007C0CDA" w:rsidRDefault="009D2CAE" w:rsidP="008674AE">
      <w:pPr>
        <w:pStyle w:val="Neslovannadpisy"/>
      </w:pPr>
      <w:r w:rsidRPr="007C0CDA">
        <w:t>Cílové území:</w:t>
      </w:r>
    </w:p>
    <w:p w:rsidR="009D2CAE" w:rsidRPr="007C0CDA" w:rsidRDefault="009D2CAE" w:rsidP="008674AE">
      <w:r w:rsidRPr="007C0CDA">
        <w:t>Všechny regiony v ČR kromě hl. m. Prahy</w:t>
      </w:r>
    </w:p>
    <w:p w:rsidR="009D2CAE" w:rsidRPr="007C0CDA" w:rsidRDefault="009D2CAE" w:rsidP="008674AE"/>
    <w:p w:rsidR="009D2CAE" w:rsidRPr="007C0CDA" w:rsidRDefault="009D2CAE" w:rsidP="005D2279">
      <w:pPr>
        <w:pStyle w:val="Neslovannadpisy"/>
      </w:pPr>
      <w:r w:rsidRPr="007C0CDA">
        <w:t>Výběr aktivit k posouzení vhodnosti finančního nástroje</w:t>
      </w:r>
    </w:p>
    <w:p w:rsidR="009D2CAE" w:rsidRPr="007C0CDA" w:rsidRDefault="009D2CAE" w:rsidP="005D2279">
      <w:r w:rsidRPr="007C0CDA">
        <w:t>K předběžnému posouzení byly vybrány všechny podporované aktivity cíle SC 3.2. Podporované projekty svým investičním a ziskovým charakterem, dobrou kvantifikovatelností a předvídatelností úspory a výnosů tvoří potenciálně vhodnou oblast pro návratnou formu podpory.</w:t>
      </w:r>
    </w:p>
    <w:p w:rsidR="009D2CAE" w:rsidRPr="007C0CDA" w:rsidRDefault="009D2CAE" w:rsidP="008674AE"/>
    <w:p w:rsidR="009D2CAE" w:rsidRPr="007C0CDA" w:rsidRDefault="009D2CAE" w:rsidP="00DF6E0B">
      <w:pPr>
        <w:rPr>
          <w:lang w:eastAsia="en-US"/>
        </w:rPr>
      </w:pPr>
    </w:p>
    <w:p w:rsidR="009D2CAE" w:rsidRPr="00854519" w:rsidRDefault="009D2CAE" w:rsidP="002433DA">
      <w:pPr>
        <w:pStyle w:val="Nadpis3"/>
        <w:rPr>
          <w:lang w:eastAsia="en-US"/>
        </w:rPr>
      </w:pPr>
      <w:bookmarkStart w:id="521" w:name="_Toc416447857"/>
      <w:r w:rsidRPr="00B675D6">
        <w:rPr>
          <w:lang w:eastAsia="en-US"/>
        </w:rPr>
        <w:t>Tržní analýza</w:t>
      </w:r>
      <w:bookmarkEnd w:id="521"/>
    </w:p>
    <w:p w:rsidR="009D2CAE" w:rsidRPr="007C0CDA" w:rsidRDefault="009D2CAE" w:rsidP="00DF6E0B">
      <w:pPr>
        <w:rPr>
          <w:lang w:eastAsia="en-US"/>
        </w:rPr>
      </w:pPr>
      <w:r w:rsidRPr="007C0CDA">
        <w:rPr>
          <w:lang w:eastAsia="en-US"/>
        </w:rPr>
        <w:t xml:space="preserve">Financování projektů energetických úspor je v současné době rostoucím byznysem. Velkého potenciálu technologického rozvoje a energetických úspor využívá řada subjektů na trhu (tzv. energetické servisní společnosti – </w:t>
      </w:r>
      <w:r w:rsidRPr="007C0CDA">
        <w:rPr>
          <w:b/>
          <w:lang w:eastAsia="en-US"/>
        </w:rPr>
        <w:t>ESCO</w:t>
      </w:r>
      <w:r w:rsidRPr="007C0CDA">
        <w:rPr>
          <w:lang w:eastAsia="en-US"/>
        </w:rPr>
        <w:t>)k realizaci úprav organizačních, technických i stavebních, které vedou ke snížení spotřeby energie a tedy i snížení nákladů pro konečného spotřebitele. Tento rozvoj je zapříčiněn nejen dotační podporou, financování energetických úspor je ekonomicky racionální i na čistě tržním principu.</w:t>
      </w:r>
    </w:p>
    <w:p w:rsidR="009D2CAE" w:rsidRPr="007C0CDA" w:rsidRDefault="009D2CAE" w:rsidP="001C365A">
      <w:pPr>
        <w:pStyle w:val="Neslovannadpisy"/>
        <w:rPr>
          <w:lang w:eastAsia="en-US"/>
        </w:rPr>
      </w:pPr>
    </w:p>
    <w:p w:rsidR="009D2CAE" w:rsidRPr="007C0CDA" w:rsidRDefault="009D2CAE" w:rsidP="001C365A">
      <w:pPr>
        <w:pStyle w:val="Neslovannadpisy"/>
        <w:rPr>
          <w:lang w:eastAsia="en-US"/>
        </w:rPr>
      </w:pPr>
      <w:r w:rsidRPr="007C0CDA">
        <w:rPr>
          <w:lang w:eastAsia="en-US"/>
        </w:rPr>
        <w:t>Zdroje financování</w:t>
      </w:r>
    </w:p>
    <w:p w:rsidR="009D2CAE" w:rsidRPr="007C0CDA" w:rsidRDefault="009D2CAE" w:rsidP="00E07015">
      <w:pPr>
        <w:rPr>
          <w:lang w:eastAsia="en-US"/>
        </w:rPr>
      </w:pPr>
      <w:r w:rsidRPr="007C0CDA">
        <w:rPr>
          <w:lang w:eastAsia="en-US"/>
        </w:rPr>
        <w:t xml:space="preserve">Z rozhovorů se zainteresovanými subjekty vyplynulo, že mechanismy financování investic do snížení energetické náročnosti podniků jsou poměrně vyspělé a efektivní, jako například metoda zaručených energetických úspor </w:t>
      </w:r>
      <w:r w:rsidRPr="007C0CDA">
        <w:rPr>
          <w:b/>
          <w:lang w:eastAsia="en-US"/>
        </w:rPr>
        <w:t>Energy Performance Contracting</w:t>
      </w:r>
      <w:r w:rsidRPr="007C0CDA">
        <w:rPr>
          <w:lang w:eastAsia="en-US"/>
        </w:rPr>
        <w:t xml:space="preserve">, skrze kterou se od přelomu milénia investice na tržním principu financují nejčastěji.Metoda EPC je nicméně obvyklá především u veřejných subjektů. V podnikatelské oblasti je její rozvoj zatím pomalejší, realizované EPC projekty zde dosáhly od svého rozšíření na přelomu milénia úhrnné výše přibližně 210 mil. Kč. </w:t>
      </w:r>
      <w:r w:rsidRPr="007C0CDA">
        <w:rPr>
          <w:b/>
          <w:lang w:eastAsia="en-US"/>
        </w:rPr>
        <w:t>Experti České Spořitelny odhadují absorpční kapacitu investic MSP do energetických úspor na 18,3 mld. Kč</w:t>
      </w:r>
      <w:r w:rsidRPr="007C0CDA">
        <w:rPr>
          <w:lang w:eastAsia="en-US"/>
        </w:rPr>
        <w:t xml:space="preserve"> v průběhu příštích pěti let. Klíčová pro reálné investice bude schopnost aktivizace této potenciální poptávky, jelikož v podnikatelském sektoru větší investiční aktivitě brání několik bariér (viz Tržní selhání).</w:t>
      </w:r>
    </w:p>
    <w:p w:rsidR="009D2CAE" w:rsidRPr="007C0CDA" w:rsidRDefault="009D2CAE" w:rsidP="00E07015">
      <w:pPr>
        <w:rPr>
          <w:lang w:eastAsia="en-US"/>
        </w:rPr>
      </w:pPr>
    </w:p>
    <w:p w:rsidR="009D2CAE" w:rsidRPr="007C0CDA" w:rsidRDefault="009D2CAE" w:rsidP="00E07015">
      <w:pPr>
        <w:rPr>
          <w:lang w:eastAsia="en-US"/>
        </w:rPr>
      </w:pPr>
      <w:r w:rsidRPr="007C0CDA">
        <w:rPr>
          <w:lang w:eastAsia="en-US"/>
        </w:rPr>
        <w:t xml:space="preserve">Banky jsou s ohledem na rozvoj těchto aktivit na základě energetických auditů otevřené jejich úvěrování. Podobně jako u OZE </w:t>
      </w:r>
      <w:r w:rsidRPr="002433DA">
        <w:rPr>
          <w:b/>
          <w:lang w:eastAsia="en-US"/>
        </w:rPr>
        <w:t>existují u větších bank specializované produkty projektového financování s</w:t>
      </w:r>
      <w:r w:rsidRPr="007C0CDA">
        <w:rPr>
          <w:b/>
          <w:lang w:eastAsia="en-US"/>
        </w:rPr>
        <w:t> </w:t>
      </w:r>
      <w:r w:rsidRPr="002433DA">
        <w:rPr>
          <w:b/>
          <w:lang w:eastAsia="en-US"/>
        </w:rPr>
        <w:t>potřebnou bankovní expertízou a případným napojením na veřejnou podporu</w:t>
      </w:r>
      <w:r w:rsidRPr="007C0CDA">
        <w:rPr>
          <w:lang w:eastAsia="en-US"/>
        </w:rPr>
        <w:t xml:space="preserve">.Fungují také </w:t>
      </w:r>
      <w:r w:rsidRPr="002433DA">
        <w:rPr>
          <w:b/>
          <w:lang w:eastAsia="en-US"/>
        </w:rPr>
        <w:t>bankovní faktoringové nástroje na odkup pohledávek za dodavateli</w:t>
      </w:r>
      <w:r w:rsidRPr="007C0CDA">
        <w:rPr>
          <w:b/>
          <w:lang w:eastAsia="en-US"/>
        </w:rPr>
        <w:t xml:space="preserve"> </w:t>
      </w:r>
      <w:r w:rsidRPr="002433DA">
        <w:rPr>
          <w:b/>
          <w:lang w:eastAsia="en-US"/>
        </w:rPr>
        <w:t>ESCO</w:t>
      </w:r>
      <w:r w:rsidRPr="007C0CDA">
        <w:rPr>
          <w:lang w:eastAsia="en-US"/>
        </w:rPr>
        <w:t xml:space="preserve"> provádějící EPC. </w:t>
      </w:r>
      <w:r w:rsidRPr="007C0CDA">
        <w:rPr>
          <w:lang w:eastAsia="en-US"/>
        </w:rPr>
        <w:lastRenderedPageBreak/>
        <w:t>Bariérou mohou být v některých případech nestandardní řešení a opatření, na která banky nemají připravený hodnotící mechanizmus, což je nicméně záležitostí spíše menších bank.</w:t>
      </w:r>
    </w:p>
    <w:p w:rsidR="009D2CAE" w:rsidRPr="007C0CDA" w:rsidRDefault="009D2CAE" w:rsidP="00E07015">
      <w:pPr>
        <w:rPr>
          <w:lang w:eastAsia="en-US"/>
        </w:rPr>
      </w:pPr>
    </w:p>
    <w:p w:rsidR="009D2CAE" w:rsidRPr="007C0CDA" w:rsidRDefault="009D2CAE" w:rsidP="00FE277C">
      <w:pPr>
        <w:rPr>
          <w:lang w:eastAsia="en-US"/>
        </w:rPr>
      </w:pPr>
      <w:r w:rsidRPr="002433DA">
        <w:rPr>
          <w:lang w:eastAsia="en-US"/>
        </w:rPr>
        <w:t>Na zvýšené nabídce financování má vliv i program EIB</w:t>
      </w:r>
      <w:r w:rsidRPr="007C0CDA">
        <w:rPr>
          <w:lang w:eastAsia="en-US"/>
        </w:rPr>
        <w:t xml:space="preserve"> pro MSP</w:t>
      </w:r>
      <w:r w:rsidRPr="002433DA">
        <w:rPr>
          <w:lang w:eastAsia="en-US"/>
        </w:rPr>
        <w:t>, prostřednictvím něhož jsou v</w:t>
      </w:r>
      <w:r w:rsidRPr="007C0CDA">
        <w:rPr>
          <w:lang w:eastAsia="en-US"/>
        </w:rPr>
        <w:t> </w:t>
      </w:r>
      <w:r w:rsidRPr="002433DA">
        <w:rPr>
          <w:lang w:eastAsia="en-US"/>
        </w:rPr>
        <w:t>ČR nabízeny produkty</w:t>
      </w:r>
      <w:r w:rsidRPr="007C0CDA">
        <w:rPr>
          <w:lang w:eastAsia="en-US"/>
        </w:rPr>
        <w:t xml:space="preserve"> </w:t>
      </w:r>
      <w:r w:rsidRPr="007C0CDA">
        <w:rPr>
          <w:b/>
          <w:lang w:eastAsia="en-US"/>
        </w:rPr>
        <w:t>Globální úvěr Zelená energie</w:t>
      </w:r>
      <w:r w:rsidRPr="007C0CDA">
        <w:rPr>
          <w:lang w:eastAsia="en-US"/>
        </w:rPr>
        <w:t xml:space="preserve"> (ČS) a </w:t>
      </w:r>
      <w:r w:rsidRPr="007C0CDA">
        <w:rPr>
          <w:b/>
          <w:lang w:eastAsia="en-US"/>
        </w:rPr>
        <w:t xml:space="preserve">Zelený úvěr </w:t>
      </w:r>
      <w:r w:rsidRPr="007C0CDA">
        <w:rPr>
          <w:lang w:eastAsia="en-US"/>
        </w:rPr>
        <w:t xml:space="preserve">(RaiffeisenBank),prostřednictvím kterého je možné získat úvěr až 300 mil. Kč </w:t>
      </w:r>
      <w:r w:rsidRPr="007C0CDA">
        <w:rPr>
          <w:b/>
          <w:lang w:eastAsia="en-US"/>
        </w:rPr>
        <w:t>s desetiprocentní dotací EIB</w:t>
      </w:r>
      <w:r w:rsidRPr="007C0CDA">
        <w:rPr>
          <w:lang w:eastAsia="en-US"/>
        </w:rPr>
        <w:t xml:space="preserve">. Typickými projekty jsou instalace kogenerační jednotek. Za prvních 8 měsíců fungování byly jen v ČS rozpracovány projekty za 690 mil. Kč s očekávanou dotací ve výši 47 mil. Kč. </w:t>
      </w:r>
    </w:p>
    <w:p w:rsidR="009D2CAE" w:rsidRPr="007C0CDA" w:rsidRDefault="009D2CAE" w:rsidP="00FE277C">
      <w:pPr>
        <w:rPr>
          <w:lang w:eastAsia="en-US"/>
        </w:rPr>
      </w:pPr>
    </w:p>
    <w:p w:rsidR="009D2CAE" w:rsidRPr="007C0CDA" w:rsidRDefault="009D2CAE" w:rsidP="001C365A">
      <w:pPr>
        <w:rPr>
          <w:lang w:eastAsia="en-US"/>
        </w:rPr>
      </w:pPr>
      <w:r w:rsidRPr="007C0CDA">
        <w:rPr>
          <w:lang w:eastAsia="en-US"/>
        </w:rPr>
        <w:t>Vzhledem důrazu na energetické úspory ve stávající i chystané nové energetické koncepci ČR i s ohledem na závazný evropský cíl dosáhnout do roku 2020 o 20 % vyšší energetické účinnosti jsou investice do této oblasti důležitým veřejným zájmem, který je podporován na evropské i národní úrovni.</w:t>
      </w:r>
      <w:r w:rsidRPr="007C0CDA">
        <w:rPr>
          <w:b/>
          <w:lang w:eastAsia="en-US"/>
        </w:rPr>
        <w:t>Veřejná podpora ve formě dotací znamenala významný zdroj financování projektů OZE v minulém období.</w:t>
      </w:r>
      <w:r w:rsidRPr="007C0CDA">
        <w:rPr>
          <w:lang w:eastAsia="en-US"/>
        </w:rPr>
        <w:t xml:space="preserve"> Pro projekty OP PIK je nejrelevantnější analogický program podpory v OP PI EKO ENERGIE.</w:t>
      </w:r>
    </w:p>
    <w:p w:rsidR="009D2CAE" w:rsidRPr="007C0CDA" w:rsidRDefault="009D2CAE" w:rsidP="00E07015">
      <w:pPr>
        <w:rPr>
          <w:lang w:eastAsia="en-US"/>
        </w:rPr>
      </w:pPr>
    </w:p>
    <w:p w:rsidR="009D2CAE" w:rsidRPr="007C0CDA" w:rsidRDefault="009D2CAE" w:rsidP="00545716">
      <w:pPr>
        <w:rPr>
          <w:lang w:eastAsia="en-US"/>
        </w:rPr>
      </w:pPr>
      <w:r w:rsidRPr="007C0CDA">
        <w:rPr>
          <w:b/>
          <w:lang w:eastAsia="en-US"/>
        </w:rPr>
        <w:t>OP</w:t>
      </w:r>
      <w:r w:rsidR="00F81A36">
        <w:rPr>
          <w:b/>
          <w:lang w:eastAsia="en-US"/>
        </w:rPr>
        <w:t xml:space="preserve"> </w:t>
      </w:r>
      <w:r w:rsidRPr="007C0CDA">
        <w:rPr>
          <w:b/>
          <w:lang w:eastAsia="en-US"/>
        </w:rPr>
        <w:t>PI - Program Eko-energie</w:t>
      </w:r>
      <w:r w:rsidRPr="007C0CDA">
        <w:rPr>
          <w:lang w:eastAsia="en-US"/>
        </w:rPr>
        <w:t xml:space="preserve"> se zaměřoval na podporu využití energie z OZE a druhotných zdrojů, rekonstrukce stávajících zařízení na výrobu elektrické energie a tepla a zařízení na výrobu pelet a briket z obnovitelných a druhotných zdrojů.  Energetická úspornost byla podporována prostřednictvím podpory zvyšování účinnosti při výrobě, přenosu a spotřebě energie formou modernizace stávajících zařízení, zavádění nových výrobních a monitorovacích systémů a v neposlední řadě zlepšování tepelných vlastností budov (s výjimkou rodinných a bytových domů), využití odpadní energie v průmyslu, to vše na základě 12% alokace OPPI se zaměřením na MSP. </w:t>
      </w:r>
      <w:r w:rsidRPr="007C0CDA">
        <w:rPr>
          <w:b/>
          <w:lang w:eastAsia="en-US"/>
        </w:rPr>
        <w:t>Celková alokace PO3 počítala s pokrytím způsobilých výdajů na projekty ve výši 471,5 mil. €</w:t>
      </w:r>
      <w:r w:rsidRPr="007C0CDA">
        <w:rPr>
          <w:lang w:eastAsia="en-US"/>
        </w:rPr>
        <w:t xml:space="preserve"> (příspěvek ERDF 400 mil. €). </w:t>
      </w:r>
    </w:p>
    <w:p w:rsidR="009D2CAE" w:rsidRPr="007C0CDA" w:rsidRDefault="009D2CAE" w:rsidP="00545716">
      <w:pPr>
        <w:rPr>
          <w:lang w:eastAsia="en-US"/>
        </w:rPr>
      </w:pPr>
    </w:p>
    <w:p w:rsidR="009D2CAE" w:rsidRPr="007C0CDA" w:rsidRDefault="009D2CAE" w:rsidP="00545716">
      <w:pPr>
        <w:rPr>
          <w:lang w:eastAsia="en-US"/>
        </w:rPr>
      </w:pPr>
      <w:r w:rsidRPr="007C0CDA">
        <w:rPr>
          <w:lang w:eastAsia="en-US"/>
        </w:rPr>
        <w:t xml:space="preserve">V oblasti podpory 3.1 Úspory energie a obnovitelné zdroje energie bylo v rámci programového období 2007 – 2013 alokováno9 970 mil. Kč (12,4 % podíl na celkové alokaci). </w:t>
      </w:r>
      <w:r w:rsidRPr="007C0CDA">
        <w:rPr>
          <w:b/>
          <w:lang w:eastAsia="en-US"/>
        </w:rPr>
        <w:t>K 30. 6. 2014 bylo přijato 2 177 žádostí o dotace na investiční projekty do energetické efektivnosti. Celková požadovaná suma zdrojů činila 20 406 mil. Kč, což znamená, že poptávka převýšila nabídku zdrojů o téměř 105 %</w:t>
      </w:r>
      <w:r w:rsidRPr="007C0CDA">
        <w:rPr>
          <w:lang w:eastAsia="en-US"/>
        </w:rPr>
        <w:t xml:space="preserve">. Projekty s vydaným rozhodnutím nebo podepsanou smlouvou, čili schválené žádosti, dosáhly počtu 1 223 projektů při celkové sumě 9 511 mil. Kč na pokrytí způsobilých nákladů. Vytěžení prioritní osy v programu OPPI po 2. kvartálu v roce 2014 dosahovalo skoro 96 % úrovně. </w:t>
      </w:r>
    </w:p>
    <w:p w:rsidR="009D2CAE" w:rsidRPr="007C0CDA" w:rsidRDefault="009D2CAE" w:rsidP="00545716">
      <w:pPr>
        <w:rPr>
          <w:lang w:eastAsia="en-US"/>
        </w:rPr>
      </w:pPr>
    </w:p>
    <w:p w:rsidR="009D2CAE" w:rsidRPr="007C0CDA" w:rsidRDefault="009D2CAE" w:rsidP="003315B6">
      <w:pPr>
        <w:jc w:val="left"/>
        <w:rPr>
          <w:b/>
          <w:lang w:eastAsia="en-US"/>
        </w:rPr>
      </w:pPr>
      <w:r w:rsidRPr="007C0CDA">
        <w:rPr>
          <w:b/>
          <w:lang w:eastAsia="en-US"/>
        </w:rPr>
        <w:t>Na konci roku 2013 byly prostřednictvím PO3 zazávazkovány zdroje v celkové výši 383 mil. € na 1223 projektů</w:t>
      </w:r>
      <w:r w:rsidRPr="007C0CDA">
        <w:rPr>
          <w:lang w:eastAsia="en-US"/>
        </w:rPr>
        <w:t xml:space="preserve">. Z alokovaných zdrojů bylo proplaceno 231 mil. € (58% alokace), certifikováno 221 mil. € (50% alokace). </w:t>
      </w:r>
      <w:r w:rsidRPr="007C0CDA">
        <w:rPr>
          <w:b/>
          <w:lang w:eastAsia="en-US"/>
        </w:rPr>
        <w:t>V roce 2013 bylo vyřazeno 153 žádostí, z nichž některé byly vyřazeny proto, že projekt vykazoval vnitřní výnosové procento vyšší než 20 %</w:t>
      </w:r>
      <w:r w:rsidRPr="007C0CDA">
        <w:rPr>
          <w:lang w:eastAsia="en-US"/>
        </w:rPr>
        <w:t xml:space="preserve">. </w:t>
      </w:r>
      <w:r w:rsidRPr="007C0CDA">
        <w:rPr>
          <w:b/>
          <w:lang w:eastAsia="en-US"/>
        </w:rPr>
        <w:t>Zamítnuto bylo 2287</w:t>
      </w:r>
    </w:p>
    <w:p w:rsidR="009D2CAE" w:rsidRPr="007C0CDA" w:rsidRDefault="009D2CAE" w:rsidP="003315B6">
      <w:pPr>
        <w:jc w:val="left"/>
        <w:rPr>
          <w:lang w:eastAsia="en-US"/>
        </w:rPr>
      </w:pPr>
      <w:r w:rsidRPr="007C0CDA">
        <w:rPr>
          <w:b/>
          <w:lang w:eastAsia="en-US"/>
        </w:rPr>
        <w:t>žádostí o úhrnném objemu 539 mil. €</w:t>
      </w:r>
      <w:r w:rsidRPr="007C0CDA">
        <w:rPr>
          <w:lang w:eastAsia="en-US"/>
        </w:rPr>
        <w:t>.</w:t>
      </w:r>
    </w:p>
    <w:p w:rsidR="009D2CAE" w:rsidRPr="007C0CDA" w:rsidRDefault="009D2CAE" w:rsidP="00545716">
      <w:pPr>
        <w:rPr>
          <w:lang w:eastAsia="en-US"/>
        </w:rPr>
      </w:pPr>
    </w:p>
    <w:p w:rsidR="009D2CAE" w:rsidRPr="007C0CDA" w:rsidRDefault="009D2CAE" w:rsidP="00545716">
      <w:pPr>
        <w:rPr>
          <w:lang w:eastAsia="en-US"/>
        </w:rPr>
      </w:pPr>
      <w:r w:rsidRPr="007C0CDA">
        <w:rPr>
          <w:b/>
          <w:lang w:eastAsia="en-US"/>
        </w:rPr>
        <w:t>EFEKT</w:t>
      </w:r>
      <w:r w:rsidRPr="007C0CDA">
        <w:rPr>
          <w:lang w:eastAsia="en-US"/>
        </w:rPr>
        <w:t xml:space="preserve">–Národní program EFEKT je vzhledem ke své nízké alokaci a převážně neinvestičnímu zaměření pro nabídku zdrojů v SC 3.2 málo relevantní. I zde byl nicméně zaznamenán </w:t>
      </w:r>
      <w:r w:rsidRPr="007C0CDA">
        <w:rPr>
          <w:b/>
        </w:rPr>
        <w:t>výrazný převis poptávky</w:t>
      </w:r>
      <w:r w:rsidRPr="007C0CDA">
        <w:t xml:space="preserve">, kdy bylo z žádaných 127 mil. Kč podpořeno pouze 28 mil. Kč. </w:t>
      </w:r>
    </w:p>
    <w:p w:rsidR="009D2CAE" w:rsidRPr="007C0CDA" w:rsidRDefault="009D2CAE" w:rsidP="00545716">
      <w:pPr>
        <w:pStyle w:val="Neslovannadpisy"/>
        <w:rPr>
          <w:lang w:eastAsia="en-US"/>
        </w:rPr>
      </w:pPr>
    </w:p>
    <w:p w:rsidR="009D2CAE" w:rsidRPr="007C0CDA" w:rsidDel="00FE277C" w:rsidRDefault="009D2CAE" w:rsidP="00557F94">
      <w:pPr>
        <w:rPr>
          <w:lang w:eastAsia="en-US"/>
        </w:rPr>
      </w:pPr>
    </w:p>
    <w:p w:rsidR="009D2CAE" w:rsidRPr="007C0CDA" w:rsidRDefault="009D2CAE" w:rsidP="00557F94">
      <w:pPr>
        <w:rPr>
          <w:lang w:eastAsia="en-US"/>
        </w:rPr>
      </w:pPr>
    </w:p>
    <w:p w:rsidR="009D2CAE" w:rsidRPr="00854519" w:rsidRDefault="009D2CAE" w:rsidP="002433DA">
      <w:pPr>
        <w:pStyle w:val="Nadpis3"/>
        <w:rPr>
          <w:lang w:eastAsia="en-US"/>
        </w:rPr>
      </w:pPr>
      <w:bookmarkStart w:id="522" w:name="_Toc416447858"/>
      <w:r w:rsidRPr="00B675D6">
        <w:rPr>
          <w:lang w:eastAsia="en-US"/>
        </w:rPr>
        <w:t>Vyčíslení potenciální absorpční kapacity</w:t>
      </w:r>
      <w:bookmarkEnd w:id="522"/>
    </w:p>
    <w:p w:rsidR="009D2CAE" w:rsidRPr="007C0CDA" w:rsidRDefault="009D2CAE" w:rsidP="00884BD3">
      <w:pPr>
        <w:pStyle w:val="Neslovannadpisy"/>
        <w:rPr>
          <w:lang w:eastAsia="en-US"/>
        </w:rPr>
      </w:pPr>
      <w:r w:rsidRPr="007C0CDA">
        <w:rPr>
          <w:lang w:eastAsia="en-US"/>
        </w:rPr>
        <w:t>Nezávislé studie</w:t>
      </w:r>
    </w:p>
    <w:p w:rsidR="009D2CAE" w:rsidRPr="007C0CDA" w:rsidRDefault="009D2CAE" w:rsidP="00884BD3">
      <w:pPr>
        <w:jc w:val="left"/>
        <w:rPr>
          <w:lang w:eastAsia="en-US"/>
        </w:rPr>
      </w:pPr>
      <w:r w:rsidRPr="007C0CDA">
        <w:rPr>
          <w:lang w:eastAsia="en-US"/>
        </w:rPr>
        <w:lastRenderedPageBreak/>
        <w:t xml:space="preserve">Rámcovou představu o aktuální investiční potřebě po financování poskytují výrazné převisy poptávky v rámci programů Eko-energie a Efekt 2013. </w:t>
      </w:r>
      <w:r w:rsidRPr="007C0CDA">
        <w:rPr>
          <w:b/>
          <w:lang w:eastAsia="en-US"/>
        </w:rPr>
        <w:t>Studie společnosti Seven</w:t>
      </w:r>
      <w:r w:rsidRPr="007C0CDA">
        <w:rPr>
          <w:rStyle w:val="Znakapoznpodarou"/>
          <w:b/>
        </w:rPr>
        <w:footnoteReference w:id="23"/>
      </w:r>
      <w:r w:rsidRPr="007C0CDA">
        <w:rPr>
          <w:b/>
          <w:lang w:eastAsia="en-US"/>
        </w:rPr>
        <w:t>odhaduje absorpční kapacitu na základě projektů realizovaných v minulém programovém období na 20 mld. Kč</w:t>
      </w:r>
      <w:r w:rsidRPr="007C0CDA">
        <w:rPr>
          <w:lang w:eastAsia="en-US"/>
        </w:rPr>
        <w:t>.</w:t>
      </w:r>
    </w:p>
    <w:p w:rsidR="009D2CAE" w:rsidRPr="007C0CDA" w:rsidRDefault="009D2CAE" w:rsidP="00884BD3">
      <w:pPr>
        <w:jc w:val="left"/>
        <w:rPr>
          <w:lang w:eastAsia="en-US"/>
        </w:rPr>
      </w:pPr>
    </w:p>
    <w:p w:rsidR="009D2CAE" w:rsidRPr="007C0CDA" w:rsidRDefault="009D2CAE" w:rsidP="00884BD3">
      <w:pPr>
        <w:jc w:val="left"/>
        <w:rPr>
          <w:lang w:eastAsia="en-US"/>
        </w:rPr>
      </w:pPr>
      <w:r w:rsidRPr="007C0CDA">
        <w:rPr>
          <w:b/>
          <w:lang w:eastAsia="en-US"/>
        </w:rPr>
        <w:t>Experti České Spořitelny odhadují absorpční kapacitu investic MSP do energetických úspor na 18,3 mld. Kč</w:t>
      </w:r>
      <w:r w:rsidRPr="007C0CDA">
        <w:rPr>
          <w:lang w:eastAsia="en-US"/>
        </w:rPr>
        <w:t xml:space="preserve"> v průběhu příštích pěti let.</w:t>
      </w:r>
    </w:p>
    <w:p w:rsidR="009D2CAE" w:rsidRPr="007C0CDA" w:rsidRDefault="009D2CAE" w:rsidP="00884BD3">
      <w:pPr>
        <w:jc w:val="left"/>
        <w:rPr>
          <w:lang w:eastAsia="en-US"/>
        </w:rPr>
      </w:pPr>
    </w:p>
    <w:p w:rsidR="009D2CAE" w:rsidRPr="007C0CDA" w:rsidRDefault="009D2CAE" w:rsidP="00BF704B">
      <w:pPr>
        <w:pStyle w:val="Neslovannadpisy"/>
        <w:rPr>
          <w:lang w:eastAsia="en-US"/>
        </w:rPr>
      </w:pPr>
      <w:r w:rsidRPr="007C0CDA">
        <w:rPr>
          <w:lang w:eastAsia="en-US"/>
        </w:rPr>
        <w:t>Dotazníkové šetření</w:t>
      </w:r>
    </w:p>
    <w:p w:rsidR="009D2CAE" w:rsidRPr="007C0CDA" w:rsidRDefault="009D2CAE" w:rsidP="00BF704B">
      <w:pPr>
        <w:rPr>
          <w:lang w:eastAsia="en-US"/>
        </w:rPr>
      </w:pPr>
      <w:r w:rsidRPr="007C0CDA">
        <w:rPr>
          <w:lang w:eastAsia="en-US"/>
        </w:rPr>
        <w:t xml:space="preserve">Výsledky dotazníkového šetření, jehož se mimo MSP účastnily i velké podniky, indikují k tomuto okamžiku připravenou investiční kapacitu investic vedoucích ke snížení energetické náročnosti firem okolo 2 mld. Kč. Při analogickém přepočtení se zohledněním nižší předpokládané ziskovosti a tedy i schopnosti zajistit financování </w:t>
      </w:r>
      <w:r w:rsidRPr="007C0CDA">
        <w:rPr>
          <w:b/>
          <w:lang w:eastAsia="en-US"/>
        </w:rPr>
        <w:t>odhaduje Deloitte Advisory, s.r.o. celkovou absorpční kapacitu na 20 mld. Kč</w:t>
      </w:r>
      <w:r w:rsidRPr="007C0CDA">
        <w:rPr>
          <w:lang w:eastAsia="en-US"/>
        </w:rPr>
        <w:t>.</w:t>
      </w:r>
    </w:p>
    <w:p w:rsidR="009D2CAE" w:rsidRPr="007C0CDA" w:rsidRDefault="009D2CAE" w:rsidP="00BF704B">
      <w:pPr>
        <w:pStyle w:val="Neslovannadpisy"/>
        <w:rPr>
          <w:lang w:eastAsia="en-US"/>
        </w:rPr>
      </w:pPr>
    </w:p>
    <w:p w:rsidR="009D2CAE" w:rsidRPr="007C0CDA" w:rsidRDefault="009D2CAE" w:rsidP="00DF6E0B">
      <w:pPr>
        <w:rPr>
          <w:lang w:eastAsia="en-US"/>
        </w:rPr>
      </w:pPr>
      <w:r w:rsidRPr="007C0CDA">
        <w:rPr>
          <w:lang w:eastAsia="en-US"/>
        </w:rPr>
        <w:t xml:space="preserve">S ohledem na výrazný přesah poptávky po podpoře nad nabídkou v minulém období, expertní odhady Seven a České Spořitelny i udávané připravené investice v dotazníku k ex ante vyhodnocení považujeme předložené odhady za adekvátní a </w:t>
      </w:r>
      <w:r w:rsidRPr="007C0CDA">
        <w:rPr>
          <w:b/>
          <w:lang w:eastAsia="en-US"/>
        </w:rPr>
        <w:t xml:space="preserve">odhadujeme minimální investiční poptávku v oblasti energetických úspor na 20 mld. Kč. </w:t>
      </w:r>
      <w:r w:rsidRPr="007C0CDA">
        <w:rPr>
          <w:lang w:eastAsia="en-US"/>
        </w:rPr>
        <w:t>Pouze část těchto investic bude svou návratností vhodná pro podporu finančním nástrojem.</w:t>
      </w:r>
    </w:p>
    <w:p w:rsidR="009D2CAE" w:rsidRDefault="009D2CAE" w:rsidP="00BF704B">
      <w:pPr>
        <w:pStyle w:val="Neslovannadpisy"/>
        <w:rPr>
          <w:lang w:eastAsia="en-US"/>
        </w:rPr>
      </w:pPr>
    </w:p>
    <w:p w:rsidR="00DE0CB4" w:rsidRPr="002F7B85" w:rsidRDefault="00DE0CB4" w:rsidP="002433DA">
      <w:pPr>
        <w:rPr>
          <w:lang w:eastAsia="en-US"/>
        </w:rPr>
      </w:pPr>
      <w:r>
        <w:rPr>
          <w:lang w:eastAsia="en-US"/>
        </w:rPr>
        <w:t>V rámci dotazníkového šetření byl udáván výrazně pozitivní zájem o zvýhodněné úvěry, až v 70 % případů.</w:t>
      </w:r>
    </w:p>
    <w:tbl>
      <w:tblPr>
        <w:tblW w:w="9119" w:type="dxa"/>
        <w:tblBorders>
          <w:bottom w:val="single" w:sz="4" w:space="0" w:color="00A1DE"/>
          <w:insideH w:val="single" w:sz="4" w:space="0" w:color="00A1DE"/>
        </w:tblBorders>
        <w:tblCellMar>
          <w:top w:w="28" w:type="dxa"/>
          <w:left w:w="28" w:type="dxa"/>
          <w:bottom w:w="28" w:type="dxa"/>
          <w:right w:w="28" w:type="dxa"/>
        </w:tblCellMar>
        <w:tblLook w:val="00A0" w:firstRow="1" w:lastRow="0" w:firstColumn="1" w:lastColumn="0" w:noHBand="0" w:noVBand="0"/>
      </w:tblPr>
      <w:tblGrid>
        <w:gridCol w:w="3208"/>
        <w:gridCol w:w="1093"/>
        <w:gridCol w:w="990"/>
        <w:gridCol w:w="990"/>
        <w:gridCol w:w="990"/>
        <w:gridCol w:w="1217"/>
        <w:gridCol w:w="631"/>
      </w:tblGrid>
      <w:tr w:rsidR="00DE0CB4" w:rsidRPr="007C0CDA" w:rsidTr="002E3AE9">
        <w:trPr>
          <w:trHeight w:val="194"/>
        </w:trPr>
        <w:tc>
          <w:tcPr>
            <w:tcW w:w="3208" w:type="dxa"/>
            <w:tcBorders>
              <w:top w:val="nil"/>
              <w:left w:val="nil"/>
              <w:right w:val="nil"/>
            </w:tcBorders>
            <w:shd w:val="clear" w:color="auto" w:fill="00A1DE"/>
            <w:noWrap/>
          </w:tcPr>
          <w:p w:rsidR="00DE0CB4" w:rsidRPr="007C0CDA" w:rsidRDefault="00DE0CB4" w:rsidP="002E3AE9">
            <w:pPr>
              <w:jc w:val="left"/>
              <w:rPr>
                <w:rFonts w:ascii="Arial" w:hAnsi="Arial" w:cs="Arial"/>
                <w:b/>
                <w:bCs/>
                <w:color w:val="000000"/>
                <w:szCs w:val="22"/>
              </w:rPr>
            </w:pPr>
            <w:r w:rsidRPr="007C0CDA">
              <w:rPr>
                <w:b/>
                <w:bCs/>
                <w:color w:val="000000"/>
                <w:szCs w:val="22"/>
              </w:rPr>
              <w:t> </w:t>
            </w:r>
          </w:p>
        </w:tc>
        <w:tc>
          <w:tcPr>
            <w:tcW w:w="1093" w:type="dxa"/>
            <w:tcBorders>
              <w:top w:val="nil"/>
              <w:left w:val="nil"/>
              <w:right w:val="nil"/>
            </w:tcBorders>
            <w:shd w:val="clear" w:color="auto" w:fill="00A1DE"/>
            <w:noWrap/>
            <w:vAlign w:val="center"/>
          </w:tcPr>
          <w:p w:rsidR="00DE0CB4" w:rsidRPr="007C0CDA" w:rsidRDefault="00DE0CB4" w:rsidP="002E3AE9">
            <w:pPr>
              <w:jc w:val="center"/>
              <w:rPr>
                <w:rFonts w:ascii="Arial" w:hAnsi="Arial" w:cs="Arial"/>
                <w:b/>
                <w:bCs/>
                <w:color w:val="FFFFFF"/>
                <w:sz w:val="18"/>
                <w:szCs w:val="22"/>
              </w:rPr>
            </w:pPr>
            <w:r w:rsidRPr="007C0CDA">
              <w:rPr>
                <w:b/>
                <w:bCs/>
                <w:color w:val="FFFFFF"/>
                <w:sz w:val="18"/>
                <w:szCs w:val="22"/>
              </w:rPr>
              <w:t>Určitě ano</w:t>
            </w:r>
          </w:p>
        </w:tc>
        <w:tc>
          <w:tcPr>
            <w:tcW w:w="990" w:type="dxa"/>
            <w:tcBorders>
              <w:top w:val="nil"/>
              <w:left w:val="nil"/>
              <w:right w:val="nil"/>
            </w:tcBorders>
            <w:shd w:val="clear" w:color="auto" w:fill="00A1DE"/>
            <w:noWrap/>
            <w:vAlign w:val="center"/>
          </w:tcPr>
          <w:p w:rsidR="00DE0CB4" w:rsidRPr="007C0CDA" w:rsidRDefault="00DE0CB4" w:rsidP="002E3AE9">
            <w:pPr>
              <w:jc w:val="center"/>
              <w:rPr>
                <w:rFonts w:ascii="Arial" w:hAnsi="Arial" w:cs="Arial"/>
                <w:b/>
                <w:bCs/>
                <w:color w:val="FFFFFF"/>
                <w:sz w:val="18"/>
                <w:szCs w:val="22"/>
              </w:rPr>
            </w:pPr>
            <w:r w:rsidRPr="007C0CDA">
              <w:rPr>
                <w:b/>
                <w:bCs/>
                <w:color w:val="FFFFFF"/>
                <w:sz w:val="18"/>
                <w:szCs w:val="22"/>
              </w:rPr>
              <w:t>Spíše ano</w:t>
            </w:r>
          </w:p>
        </w:tc>
        <w:tc>
          <w:tcPr>
            <w:tcW w:w="990" w:type="dxa"/>
            <w:tcBorders>
              <w:top w:val="nil"/>
              <w:left w:val="nil"/>
              <w:right w:val="nil"/>
            </w:tcBorders>
            <w:shd w:val="clear" w:color="auto" w:fill="00A1DE"/>
            <w:noWrap/>
            <w:vAlign w:val="center"/>
          </w:tcPr>
          <w:p w:rsidR="00DE0CB4" w:rsidRPr="007C0CDA" w:rsidRDefault="00DE0CB4" w:rsidP="002E3AE9">
            <w:pPr>
              <w:jc w:val="center"/>
              <w:rPr>
                <w:rFonts w:ascii="Arial" w:hAnsi="Arial" w:cs="Arial"/>
                <w:b/>
                <w:bCs/>
                <w:color w:val="FFFFFF"/>
                <w:sz w:val="18"/>
                <w:szCs w:val="22"/>
              </w:rPr>
            </w:pPr>
            <w:r w:rsidRPr="007C0CDA">
              <w:rPr>
                <w:b/>
                <w:bCs/>
                <w:color w:val="FFFFFF"/>
                <w:sz w:val="18"/>
                <w:szCs w:val="22"/>
              </w:rPr>
              <w:t>Spíše ne</w:t>
            </w:r>
          </w:p>
        </w:tc>
        <w:tc>
          <w:tcPr>
            <w:tcW w:w="990" w:type="dxa"/>
            <w:tcBorders>
              <w:top w:val="nil"/>
              <w:left w:val="nil"/>
              <w:right w:val="nil"/>
            </w:tcBorders>
            <w:shd w:val="clear" w:color="auto" w:fill="00A1DE"/>
            <w:noWrap/>
            <w:vAlign w:val="center"/>
          </w:tcPr>
          <w:p w:rsidR="00DE0CB4" w:rsidRPr="007C0CDA" w:rsidRDefault="00DE0CB4" w:rsidP="002E3AE9">
            <w:pPr>
              <w:jc w:val="center"/>
              <w:rPr>
                <w:rFonts w:ascii="Arial" w:hAnsi="Arial" w:cs="Arial"/>
                <w:b/>
                <w:bCs/>
                <w:color w:val="FFFFFF"/>
                <w:sz w:val="18"/>
                <w:szCs w:val="22"/>
              </w:rPr>
            </w:pPr>
            <w:r w:rsidRPr="007C0CDA">
              <w:rPr>
                <w:b/>
                <w:bCs/>
                <w:color w:val="FFFFFF"/>
                <w:sz w:val="18"/>
                <w:szCs w:val="22"/>
              </w:rPr>
              <w:t>Určitě ne</w:t>
            </w:r>
          </w:p>
        </w:tc>
        <w:tc>
          <w:tcPr>
            <w:tcW w:w="1217" w:type="dxa"/>
            <w:tcBorders>
              <w:top w:val="nil"/>
              <w:left w:val="nil"/>
              <w:right w:val="nil"/>
            </w:tcBorders>
            <w:shd w:val="clear" w:color="auto" w:fill="00A1DE"/>
            <w:noWrap/>
          </w:tcPr>
          <w:p w:rsidR="00DE0CB4" w:rsidRPr="007C0CDA" w:rsidRDefault="00DE0CB4" w:rsidP="002E3AE9">
            <w:pPr>
              <w:jc w:val="center"/>
              <w:rPr>
                <w:rFonts w:ascii="Arial" w:hAnsi="Arial" w:cs="Arial"/>
                <w:b/>
                <w:bCs/>
                <w:color w:val="FFFFFF"/>
                <w:szCs w:val="22"/>
              </w:rPr>
            </w:pPr>
            <w:r w:rsidRPr="007C0CDA">
              <w:rPr>
                <w:b/>
                <w:bCs/>
                <w:color w:val="FFFFFF"/>
                <w:szCs w:val="22"/>
              </w:rPr>
              <w:t> </w:t>
            </w:r>
            <w:r w:rsidRPr="007C0CDA">
              <w:rPr>
                <w:b/>
                <w:bCs/>
                <w:color w:val="FFFFFF"/>
                <w:sz w:val="18"/>
                <w:szCs w:val="22"/>
              </w:rPr>
              <w:t>Typ nástroje</w:t>
            </w:r>
          </w:p>
        </w:tc>
        <w:tc>
          <w:tcPr>
            <w:tcW w:w="630" w:type="dxa"/>
            <w:tcBorders>
              <w:top w:val="nil"/>
              <w:left w:val="nil"/>
              <w:right w:val="nil"/>
            </w:tcBorders>
            <w:shd w:val="clear" w:color="auto" w:fill="00A1DE"/>
            <w:noWrap/>
          </w:tcPr>
          <w:p w:rsidR="00DE0CB4" w:rsidRPr="007C0CDA" w:rsidRDefault="00DE0CB4" w:rsidP="002E3AE9">
            <w:pPr>
              <w:jc w:val="left"/>
              <w:rPr>
                <w:rFonts w:ascii="Arial" w:hAnsi="Arial" w:cs="Arial"/>
                <w:b/>
                <w:bCs/>
                <w:color w:val="000000"/>
                <w:szCs w:val="22"/>
              </w:rPr>
            </w:pPr>
            <w:r w:rsidRPr="007C0CDA">
              <w:rPr>
                <w:b/>
                <w:bCs/>
                <w:color w:val="000000"/>
                <w:szCs w:val="22"/>
              </w:rPr>
              <w:t> </w:t>
            </w:r>
          </w:p>
        </w:tc>
      </w:tr>
      <w:tr w:rsidR="00DE0CB4" w:rsidRPr="007C0CDA" w:rsidTr="002E3AE9">
        <w:trPr>
          <w:trHeight w:val="203"/>
        </w:trPr>
        <w:tc>
          <w:tcPr>
            <w:tcW w:w="3208" w:type="dxa"/>
            <w:vMerge w:val="restart"/>
            <w:tcBorders>
              <w:left w:val="nil"/>
              <w:right w:val="nil"/>
            </w:tcBorders>
            <w:shd w:val="clear" w:color="auto" w:fill="FFFFFF"/>
            <w:noWrap/>
            <w:vAlign w:val="center"/>
          </w:tcPr>
          <w:p w:rsidR="00DE0CB4" w:rsidRPr="007C0CDA" w:rsidRDefault="00DE0CB4" w:rsidP="002E3AE9">
            <w:pPr>
              <w:jc w:val="center"/>
              <w:rPr>
                <w:rFonts w:ascii="Arial" w:hAnsi="Arial" w:cs="Arial"/>
                <w:color w:val="000000"/>
                <w:sz w:val="18"/>
                <w:szCs w:val="18"/>
              </w:rPr>
            </w:pPr>
            <w:r w:rsidRPr="007C0CDA">
              <w:rPr>
                <w:color w:val="000000"/>
                <w:sz w:val="18"/>
                <w:szCs w:val="18"/>
              </w:rPr>
              <w:t>Investice do snížení energetické náročnosti</w:t>
            </w:r>
          </w:p>
        </w:tc>
        <w:tc>
          <w:tcPr>
            <w:tcW w:w="1093" w:type="dxa"/>
            <w:tcBorders>
              <w:left w:val="nil"/>
              <w:right w:val="nil"/>
            </w:tcBorders>
            <w:shd w:val="clear" w:color="auto" w:fill="FFFFFF"/>
            <w:noWrap/>
            <w:vAlign w:val="center"/>
          </w:tcPr>
          <w:p w:rsidR="00DE0CB4" w:rsidRPr="007C0CDA" w:rsidRDefault="00DE0CB4" w:rsidP="002E3AE9">
            <w:pPr>
              <w:jc w:val="center"/>
              <w:rPr>
                <w:rFonts w:ascii="Arial" w:hAnsi="Arial" w:cs="Arial"/>
                <w:color w:val="000000"/>
                <w:sz w:val="18"/>
                <w:szCs w:val="18"/>
              </w:rPr>
            </w:pPr>
            <w:r w:rsidRPr="007C0CDA">
              <w:rPr>
                <w:color w:val="000000"/>
                <w:sz w:val="18"/>
                <w:szCs w:val="18"/>
              </w:rPr>
              <w:t>18%</w:t>
            </w:r>
          </w:p>
        </w:tc>
        <w:tc>
          <w:tcPr>
            <w:tcW w:w="990" w:type="dxa"/>
            <w:tcBorders>
              <w:left w:val="nil"/>
              <w:right w:val="nil"/>
            </w:tcBorders>
            <w:shd w:val="clear" w:color="auto" w:fill="FFFFFF"/>
            <w:noWrap/>
            <w:vAlign w:val="center"/>
          </w:tcPr>
          <w:p w:rsidR="00DE0CB4" w:rsidRPr="007C0CDA" w:rsidRDefault="00DE0CB4" w:rsidP="002E3AE9">
            <w:pPr>
              <w:jc w:val="center"/>
              <w:rPr>
                <w:rFonts w:ascii="Arial" w:hAnsi="Arial" w:cs="Arial"/>
                <w:color w:val="000000"/>
                <w:sz w:val="18"/>
                <w:szCs w:val="18"/>
              </w:rPr>
            </w:pPr>
            <w:r w:rsidRPr="007C0CDA">
              <w:rPr>
                <w:color w:val="000000"/>
                <w:sz w:val="18"/>
                <w:szCs w:val="18"/>
              </w:rPr>
              <w:t>19%</w:t>
            </w:r>
          </w:p>
        </w:tc>
        <w:tc>
          <w:tcPr>
            <w:tcW w:w="990" w:type="dxa"/>
            <w:tcBorders>
              <w:left w:val="nil"/>
              <w:right w:val="nil"/>
            </w:tcBorders>
            <w:shd w:val="clear" w:color="auto" w:fill="FFFFFF"/>
            <w:noWrap/>
            <w:vAlign w:val="center"/>
          </w:tcPr>
          <w:p w:rsidR="00DE0CB4" w:rsidRPr="007C0CDA" w:rsidRDefault="00DE0CB4" w:rsidP="002E3AE9">
            <w:pPr>
              <w:jc w:val="center"/>
              <w:rPr>
                <w:rFonts w:ascii="Arial" w:hAnsi="Arial" w:cs="Arial"/>
                <w:color w:val="000000"/>
                <w:sz w:val="18"/>
                <w:szCs w:val="18"/>
              </w:rPr>
            </w:pPr>
            <w:r w:rsidRPr="007C0CDA">
              <w:rPr>
                <w:color w:val="000000"/>
                <w:sz w:val="18"/>
                <w:szCs w:val="18"/>
              </w:rPr>
              <w:t>28%</w:t>
            </w:r>
          </w:p>
        </w:tc>
        <w:tc>
          <w:tcPr>
            <w:tcW w:w="990" w:type="dxa"/>
            <w:tcBorders>
              <w:left w:val="nil"/>
              <w:right w:val="nil"/>
            </w:tcBorders>
            <w:shd w:val="clear" w:color="auto" w:fill="FFFFFF"/>
            <w:noWrap/>
            <w:vAlign w:val="center"/>
          </w:tcPr>
          <w:p w:rsidR="00DE0CB4" w:rsidRPr="007C0CDA" w:rsidRDefault="00DE0CB4" w:rsidP="002E3AE9">
            <w:pPr>
              <w:jc w:val="center"/>
              <w:rPr>
                <w:rFonts w:ascii="Arial" w:hAnsi="Arial" w:cs="Arial"/>
                <w:color w:val="000000"/>
                <w:sz w:val="18"/>
                <w:szCs w:val="18"/>
              </w:rPr>
            </w:pPr>
            <w:r w:rsidRPr="007C0CDA">
              <w:rPr>
                <w:color w:val="000000"/>
                <w:sz w:val="18"/>
                <w:szCs w:val="18"/>
              </w:rPr>
              <w:t>34%</w:t>
            </w:r>
          </w:p>
        </w:tc>
        <w:tc>
          <w:tcPr>
            <w:tcW w:w="1848" w:type="dxa"/>
            <w:gridSpan w:val="2"/>
            <w:tcBorders>
              <w:left w:val="nil"/>
              <w:right w:val="nil"/>
            </w:tcBorders>
            <w:shd w:val="clear" w:color="auto" w:fill="FFFFFF"/>
            <w:noWrap/>
            <w:vAlign w:val="center"/>
          </w:tcPr>
          <w:p w:rsidR="00DE0CB4" w:rsidRPr="007C0CDA" w:rsidRDefault="00DE0CB4" w:rsidP="002E3AE9">
            <w:pPr>
              <w:jc w:val="center"/>
              <w:rPr>
                <w:rFonts w:ascii="Arial" w:hAnsi="Arial" w:cs="Arial"/>
                <w:color w:val="000000"/>
                <w:sz w:val="18"/>
                <w:szCs w:val="18"/>
              </w:rPr>
            </w:pPr>
            <w:r w:rsidRPr="007C0CDA">
              <w:rPr>
                <w:color w:val="000000"/>
                <w:sz w:val="18"/>
                <w:szCs w:val="18"/>
              </w:rPr>
              <w:t>Kapitálový vstup</w:t>
            </w:r>
          </w:p>
        </w:tc>
      </w:tr>
      <w:tr w:rsidR="00DE0CB4" w:rsidRPr="007C0CDA" w:rsidTr="002E3AE9">
        <w:trPr>
          <w:trHeight w:val="203"/>
        </w:trPr>
        <w:tc>
          <w:tcPr>
            <w:tcW w:w="0" w:type="auto"/>
            <w:vMerge/>
            <w:tcBorders>
              <w:left w:val="nil"/>
              <w:right w:val="nil"/>
            </w:tcBorders>
            <w:shd w:val="clear" w:color="auto" w:fill="FFFFFF"/>
            <w:vAlign w:val="center"/>
          </w:tcPr>
          <w:p w:rsidR="00DE0CB4" w:rsidRPr="007C0CDA" w:rsidRDefault="00DE0CB4" w:rsidP="002E3AE9">
            <w:pPr>
              <w:jc w:val="left"/>
              <w:rPr>
                <w:rFonts w:ascii="Arial" w:hAnsi="Arial" w:cs="Arial"/>
                <w:color w:val="000000"/>
                <w:sz w:val="18"/>
                <w:szCs w:val="18"/>
              </w:rPr>
            </w:pPr>
          </w:p>
        </w:tc>
        <w:tc>
          <w:tcPr>
            <w:tcW w:w="1093" w:type="dxa"/>
            <w:tcBorders>
              <w:left w:val="nil"/>
              <w:right w:val="nil"/>
            </w:tcBorders>
            <w:shd w:val="clear" w:color="auto" w:fill="FFFFFF"/>
            <w:noWrap/>
            <w:vAlign w:val="center"/>
          </w:tcPr>
          <w:p w:rsidR="00DE0CB4" w:rsidRPr="007C0CDA" w:rsidRDefault="00DE0CB4" w:rsidP="002E3AE9">
            <w:pPr>
              <w:jc w:val="center"/>
              <w:rPr>
                <w:rFonts w:ascii="Arial" w:hAnsi="Arial" w:cs="Arial"/>
                <w:color w:val="000000"/>
                <w:sz w:val="18"/>
                <w:szCs w:val="18"/>
              </w:rPr>
            </w:pPr>
            <w:r w:rsidRPr="007C0CDA">
              <w:rPr>
                <w:color w:val="000000"/>
                <w:sz w:val="18"/>
                <w:szCs w:val="18"/>
              </w:rPr>
              <w:t>19%</w:t>
            </w:r>
          </w:p>
        </w:tc>
        <w:tc>
          <w:tcPr>
            <w:tcW w:w="990" w:type="dxa"/>
            <w:tcBorders>
              <w:left w:val="nil"/>
              <w:right w:val="nil"/>
            </w:tcBorders>
            <w:shd w:val="clear" w:color="auto" w:fill="FFFFFF"/>
            <w:noWrap/>
            <w:vAlign w:val="center"/>
          </w:tcPr>
          <w:p w:rsidR="00DE0CB4" w:rsidRPr="007C0CDA" w:rsidRDefault="00DE0CB4" w:rsidP="002E3AE9">
            <w:pPr>
              <w:jc w:val="center"/>
              <w:rPr>
                <w:rFonts w:ascii="Arial" w:hAnsi="Arial" w:cs="Arial"/>
                <w:color w:val="000000"/>
                <w:sz w:val="18"/>
                <w:szCs w:val="18"/>
              </w:rPr>
            </w:pPr>
            <w:r w:rsidRPr="007C0CDA">
              <w:rPr>
                <w:color w:val="000000"/>
                <w:sz w:val="18"/>
                <w:szCs w:val="18"/>
              </w:rPr>
              <w:t>32%</w:t>
            </w:r>
          </w:p>
        </w:tc>
        <w:tc>
          <w:tcPr>
            <w:tcW w:w="990" w:type="dxa"/>
            <w:tcBorders>
              <w:left w:val="nil"/>
              <w:right w:val="nil"/>
            </w:tcBorders>
            <w:shd w:val="clear" w:color="auto" w:fill="FFFFFF"/>
            <w:noWrap/>
            <w:vAlign w:val="center"/>
          </w:tcPr>
          <w:p w:rsidR="00DE0CB4" w:rsidRPr="007C0CDA" w:rsidRDefault="00DE0CB4" w:rsidP="002E3AE9">
            <w:pPr>
              <w:jc w:val="center"/>
              <w:rPr>
                <w:rFonts w:ascii="Arial" w:hAnsi="Arial" w:cs="Arial"/>
                <w:color w:val="000000"/>
                <w:sz w:val="18"/>
                <w:szCs w:val="18"/>
              </w:rPr>
            </w:pPr>
            <w:r w:rsidRPr="007C0CDA">
              <w:rPr>
                <w:color w:val="000000"/>
                <w:sz w:val="18"/>
                <w:szCs w:val="18"/>
              </w:rPr>
              <w:t>26%</w:t>
            </w:r>
          </w:p>
        </w:tc>
        <w:tc>
          <w:tcPr>
            <w:tcW w:w="990" w:type="dxa"/>
            <w:tcBorders>
              <w:left w:val="nil"/>
              <w:right w:val="nil"/>
            </w:tcBorders>
            <w:shd w:val="clear" w:color="auto" w:fill="FFFFFF"/>
            <w:noWrap/>
            <w:vAlign w:val="center"/>
          </w:tcPr>
          <w:p w:rsidR="00DE0CB4" w:rsidRPr="007C0CDA" w:rsidRDefault="00DE0CB4" w:rsidP="002E3AE9">
            <w:pPr>
              <w:jc w:val="center"/>
              <w:rPr>
                <w:rFonts w:ascii="Arial" w:hAnsi="Arial" w:cs="Arial"/>
                <w:color w:val="000000"/>
                <w:sz w:val="18"/>
                <w:szCs w:val="18"/>
              </w:rPr>
            </w:pPr>
            <w:r w:rsidRPr="007C0CDA">
              <w:rPr>
                <w:color w:val="000000"/>
                <w:sz w:val="18"/>
                <w:szCs w:val="18"/>
              </w:rPr>
              <w:t>23%</w:t>
            </w:r>
          </w:p>
        </w:tc>
        <w:tc>
          <w:tcPr>
            <w:tcW w:w="1848" w:type="dxa"/>
            <w:gridSpan w:val="2"/>
            <w:tcBorders>
              <w:left w:val="nil"/>
              <w:right w:val="nil"/>
            </w:tcBorders>
            <w:shd w:val="clear" w:color="auto" w:fill="FFFFFF"/>
            <w:noWrap/>
            <w:vAlign w:val="center"/>
          </w:tcPr>
          <w:p w:rsidR="00DE0CB4" w:rsidRPr="007C0CDA" w:rsidRDefault="00DE0CB4" w:rsidP="002E3AE9">
            <w:pPr>
              <w:jc w:val="center"/>
              <w:rPr>
                <w:rFonts w:ascii="Arial" w:hAnsi="Arial" w:cs="Arial"/>
                <w:color w:val="000000"/>
                <w:sz w:val="18"/>
                <w:szCs w:val="18"/>
              </w:rPr>
            </w:pPr>
            <w:r w:rsidRPr="007C0CDA">
              <w:rPr>
                <w:color w:val="000000"/>
                <w:sz w:val="18"/>
                <w:szCs w:val="18"/>
              </w:rPr>
              <w:t>Záruky</w:t>
            </w:r>
          </w:p>
        </w:tc>
      </w:tr>
      <w:tr w:rsidR="00DE0CB4" w:rsidRPr="007C0CDA" w:rsidTr="002E3AE9">
        <w:trPr>
          <w:trHeight w:val="203"/>
        </w:trPr>
        <w:tc>
          <w:tcPr>
            <w:tcW w:w="0" w:type="auto"/>
            <w:vMerge/>
            <w:tcBorders>
              <w:left w:val="nil"/>
              <w:right w:val="nil"/>
            </w:tcBorders>
            <w:shd w:val="clear" w:color="auto" w:fill="FFFFFF"/>
            <w:vAlign w:val="center"/>
          </w:tcPr>
          <w:p w:rsidR="00DE0CB4" w:rsidRPr="007C0CDA" w:rsidRDefault="00DE0CB4" w:rsidP="002E3AE9">
            <w:pPr>
              <w:jc w:val="left"/>
              <w:rPr>
                <w:rFonts w:ascii="Arial" w:hAnsi="Arial" w:cs="Arial"/>
                <w:color w:val="000000"/>
                <w:sz w:val="18"/>
                <w:szCs w:val="18"/>
              </w:rPr>
            </w:pPr>
          </w:p>
        </w:tc>
        <w:tc>
          <w:tcPr>
            <w:tcW w:w="1093" w:type="dxa"/>
            <w:tcBorders>
              <w:left w:val="nil"/>
              <w:right w:val="nil"/>
            </w:tcBorders>
            <w:shd w:val="clear" w:color="auto" w:fill="FFFFFF"/>
            <w:noWrap/>
            <w:vAlign w:val="center"/>
          </w:tcPr>
          <w:p w:rsidR="00DE0CB4" w:rsidRPr="007C0CDA" w:rsidRDefault="00DE0CB4" w:rsidP="002E3AE9">
            <w:pPr>
              <w:jc w:val="center"/>
              <w:rPr>
                <w:rFonts w:ascii="Arial" w:hAnsi="Arial" w:cs="Arial"/>
                <w:color w:val="000000"/>
                <w:sz w:val="18"/>
                <w:szCs w:val="18"/>
              </w:rPr>
            </w:pPr>
            <w:r w:rsidRPr="007C0CDA">
              <w:rPr>
                <w:color w:val="000000"/>
                <w:sz w:val="18"/>
                <w:szCs w:val="18"/>
              </w:rPr>
              <w:t>36%</w:t>
            </w:r>
          </w:p>
        </w:tc>
        <w:tc>
          <w:tcPr>
            <w:tcW w:w="990" w:type="dxa"/>
            <w:tcBorders>
              <w:left w:val="nil"/>
              <w:right w:val="nil"/>
            </w:tcBorders>
            <w:shd w:val="clear" w:color="auto" w:fill="FFFFFF"/>
            <w:noWrap/>
            <w:vAlign w:val="center"/>
          </w:tcPr>
          <w:p w:rsidR="00DE0CB4" w:rsidRPr="007C0CDA" w:rsidRDefault="00DE0CB4" w:rsidP="002E3AE9">
            <w:pPr>
              <w:jc w:val="center"/>
              <w:rPr>
                <w:rFonts w:ascii="Arial" w:hAnsi="Arial" w:cs="Arial"/>
                <w:color w:val="000000"/>
                <w:sz w:val="18"/>
                <w:szCs w:val="18"/>
              </w:rPr>
            </w:pPr>
            <w:r w:rsidRPr="007C0CDA">
              <w:rPr>
                <w:color w:val="000000"/>
                <w:sz w:val="18"/>
                <w:szCs w:val="18"/>
              </w:rPr>
              <w:t>35%</w:t>
            </w:r>
          </w:p>
        </w:tc>
        <w:tc>
          <w:tcPr>
            <w:tcW w:w="990" w:type="dxa"/>
            <w:tcBorders>
              <w:left w:val="nil"/>
              <w:right w:val="nil"/>
            </w:tcBorders>
            <w:shd w:val="clear" w:color="auto" w:fill="FFFFFF"/>
            <w:noWrap/>
            <w:vAlign w:val="center"/>
          </w:tcPr>
          <w:p w:rsidR="00DE0CB4" w:rsidRPr="007C0CDA" w:rsidRDefault="00DE0CB4" w:rsidP="002E3AE9">
            <w:pPr>
              <w:jc w:val="center"/>
              <w:rPr>
                <w:rFonts w:ascii="Arial" w:hAnsi="Arial" w:cs="Arial"/>
                <w:color w:val="000000"/>
                <w:sz w:val="18"/>
                <w:szCs w:val="18"/>
              </w:rPr>
            </w:pPr>
            <w:r w:rsidRPr="007C0CDA">
              <w:rPr>
                <w:color w:val="000000"/>
                <w:sz w:val="18"/>
                <w:szCs w:val="18"/>
              </w:rPr>
              <w:t>17%</w:t>
            </w:r>
          </w:p>
        </w:tc>
        <w:tc>
          <w:tcPr>
            <w:tcW w:w="990" w:type="dxa"/>
            <w:tcBorders>
              <w:left w:val="nil"/>
              <w:right w:val="nil"/>
            </w:tcBorders>
            <w:shd w:val="clear" w:color="auto" w:fill="FFFFFF"/>
            <w:noWrap/>
            <w:vAlign w:val="center"/>
          </w:tcPr>
          <w:p w:rsidR="00DE0CB4" w:rsidRPr="007C0CDA" w:rsidRDefault="00DE0CB4" w:rsidP="002E3AE9">
            <w:pPr>
              <w:jc w:val="center"/>
              <w:rPr>
                <w:rFonts w:ascii="Arial" w:hAnsi="Arial" w:cs="Arial"/>
                <w:color w:val="000000"/>
                <w:sz w:val="18"/>
                <w:szCs w:val="18"/>
              </w:rPr>
            </w:pPr>
            <w:r w:rsidRPr="007C0CDA">
              <w:rPr>
                <w:color w:val="000000"/>
                <w:sz w:val="18"/>
                <w:szCs w:val="18"/>
              </w:rPr>
              <w:t>12%</w:t>
            </w:r>
          </w:p>
        </w:tc>
        <w:tc>
          <w:tcPr>
            <w:tcW w:w="1848" w:type="dxa"/>
            <w:gridSpan w:val="2"/>
            <w:tcBorders>
              <w:left w:val="nil"/>
              <w:right w:val="nil"/>
            </w:tcBorders>
            <w:shd w:val="clear" w:color="auto" w:fill="FFFFFF"/>
            <w:noWrap/>
            <w:vAlign w:val="center"/>
          </w:tcPr>
          <w:p w:rsidR="00DE0CB4" w:rsidRPr="007C0CDA" w:rsidRDefault="00DE0CB4" w:rsidP="002E3AE9">
            <w:pPr>
              <w:jc w:val="center"/>
              <w:rPr>
                <w:rFonts w:ascii="Arial" w:hAnsi="Arial" w:cs="Arial"/>
                <w:color w:val="000000"/>
                <w:sz w:val="18"/>
                <w:szCs w:val="18"/>
              </w:rPr>
            </w:pPr>
            <w:r w:rsidRPr="007C0CDA">
              <w:rPr>
                <w:color w:val="000000"/>
                <w:sz w:val="18"/>
                <w:szCs w:val="18"/>
              </w:rPr>
              <w:t>Zvýhodněný úvěr</w:t>
            </w:r>
          </w:p>
        </w:tc>
      </w:tr>
    </w:tbl>
    <w:p w:rsidR="00DE0CB4" w:rsidRPr="007C0CDA" w:rsidRDefault="00DE0CB4" w:rsidP="00BF704B">
      <w:pPr>
        <w:pStyle w:val="Neslovannadpisy"/>
        <w:rPr>
          <w:lang w:eastAsia="en-US"/>
        </w:rPr>
      </w:pPr>
    </w:p>
    <w:p w:rsidR="009D2CAE" w:rsidRPr="00854519" w:rsidRDefault="009D2CAE" w:rsidP="002433DA">
      <w:pPr>
        <w:pStyle w:val="Nadpis3"/>
        <w:rPr>
          <w:lang w:eastAsia="en-US"/>
        </w:rPr>
      </w:pPr>
      <w:bookmarkStart w:id="523" w:name="_Toc416447859"/>
      <w:r w:rsidRPr="00B675D6">
        <w:rPr>
          <w:lang w:eastAsia="en-US"/>
        </w:rPr>
        <w:t>Analýza tržních selhání a suboptimální investiční situace</w:t>
      </w:r>
      <w:bookmarkEnd w:id="523"/>
    </w:p>
    <w:p w:rsidR="009D2CAE" w:rsidRPr="007C0CDA" w:rsidRDefault="009D2CAE" w:rsidP="00F61ADE">
      <w:pPr>
        <w:rPr>
          <w:lang w:eastAsia="en-US"/>
        </w:rPr>
      </w:pPr>
      <w:r w:rsidRPr="007C0CDA">
        <w:rPr>
          <w:lang w:eastAsia="en-US"/>
        </w:rPr>
        <w:t>Oblast energetických úspor je v posledních letech charakteristická vysokým stupněm tržního rozvoje v ČR, a to i v oblasti bankovního financování a energetických služeb. Investiční aktivita však přesto neodpovídá dosud velikému potenciálu v podnikové oblasti a vytyčeným evropským cílům a závazkům ČR.</w:t>
      </w:r>
    </w:p>
    <w:p w:rsidR="009D2CAE" w:rsidRPr="007C0CDA" w:rsidRDefault="009D2CAE" w:rsidP="00F61ADE">
      <w:pPr>
        <w:rPr>
          <w:lang w:eastAsia="en-US"/>
        </w:rPr>
      </w:pPr>
    </w:p>
    <w:p w:rsidR="009D2CAE" w:rsidRPr="007C0CDA" w:rsidRDefault="009D2CAE" w:rsidP="001B3C63">
      <w:pPr>
        <w:rPr>
          <w:lang w:eastAsia="en-US"/>
        </w:rPr>
      </w:pPr>
      <w:r w:rsidRPr="007C0CDA">
        <w:rPr>
          <w:lang w:eastAsia="en-US"/>
        </w:rPr>
        <w:t xml:space="preserve">Přes ziskový profil investic do snížení energetické náročnosti firem nelze předpokládat, že by měly prioritu v investičním plánu podniku, zejména pokud se tento nachází v růstové fázi. Pro toto období životního cyklu firmy jsou </w:t>
      </w:r>
      <w:r w:rsidRPr="002433DA">
        <w:rPr>
          <w:b/>
          <w:lang w:eastAsia="en-US"/>
        </w:rPr>
        <w:t>typické investice do rozšiřování výroby, které jsou z velké části financovány dluhově, a podniky budou tedy často čelit problémům se zajištěním či přeúvěrováním</w:t>
      </w:r>
      <w:r w:rsidRPr="007C0CDA">
        <w:rPr>
          <w:lang w:eastAsia="en-US"/>
        </w:rPr>
        <w:t>. Rostoucí podnik pak nebude ochoten do investice fixovat nákladné vlastní zdroje.</w:t>
      </w:r>
    </w:p>
    <w:p w:rsidR="009D2CAE" w:rsidRPr="007C0CDA" w:rsidRDefault="009D2CAE" w:rsidP="001B3C63">
      <w:pPr>
        <w:rPr>
          <w:lang w:eastAsia="en-US"/>
        </w:rPr>
      </w:pPr>
    </w:p>
    <w:p w:rsidR="009D2CAE" w:rsidRPr="007C0CDA" w:rsidRDefault="009D2CAE" w:rsidP="00F61ADE">
      <w:pPr>
        <w:rPr>
          <w:lang w:eastAsia="en-US"/>
        </w:rPr>
      </w:pPr>
      <w:r w:rsidRPr="007C0CDA">
        <w:rPr>
          <w:lang w:eastAsia="en-US"/>
        </w:rPr>
        <w:t xml:space="preserve">Pokud už podnik přistoupí k investicím do úspory energií, </w:t>
      </w:r>
      <w:r w:rsidRPr="007C0CDA">
        <w:rPr>
          <w:b/>
          <w:lang w:eastAsia="en-US"/>
        </w:rPr>
        <w:t>vyhledává za tržních podmínek zejména rychlonávratné aktivity</w:t>
      </w:r>
      <w:r w:rsidRPr="007C0CDA">
        <w:rPr>
          <w:lang w:eastAsia="en-US"/>
        </w:rPr>
        <w:t>, nikoli komplexní nákladné projekty s celkově vyšším potenciálem úspor. Ty se vyznačují v porovnání s jednoduchými technickými inovacemi (LED osvětlení) delší návratností a vyššími náklady na přípravu projektu. To je v současné době i jedna z bariér většího využívání metody EPC v podnikatelském sektor</w:t>
      </w:r>
      <w:r w:rsidRPr="002433DA">
        <w:rPr>
          <w:lang w:eastAsia="en-US"/>
        </w:rPr>
        <w:t>u. Potenciál klasického EPC je podnikatelském sféře oproti veřejným subjektům nižší z</w:t>
      </w:r>
      <w:r w:rsidRPr="007C0CDA">
        <w:rPr>
          <w:lang w:eastAsia="en-US"/>
        </w:rPr>
        <w:t> </w:t>
      </w:r>
      <w:r w:rsidRPr="002433DA">
        <w:rPr>
          <w:lang w:eastAsia="en-US"/>
        </w:rPr>
        <w:t>důvodu vyšších rizik na straně podniků a často též hůře predikovatelné úrovni spotřeby, která je závislá na výrobě.</w:t>
      </w:r>
    </w:p>
    <w:p w:rsidR="009D2CAE" w:rsidRPr="007C0CDA" w:rsidRDefault="009D2CAE" w:rsidP="00F61ADE">
      <w:pPr>
        <w:rPr>
          <w:lang w:eastAsia="en-US"/>
        </w:rPr>
      </w:pPr>
    </w:p>
    <w:p w:rsidR="009D2CAE" w:rsidRPr="007C0CDA" w:rsidRDefault="009D2CAE" w:rsidP="00F61ADE">
      <w:pPr>
        <w:rPr>
          <w:lang w:eastAsia="en-US"/>
        </w:rPr>
      </w:pPr>
      <w:r w:rsidRPr="007C0CDA">
        <w:rPr>
          <w:lang w:eastAsia="en-US"/>
        </w:rPr>
        <w:t xml:space="preserve">Provedené rozhovory každopádně potvrzují, že </w:t>
      </w:r>
      <w:r w:rsidRPr="002433DA">
        <w:rPr>
          <w:b/>
          <w:lang w:eastAsia="en-US"/>
        </w:rPr>
        <w:t>v</w:t>
      </w:r>
      <w:r w:rsidRPr="007C0CDA">
        <w:rPr>
          <w:b/>
          <w:lang w:eastAsia="en-US"/>
        </w:rPr>
        <w:t> </w:t>
      </w:r>
      <w:r w:rsidRPr="002433DA">
        <w:rPr>
          <w:b/>
          <w:lang w:eastAsia="en-US"/>
        </w:rPr>
        <w:t>podnikatelské sféře jsou v</w:t>
      </w:r>
      <w:r w:rsidRPr="007C0CDA">
        <w:rPr>
          <w:b/>
          <w:lang w:eastAsia="en-US"/>
        </w:rPr>
        <w:t> </w:t>
      </w:r>
      <w:r w:rsidRPr="002433DA">
        <w:rPr>
          <w:b/>
          <w:lang w:eastAsia="en-US"/>
        </w:rPr>
        <w:t>této oblasti neakceptovatelné projekty s</w:t>
      </w:r>
      <w:r w:rsidRPr="007C0CDA">
        <w:rPr>
          <w:b/>
          <w:lang w:eastAsia="en-US"/>
        </w:rPr>
        <w:t> </w:t>
      </w:r>
      <w:r w:rsidRPr="002433DA">
        <w:rPr>
          <w:b/>
          <w:lang w:eastAsia="en-US"/>
        </w:rPr>
        <w:t xml:space="preserve">vyšší dobou návratnosti jak 5 let. </w:t>
      </w:r>
      <w:r w:rsidRPr="007C0CDA">
        <w:rPr>
          <w:lang w:eastAsia="en-US"/>
        </w:rPr>
        <w:t xml:space="preserve">Z tohoto hlediska je tedy v mnoha případech nutné motivovat podniky k investicím do rozsáhlejších úsporných opatření veřejnou podporou, která je zvýhodní v investičním plánu podniku. Rizikem rozsáhlé dotační podpory minulých let je nicméně přizpůsobení chování trhu těmto stimulům. Vzniká tak </w:t>
      </w:r>
      <w:r w:rsidRPr="002433DA">
        <w:rPr>
          <w:b/>
          <w:lang w:eastAsia="en-US"/>
        </w:rPr>
        <w:t>vysoká zadržená investiční poptávka, která čeká na vyhlášení další</w:t>
      </w:r>
      <w:r w:rsidRPr="007C0CDA">
        <w:rPr>
          <w:b/>
          <w:lang w:eastAsia="en-US"/>
        </w:rPr>
        <w:t xml:space="preserve"> dotační</w:t>
      </w:r>
      <w:r w:rsidRPr="002433DA">
        <w:rPr>
          <w:b/>
          <w:lang w:eastAsia="en-US"/>
        </w:rPr>
        <w:t xml:space="preserve"> výzvy</w:t>
      </w:r>
      <w:r w:rsidRPr="007C0CDA">
        <w:rPr>
          <w:lang w:eastAsia="en-US"/>
        </w:rPr>
        <w:t>. Výrazný převis poptávky nad nabídkou v minulých programech podpory v tomto ohledu indikuje významné tržní selhání.</w:t>
      </w:r>
    </w:p>
    <w:p w:rsidR="009D2CAE" w:rsidRPr="007C0CDA" w:rsidDel="001B3C63" w:rsidRDefault="009D2CAE" w:rsidP="00F61ADE">
      <w:pPr>
        <w:rPr>
          <w:lang w:eastAsia="en-US"/>
        </w:rPr>
      </w:pPr>
    </w:p>
    <w:p w:rsidR="009D2CAE" w:rsidRPr="007C0CDA" w:rsidRDefault="009D2CAE" w:rsidP="00F61ADE">
      <w:pPr>
        <w:rPr>
          <w:lang w:eastAsia="en-US"/>
        </w:rPr>
      </w:pPr>
    </w:p>
    <w:p w:rsidR="009D2CAE" w:rsidRPr="007C0CDA" w:rsidRDefault="009D2CAE" w:rsidP="00F61ADE">
      <w:pPr>
        <w:rPr>
          <w:lang w:eastAsia="en-US"/>
        </w:rPr>
      </w:pPr>
      <w:r w:rsidRPr="007C0CDA">
        <w:rPr>
          <w:lang w:eastAsia="en-US"/>
        </w:rPr>
        <w:t xml:space="preserve">Častou </w:t>
      </w:r>
      <w:r w:rsidRPr="002433DA">
        <w:rPr>
          <w:b/>
          <w:lang w:eastAsia="en-US"/>
        </w:rPr>
        <w:t>překážkou realizace ekonomicky smysluplného projektu jsou také počáteční náklady</w:t>
      </w:r>
      <w:r w:rsidRPr="007C0CDA">
        <w:rPr>
          <w:lang w:eastAsia="en-US"/>
        </w:rPr>
        <w:t>, které mohou od úvah nad provedením investice výrazně odrazovat. Nákladné jsou i samotné energetické audity, které jsou předpokladem podpory úsporných opatření i samotné kvantifikace úsporného potenciálu. Mezi počáteční náklady můžeme řadit i časový náklad na získání informací,. Úsporný potenciál, a tedy i atraktivitu úsporných investic snižuje i aktuální pokles cen elektřiny –které se však drží z důvodů poplatků na OZE stále na poměrně vysoké úrovni, stejně jako i ceny ostatních energií.</w:t>
      </w:r>
    </w:p>
    <w:p w:rsidR="009D2CAE" w:rsidRPr="007C0CDA" w:rsidRDefault="009D2CAE" w:rsidP="00F61ADE">
      <w:pPr>
        <w:rPr>
          <w:lang w:eastAsia="en-US"/>
        </w:rPr>
      </w:pPr>
    </w:p>
    <w:p w:rsidR="009D2CAE" w:rsidRPr="007C0CDA" w:rsidRDefault="009D2CAE" w:rsidP="00F61ADE">
      <w:pPr>
        <w:rPr>
          <w:lang w:eastAsia="en-US"/>
        </w:rPr>
      </w:pPr>
      <w:r w:rsidRPr="007C0CDA">
        <w:rPr>
          <w:lang w:eastAsia="en-US"/>
        </w:rPr>
        <w:t>Investice do snížení energetické náročnosti firem jsou v porovnání se zavedenými typy projektů pro některé bankovní domy hůře uchopitelné a ty jim proto přiřazují horší rizikové skóre a tedy i horší podmínky financování – v dnešní době se to však týká spíše pouze menších bank. MSP mohou mít nicméně z hlediska rizika defaultu stále poněkud obtížnější přístup k úvěrům a vyšší náklady na ně, než velké podniky – i v případě projektových úvěrů.</w:t>
      </w:r>
    </w:p>
    <w:p w:rsidR="009D2CAE" w:rsidRPr="007C0CDA" w:rsidRDefault="009D2CAE" w:rsidP="00F61ADE">
      <w:pPr>
        <w:rPr>
          <w:lang w:eastAsia="en-US"/>
        </w:rPr>
      </w:pPr>
    </w:p>
    <w:p w:rsidR="009D2CAE" w:rsidRPr="004153D2" w:rsidRDefault="009D2CAE" w:rsidP="002433DA">
      <w:pPr>
        <w:pStyle w:val="Nadpis3"/>
        <w:rPr>
          <w:lang w:eastAsia="en-US"/>
        </w:rPr>
      </w:pPr>
      <w:bookmarkStart w:id="524" w:name="_Toc416383861"/>
      <w:bookmarkStart w:id="525" w:name="_Toc416447860"/>
      <w:bookmarkStart w:id="526" w:name="_Toc416383862"/>
      <w:bookmarkStart w:id="527" w:name="_Toc416447861"/>
      <w:bookmarkStart w:id="528" w:name="_Toc416447862"/>
      <w:bookmarkEnd w:id="524"/>
      <w:bookmarkEnd w:id="525"/>
      <w:bookmarkEnd w:id="526"/>
      <w:bookmarkEnd w:id="527"/>
      <w:r w:rsidRPr="00172EF4">
        <w:rPr>
          <w:lang w:eastAsia="en-US"/>
        </w:rPr>
        <w:t>Návrh opatření</w:t>
      </w:r>
      <w:bookmarkEnd w:id="528"/>
    </w:p>
    <w:p w:rsidR="009D2CAE" w:rsidRPr="007C0CDA" w:rsidRDefault="009D2CAE" w:rsidP="00605487">
      <w:pPr>
        <w:rPr>
          <w:lang w:eastAsia="en-US"/>
        </w:rPr>
      </w:pPr>
      <w:r w:rsidRPr="007C0CDA">
        <w:rPr>
          <w:lang w:eastAsia="en-US"/>
        </w:rPr>
        <w:t xml:space="preserve">Ziskový potenciál je u investic do snížení energetické náročnosti zřejmý, avšak doba návratnosti těchto projektů se pohybuje na poměrně velké škále. Rovněž je nutno vzít v potaz pozitivní externalitu, kdy kromě přímého komerčního benefitu pro žadatele má realizace investice pozitivní dopad v podobě celospolečenského užitku. </w:t>
      </w:r>
    </w:p>
    <w:p w:rsidR="009D2CAE" w:rsidRPr="007C0CDA" w:rsidRDefault="009D2CAE" w:rsidP="00605487">
      <w:pPr>
        <w:rPr>
          <w:lang w:eastAsia="en-US"/>
        </w:rPr>
      </w:pPr>
    </w:p>
    <w:p w:rsidR="009D2CAE" w:rsidRPr="007C0CDA" w:rsidRDefault="009D2CAE" w:rsidP="00605487">
      <w:pPr>
        <w:rPr>
          <w:lang w:eastAsia="en-US"/>
        </w:rPr>
      </w:pPr>
      <w:r w:rsidRPr="007C0CDA">
        <w:rPr>
          <w:lang w:eastAsia="en-US"/>
        </w:rPr>
        <w:t xml:space="preserve">Z dotazníkového šetření vyplynula průměrná doba návratnosti investic 8 let, s vysokým rozptylem. Vzhledem k tržně akceptovatelné době návratnosti kolem 5 let je tedy optimální část rychleji návratných projektů podporovat formou </w:t>
      </w:r>
      <w:r w:rsidRPr="007C0CDA">
        <w:rPr>
          <w:b/>
          <w:lang w:eastAsia="en-US"/>
        </w:rPr>
        <w:t>úvěrového finančního nástroje v kombinaci s finančním příspěvkem na úhradu úroků a zpracování energetického auditu, který by firmy motivoval ke splnění cílů projektu a dosažení nejvyšších možných úspor</w:t>
      </w:r>
      <w:r w:rsidRPr="007C0CDA">
        <w:rPr>
          <w:lang w:eastAsia="en-US"/>
        </w:rPr>
        <w:t>.Je naopak zřejmé, že  u některých déle návratných projektů, které se však vyznačují vyššími úsporami a tedy i vyšší pozitivní externalitou, je vhodné ponechat dotační podporu.</w:t>
      </w:r>
    </w:p>
    <w:p w:rsidR="009D2CAE" w:rsidRPr="007C0CDA" w:rsidRDefault="009D2CAE" w:rsidP="00605487">
      <w:pPr>
        <w:rPr>
          <w:lang w:eastAsia="en-US"/>
        </w:rPr>
      </w:pPr>
    </w:p>
    <w:p w:rsidR="009D2CAE" w:rsidRPr="007C0CDA" w:rsidRDefault="009D2CAE" w:rsidP="00605487">
      <w:pPr>
        <w:rPr>
          <w:lang w:eastAsia="en-US"/>
        </w:rPr>
      </w:pPr>
      <w:r w:rsidRPr="007C0CDA">
        <w:rPr>
          <w:lang w:eastAsia="en-US"/>
        </w:rPr>
        <w:t>Dotazníkové šetření navíc ukázalo, že právě zpřístupnění úvěru a zmírnění jeho podmínek potenciální žadatelé o podporu často preferují. Úvěrem mohou být podporovány i EPC firmy, které tak vyřeší potřebu financování pracovního kapitálu.</w:t>
      </w:r>
    </w:p>
    <w:p w:rsidR="009D2CAE" w:rsidRPr="007C0CDA" w:rsidRDefault="009D2CAE" w:rsidP="00605487">
      <w:pPr>
        <w:rPr>
          <w:lang w:eastAsia="en-US"/>
        </w:rPr>
      </w:pPr>
    </w:p>
    <w:p w:rsidR="009D2CAE" w:rsidRPr="007C0CDA" w:rsidRDefault="009D2CAE" w:rsidP="0035620F">
      <w:pPr>
        <w:rPr>
          <w:lang w:eastAsia="en-US"/>
        </w:rPr>
      </w:pPr>
      <w:r w:rsidRPr="007C0CDA">
        <w:rPr>
          <w:lang w:eastAsia="en-US"/>
        </w:rPr>
        <w:t>Širší možnosti aplikace zvýhodněných úvěrů z hlediska limitu požadované návratnosti by umožnila kombinace zvýhodněného úvěru s dotací na odlišné způsobilé náklady. Technickou proveditelnost a složitost tohoto způsobu opatření v daných legislativních omezeních strukturálních fondů je však třeba dále zvážit.</w:t>
      </w:r>
    </w:p>
    <w:p w:rsidR="009D2CAE" w:rsidRPr="007C0CDA" w:rsidRDefault="009D2CAE" w:rsidP="0035620F">
      <w:pPr>
        <w:rPr>
          <w:lang w:eastAsia="en-US"/>
        </w:rPr>
      </w:pPr>
    </w:p>
    <w:p w:rsidR="009D2CAE" w:rsidRPr="007C0CDA" w:rsidRDefault="009D2CAE" w:rsidP="00605487">
      <w:pPr>
        <w:rPr>
          <w:lang w:eastAsia="en-US"/>
        </w:rPr>
      </w:pPr>
      <w:r w:rsidRPr="007C0CDA">
        <w:rPr>
          <w:lang w:eastAsia="en-US"/>
        </w:rPr>
        <w:t xml:space="preserve">Při výběru projektů a rozdělení dotační a úvěrové podpory doporučujeme nastavit taková kritéria, která budou subjekty motivovat k realizaci co nejkomplexnějších a nejúspornějších projektů. V této souvislosti lze uvažovat např. o </w:t>
      </w:r>
      <w:r w:rsidRPr="007C0CDA">
        <w:rPr>
          <w:b/>
          <w:lang w:eastAsia="en-US"/>
        </w:rPr>
        <w:t>kritériu IRR projektů</w:t>
      </w:r>
      <w:r w:rsidRPr="007C0CDA">
        <w:rPr>
          <w:lang w:eastAsia="en-US"/>
        </w:rPr>
        <w:t>, i vzhledem k tomu, že v minulém období bylo nemálo projektů kvůli přílišné ziskovosti z přístupu k podpoře vyřazeno.</w:t>
      </w:r>
    </w:p>
    <w:p w:rsidR="009D2CAE" w:rsidRPr="007C0CDA" w:rsidRDefault="009D2CAE" w:rsidP="006F42A5">
      <w:pPr>
        <w:rPr>
          <w:b/>
          <w:lang w:eastAsia="en-US"/>
        </w:rPr>
      </w:pPr>
    </w:p>
    <w:p w:rsidR="009D2CAE" w:rsidRDefault="009D2CAE" w:rsidP="002433DA">
      <w:pPr>
        <w:pStyle w:val="Nadpis3"/>
        <w:rPr>
          <w:lang w:eastAsia="en-US"/>
        </w:rPr>
      </w:pPr>
      <w:bookmarkStart w:id="529" w:name="_Toc416447863"/>
      <w:r w:rsidRPr="00B675D6">
        <w:rPr>
          <w:lang w:eastAsia="en-US"/>
        </w:rPr>
        <w:t>Posouzení přidané hodnoty finančních nástrojů</w:t>
      </w:r>
      <w:bookmarkEnd w:id="529"/>
    </w:p>
    <w:p w:rsidR="00431429" w:rsidRPr="002F7B85" w:rsidRDefault="00431429" w:rsidP="002433DA">
      <w:pPr>
        <w:rPr>
          <w:lang w:eastAsia="en-US"/>
        </w:rPr>
      </w:pPr>
      <w:r>
        <w:rPr>
          <w:lang w:eastAsia="en-US"/>
        </w:rPr>
        <w:t>Rozpětí návratnosti připravovaných projektů uvedených v dotazníkovém šetření ukazuje vysoký podíl investic s poměrně krátkou návratností do pěti let, na druhé straně však i obdobně vysoký podíl investic s návratností delší. Téměř nebyly plánovány investice s horizontem návratnosti nad deset let.</w:t>
      </w:r>
    </w:p>
    <w:p w:rsidR="009D2CAE" w:rsidRPr="007C0CDA" w:rsidRDefault="002D1138" w:rsidP="00605487">
      <w:pPr>
        <w:rPr>
          <w:lang w:eastAsia="en-US"/>
        </w:rPr>
      </w:pPr>
      <w:r>
        <w:rPr>
          <w:noProof/>
        </w:rPr>
        <w:drawing>
          <wp:inline distT="0" distB="0" distL="0" distR="0" wp14:anchorId="0EE3D927" wp14:editId="560E5FE5">
            <wp:extent cx="3581400" cy="1943100"/>
            <wp:effectExtent l="0" t="0" r="0" b="0"/>
            <wp:docPr id="2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81400" cy="1943100"/>
                    </a:xfrm>
                    <a:prstGeom prst="rect">
                      <a:avLst/>
                    </a:prstGeom>
                    <a:noFill/>
                    <a:ln>
                      <a:noFill/>
                    </a:ln>
                  </pic:spPr>
                </pic:pic>
              </a:graphicData>
            </a:graphic>
          </wp:inline>
        </w:drawing>
      </w:r>
    </w:p>
    <w:p w:rsidR="009D2CAE" w:rsidRPr="007C0CDA" w:rsidRDefault="009D2CAE" w:rsidP="00DF6E0B">
      <w:pPr>
        <w:pStyle w:val="Titulek"/>
      </w:pPr>
      <w:r w:rsidRPr="007C0CDA">
        <w:t>Graf 14 - Očekávaná návratnost investic do energetické účinnosti</w:t>
      </w:r>
    </w:p>
    <w:p w:rsidR="009D2CAE" w:rsidRPr="007C0CDA" w:rsidRDefault="009D2CAE" w:rsidP="00DF6E0B">
      <w:pPr>
        <w:pStyle w:val="Titulek"/>
      </w:pPr>
      <w:r w:rsidRPr="007C0CDA">
        <w:t>(Zdroj: Dotazníkové šetření Ex ante OP PIK)</w:t>
      </w:r>
    </w:p>
    <w:p w:rsidR="009D2CAE" w:rsidRPr="007C0CDA" w:rsidRDefault="009D2CAE" w:rsidP="006F42A5">
      <w:pPr>
        <w:rPr>
          <w:lang w:eastAsia="en-US"/>
        </w:rPr>
      </w:pPr>
    </w:p>
    <w:p w:rsidR="00DE0CB4" w:rsidRDefault="00DE0CB4" w:rsidP="00DE0CB4">
      <w:r w:rsidRPr="007C0CDA">
        <w:t xml:space="preserve">V rámci tabulek níže je uveden přehled přidané hodnoty, problémů a rizik z pohledu konečného příjemce a ŘO (tabulka č. 2) a z pohledu celkového dopadu na absorpční kapacitu a dosažení cílů SC </w:t>
      </w:r>
      <w:r>
        <w:t>3</w:t>
      </w:r>
      <w:r w:rsidRPr="007C0CDA">
        <w:t>.</w:t>
      </w:r>
      <w:r w:rsidR="006842C8">
        <w:t>2</w:t>
      </w:r>
      <w:r w:rsidRPr="007C0CDA">
        <w:t xml:space="preserve">, se zohledněním dopadů na tržní prostředí. Porovnány jsou nástroje formou </w:t>
      </w:r>
      <w:r>
        <w:t xml:space="preserve">záruk, zvýhodněných úvěrů </w:t>
      </w:r>
      <w:r w:rsidRPr="007C0CDA">
        <w:t>a dotací.</w:t>
      </w:r>
    </w:p>
    <w:p w:rsidR="00DE0CB4" w:rsidRPr="007C0CDA" w:rsidRDefault="00DE0CB4" w:rsidP="00DE0CB4"/>
    <w:tbl>
      <w:tblPr>
        <w:tblpPr w:leftFromText="141" w:rightFromText="141" w:vertAnchor="text" w:horzAnchor="margin" w:tblpY="-23"/>
        <w:tblW w:w="8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60"/>
        <w:gridCol w:w="960"/>
        <w:gridCol w:w="2414"/>
        <w:gridCol w:w="2330"/>
        <w:gridCol w:w="2330"/>
      </w:tblGrid>
      <w:tr w:rsidR="00DE0CB4" w:rsidRPr="007C0CDA" w:rsidTr="002E3AE9">
        <w:trPr>
          <w:trHeight w:val="315"/>
        </w:trPr>
        <w:tc>
          <w:tcPr>
            <w:tcW w:w="960" w:type="dxa"/>
            <w:shd w:val="clear" w:color="auto" w:fill="365F91"/>
            <w:noWrap/>
            <w:vAlign w:val="bottom"/>
          </w:tcPr>
          <w:p w:rsidR="00DE0CB4" w:rsidRPr="007C0CDA" w:rsidRDefault="00DE0CB4" w:rsidP="002E3AE9">
            <w:pPr>
              <w:jc w:val="left"/>
              <w:rPr>
                <w:rFonts w:ascii="Times New Roman" w:hAnsi="Times New Roman"/>
                <w:sz w:val="24"/>
                <w:szCs w:val="24"/>
              </w:rPr>
            </w:pPr>
          </w:p>
        </w:tc>
        <w:tc>
          <w:tcPr>
            <w:tcW w:w="960" w:type="dxa"/>
            <w:shd w:val="clear" w:color="auto" w:fill="365F91"/>
            <w:noWrap/>
            <w:vAlign w:val="bottom"/>
          </w:tcPr>
          <w:p w:rsidR="00DE0CB4" w:rsidRPr="007C0CDA" w:rsidRDefault="00DE0CB4" w:rsidP="002E3AE9">
            <w:pPr>
              <w:jc w:val="left"/>
              <w:rPr>
                <w:rFonts w:ascii="Times New Roman" w:hAnsi="Times New Roman"/>
                <w:color w:val="000000"/>
                <w:sz w:val="24"/>
                <w:szCs w:val="24"/>
              </w:rPr>
            </w:pPr>
            <w:r w:rsidRPr="007C0CDA">
              <w:rPr>
                <w:rFonts w:ascii="Times New Roman" w:hAnsi="Times New Roman"/>
                <w:color w:val="000000"/>
                <w:sz w:val="24"/>
                <w:szCs w:val="24"/>
              </w:rPr>
              <w:t> </w:t>
            </w:r>
          </w:p>
        </w:tc>
        <w:tc>
          <w:tcPr>
            <w:tcW w:w="4744" w:type="dxa"/>
            <w:gridSpan w:val="2"/>
            <w:shd w:val="clear" w:color="auto" w:fill="365F91"/>
            <w:noWrap/>
            <w:vAlign w:val="center"/>
          </w:tcPr>
          <w:p w:rsidR="00DE0CB4" w:rsidRPr="007C0CDA" w:rsidRDefault="00DE0CB4" w:rsidP="002E3AE9">
            <w:pPr>
              <w:jc w:val="center"/>
              <w:rPr>
                <w:b/>
                <w:bCs/>
                <w:color w:val="FFFFFF"/>
                <w:sz w:val="24"/>
                <w:szCs w:val="24"/>
              </w:rPr>
            </w:pPr>
            <w:r w:rsidRPr="007C0CDA">
              <w:rPr>
                <w:b/>
                <w:bCs/>
                <w:color w:val="FFFFFF"/>
                <w:sz w:val="24"/>
                <w:szCs w:val="24"/>
              </w:rPr>
              <w:t>Finanční nástroj</w:t>
            </w:r>
          </w:p>
        </w:tc>
        <w:tc>
          <w:tcPr>
            <w:tcW w:w="2330" w:type="dxa"/>
            <w:shd w:val="clear" w:color="auto" w:fill="365F91"/>
          </w:tcPr>
          <w:p w:rsidR="00DE0CB4" w:rsidRPr="007C0CDA" w:rsidRDefault="00DE0CB4" w:rsidP="002E3AE9">
            <w:pPr>
              <w:jc w:val="center"/>
              <w:rPr>
                <w:b/>
                <w:bCs/>
                <w:color w:val="FFFFFF"/>
                <w:sz w:val="24"/>
                <w:szCs w:val="24"/>
              </w:rPr>
            </w:pPr>
            <w:r w:rsidRPr="007C0CDA">
              <w:rPr>
                <w:b/>
                <w:bCs/>
                <w:color w:val="FFFFFF"/>
                <w:sz w:val="24"/>
                <w:szCs w:val="24"/>
              </w:rPr>
              <w:t>Dotace</w:t>
            </w:r>
          </w:p>
        </w:tc>
      </w:tr>
      <w:tr w:rsidR="00DE0CB4" w:rsidRPr="007C0CDA" w:rsidTr="002E3AE9">
        <w:trPr>
          <w:trHeight w:val="315"/>
        </w:trPr>
        <w:tc>
          <w:tcPr>
            <w:tcW w:w="960" w:type="dxa"/>
            <w:shd w:val="clear" w:color="auto" w:fill="365F91"/>
            <w:noWrap/>
            <w:vAlign w:val="center"/>
          </w:tcPr>
          <w:p w:rsidR="00DE0CB4" w:rsidRPr="007C0CDA" w:rsidRDefault="00DE0CB4" w:rsidP="002E3AE9">
            <w:pPr>
              <w:jc w:val="center"/>
              <w:rPr>
                <w:b/>
                <w:bCs/>
                <w:color w:val="000000"/>
                <w:sz w:val="24"/>
                <w:szCs w:val="24"/>
              </w:rPr>
            </w:pPr>
          </w:p>
        </w:tc>
        <w:tc>
          <w:tcPr>
            <w:tcW w:w="960" w:type="dxa"/>
            <w:shd w:val="clear" w:color="auto" w:fill="365F91"/>
            <w:noWrap/>
            <w:vAlign w:val="center"/>
          </w:tcPr>
          <w:p w:rsidR="00DE0CB4" w:rsidRPr="007C0CDA" w:rsidRDefault="00DE0CB4" w:rsidP="002E3AE9">
            <w:pPr>
              <w:jc w:val="left"/>
              <w:rPr>
                <w:color w:val="000000"/>
                <w:sz w:val="24"/>
                <w:szCs w:val="24"/>
              </w:rPr>
            </w:pPr>
            <w:r w:rsidRPr="007C0CDA">
              <w:rPr>
                <w:color w:val="000000"/>
                <w:sz w:val="24"/>
                <w:szCs w:val="24"/>
              </w:rPr>
              <w:t> </w:t>
            </w:r>
          </w:p>
        </w:tc>
        <w:tc>
          <w:tcPr>
            <w:tcW w:w="2414" w:type="dxa"/>
            <w:shd w:val="clear" w:color="auto" w:fill="365F91"/>
            <w:vAlign w:val="center"/>
          </w:tcPr>
          <w:p w:rsidR="00DE0CB4" w:rsidRPr="007C0CDA" w:rsidRDefault="00DE0CB4" w:rsidP="002E3AE9">
            <w:pPr>
              <w:jc w:val="center"/>
              <w:rPr>
                <w:b/>
                <w:bCs/>
                <w:color w:val="FFFFFF"/>
                <w:sz w:val="24"/>
                <w:szCs w:val="24"/>
              </w:rPr>
            </w:pPr>
            <w:r w:rsidRPr="007C0CDA">
              <w:rPr>
                <w:b/>
                <w:bCs/>
                <w:color w:val="FFFFFF"/>
                <w:sz w:val="24"/>
                <w:szCs w:val="24"/>
              </w:rPr>
              <w:t>Záruční nástroj</w:t>
            </w:r>
          </w:p>
        </w:tc>
        <w:tc>
          <w:tcPr>
            <w:tcW w:w="2330" w:type="dxa"/>
            <w:shd w:val="clear" w:color="auto" w:fill="365F91"/>
            <w:vAlign w:val="center"/>
          </w:tcPr>
          <w:p w:rsidR="00DE0CB4" w:rsidRPr="007C0CDA" w:rsidRDefault="00DE0CB4" w:rsidP="002E3AE9">
            <w:pPr>
              <w:jc w:val="center"/>
              <w:rPr>
                <w:b/>
                <w:bCs/>
                <w:color w:val="FFFFFF"/>
                <w:sz w:val="24"/>
                <w:szCs w:val="24"/>
              </w:rPr>
            </w:pPr>
            <w:r w:rsidRPr="007C0CDA">
              <w:rPr>
                <w:b/>
                <w:bCs/>
                <w:color w:val="FFFFFF"/>
                <w:sz w:val="24"/>
                <w:szCs w:val="24"/>
              </w:rPr>
              <w:t>Zvýhodněný úvěr</w:t>
            </w:r>
          </w:p>
        </w:tc>
        <w:tc>
          <w:tcPr>
            <w:tcW w:w="2330" w:type="dxa"/>
            <w:shd w:val="clear" w:color="auto" w:fill="365F91"/>
          </w:tcPr>
          <w:p w:rsidR="00DE0CB4" w:rsidRPr="007C0CDA" w:rsidRDefault="00DE0CB4" w:rsidP="002E3AE9">
            <w:pPr>
              <w:jc w:val="center"/>
              <w:rPr>
                <w:b/>
                <w:bCs/>
                <w:color w:val="FFFFFF"/>
                <w:sz w:val="24"/>
                <w:szCs w:val="24"/>
              </w:rPr>
            </w:pPr>
          </w:p>
        </w:tc>
      </w:tr>
      <w:tr w:rsidR="00DE0CB4" w:rsidRPr="007C0CDA" w:rsidTr="002E3AE9">
        <w:trPr>
          <w:trHeight w:val="720"/>
        </w:trPr>
        <w:tc>
          <w:tcPr>
            <w:tcW w:w="960" w:type="dxa"/>
            <w:vMerge w:val="restart"/>
            <w:shd w:val="clear" w:color="auto" w:fill="8DB3E2"/>
            <w:noWrap/>
            <w:textDirection w:val="btLr"/>
            <w:vAlign w:val="center"/>
          </w:tcPr>
          <w:p w:rsidR="00DE0CB4" w:rsidRPr="007C0CDA" w:rsidRDefault="00DE0CB4" w:rsidP="002E3AE9">
            <w:pPr>
              <w:jc w:val="center"/>
              <w:rPr>
                <w:b/>
                <w:bCs/>
                <w:color w:val="FFFFFF"/>
                <w:sz w:val="24"/>
                <w:szCs w:val="24"/>
              </w:rPr>
            </w:pPr>
            <w:r w:rsidRPr="007C0CDA">
              <w:rPr>
                <w:b/>
                <w:bCs/>
                <w:color w:val="FFFFFF"/>
                <w:sz w:val="24"/>
                <w:szCs w:val="24"/>
              </w:rPr>
              <w:t>Přidaná hodnota veřejné podpory pro příjemce a ŘO</w:t>
            </w:r>
          </w:p>
        </w:tc>
        <w:tc>
          <w:tcPr>
            <w:tcW w:w="960" w:type="dxa"/>
            <w:vMerge w:val="restart"/>
            <w:shd w:val="clear" w:color="auto" w:fill="8DB3E2"/>
            <w:noWrap/>
            <w:textDirection w:val="btLr"/>
            <w:vAlign w:val="center"/>
          </w:tcPr>
          <w:p w:rsidR="00DE0CB4" w:rsidRPr="007C0CDA" w:rsidRDefault="00DE0CB4" w:rsidP="002E3AE9">
            <w:pPr>
              <w:jc w:val="center"/>
              <w:rPr>
                <w:b/>
                <w:bCs/>
                <w:color w:val="FFFFFF"/>
                <w:sz w:val="24"/>
                <w:szCs w:val="24"/>
              </w:rPr>
            </w:pPr>
            <w:r w:rsidRPr="007C0CDA">
              <w:rPr>
                <w:b/>
                <w:bCs/>
                <w:color w:val="FFFFFF"/>
                <w:sz w:val="24"/>
                <w:szCs w:val="24"/>
              </w:rPr>
              <w:t>Konečný příjemce</w:t>
            </w:r>
          </w:p>
        </w:tc>
        <w:tc>
          <w:tcPr>
            <w:tcW w:w="2414" w:type="dxa"/>
            <w:shd w:val="clear" w:color="auto" w:fill="8DB3E2"/>
            <w:vAlign w:val="center"/>
          </w:tcPr>
          <w:p w:rsidR="00DE0CB4" w:rsidRPr="007C0CDA" w:rsidRDefault="00DE0CB4" w:rsidP="002E3AE9">
            <w:pPr>
              <w:jc w:val="center"/>
              <w:rPr>
                <w:b/>
                <w:color w:val="FFFFFF"/>
                <w:sz w:val="20"/>
              </w:rPr>
            </w:pPr>
            <w:r w:rsidRPr="007C0CDA">
              <w:rPr>
                <w:b/>
                <w:color w:val="FFFFFF"/>
                <w:sz w:val="20"/>
              </w:rPr>
              <w:t>Zpřístupnění nedosažitelného financování</w:t>
            </w:r>
          </w:p>
        </w:tc>
        <w:tc>
          <w:tcPr>
            <w:tcW w:w="2330" w:type="dxa"/>
            <w:shd w:val="clear" w:color="auto" w:fill="8DB3E2"/>
            <w:vAlign w:val="center"/>
          </w:tcPr>
          <w:p w:rsidR="00DE0CB4" w:rsidRPr="007C0CDA" w:rsidRDefault="00DE0CB4" w:rsidP="002E3AE9">
            <w:pPr>
              <w:jc w:val="center"/>
              <w:rPr>
                <w:b/>
                <w:color w:val="FFFFFF"/>
                <w:sz w:val="20"/>
              </w:rPr>
            </w:pPr>
            <w:r w:rsidRPr="007C0CDA">
              <w:rPr>
                <w:b/>
                <w:color w:val="FFFFFF"/>
                <w:sz w:val="20"/>
              </w:rPr>
              <w:t>Zpřístupnění vyšší míry externího financování</w:t>
            </w:r>
          </w:p>
        </w:tc>
        <w:tc>
          <w:tcPr>
            <w:tcW w:w="2330" w:type="dxa"/>
            <w:shd w:val="clear" w:color="auto" w:fill="8DB3E2"/>
          </w:tcPr>
          <w:p w:rsidR="00DE0CB4" w:rsidRPr="007C0CDA" w:rsidRDefault="00DE0CB4" w:rsidP="002E3AE9">
            <w:pPr>
              <w:jc w:val="center"/>
              <w:rPr>
                <w:b/>
                <w:color w:val="FFFFFF"/>
                <w:sz w:val="20"/>
              </w:rPr>
            </w:pPr>
            <w:r w:rsidRPr="007C0CDA">
              <w:rPr>
                <w:b/>
                <w:color w:val="FFFFFF"/>
                <w:sz w:val="20"/>
              </w:rPr>
              <w:t>Nevratný příspěvek na projekt</w:t>
            </w:r>
          </w:p>
        </w:tc>
      </w:tr>
      <w:tr w:rsidR="00DE0CB4" w:rsidRPr="007C0CDA" w:rsidTr="002E3AE9">
        <w:trPr>
          <w:trHeight w:val="480"/>
        </w:trPr>
        <w:tc>
          <w:tcPr>
            <w:tcW w:w="960" w:type="dxa"/>
            <w:vMerge/>
            <w:shd w:val="clear" w:color="auto" w:fill="8DB3E2"/>
            <w:vAlign w:val="center"/>
          </w:tcPr>
          <w:p w:rsidR="00DE0CB4" w:rsidRPr="007C0CDA" w:rsidRDefault="00DE0CB4" w:rsidP="002E3AE9">
            <w:pPr>
              <w:jc w:val="left"/>
              <w:rPr>
                <w:b/>
                <w:bCs/>
                <w:color w:val="FFFFFF"/>
                <w:sz w:val="24"/>
                <w:szCs w:val="24"/>
              </w:rPr>
            </w:pPr>
          </w:p>
        </w:tc>
        <w:tc>
          <w:tcPr>
            <w:tcW w:w="960" w:type="dxa"/>
            <w:vMerge/>
            <w:shd w:val="clear" w:color="auto" w:fill="8DB3E2"/>
            <w:vAlign w:val="center"/>
          </w:tcPr>
          <w:p w:rsidR="00DE0CB4" w:rsidRPr="007C0CDA" w:rsidRDefault="00DE0CB4" w:rsidP="002E3AE9">
            <w:pPr>
              <w:jc w:val="left"/>
              <w:rPr>
                <w:b/>
                <w:bCs/>
                <w:color w:val="FFFFFF"/>
                <w:sz w:val="24"/>
                <w:szCs w:val="24"/>
              </w:rPr>
            </w:pPr>
          </w:p>
        </w:tc>
        <w:tc>
          <w:tcPr>
            <w:tcW w:w="2414" w:type="dxa"/>
            <w:shd w:val="clear" w:color="auto" w:fill="8DB3E2"/>
            <w:vAlign w:val="center"/>
          </w:tcPr>
          <w:p w:rsidR="00DE0CB4" w:rsidRPr="007C0CDA" w:rsidRDefault="00DE0CB4" w:rsidP="002E3AE9">
            <w:pPr>
              <w:jc w:val="center"/>
              <w:rPr>
                <w:b/>
                <w:color w:val="FFFFFF"/>
                <w:sz w:val="20"/>
              </w:rPr>
            </w:pPr>
            <w:r w:rsidRPr="007C0CDA">
              <w:rPr>
                <w:b/>
                <w:color w:val="FFFFFF"/>
                <w:sz w:val="20"/>
              </w:rPr>
              <w:t>Částečné snížení úrokové sazby snížením rizikové přirážky</w:t>
            </w:r>
          </w:p>
        </w:tc>
        <w:tc>
          <w:tcPr>
            <w:tcW w:w="2330" w:type="dxa"/>
            <w:shd w:val="clear" w:color="auto" w:fill="8DB3E2"/>
            <w:vAlign w:val="center"/>
          </w:tcPr>
          <w:p w:rsidR="00DE0CB4" w:rsidRPr="007C0CDA" w:rsidRDefault="00DE0CB4" w:rsidP="002E3AE9">
            <w:pPr>
              <w:jc w:val="center"/>
              <w:rPr>
                <w:b/>
                <w:color w:val="FFFFFF"/>
                <w:sz w:val="20"/>
              </w:rPr>
            </w:pPr>
            <w:r w:rsidRPr="007C0CDA">
              <w:rPr>
                <w:b/>
                <w:color w:val="FFFFFF"/>
                <w:sz w:val="20"/>
              </w:rPr>
              <w:t>Snížení úrokové sazby</w:t>
            </w:r>
          </w:p>
        </w:tc>
        <w:tc>
          <w:tcPr>
            <w:tcW w:w="2330" w:type="dxa"/>
            <w:shd w:val="clear" w:color="auto" w:fill="8DB3E2"/>
          </w:tcPr>
          <w:p w:rsidR="00DE0CB4" w:rsidRPr="007C0CDA" w:rsidRDefault="00DE0CB4" w:rsidP="002E3AE9">
            <w:pPr>
              <w:jc w:val="center"/>
              <w:rPr>
                <w:b/>
                <w:color w:val="FFFFFF"/>
                <w:sz w:val="20"/>
              </w:rPr>
            </w:pPr>
            <w:r w:rsidRPr="007C0CDA">
              <w:rPr>
                <w:b/>
                <w:color w:val="FFFFFF"/>
                <w:sz w:val="20"/>
              </w:rPr>
              <w:t xml:space="preserve">Vysoce snížená doba návratnosti </w:t>
            </w:r>
          </w:p>
        </w:tc>
      </w:tr>
      <w:tr w:rsidR="00DE0CB4" w:rsidRPr="007C0CDA" w:rsidTr="002E3AE9">
        <w:trPr>
          <w:trHeight w:val="720"/>
        </w:trPr>
        <w:tc>
          <w:tcPr>
            <w:tcW w:w="960" w:type="dxa"/>
            <w:vMerge/>
            <w:shd w:val="clear" w:color="auto" w:fill="8DB3E2"/>
            <w:vAlign w:val="center"/>
          </w:tcPr>
          <w:p w:rsidR="00DE0CB4" w:rsidRPr="007C0CDA" w:rsidRDefault="00DE0CB4" w:rsidP="002E3AE9">
            <w:pPr>
              <w:jc w:val="left"/>
              <w:rPr>
                <w:b/>
                <w:bCs/>
                <w:color w:val="FFFFFF"/>
                <w:sz w:val="24"/>
                <w:szCs w:val="24"/>
              </w:rPr>
            </w:pPr>
          </w:p>
        </w:tc>
        <w:tc>
          <w:tcPr>
            <w:tcW w:w="960" w:type="dxa"/>
            <w:vMerge/>
            <w:shd w:val="clear" w:color="auto" w:fill="8DB3E2"/>
            <w:vAlign w:val="center"/>
          </w:tcPr>
          <w:p w:rsidR="00DE0CB4" w:rsidRPr="007C0CDA" w:rsidRDefault="00DE0CB4" w:rsidP="002E3AE9">
            <w:pPr>
              <w:jc w:val="left"/>
              <w:rPr>
                <w:b/>
                <w:bCs/>
                <w:color w:val="FFFFFF"/>
                <w:sz w:val="24"/>
                <w:szCs w:val="24"/>
              </w:rPr>
            </w:pPr>
          </w:p>
        </w:tc>
        <w:tc>
          <w:tcPr>
            <w:tcW w:w="2414" w:type="dxa"/>
            <w:shd w:val="clear" w:color="auto" w:fill="8DB3E2"/>
            <w:vAlign w:val="center"/>
          </w:tcPr>
          <w:p w:rsidR="00DE0CB4" w:rsidRPr="007C0CDA" w:rsidRDefault="00DE0CB4" w:rsidP="002E3AE9">
            <w:pPr>
              <w:jc w:val="center"/>
              <w:rPr>
                <w:b/>
                <w:color w:val="FFFFFF"/>
                <w:sz w:val="20"/>
              </w:rPr>
            </w:pPr>
            <w:r w:rsidRPr="007C0CDA">
              <w:rPr>
                <w:b/>
                <w:color w:val="FFFFFF"/>
                <w:sz w:val="20"/>
              </w:rPr>
              <w:t>Snížení nároků na zástavu podniku</w:t>
            </w:r>
          </w:p>
        </w:tc>
        <w:tc>
          <w:tcPr>
            <w:tcW w:w="2330" w:type="dxa"/>
            <w:shd w:val="clear" w:color="auto" w:fill="8DB3E2"/>
            <w:vAlign w:val="center"/>
          </w:tcPr>
          <w:p w:rsidR="00DE0CB4" w:rsidRPr="007C0CDA" w:rsidRDefault="00DE0CB4" w:rsidP="002E3AE9">
            <w:pPr>
              <w:jc w:val="center"/>
              <w:rPr>
                <w:b/>
                <w:color w:val="FFFFFF"/>
                <w:sz w:val="20"/>
              </w:rPr>
            </w:pPr>
            <w:r w:rsidRPr="007C0CDA">
              <w:rPr>
                <w:b/>
                <w:color w:val="FFFFFF"/>
                <w:sz w:val="20"/>
              </w:rPr>
              <w:t>Delší doba splatnosti</w:t>
            </w:r>
          </w:p>
        </w:tc>
        <w:tc>
          <w:tcPr>
            <w:tcW w:w="2330" w:type="dxa"/>
            <w:shd w:val="clear" w:color="auto" w:fill="8DB3E2"/>
          </w:tcPr>
          <w:p w:rsidR="00DE0CB4" w:rsidRPr="007C0CDA" w:rsidRDefault="00DE0CB4" w:rsidP="002E3AE9">
            <w:pPr>
              <w:jc w:val="center"/>
              <w:rPr>
                <w:b/>
                <w:color w:val="FFFFFF"/>
                <w:sz w:val="20"/>
              </w:rPr>
            </w:pPr>
            <w:r w:rsidRPr="007C0CDA">
              <w:rPr>
                <w:b/>
                <w:color w:val="FFFFFF"/>
                <w:sz w:val="20"/>
              </w:rPr>
              <w:t>Snazší opatření úvěru na zbytek nákladů projektu</w:t>
            </w:r>
          </w:p>
        </w:tc>
      </w:tr>
      <w:tr w:rsidR="00DE0CB4" w:rsidRPr="007C0CDA" w:rsidTr="002E3AE9">
        <w:trPr>
          <w:trHeight w:val="478"/>
        </w:trPr>
        <w:tc>
          <w:tcPr>
            <w:tcW w:w="960" w:type="dxa"/>
            <w:vMerge/>
            <w:shd w:val="clear" w:color="auto" w:fill="8DB3E2"/>
            <w:vAlign w:val="center"/>
          </w:tcPr>
          <w:p w:rsidR="00DE0CB4" w:rsidRPr="007C0CDA" w:rsidRDefault="00DE0CB4" w:rsidP="002E3AE9">
            <w:pPr>
              <w:jc w:val="left"/>
              <w:rPr>
                <w:b/>
                <w:bCs/>
                <w:color w:val="FFFFFF"/>
                <w:sz w:val="24"/>
                <w:szCs w:val="24"/>
              </w:rPr>
            </w:pPr>
          </w:p>
        </w:tc>
        <w:tc>
          <w:tcPr>
            <w:tcW w:w="960" w:type="dxa"/>
            <w:vMerge/>
            <w:shd w:val="clear" w:color="auto" w:fill="8DB3E2"/>
            <w:vAlign w:val="center"/>
          </w:tcPr>
          <w:p w:rsidR="00DE0CB4" w:rsidRPr="007C0CDA" w:rsidRDefault="00DE0CB4" w:rsidP="002E3AE9">
            <w:pPr>
              <w:jc w:val="left"/>
              <w:rPr>
                <w:b/>
                <w:bCs/>
                <w:color w:val="FFFFFF"/>
                <w:sz w:val="24"/>
                <w:szCs w:val="24"/>
              </w:rPr>
            </w:pPr>
          </w:p>
        </w:tc>
        <w:tc>
          <w:tcPr>
            <w:tcW w:w="2414" w:type="dxa"/>
            <w:shd w:val="clear" w:color="auto" w:fill="8DB3E2"/>
            <w:noWrap/>
            <w:vAlign w:val="center"/>
          </w:tcPr>
          <w:p w:rsidR="00DE0CB4" w:rsidRPr="007C0CDA" w:rsidRDefault="00DE0CB4" w:rsidP="002E3AE9">
            <w:pPr>
              <w:jc w:val="center"/>
              <w:rPr>
                <w:b/>
                <w:color w:val="FFFFFF"/>
                <w:sz w:val="20"/>
              </w:rPr>
            </w:pPr>
          </w:p>
        </w:tc>
        <w:tc>
          <w:tcPr>
            <w:tcW w:w="2330" w:type="dxa"/>
            <w:shd w:val="clear" w:color="auto" w:fill="8DB3E2"/>
            <w:vAlign w:val="center"/>
          </w:tcPr>
          <w:p w:rsidR="00DE0CB4" w:rsidRPr="007C0CDA" w:rsidRDefault="00DE0CB4" w:rsidP="002E3AE9">
            <w:pPr>
              <w:jc w:val="center"/>
              <w:rPr>
                <w:b/>
                <w:color w:val="FFFFFF"/>
                <w:sz w:val="20"/>
              </w:rPr>
            </w:pPr>
            <w:r w:rsidRPr="007C0CDA">
              <w:rPr>
                <w:b/>
                <w:color w:val="FFFFFF"/>
                <w:sz w:val="20"/>
              </w:rPr>
              <w:t>Snížená doba návratnosti</w:t>
            </w:r>
          </w:p>
        </w:tc>
        <w:tc>
          <w:tcPr>
            <w:tcW w:w="2330" w:type="dxa"/>
            <w:shd w:val="clear" w:color="auto" w:fill="8DB3E2"/>
          </w:tcPr>
          <w:p w:rsidR="00DE0CB4" w:rsidRPr="007C0CDA" w:rsidRDefault="00DE0CB4" w:rsidP="002E3AE9">
            <w:pPr>
              <w:jc w:val="center"/>
              <w:rPr>
                <w:b/>
                <w:color w:val="FFFFFF"/>
                <w:sz w:val="20"/>
              </w:rPr>
            </w:pPr>
            <w:r w:rsidRPr="007C0CDA">
              <w:rPr>
                <w:b/>
                <w:color w:val="FFFFFF"/>
                <w:sz w:val="20"/>
              </w:rPr>
              <w:t>Možnost investovat nadměrný zisk do dalších investic</w:t>
            </w:r>
          </w:p>
        </w:tc>
      </w:tr>
      <w:tr w:rsidR="00DE0CB4" w:rsidRPr="007C0CDA" w:rsidTr="002E3AE9">
        <w:trPr>
          <w:trHeight w:val="680"/>
        </w:trPr>
        <w:tc>
          <w:tcPr>
            <w:tcW w:w="960" w:type="dxa"/>
            <w:vMerge/>
            <w:shd w:val="clear" w:color="auto" w:fill="8DB3E2"/>
            <w:vAlign w:val="center"/>
          </w:tcPr>
          <w:p w:rsidR="00DE0CB4" w:rsidRPr="007C0CDA" w:rsidRDefault="00DE0CB4" w:rsidP="002E3AE9">
            <w:pPr>
              <w:jc w:val="left"/>
              <w:rPr>
                <w:b/>
                <w:bCs/>
                <w:color w:val="FFFFFF"/>
                <w:sz w:val="24"/>
                <w:szCs w:val="24"/>
              </w:rPr>
            </w:pPr>
          </w:p>
        </w:tc>
        <w:tc>
          <w:tcPr>
            <w:tcW w:w="960" w:type="dxa"/>
            <w:vMerge/>
            <w:shd w:val="clear" w:color="auto" w:fill="8DB3E2"/>
            <w:vAlign w:val="center"/>
          </w:tcPr>
          <w:p w:rsidR="00DE0CB4" w:rsidRPr="007C0CDA" w:rsidRDefault="00DE0CB4" w:rsidP="002E3AE9">
            <w:pPr>
              <w:jc w:val="left"/>
              <w:rPr>
                <w:b/>
                <w:bCs/>
                <w:color w:val="FFFFFF"/>
                <w:sz w:val="24"/>
                <w:szCs w:val="24"/>
              </w:rPr>
            </w:pPr>
          </w:p>
        </w:tc>
        <w:tc>
          <w:tcPr>
            <w:tcW w:w="2414" w:type="dxa"/>
            <w:shd w:val="clear" w:color="auto" w:fill="8DB3E2"/>
            <w:vAlign w:val="center"/>
          </w:tcPr>
          <w:p w:rsidR="00DE0CB4" w:rsidRPr="007C0CDA" w:rsidRDefault="00DE0CB4" w:rsidP="002E3AE9">
            <w:pPr>
              <w:jc w:val="center"/>
              <w:rPr>
                <w:b/>
                <w:color w:val="FFFFFF"/>
                <w:sz w:val="20"/>
              </w:rPr>
            </w:pPr>
            <w:r w:rsidRPr="007C0CDA">
              <w:rPr>
                <w:b/>
                <w:color w:val="FFFFFF"/>
                <w:sz w:val="20"/>
              </w:rPr>
              <w:t>Platba v předstihu v podobě úvěru</w:t>
            </w:r>
          </w:p>
        </w:tc>
        <w:tc>
          <w:tcPr>
            <w:tcW w:w="2330" w:type="dxa"/>
            <w:shd w:val="clear" w:color="auto" w:fill="8DB3E2"/>
            <w:vAlign w:val="center"/>
          </w:tcPr>
          <w:p w:rsidR="00DE0CB4" w:rsidRPr="007C0CDA" w:rsidRDefault="00DE0CB4" w:rsidP="002E3AE9">
            <w:pPr>
              <w:jc w:val="center"/>
              <w:rPr>
                <w:b/>
                <w:color w:val="FFFFFF"/>
                <w:sz w:val="20"/>
              </w:rPr>
            </w:pPr>
            <w:r w:rsidRPr="007C0CDA">
              <w:rPr>
                <w:b/>
                <w:color w:val="FFFFFF"/>
                <w:sz w:val="20"/>
              </w:rPr>
              <w:t>Platba v předstihu v podobě úvěru</w:t>
            </w:r>
          </w:p>
        </w:tc>
        <w:tc>
          <w:tcPr>
            <w:tcW w:w="2330" w:type="dxa"/>
            <w:shd w:val="clear" w:color="auto" w:fill="8DB3E2"/>
          </w:tcPr>
          <w:p w:rsidR="00DE0CB4" w:rsidRPr="007C0CDA" w:rsidRDefault="00DE0CB4" w:rsidP="002E3AE9">
            <w:pPr>
              <w:jc w:val="center"/>
              <w:rPr>
                <w:b/>
                <w:color w:val="FFFFFF"/>
                <w:sz w:val="20"/>
              </w:rPr>
            </w:pPr>
          </w:p>
        </w:tc>
      </w:tr>
      <w:tr w:rsidR="00DE0CB4" w:rsidRPr="007C0CDA" w:rsidTr="002E3AE9">
        <w:trPr>
          <w:trHeight w:val="690"/>
        </w:trPr>
        <w:tc>
          <w:tcPr>
            <w:tcW w:w="960" w:type="dxa"/>
            <w:vMerge/>
            <w:shd w:val="clear" w:color="auto" w:fill="8DB3E2"/>
            <w:vAlign w:val="center"/>
          </w:tcPr>
          <w:p w:rsidR="00DE0CB4" w:rsidRPr="007C0CDA" w:rsidRDefault="00DE0CB4" w:rsidP="002E3AE9">
            <w:pPr>
              <w:jc w:val="left"/>
              <w:rPr>
                <w:b/>
                <w:bCs/>
                <w:color w:val="FFFFFF"/>
                <w:sz w:val="24"/>
                <w:szCs w:val="24"/>
              </w:rPr>
            </w:pPr>
          </w:p>
        </w:tc>
        <w:tc>
          <w:tcPr>
            <w:tcW w:w="960" w:type="dxa"/>
            <w:vMerge/>
            <w:shd w:val="clear" w:color="auto" w:fill="8DB3E2"/>
            <w:vAlign w:val="center"/>
          </w:tcPr>
          <w:p w:rsidR="00DE0CB4" w:rsidRPr="007C0CDA" w:rsidRDefault="00DE0CB4" w:rsidP="002E3AE9">
            <w:pPr>
              <w:jc w:val="left"/>
              <w:rPr>
                <w:b/>
                <w:bCs/>
                <w:color w:val="FFFFFF"/>
                <w:sz w:val="24"/>
                <w:szCs w:val="24"/>
              </w:rPr>
            </w:pPr>
          </w:p>
        </w:tc>
        <w:tc>
          <w:tcPr>
            <w:tcW w:w="2414" w:type="dxa"/>
            <w:shd w:val="clear" w:color="auto" w:fill="8DB3E2"/>
            <w:vAlign w:val="center"/>
          </w:tcPr>
          <w:p w:rsidR="00DE0CB4" w:rsidRPr="007C0CDA" w:rsidRDefault="00DE0CB4" w:rsidP="002E3AE9">
            <w:pPr>
              <w:jc w:val="center"/>
              <w:rPr>
                <w:b/>
                <w:color w:val="FFFFFF"/>
                <w:sz w:val="20"/>
              </w:rPr>
            </w:pPr>
            <w:r w:rsidRPr="007C0CDA">
              <w:rPr>
                <w:b/>
                <w:color w:val="FFFFFF"/>
                <w:sz w:val="20"/>
              </w:rPr>
              <w:t>Nižší administrativní náročnost</w:t>
            </w:r>
          </w:p>
        </w:tc>
        <w:tc>
          <w:tcPr>
            <w:tcW w:w="2330" w:type="dxa"/>
            <w:shd w:val="clear" w:color="auto" w:fill="8DB3E2"/>
            <w:vAlign w:val="center"/>
          </w:tcPr>
          <w:p w:rsidR="00DE0CB4" w:rsidRPr="007C0CDA" w:rsidRDefault="00DE0CB4" w:rsidP="002E3AE9">
            <w:pPr>
              <w:jc w:val="center"/>
              <w:rPr>
                <w:b/>
                <w:color w:val="FFFFFF"/>
                <w:sz w:val="20"/>
              </w:rPr>
            </w:pPr>
            <w:r w:rsidRPr="007C0CDA">
              <w:rPr>
                <w:b/>
                <w:color w:val="FFFFFF"/>
                <w:sz w:val="20"/>
              </w:rPr>
              <w:t>Nižší administrativní náročnost</w:t>
            </w:r>
          </w:p>
        </w:tc>
        <w:tc>
          <w:tcPr>
            <w:tcW w:w="2330" w:type="dxa"/>
            <w:shd w:val="clear" w:color="auto" w:fill="8DB3E2"/>
          </w:tcPr>
          <w:p w:rsidR="00DE0CB4" w:rsidRPr="007C0CDA" w:rsidRDefault="00DE0CB4" w:rsidP="002E3AE9">
            <w:pPr>
              <w:jc w:val="left"/>
              <w:rPr>
                <w:rFonts w:ascii="Times New Roman" w:hAnsi="Times New Roman"/>
                <w:b/>
                <w:color w:val="FFFFFF"/>
                <w:sz w:val="20"/>
              </w:rPr>
            </w:pPr>
          </w:p>
        </w:tc>
      </w:tr>
      <w:tr w:rsidR="00DE0CB4" w:rsidRPr="007C0CDA" w:rsidTr="002E3AE9">
        <w:trPr>
          <w:trHeight w:val="735"/>
        </w:trPr>
        <w:tc>
          <w:tcPr>
            <w:tcW w:w="960" w:type="dxa"/>
            <w:vMerge/>
            <w:shd w:val="clear" w:color="auto" w:fill="8DB3E2"/>
            <w:vAlign w:val="center"/>
          </w:tcPr>
          <w:p w:rsidR="00DE0CB4" w:rsidRPr="007C0CDA" w:rsidRDefault="00DE0CB4" w:rsidP="002E3AE9">
            <w:pPr>
              <w:jc w:val="left"/>
              <w:rPr>
                <w:b/>
                <w:bCs/>
                <w:color w:val="FFFFFF"/>
                <w:sz w:val="24"/>
                <w:szCs w:val="24"/>
              </w:rPr>
            </w:pPr>
          </w:p>
        </w:tc>
        <w:tc>
          <w:tcPr>
            <w:tcW w:w="960" w:type="dxa"/>
            <w:vMerge w:val="restart"/>
            <w:shd w:val="clear" w:color="auto" w:fill="8DB3E2"/>
            <w:noWrap/>
            <w:textDirection w:val="btLr"/>
            <w:vAlign w:val="center"/>
          </w:tcPr>
          <w:p w:rsidR="00DE0CB4" w:rsidRPr="007C0CDA" w:rsidRDefault="00DE0CB4" w:rsidP="002E3AE9">
            <w:pPr>
              <w:jc w:val="center"/>
              <w:rPr>
                <w:b/>
                <w:bCs/>
                <w:color w:val="FFFFFF"/>
                <w:sz w:val="24"/>
                <w:szCs w:val="24"/>
              </w:rPr>
            </w:pPr>
            <w:r w:rsidRPr="007C0CDA">
              <w:rPr>
                <w:b/>
                <w:bCs/>
                <w:color w:val="FFFFFF"/>
                <w:sz w:val="24"/>
                <w:szCs w:val="24"/>
              </w:rPr>
              <w:t>ŘO</w:t>
            </w:r>
          </w:p>
        </w:tc>
        <w:tc>
          <w:tcPr>
            <w:tcW w:w="2414" w:type="dxa"/>
            <w:shd w:val="clear" w:color="auto" w:fill="8DB3E2"/>
            <w:vAlign w:val="center"/>
          </w:tcPr>
          <w:p w:rsidR="00DE0CB4" w:rsidRPr="007C0CDA" w:rsidRDefault="00DE0CB4" w:rsidP="002E3AE9">
            <w:pPr>
              <w:jc w:val="center"/>
              <w:rPr>
                <w:b/>
                <w:color w:val="FFFFFF"/>
                <w:sz w:val="20"/>
              </w:rPr>
            </w:pPr>
            <w:r w:rsidRPr="007C0CDA">
              <w:rPr>
                <w:b/>
                <w:color w:val="FFFFFF"/>
                <w:sz w:val="20"/>
              </w:rPr>
              <w:t>Vysoký pákový efekt a širší objem podpořených projektů a investic</w:t>
            </w:r>
          </w:p>
        </w:tc>
        <w:tc>
          <w:tcPr>
            <w:tcW w:w="2330" w:type="dxa"/>
            <w:shd w:val="clear" w:color="auto" w:fill="8DB3E2"/>
            <w:vAlign w:val="center"/>
          </w:tcPr>
          <w:p w:rsidR="00DE0CB4" w:rsidRPr="007C0CDA" w:rsidRDefault="00DE0CB4" w:rsidP="002E3AE9">
            <w:pPr>
              <w:jc w:val="center"/>
              <w:rPr>
                <w:b/>
                <w:color w:val="FFFFFF"/>
                <w:sz w:val="20"/>
              </w:rPr>
            </w:pPr>
            <w:r w:rsidRPr="007C0CDA">
              <w:rPr>
                <w:b/>
                <w:color w:val="FFFFFF"/>
                <w:sz w:val="20"/>
              </w:rPr>
              <w:t>Vysoký revolvingový efekt a podpoření projektů v dalších cyklech</w:t>
            </w:r>
          </w:p>
        </w:tc>
        <w:tc>
          <w:tcPr>
            <w:tcW w:w="2330" w:type="dxa"/>
            <w:shd w:val="clear" w:color="auto" w:fill="8DB3E2"/>
          </w:tcPr>
          <w:p w:rsidR="00DE0CB4" w:rsidRPr="007C0CDA" w:rsidRDefault="00DE0CB4" w:rsidP="002E3AE9">
            <w:pPr>
              <w:rPr>
                <w:b/>
                <w:color w:val="FFFFFF"/>
                <w:sz w:val="20"/>
              </w:rPr>
            </w:pPr>
            <w:r>
              <w:rPr>
                <w:b/>
                <w:color w:val="FFFFFF"/>
                <w:sz w:val="20"/>
              </w:rPr>
              <w:t>Vysoká absorpční kapacita</w:t>
            </w:r>
          </w:p>
        </w:tc>
      </w:tr>
      <w:tr w:rsidR="00DE0CB4" w:rsidRPr="007C0CDA" w:rsidTr="002E3AE9">
        <w:trPr>
          <w:trHeight w:val="735"/>
        </w:trPr>
        <w:tc>
          <w:tcPr>
            <w:tcW w:w="960" w:type="dxa"/>
            <w:vMerge/>
            <w:shd w:val="clear" w:color="auto" w:fill="8DB3E2"/>
            <w:vAlign w:val="center"/>
          </w:tcPr>
          <w:p w:rsidR="00DE0CB4" w:rsidRPr="007C0CDA" w:rsidRDefault="00DE0CB4" w:rsidP="002E3AE9">
            <w:pPr>
              <w:jc w:val="left"/>
              <w:rPr>
                <w:b/>
                <w:bCs/>
                <w:color w:val="FFFFFF"/>
                <w:sz w:val="18"/>
                <w:szCs w:val="18"/>
              </w:rPr>
            </w:pPr>
          </w:p>
        </w:tc>
        <w:tc>
          <w:tcPr>
            <w:tcW w:w="960" w:type="dxa"/>
            <w:vMerge/>
            <w:shd w:val="clear" w:color="auto" w:fill="8DB3E2"/>
            <w:noWrap/>
            <w:textDirection w:val="btLr"/>
            <w:vAlign w:val="center"/>
          </w:tcPr>
          <w:p w:rsidR="00DE0CB4" w:rsidRPr="007C0CDA" w:rsidRDefault="00DE0CB4" w:rsidP="002E3AE9">
            <w:pPr>
              <w:jc w:val="center"/>
              <w:rPr>
                <w:b/>
                <w:bCs/>
                <w:color w:val="FFFFFF"/>
                <w:sz w:val="18"/>
                <w:szCs w:val="18"/>
              </w:rPr>
            </w:pPr>
          </w:p>
        </w:tc>
        <w:tc>
          <w:tcPr>
            <w:tcW w:w="2414" w:type="dxa"/>
            <w:shd w:val="clear" w:color="auto" w:fill="8DB3E2"/>
            <w:vAlign w:val="center"/>
          </w:tcPr>
          <w:p w:rsidR="00DE0CB4" w:rsidRPr="007C0CDA" w:rsidRDefault="00DE0CB4" w:rsidP="002E3AE9">
            <w:pPr>
              <w:jc w:val="center"/>
              <w:rPr>
                <w:b/>
                <w:color w:val="FFFFFF"/>
                <w:sz w:val="20"/>
              </w:rPr>
            </w:pPr>
            <w:r w:rsidRPr="007C0CDA">
              <w:rPr>
                <w:b/>
                <w:color w:val="FFFFFF"/>
                <w:sz w:val="20"/>
              </w:rPr>
              <w:t>Možnost revolvingu v závislosti na rizikové strategii</w:t>
            </w:r>
          </w:p>
        </w:tc>
        <w:tc>
          <w:tcPr>
            <w:tcW w:w="2330" w:type="dxa"/>
            <w:shd w:val="clear" w:color="auto" w:fill="8DB3E2"/>
            <w:vAlign w:val="center"/>
          </w:tcPr>
          <w:p w:rsidR="00DE0CB4" w:rsidRPr="007C0CDA" w:rsidRDefault="00DE0CB4" w:rsidP="002E3AE9">
            <w:pPr>
              <w:jc w:val="center"/>
              <w:rPr>
                <w:b/>
                <w:color w:val="FFFFFF"/>
                <w:sz w:val="20"/>
              </w:rPr>
            </w:pPr>
            <w:r w:rsidRPr="007C0CDA">
              <w:rPr>
                <w:b/>
                <w:color w:val="FFFFFF"/>
                <w:sz w:val="20"/>
              </w:rPr>
              <w:t>Predikovatelné splátky</w:t>
            </w:r>
          </w:p>
        </w:tc>
        <w:tc>
          <w:tcPr>
            <w:tcW w:w="2330" w:type="dxa"/>
            <w:shd w:val="clear" w:color="auto" w:fill="8DB3E2"/>
          </w:tcPr>
          <w:p w:rsidR="00DE0CB4" w:rsidRPr="007C0CDA" w:rsidRDefault="00DE0CB4" w:rsidP="002E3AE9">
            <w:pPr>
              <w:jc w:val="center"/>
              <w:rPr>
                <w:b/>
                <w:color w:val="FFFFFF"/>
                <w:sz w:val="20"/>
              </w:rPr>
            </w:pPr>
            <w:r>
              <w:rPr>
                <w:b/>
                <w:color w:val="FFFFFF"/>
                <w:sz w:val="20"/>
              </w:rPr>
              <w:t>Motivace subjektů k investicím v této oblasti</w:t>
            </w:r>
          </w:p>
        </w:tc>
      </w:tr>
      <w:tr w:rsidR="00DE0CB4" w:rsidRPr="007C0CDA" w:rsidTr="002E3AE9">
        <w:trPr>
          <w:trHeight w:val="311"/>
        </w:trPr>
        <w:tc>
          <w:tcPr>
            <w:tcW w:w="960" w:type="dxa"/>
            <w:vMerge/>
            <w:shd w:val="clear" w:color="auto" w:fill="8DB3E2"/>
            <w:vAlign w:val="center"/>
          </w:tcPr>
          <w:p w:rsidR="00DE0CB4" w:rsidRPr="007C0CDA" w:rsidRDefault="00DE0CB4" w:rsidP="002E3AE9">
            <w:pPr>
              <w:jc w:val="left"/>
              <w:rPr>
                <w:b/>
                <w:bCs/>
                <w:color w:val="FFFFFF"/>
                <w:sz w:val="18"/>
                <w:szCs w:val="18"/>
              </w:rPr>
            </w:pPr>
          </w:p>
        </w:tc>
        <w:tc>
          <w:tcPr>
            <w:tcW w:w="960" w:type="dxa"/>
            <w:vMerge/>
            <w:shd w:val="clear" w:color="auto" w:fill="8DB3E2"/>
            <w:noWrap/>
            <w:textDirection w:val="btLr"/>
            <w:vAlign w:val="center"/>
          </w:tcPr>
          <w:p w:rsidR="00DE0CB4" w:rsidRPr="007C0CDA" w:rsidRDefault="00DE0CB4" w:rsidP="002E3AE9">
            <w:pPr>
              <w:jc w:val="center"/>
              <w:rPr>
                <w:b/>
                <w:bCs/>
                <w:color w:val="FFFFFF"/>
                <w:sz w:val="18"/>
                <w:szCs w:val="18"/>
              </w:rPr>
            </w:pPr>
          </w:p>
        </w:tc>
        <w:tc>
          <w:tcPr>
            <w:tcW w:w="2414" w:type="dxa"/>
            <w:shd w:val="clear" w:color="auto" w:fill="8DB3E2"/>
            <w:vAlign w:val="center"/>
          </w:tcPr>
          <w:p w:rsidR="00DE0CB4" w:rsidRPr="007C0CDA" w:rsidRDefault="00DE0CB4" w:rsidP="002E3AE9">
            <w:pPr>
              <w:jc w:val="center"/>
              <w:rPr>
                <w:b/>
                <w:color w:val="FFFFFF"/>
                <w:sz w:val="20"/>
              </w:rPr>
            </w:pPr>
            <w:r w:rsidRPr="007C0CDA">
              <w:rPr>
                <w:b/>
                <w:color w:val="FFFFFF"/>
                <w:sz w:val="20"/>
              </w:rPr>
              <w:t>Rychlé čerpání</w:t>
            </w:r>
          </w:p>
        </w:tc>
        <w:tc>
          <w:tcPr>
            <w:tcW w:w="2330" w:type="dxa"/>
            <w:shd w:val="clear" w:color="auto" w:fill="8DB3E2"/>
            <w:vAlign w:val="center"/>
          </w:tcPr>
          <w:p w:rsidR="00DE0CB4" w:rsidRPr="007C0CDA" w:rsidRDefault="00DE0CB4" w:rsidP="002E3AE9">
            <w:pPr>
              <w:jc w:val="center"/>
              <w:rPr>
                <w:b/>
                <w:color w:val="FFFFFF"/>
                <w:sz w:val="20"/>
              </w:rPr>
            </w:pPr>
            <w:r w:rsidRPr="007C0CDA">
              <w:rPr>
                <w:b/>
                <w:color w:val="FFFFFF"/>
                <w:sz w:val="20"/>
              </w:rPr>
              <w:t>Rychlé čerpání</w:t>
            </w:r>
          </w:p>
        </w:tc>
        <w:tc>
          <w:tcPr>
            <w:tcW w:w="2330" w:type="dxa"/>
            <w:shd w:val="clear" w:color="auto" w:fill="8DB3E2"/>
          </w:tcPr>
          <w:p w:rsidR="00DE0CB4" w:rsidRPr="007C0CDA" w:rsidRDefault="00DE0CB4" w:rsidP="002E3AE9">
            <w:pPr>
              <w:jc w:val="center"/>
              <w:rPr>
                <w:b/>
                <w:color w:val="FFFFFF"/>
                <w:sz w:val="20"/>
              </w:rPr>
            </w:pPr>
          </w:p>
        </w:tc>
      </w:tr>
      <w:tr w:rsidR="00DE0CB4" w:rsidRPr="007C0CDA" w:rsidTr="002E3AE9">
        <w:trPr>
          <w:trHeight w:val="735"/>
        </w:trPr>
        <w:tc>
          <w:tcPr>
            <w:tcW w:w="960" w:type="dxa"/>
            <w:vMerge w:val="restart"/>
            <w:shd w:val="clear" w:color="auto" w:fill="FF0000"/>
            <w:textDirection w:val="btLr"/>
            <w:vAlign w:val="center"/>
          </w:tcPr>
          <w:p w:rsidR="00DE0CB4" w:rsidRPr="007C0CDA" w:rsidRDefault="00DE0CB4" w:rsidP="002E3AE9">
            <w:pPr>
              <w:ind w:left="113" w:right="113"/>
              <w:jc w:val="center"/>
              <w:rPr>
                <w:b/>
                <w:bCs/>
                <w:color w:val="FFFFFF"/>
                <w:sz w:val="24"/>
                <w:szCs w:val="24"/>
              </w:rPr>
            </w:pPr>
            <w:r w:rsidRPr="007C0CDA">
              <w:rPr>
                <w:b/>
                <w:bCs/>
                <w:color w:val="FFFFFF"/>
                <w:sz w:val="24"/>
                <w:szCs w:val="24"/>
              </w:rPr>
              <w:t>Nevýhody a rizika</w:t>
            </w:r>
          </w:p>
        </w:tc>
        <w:tc>
          <w:tcPr>
            <w:tcW w:w="960" w:type="dxa"/>
            <w:vMerge w:val="restart"/>
            <w:shd w:val="clear" w:color="auto" w:fill="FF0000"/>
            <w:noWrap/>
            <w:textDirection w:val="btLr"/>
            <w:vAlign w:val="center"/>
          </w:tcPr>
          <w:p w:rsidR="00DE0CB4" w:rsidRPr="007C0CDA" w:rsidRDefault="00DE0CB4" w:rsidP="002E3AE9">
            <w:pPr>
              <w:jc w:val="center"/>
              <w:rPr>
                <w:b/>
                <w:bCs/>
                <w:color w:val="FFFFFF"/>
                <w:sz w:val="24"/>
                <w:szCs w:val="24"/>
              </w:rPr>
            </w:pPr>
            <w:r w:rsidRPr="007C0CDA">
              <w:rPr>
                <w:b/>
                <w:bCs/>
                <w:color w:val="FFFFFF"/>
                <w:sz w:val="24"/>
                <w:szCs w:val="24"/>
              </w:rPr>
              <w:t>Konečný příjemce</w:t>
            </w:r>
          </w:p>
        </w:tc>
        <w:tc>
          <w:tcPr>
            <w:tcW w:w="2414" w:type="dxa"/>
            <w:shd w:val="clear" w:color="auto" w:fill="FF0000"/>
            <w:vAlign w:val="center"/>
          </w:tcPr>
          <w:p w:rsidR="00DE0CB4" w:rsidRPr="007C0CDA" w:rsidRDefault="00DE0CB4" w:rsidP="002E3AE9">
            <w:pPr>
              <w:jc w:val="center"/>
              <w:rPr>
                <w:b/>
                <w:color w:val="FFFFFF"/>
                <w:sz w:val="20"/>
              </w:rPr>
            </w:pPr>
            <w:r w:rsidRPr="007C0CDA">
              <w:rPr>
                <w:b/>
                <w:color w:val="FFFFFF"/>
                <w:sz w:val="20"/>
              </w:rPr>
              <w:t>Nedostává peníze, musí splácet</w:t>
            </w:r>
          </w:p>
        </w:tc>
        <w:tc>
          <w:tcPr>
            <w:tcW w:w="2330" w:type="dxa"/>
            <w:shd w:val="clear" w:color="auto" w:fill="FF0000"/>
            <w:vAlign w:val="center"/>
          </w:tcPr>
          <w:p w:rsidR="00DE0CB4" w:rsidRPr="007C0CDA" w:rsidRDefault="00DE0CB4" w:rsidP="002E3AE9">
            <w:pPr>
              <w:jc w:val="center"/>
              <w:rPr>
                <w:b/>
                <w:color w:val="FFFFFF"/>
                <w:sz w:val="20"/>
              </w:rPr>
            </w:pPr>
            <w:r w:rsidRPr="007C0CDA">
              <w:rPr>
                <w:b/>
                <w:color w:val="FFFFFF"/>
                <w:sz w:val="20"/>
              </w:rPr>
              <w:t>Nedostává peníze, musí splácet</w:t>
            </w:r>
          </w:p>
        </w:tc>
        <w:tc>
          <w:tcPr>
            <w:tcW w:w="2330" w:type="dxa"/>
            <w:shd w:val="clear" w:color="auto" w:fill="FF0000"/>
          </w:tcPr>
          <w:p w:rsidR="00DE0CB4" w:rsidRPr="007C0CDA" w:rsidRDefault="00DE0CB4" w:rsidP="002E3AE9">
            <w:pPr>
              <w:jc w:val="center"/>
              <w:rPr>
                <w:b/>
                <w:color w:val="FFFFFF"/>
                <w:sz w:val="20"/>
              </w:rPr>
            </w:pPr>
            <w:r w:rsidRPr="007C0CDA">
              <w:rPr>
                <w:b/>
                <w:color w:val="FFFFFF"/>
                <w:sz w:val="20"/>
              </w:rPr>
              <w:t>Vysoká administrativní náročnost</w:t>
            </w:r>
          </w:p>
        </w:tc>
      </w:tr>
      <w:tr w:rsidR="00DE0CB4" w:rsidRPr="007C0CDA" w:rsidTr="002E3AE9">
        <w:trPr>
          <w:trHeight w:val="735"/>
        </w:trPr>
        <w:tc>
          <w:tcPr>
            <w:tcW w:w="960" w:type="dxa"/>
            <w:vMerge/>
            <w:shd w:val="clear" w:color="auto" w:fill="FF0000"/>
            <w:vAlign w:val="center"/>
          </w:tcPr>
          <w:p w:rsidR="00DE0CB4" w:rsidRPr="007C0CDA" w:rsidRDefault="00DE0CB4" w:rsidP="002E3AE9">
            <w:pPr>
              <w:jc w:val="left"/>
              <w:rPr>
                <w:b/>
                <w:bCs/>
                <w:color w:val="000000"/>
                <w:sz w:val="24"/>
                <w:szCs w:val="24"/>
              </w:rPr>
            </w:pPr>
          </w:p>
        </w:tc>
        <w:tc>
          <w:tcPr>
            <w:tcW w:w="960" w:type="dxa"/>
            <w:vMerge/>
            <w:shd w:val="clear" w:color="auto" w:fill="FF0000"/>
            <w:noWrap/>
            <w:textDirection w:val="btLr"/>
            <w:vAlign w:val="center"/>
          </w:tcPr>
          <w:p w:rsidR="00DE0CB4" w:rsidRPr="007C0CDA" w:rsidRDefault="00DE0CB4" w:rsidP="002E3AE9">
            <w:pPr>
              <w:jc w:val="center"/>
              <w:rPr>
                <w:b/>
                <w:bCs/>
                <w:color w:val="000000"/>
                <w:sz w:val="24"/>
                <w:szCs w:val="24"/>
              </w:rPr>
            </w:pPr>
          </w:p>
        </w:tc>
        <w:tc>
          <w:tcPr>
            <w:tcW w:w="2414" w:type="dxa"/>
            <w:shd w:val="clear" w:color="auto" w:fill="FF0000"/>
            <w:vAlign w:val="center"/>
          </w:tcPr>
          <w:p w:rsidR="00DE0CB4" w:rsidRPr="007C0CDA" w:rsidRDefault="00DE0CB4" w:rsidP="002E3AE9">
            <w:pPr>
              <w:jc w:val="center"/>
              <w:rPr>
                <w:b/>
                <w:color w:val="FFFFFF"/>
                <w:sz w:val="20"/>
              </w:rPr>
            </w:pPr>
            <w:r w:rsidRPr="007C0CDA">
              <w:rPr>
                <w:b/>
                <w:color w:val="FFFFFF"/>
                <w:sz w:val="20"/>
              </w:rPr>
              <w:t>Malý efekt na snížení úroků</w:t>
            </w:r>
          </w:p>
        </w:tc>
        <w:tc>
          <w:tcPr>
            <w:tcW w:w="2330" w:type="dxa"/>
            <w:shd w:val="clear" w:color="auto" w:fill="FF0000"/>
            <w:vAlign w:val="center"/>
          </w:tcPr>
          <w:p w:rsidR="00DE0CB4" w:rsidRPr="007C0CDA" w:rsidRDefault="00DE0CB4" w:rsidP="002E3AE9">
            <w:pPr>
              <w:jc w:val="center"/>
              <w:rPr>
                <w:b/>
                <w:color w:val="FFFFFF"/>
                <w:sz w:val="20"/>
              </w:rPr>
            </w:pPr>
            <w:r w:rsidRPr="007C0CDA">
              <w:rPr>
                <w:b/>
                <w:color w:val="FFFFFF"/>
                <w:sz w:val="20"/>
              </w:rPr>
              <w:t>Nižší efekt na návratnost projektu v porovnání s dotací</w:t>
            </w:r>
          </w:p>
        </w:tc>
        <w:tc>
          <w:tcPr>
            <w:tcW w:w="2330" w:type="dxa"/>
            <w:shd w:val="clear" w:color="auto" w:fill="FF0000"/>
          </w:tcPr>
          <w:p w:rsidR="00DE0CB4" w:rsidRPr="007C0CDA" w:rsidRDefault="00DE0CB4" w:rsidP="002E3AE9">
            <w:pPr>
              <w:jc w:val="center"/>
              <w:rPr>
                <w:b/>
                <w:color w:val="FFFFFF"/>
                <w:sz w:val="20"/>
              </w:rPr>
            </w:pPr>
            <w:r w:rsidRPr="007C0CDA">
              <w:rPr>
                <w:b/>
                <w:color w:val="FFFFFF"/>
                <w:sz w:val="20"/>
              </w:rPr>
              <w:t>Regulovaná výběrová řízení na dodavatele – vyšší náklady</w:t>
            </w:r>
          </w:p>
        </w:tc>
      </w:tr>
      <w:tr w:rsidR="00DE0CB4" w:rsidRPr="007C0CDA" w:rsidTr="002E3AE9">
        <w:trPr>
          <w:trHeight w:val="456"/>
        </w:trPr>
        <w:tc>
          <w:tcPr>
            <w:tcW w:w="960" w:type="dxa"/>
            <w:vMerge/>
            <w:shd w:val="clear" w:color="auto" w:fill="FF0000"/>
            <w:vAlign w:val="center"/>
          </w:tcPr>
          <w:p w:rsidR="00DE0CB4" w:rsidRPr="007C0CDA" w:rsidRDefault="00DE0CB4" w:rsidP="002E3AE9">
            <w:pPr>
              <w:jc w:val="left"/>
              <w:rPr>
                <w:b/>
                <w:bCs/>
                <w:color w:val="000000"/>
                <w:sz w:val="24"/>
                <w:szCs w:val="24"/>
              </w:rPr>
            </w:pPr>
          </w:p>
        </w:tc>
        <w:tc>
          <w:tcPr>
            <w:tcW w:w="960" w:type="dxa"/>
            <w:vMerge/>
            <w:shd w:val="clear" w:color="auto" w:fill="FF0000"/>
            <w:noWrap/>
            <w:textDirection w:val="btLr"/>
            <w:vAlign w:val="center"/>
          </w:tcPr>
          <w:p w:rsidR="00DE0CB4" w:rsidRPr="007C0CDA" w:rsidRDefault="00DE0CB4" w:rsidP="002E3AE9">
            <w:pPr>
              <w:jc w:val="center"/>
              <w:rPr>
                <w:b/>
                <w:bCs/>
                <w:color w:val="000000"/>
                <w:sz w:val="24"/>
                <w:szCs w:val="24"/>
              </w:rPr>
            </w:pPr>
          </w:p>
        </w:tc>
        <w:tc>
          <w:tcPr>
            <w:tcW w:w="2414" w:type="dxa"/>
            <w:shd w:val="clear" w:color="auto" w:fill="FF0000"/>
            <w:vAlign w:val="center"/>
          </w:tcPr>
          <w:p w:rsidR="00DE0CB4" w:rsidRPr="007C0CDA" w:rsidRDefault="00DE0CB4" w:rsidP="002E3AE9">
            <w:pPr>
              <w:jc w:val="center"/>
              <w:rPr>
                <w:b/>
                <w:color w:val="FFFFFF"/>
                <w:sz w:val="20"/>
              </w:rPr>
            </w:pPr>
          </w:p>
        </w:tc>
        <w:tc>
          <w:tcPr>
            <w:tcW w:w="2330" w:type="dxa"/>
            <w:shd w:val="clear" w:color="auto" w:fill="FF0000"/>
            <w:vAlign w:val="center"/>
          </w:tcPr>
          <w:p w:rsidR="00DE0CB4" w:rsidRPr="007C0CDA" w:rsidRDefault="00DE0CB4" w:rsidP="002E3AE9">
            <w:pPr>
              <w:jc w:val="center"/>
              <w:rPr>
                <w:b/>
                <w:color w:val="FFFFFF"/>
                <w:sz w:val="20"/>
              </w:rPr>
            </w:pPr>
            <w:r w:rsidRPr="007C0CDA">
              <w:rPr>
                <w:b/>
                <w:color w:val="FFFFFF"/>
                <w:sz w:val="20"/>
              </w:rPr>
              <w:t>Nižší efekt zpřístupnění financování pro velmi rizikové projekty</w:t>
            </w:r>
          </w:p>
        </w:tc>
        <w:tc>
          <w:tcPr>
            <w:tcW w:w="2330" w:type="dxa"/>
            <w:shd w:val="clear" w:color="auto" w:fill="FF0000"/>
          </w:tcPr>
          <w:p w:rsidR="00DE0CB4" w:rsidRPr="007C0CDA" w:rsidRDefault="00DE0CB4" w:rsidP="002E3AE9">
            <w:pPr>
              <w:jc w:val="center"/>
              <w:rPr>
                <w:b/>
                <w:color w:val="FFFFFF"/>
                <w:sz w:val="20"/>
              </w:rPr>
            </w:pPr>
            <w:r w:rsidRPr="007C0CDA">
              <w:rPr>
                <w:b/>
                <w:color w:val="FFFFFF"/>
                <w:sz w:val="20"/>
              </w:rPr>
              <w:t>Nutnost předfinancování – platba ex post</w:t>
            </w:r>
          </w:p>
        </w:tc>
      </w:tr>
      <w:tr w:rsidR="00DE0CB4" w:rsidRPr="007C0CDA" w:rsidTr="002E3AE9">
        <w:trPr>
          <w:trHeight w:val="735"/>
        </w:trPr>
        <w:tc>
          <w:tcPr>
            <w:tcW w:w="960" w:type="dxa"/>
            <w:vMerge/>
            <w:shd w:val="clear" w:color="auto" w:fill="FF0000"/>
            <w:vAlign w:val="center"/>
          </w:tcPr>
          <w:p w:rsidR="00DE0CB4" w:rsidRPr="007C0CDA" w:rsidRDefault="00DE0CB4" w:rsidP="002E3AE9">
            <w:pPr>
              <w:jc w:val="left"/>
              <w:rPr>
                <w:b/>
                <w:bCs/>
                <w:color w:val="000000"/>
                <w:sz w:val="24"/>
                <w:szCs w:val="24"/>
              </w:rPr>
            </w:pPr>
          </w:p>
        </w:tc>
        <w:tc>
          <w:tcPr>
            <w:tcW w:w="960" w:type="dxa"/>
            <w:vMerge/>
            <w:shd w:val="clear" w:color="auto" w:fill="FF0000"/>
            <w:noWrap/>
            <w:textDirection w:val="btLr"/>
            <w:vAlign w:val="center"/>
          </w:tcPr>
          <w:p w:rsidR="00DE0CB4" w:rsidRPr="007C0CDA" w:rsidRDefault="00DE0CB4" w:rsidP="002E3AE9">
            <w:pPr>
              <w:jc w:val="center"/>
              <w:rPr>
                <w:b/>
                <w:bCs/>
                <w:color w:val="000000"/>
                <w:sz w:val="24"/>
                <w:szCs w:val="24"/>
              </w:rPr>
            </w:pPr>
          </w:p>
        </w:tc>
        <w:tc>
          <w:tcPr>
            <w:tcW w:w="2414" w:type="dxa"/>
            <w:shd w:val="clear" w:color="auto" w:fill="FF0000"/>
            <w:vAlign w:val="center"/>
          </w:tcPr>
          <w:p w:rsidR="00DE0CB4" w:rsidRPr="007C0CDA" w:rsidRDefault="00DE0CB4" w:rsidP="002E3AE9">
            <w:pPr>
              <w:jc w:val="center"/>
              <w:rPr>
                <w:b/>
                <w:color w:val="FFFFFF"/>
                <w:sz w:val="20"/>
              </w:rPr>
            </w:pPr>
          </w:p>
        </w:tc>
        <w:tc>
          <w:tcPr>
            <w:tcW w:w="2330" w:type="dxa"/>
            <w:shd w:val="clear" w:color="auto" w:fill="FF0000"/>
            <w:vAlign w:val="center"/>
          </w:tcPr>
          <w:p w:rsidR="00DE0CB4" w:rsidRPr="007C0CDA" w:rsidRDefault="00DE0CB4" w:rsidP="002E3AE9">
            <w:pPr>
              <w:jc w:val="center"/>
              <w:rPr>
                <w:b/>
                <w:color w:val="FFFFFF"/>
                <w:sz w:val="20"/>
              </w:rPr>
            </w:pPr>
          </w:p>
        </w:tc>
        <w:tc>
          <w:tcPr>
            <w:tcW w:w="2330" w:type="dxa"/>
            <w:shd w:val="clear" w:color="auto" w:fill="FF0000"/>
          </w:tcPr>
          <w:p w:rsidR="00DE0CB4" w:rsidRPr="007C0CDA" w:rsidRDefault="00DE0CB4" w:rsidP="002E3AE9">
            <w:pPr>
              <w:jc w:val="center"/>
              <w:rPr>
                <w:b/>
                <w:color w:val="FFFFFF"/>
                <w:sz w:val="20"/>
              </w:rPr>
            </w:pPr>
            <w:r w:rsidRPr="007C0CDA">
              <w:rPr>
                <w:b/>
                <w:color w:val="FFFFFF"/>
                <w:sz w:val="20"/>
              </w:rPr>
              <w:t>Riziko dodatečného odebrání dotace z důvodu chyb v projektu a nesplnění podmínek</w:t>
            </w:r>
          </w:p>
        </w:tc>
      </w:tr>
      <w:tr w:rsidR="00DE0CB4" w:rsidRPr="007C0CDA" w:rsidTr="002E3AE9">
        <w:trPr>
          <w:trHeight w:val="735"/>
        </w:trPr>
        <w:tc>
          <w:tcPr>
            <w:tcW w:w="960" w:type="dxa"/>
            <w:vMerge/>
            <w:shd w:val="clear" w:color="auto" w:fill="FF0000"/>
            <w:vAlign w:val="center"/>
          </w:tcPr>
          <w:p w:rsidR="00DE0CB4" w:rsidRPr="007C0CDA" w:rsidRDefault="00DE0CB4" w:rsidP="002E3AE9">
            <w:pPr>
              <w:jc w:val="left"/>
              <w:rPr>
                <w:b/>
                <w:bCs/>
                <w:color w:val="000000"/>
                <w:sz w:val="24"/>
                <w:szCs w:val="24"/>
              </w:rPr>
            </w:pPr>
          </w:p>
        </w:tc>
        <w:tc>
          <w:tcPr>
            <w:tcW w:w="960" w:type="dxa"/>
            <w:vMerge w:val="restart"/>
            <w:shd w:val="clear" w:color="auto" w:fill="FF0000"/>
            <w:noWrap/>
            <w:textDirection w:val="btLr"/>
            <w:vAlign w:val="center"/>
          </w:tcPr>
          <w:p w:rsidR="00DE0CB4" w:rsidRPr="007C0CDA" w:rsidRDefault="00DE0CB4" w:rsidP="002E3AE9">
            <w:pPr>
              <w:jc w:val="center"/>
              <w:rPr>
                <w:b/>
                <w:bCs/>
                <w:color w:val="FFFFFF"/>
                <w:sz w:val="24"/>
                <w:szCs w:val="24"/>
              </w:rPr>
            </w:pPr>
            <w:r w:rsidRPr="007C0CDA">
              <w:rPr>
                <w:b/>
                <w:bCs/>
                <w:color w:val="FFFFFF"/>
                <w:sz w:val="24"/>
                <w:szCs w:val="24"/>
              </w:rPr>
              <w:t>ŘO</w:t>
            </w:r>
          </w:p>
        </w:tc>
        <w:tc>
          <w:tcPr>
            <w:tcW w:w="2414" w:type="dxa"/>
            <w:shd w:val="clear" w:color="auto" w:fill="FF0000"/>
            <w:vAlign w:val="center"/>
          </w:tcPr>
          <w:p w:rsidR="00DE0CB4" w:rsidRPr="007C0CDA" w:rsidRDefault="00DE0CB4" w:rsidP="002E3AE9">
            <w:pPr>
              <w:jc w:val="center"/>
              <w:rPr>
                <w:b/>
                <w:color w:val="FFFFFF"/>
                <w:sz w:val="20"/>
              </w:rPr>
            </w:pPr>
            <w:r w:rsidRPr="007C0CDA">
              <w:rPr>
                <w:b/>
                <w:color w:val="FFFFFF"/>
                <w:sz w:val="20"/>
              </w:rPr>
              <w:t>Velmi nízký revolvingový efekt</w:t>
            </w:r>
          </w:p>
        </w:tc>
        <w:tc>
          <w:tcPr>
            <w:tcW w:w="2330" w:type="dxa"/>
            <w:shd w:val="clear" w:color="auto" w:fill="FF0000"/>
            <w:vAlign w:val="center"/>
          </w:tcPr>
          <w:p w:rsidR="00DE0CB4" w:rsidRPr="007C0CDA" w:rsidRDefault="00DE0CB4" w:rsidP="002E3AE9">
            <w:pPr>
              <w:jc w:val="center"/>
              <w:rPr>
                <w:b/>
                <w:color w:val="FFFFFF"/>
                <w:sz w:val="20"/>
              </w:rPr>
            </w:pPr>
            <w:r w:rsidRPr="007C0CDA">
              <w:rPr>
                <w:b/>
                <w:color w:val="FFFFFF"/>
                <w:sz w:val="20"/>
              </w:rPr>
              <w:t>Nižší pákový efekt než záruky</w:t>
            </w:r>
          </w:p>
        </w:tc>
        <w:tc>
          <w:tcPr>
            <w:tcW w:w="2330" w:type="dxa"/>
            <w:shd w:val="clear" w:color="auto" w:fill="FF0000"/>
          </w:tcPr>
          <w:p w:rsidR="00DE0CB4" w:rsidRPr="007C0CDA" w:rsidRDefault="00DE0CB4" w:rsidP="002E3AE9">
            <w:pPr>
              <w:jc w:val="center"/>
              <w:rPr>
                <w:b/>
                <w:color w:val="FFFFFF"/>
                <w:sz w:val="20"/>
              </w:rPr>
            </w:pPr>
            <w:r w:rsidRPr="007C0CDA">
              <w:rPr>
                <w:b/>
                <w:color w:val="FFFFFF"/>
                <w:sz w:val="20"/>
              </w:rPr>
              <w:t>Nenávratné výdaje</w:t>
            </w:r>
          </w:p>
        </w:tc>
      </w:tr>
      <w:tr w:rsidR="00DE0CB4" w:rsidRPr="007C0CDA" w:rsidTr="002E3AE9">
        <w:trPr>
          <w:trHeight w:val="566"/>
        </w:trPr>
        <w:tc>
          <w:tcPr>
            <w:tcW w:w="960" w:type="dxa"/>
            <w:vMerge/>
            <w:shd w:val="clear" w:color="auto" w:fill="FF0000"/>
            <w:vAlign w:val="center"/>
          </w:tcPr>
          <w:p w:rsidR="00DE0CB4" w:rsidRPr="007C0CDA" w:rsidRDefault="00DE0CB4" w:rsidP="002E3AE9">
            <w:pPr>
              <w:jc w:val="left"/>
              <w:rPr>
                <w:b/>
                <w:bCs/>
                <w:color w:val="000000"/>
                <w:sz w:val="18"/>
                <w:szCs w:val="18"/>
              </w:rPr>
            </w:pPr>
          </w:p>
        </w:tc>
        <w:tc>
          <w:tcPr>
            <w:tcW w:w="960" w:type="dxa"/>
            <w:vMerge/>
            <w:shd w:val="clear" w:color="auto" w:fill="FF0000"/>
            <w:noWrap/>
            <w:textDirection w:val="btLr"/>
            <w:vAlign w:val="center"/>
          </w:tcPr>
          <w:p w:rsidR="00DE0CB4" w:rsidRPr="007C0CDA" w:rsidRDefault="00DE0CB4" w:rsidP="002E3AE9">
            <w:pPr>
              <w:jc w:val="center"/>
              <w:rPr>
                <w:b/>
                <w:bCs/>
                <w:color w:val="000000"/>
                <w:sz w:val="18"/>
                <w:szCs w:val="18"/>
              </w:rPr>
            </w:pPr>
          </w:p>
        </w:tc>
        <w:tc>
          <w:tcPr>
            <w:tcW w:w="2414" w:type="dxa"/>
            <w:shd w:val="clear" w:color="auto" w:fill="FF0000"/>
            <w:vAlign w:val="center"/>
          </w:tcPr>
          <w:p w:rsidR="00DE0CB4" w:rsidRPr="007C0CDA" w:rsidRDefault="00DE0CB4" w:rsidP="002E3AE9">
            <w:pPr>
              <w:jc w:val="center"/>
              <w:rPr>
                <w:b/>
                <w:color w:val="FFFFFF"/>
                <w:sz w:val="20"/>
              </w:rPr>
            </w:pPr>
            <w:r>
              <w:rPr>
                <w:b/>
                <w:color w:val="FFFFFF"/>
                <w:sz w:val="20"/>
              </w:rPr>
              <w:t>Malý efekt na investiční aktivitu</w:t>
            </w:r>
          </w:p>
        </w:tc>
        <w:tc>
          <w:tcPr>
            <w:tcW w:w="2330" w:type="dxa"/>
            <w:shd w:val="clear" w:color="auto" w:fill="FF0000"/>
            <w:vAlign w:val="center"/>
          </w:tcPr>
          <w:p w:rsidR="00DE0CB4" w:rsidRPr="007C0CDA" w:rsidRDefault="00DE0CB4" w:rsidP="002E3AE9">
            <w:pPr>
              <w:jc w:val="center"/>
              <w:rPr>
                <w:b/>
                <w:color w:val="FFFFFF"/>
                <w:sz w:val="20"/>
              </w:rPr>
            </w:pPr>
            <w:r w:rsidRPr="007C0CDA">
              <w:rPr>
                <w:b/>
                <w:color w:val="FFFFFF"/>
                <w:sz w:val="20"/>
              </w:rPr>
              <w:t>Revolving omezují poplatky zprostředkovatelskému subjektu</w:t>
            </w:r>
          </w:p>
        </w:tc>
        <w:tc>
          <w:tcPr>
            <w:tcW w:w="2330" w:type="dxa"/>
            <w:shd w:val="clear" w:color="auto" w:fill="FF0000"/>
          </w:tcPr>
          <w:p w:rsidR="00DE0CB4" w:rsidRPr="007C0CDA" w:rsidRDefault="00DE0CB4" w:rsidP="002E3AE9">
            <w:pPr>
              <w:jc w:val="center"/>
              <w:rPr>
                <w:b/>
                <w:color w:val="FFFFFF"/>
                <w:sz w:val="20"/>
              </w:rPr>
            </w:pPr>
            <w:r>
              <w:rPr>
                <w:b/>
                <w:color w:val="FFFFFF"/>
                <w:sz w:val="20"/>
              </w:rPr>
              <w:t>Počet podpořených projektů přímo omezen alokací</w:t>
            </w:r>
          </w:p>
        </w:tc>
      </w:tr>
      <w:tr w:rsidR="00DE0CB4" w:rsidRPr="007C0CDA" w:rsidTr="002E3AE9">
        <w:trPr>
          <w:trHeight w:val="264"/>
        </w:trPr>
        <w:tc>
          <w:tcPr>
            <w:tcW w:w="960" w:type="dxa"/>
            <w:vMerge/>
            <w:shd w:val="clear" w:color="auto" w:fill="FF0000"/>
            <w:vAlign w:val="center"/>
          </w:tcPr>
          <w:p w:rsidR="00DE0CB4" w:rsidRPr="007C0CDA" w:rsidRDefault="00DE0CB4" w:rsidP="002E3AE9">
            <w:pPr>
              <w:jc w:val="left"/>
              <w:rPr>
                <w:b/>
                <w:bCs/>
                <w:color w:val="000000"/>
                <w:sz w:val="18"/>
                <w:szCs w:val="18"/>
              </w:rPr>
            </w:pPr>
          </w:p>
        </w:tc>
        <w:tc>
          <w:tcPr>
            <w:tcW w:w="960" w:type="dxa"/>
            <w:vMerge/>
            <w:shd w:val="clear" w:color="auto" w:fill="FF0000"/>
            <w:noWrap/>
            <w:textDirection w:val="btLr"/>
            <w:vAlign w:val="center"/>
          </w:tcPr>
          <w:p w:rsidR="00DE0CB4" w:rsidRPr="007C0CDA" w:rsidRDefault="00DE0CB4" w:rsidP="002E3AE9">
            <w:pPr>
              <w:jc w:val="center"/>
              <w:rPr>
                <w:b/>
                <w:bCs/>
                <w:color w:val="000000"/>
                <w:sz w:val="18"/>
                <w:szCs w:val="18"/>
              </w:rPr>
            </w:pPr>
          </w:p>
        </w:tc>
        <w:tc>
          <w:tcPr>
            <w:tcW w:w="2414" w:type="dxa"/>
            <w:shd w:val="clear" w:color="auto" w:fill="FF0000"/>
            <w:vAlign w:val="center"/>
          </w:tcPr>
          <w:p w:rsidR="00DE0CB4" w:rsidRPr="007C0CDA" w:rsidRDefault="00DE0CB4" w:rsidP="002E3AE9">
            <w:pPr>
              <w:jc w:val="center"/>
              <w:rPr>
                <w:b/>
                <w:color w:val="FFFFFF"/>
                <w:sz w:val="20"/>
              </w:rPr>
            </w:pPr>
          </w:p>
        </w:tc>
        <w:tc>
          <w:tcPr>
            <w:tcW w:w="2330" w:type="dxa"/>
            <w:shd w:val="clear" w:color="auto" w:fill="FF0000"/>
            <w:vAlign w:val="center"/>
          </w:tcPr>
          <w:p w:rsidR="00DE0CB4" w:rsidRPr="007C0CDA" w:rsidRDefault="00DE0CB4" w:rsidP="002E3AE9">
            <w:pPr>
              <w:jc w:val="center"/>
              <w:rPr>
                <w:b/>
                <w:color w:val="FFFFFF"/>
                <w:sz w:val="20"/>
              </w:rPr>
            </w:pPr>
          </w:p>
        </w:tc>
        <w:tc>
          <w:tcPr>
            <w:tcW w:w="2330" w:type="dxa"/>
            <w:shd w:val="clear" w:color="auto" w:fill="FF0000"/>
          </w:tcPr>
          <w:p w:rsidR="00DE0CB4" w:rsidRPr="007C0CDA" w:rsidRDefault="00DE0CB4" w:rsidP="002E3AE9">
            <w:pPr>
              <w:keepNext/>
              <w:jc w:val="center"/>
              <w:rPr>
                <w:b/>
                <w:color w:val="FFFFFF"/>
                <w:sz w:val="20"/>
              </w:rPr>
            </w:pPr>
            <w:r w:rsidRPr="007C0CDA">
              <w:rPr>
                <w:b/>
                <w:color w:val="FFFFFF"/>
                <w:sz w:val="20"/>
              </w:rPr>
              <w:t>Pomalejší čerpání</w:t>
            </w:r>
          </w:p>
        </w:tc>
      </w:tr>
    </w:tbl>
    <w:p w:rsidR="00DE0CB4" w:rsidRPr="007C0CDA" w:rsidRDefault="00DE0CB4" w:rsidP="00DE0CB4">
      <w:pPr>
        <w:pStyle w:val="Titulek"/>
      </w:pPr>
      <w:r w:rsidRPr="007C0CDA">
        <w:t xml:space="preserve">Tabulka </w:t>
      </w:r>
      <w:r w:rsidRPr="00B675D6">
        <w:fldChar w:fldCharType="begin"/>
      </w:r>
      <w:r w:rsidRPr="007C0CDA">
        <w:instrText xml:space="preserve"> SEQ Tabulka \* ARABIC </w:instrText>
      </w:r>
      <w:r w:rsidRPr="005C7064">
        <w:fldChar w:fldCharType="separate"/>
      </w:r>
      <w:r w:rsidRPr="007C0CDA">
        <w:rPr>
          <w:noProof/>
        </w:rPr>
        <w:t>7</w:t>
      </w:r>
      <w:r w:rsidRPr="00B675D6">
        <w:fldChar w:fldCharType="end"/>
      </w:r>
      <w:r w:rsidRPr="007C0CDA">
        <w:t>: Přidaná hodnota, nevýhody a rizika veřejné podpory pro příjemce a ŘO</w:t>
      </w:r>
    </w:p>
    <w:p w:rsidR="00DE0CB4" w:rsidRPr="007C0CDA" w:rsidRDefault="00DE0CB4" w:rsidP="00DE0CB4">
      <w:pPr>
        <w:shd w:val="clear" w:color="auto" w:fill="FFFFFF" w:themeFill="background1"/>
      </w:pP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9"/>
        <w:gridCol w:w="2694"/>
        <w:gridCol w:w="2268"/>
        <w:gridCol w:w="2268"/>
        <w:tblGridChange w:id="530">
          <w:tblGrid>
            <w:gridCol w:w="1729"/>
            <w:gridCol w:w="2694"/>
            <w:gridCol w:w="2268"/>
            <w:gridCol w:w="2268"/>
          </w:tblGrid>
        </w:tblGridChange>
      </w:tblGrid>
      <w:tr w:rsidR="00DE0CB4" w:rsidRPr="007C0CDA" w:rsidTr="002E3AE9">
        <w:tc>
          <w:tcPr>
            <w:tcW w:w="1729" w:type="dxa"/>
            <w:shd w:val="clear" w:color="auto" w:fill="548DD4" w:themeFill="text2" w:themeFillTint="99"/>
          </w:tcPr>
          <w:p w:rsidR="00DE0CB4" w:rsidRPr="007C0CDA" w:rsidRDefault="00DE0CB4" w:rsidP="002E3AE9">
            <w:pPr>
              <w:pStyle w:val="Highlight2"/>
              <w:shd w:val="clear" w:color="auto" w:fill="8DB3E2" w:themeFill="text2" w:themeFillTint="66"/>
              <w:jc w:val="center"/>
              <w:rPr>
                <w:rFonts w:ascii="Calibri" w:hAnsi="Calibri" w:cs="Calibri"/>
                <w:color w:val="FFFFFF"/>
                <w:sz w:val="22"/>
                <w:szCs w:val="22"/>
              </w:rPr>
            </w:pPr>
            <w:r w:rsidRPr="007C0CDA">
              <w:rPr>
                <w:rFonts w:ascii="Calibri" w:hAnsi="Calibri" w:cs="Calibri"/>
                <w:color w:val="FFFFFF"/>
                <w:sz w:val="22"/>
                <w:szCs w:val="22"/>
                <w:lang w:eastAsia="cs-CZ"/>
              </w:rPr>
              <w:t>Tržní selhání</w:t>
            </w:r>
          </w:p>
        </w:tc>
        <w:tc>
          <w:tcPr>
            <w:tcW w:w="2694" w:type="dxa"/>
            <w:shd w:val="clear" w:color="auto" w:fill="548DD4" w:themeFill="text2" w:themeFillTint="99"/>
          </w:tcPr>
          <w:p w:rsidR="00DE0CB4" w:rsidRPr="007C0CDA" w:rsidRDefault="00DE0CB4" w:rsidP="002E3AE9">
            <w:pPr>
              <w:pStyle w:val="Highlight2"/>
              <w:shd w:val="clear" w:color="auto" w:fill="8DB3E2" w:themeFill="text2" w:themeFillTint="66"/>
              <w:jc w:val="center"/>
              <w:rPr>
                <w:rFonts w:ascii="Calibri" w:hAnsi="Calibri" w:cs="Calibri"/>
                <w:bCs/>
                <w:color w:val="FFFFFF"/>
                <w:sz w:val="22"/>
                <w:szCs w:val="22"/>
                <w:lang w:eastAsia="cs-CZ"/>
              </w:rPr>
            </w:pPr>
            <w:r w:rsidRPr="007C0CDA">
              <w:rPr>
                <w:rFonts w:ascii="Calibri" w:hAnsi="Calibri" w:cs="Calibri"/>
                <w:bCs/>
                <w:color w:val="FFFFFF"/>
                <w:sz w:val="22"/>
                <w:szCs w:val="22"/>
                <w:lang w:eastAsia="cs-CZ"/>
              </w:rPr>
              <w:t>Záruční nástroj</w:t>
            </w:r>
          </w:p>
        </w:tc>
        <w:tc>
          <w:tcPr>
            <w:tcW w:w="2268" w:type="dxa"/>
            <w:shd w:val="clear" w:color="auto" w:fill="548DD4" w:themeFill="text2" w:themeFillTint="99"/>
          </w:tcPr>
          <w:p w:rsidR="00DE0CB4" w:rsidRPr="007C0CDA" w:rsidRDefault="00DE0CB4" w:rsidP="002E3AE9">
            <w:pPr>
              <w:pStyle w:val="Highlight2"/>
              <w:shd w:val="clear" w:color="auto" w:fill="8DB3E2" w:themeFill="text2" w:themeFillTint="66"/>
              <w:jc w:val="center"/>
              <w:rPr>
                <w:rFonts w:ascii="Calibri" w:hAnsi="Calibri" w:cs="Calibri"/>
                <w:color w:val="FFFFFF"/>
                <w:sz w:val="22"/>
                <w:szCs w:val="22"/>
              </w:rPr>
            </w:pPr>
            <w:r w:rsidRPr="007C0CDA">
              <w:rPr>
                <w:rFonts w:ascii="Calibri" w:hAnsi="Calibri" w:cs="Calibri"/>
                <w:bCs/>
                <w:color w:val="FFFFFF"/>
                <w:sz w:val="22"/>
                <w:szCs w:val="22"/>
                <w:lang w:eastAsia="cs-CZ"/>
              </w:rPr>
              <w:t>Zvýhodněný úvěr</w:t>
            </w:r>
          </w:p>
        </w:tc>
        <w:tc>
          <w:tcPr>
            <w:tcW w:w="2268" w:type="dxa"/>
            <w:shd w:val="clear" w:color="auto" w:fill="548DD4" w:themeFill="text2" w:themeFillTint="99"/>
          </w:tcPr>
          <w:p w:rsidR="00DE0CB4" w:rsidRPr="007C0CDA" w:rsidRDefault="00DE0CB4" w:rsidP="002E3AE9">
            <w:pPr>
              <w:pStyle w:val="Highlight2"/>
              <w:shd w:val="clear" w:color="auto" w:fill="8DB3E2" w:themeFill="text2" w:themeFillTint="66"/>
              <w:jc w:val="center"/>
              <w:rPr>
                <w:rFonts w:ascii="Calibri" w:hAnsi="Calibri" w:cs="Calibri"/>
                <w:bCs/>
                <w:color w:val="FFFFFF"/>
                <w:sz w:val="22"/>
                <w:szCs w:val="22"/>
                <w:lang w:eastAsia="cs-CZ"/>
              </w:rPr>
            </w:pPr>
            <w:r w:rsidRPr="007C0CDA">
              <w:rPr>
                <w:rFonts w:ascii="Calibri" w:hAnsi="Calibri" w:cs="Calibri"/>
                <w:bCs/>
                <w:color w:val="FFFFFF"/>
                <w:sz w:val="22"/>
                <w:szCs w:val="22"/>
                <w:lang w:eastAsia="cs-CZ"/>
              </w:rPr>
              <w:t>Dotace</w:t>
            </w:r>
          </w:p>
        </w:tc>
      </w:tr>
      <w:tr w:rsidR="00DE0CB4" w:rsidRPr="007C0CDA" w:rsidTr="002E3AE9">
        <w:trPr>
          <w:trHeight w:val="793"/>
        </w:trPr>
        <w:tc>
          <w:tcPr>
            <w:tcW w:w="1729" w:type="dxa"/>
          </w:tcPr>
          <w:p w:rsidR="00DE0CB4" w:rsidRPr="007C0CDA" w:rsidRDefault="00DE0CB4" w:rsidP="002E3AE9">
            <w:pPr>
              <w:pStyle w:val="Highlight2"/>
              <w:jc w:val="left"/>
              <w:rPr>
                <w:rFonts w:ascii="Calibri" w:hAnsi="Calibri" w:cs="Calibri"/>
              </w:rPr>
            </w:pPr>
            <w:r w:rsidRPr="007C0CDA">
              <w:rPr>
                <w:rFonts w:ascii="Calibri" w:hAnsi="Calibri" w:cs="Calibri"/>
                <w:color w:val="auto"/>
                <w:szCs w:val="20"/>
              </w:rPr>
              <w:t>Náklady projektu a návratnost</w:t>
            </w:r>
          </w:p>
        </w:tc>
        <w:tc>
          <w:tcPr>
            <w:tcW w:w="2694" w:type="dxa"/>
          </w:tcPr>
          <w:p w:rsidR="00DE0CB4" w:rsidRPr="007C0CDA" w:rsidRDefault="00DE0CB4" w:rsidP="002E3AE9">
            <w:pPr>
              <w:pStyle w:val="Highlight2"/>
              <w:jc w:val="center"/>
              <w:rPr>
                <w:rFonts w:ascii="Calibri" w:hAnsi="Calibri" w:cs="Calibri"/>
                <w:b w:val="0"/>
                <w:color w:val="000000"/>
                <w:lang w:eastAsia="cs-CZ"/>
              </w:rPr>
            </w:pPr>
            <w:r w:rsidRPr="007C0CDA">
              <w:rPr>
                <w:rFonts w:ascii="Calibri" w:hAnsi="Calibri" w:cs="Calibri"/>
                <w:b w:val="0"/>
                <w:color w:val="auto"/>
                <w:szCs w:val="20"/>
              </w:rPr>
              <w:t>Nemá velký vliv na snížení nákladů projektu a jeho návratnost</w:t>
            </w:r>
          </w:p>
        </w:tc>
        <w:tc>
          <w:tcPr>
            <w:tcW w:w="2268" w:type="dxa"/>
          </w:tcPr>
          <w:p w:rsidR="00DE0CB4" w:rsidRPr="007C0CDA" w:rsidRDefault="00DE0CB4" w:rsidP="002E3AE9">
            <w:pPr>
              <w:pStyle w:val="Highlight2"/>
              <w:jc w:val="center"/>
              <w:rPr>
                <w:rFonts w:ascii="Calibri" w:hAnsi="Calibri" w:cs="Calibri"/>
                <w:b w:val="0"/>
              </w:rPr>
            </w:pPr>
            <w:r w:rsidRPr="007C0CDA">
              <w:rPr>
                <w:rFonts w:ascii="Calibri" w:hAnsi="Calibri" w:cs="Calibri"/>
                <w:b w:val="0"/>
                <w:color w:val="auto"/>
                <w:szCs w:val="20"/>
              </w:rPr>
              <w:t xml:space="preserve">Částečně snižuje úrokové náklady a počáteční náklady na přípravu, radikálně však </w:t>
            </w:r>
            <w:r>
              <w:rPr>
                <w:rFonts w:ascii="Calibri" w:hAnsi="Calibri" w:cs="Calibri"/>
                <w:b w:val="0"/>
                <w:color w:val="auto"/>
                <w:szCs w:val="20"/>
              </w:rPr>
              <w:lastRenderedPageBreak/>
              <w:t>nemění parametry</w:t>
            </w:r>
            <w:r w:rsidRPr="007C0CDA">
              <w:rPr>
                <w:rFonts w:ascii="Calibri" w:hAnsi="Calibri" w:cs="Calibri"/>
                <w:b w:val="0"/>
                <w:color w:val="auto"/>
                <w:szCs w:val="20"/>
              </w:rPr>
              <w:t xml:space="preserve"> návratnosti</w:t>
            </w:r>
          </w:p>
        </w:tc>
        <w:tc>
          <w:tcPr>
            <w:tcW w:w="2268" w:type="dxa"/>
          </w:tcPr>
          <w:p w:rsidR="00DE0CB4" w:rsidRPr="007C0CDA" w:rsidRDefault="00DE0CB4" w:rsidP="002E3AE9">
            <w:pPr>
              <w:pStyle w:val="Highlight2"/>
              <w:jc w:val="center"/>
              <w:rPr>
                <w:rFonts w:ascii="Calibri" w:hAnsi="Calibri" w:cs="Calibri"/>
                <w:b w:val="0"/>
                <w:color w:val="000000"/>
                <w:lang w:eastAsia="cs-CZ"/>
              </w:rPr>
            </w:pPr>
            <w:r w:rsidRPr="007C0CDA">
              <w:rPr>
                <w:rFonts w:ascii="Calibri" w:hAnsi="Calibri" w:cs="Calibri"/>
                <w:b w:val="0"/>
                <w:color w:val="auto"/>
                <w:szCs w:val="20"/>
              </w:rPr>
              <w:lastRenderedPageBreak/>
              <w:t>Výrazně snižuj</w:t>
            </w:r>
            <w:r>
              <w:rPr>
                <w:rFonts w:ascii="Calibri" w:hAnsi="Calibri" w:cs="Calibri"/>
                <w:b w:val="0"/>
                <w:color w:val="auto"/>
                <w:szCs w:val="20"/>
              </w:rPr>
              <w:t>e náklady pro žadatele a vylepšuje tedy i</w:t>
            </w:r>
            <w:r w:rsidRPr="007C0CDA">
              <w:rPr>
                <w:rFonts w:ascii="Calibri" w:hAnsi="Calibri" w:cs="Calibri"/>
                <w:b w:val="0"/>
                <w:color w:val="auto"/>
                <w:szCs w:val="20"/>
              </w:rPr>
              <w:t xml:space="preserve"> návratnost projektu.</w:t>
            </w:r>
          </w:p>
        </w:tc>
      </w:tr>
      <w:tr w:rsidR="00DE0CB4" w:rsidRPr="007C0CDA" w:rsidTr="002E3AE9">
        <w:trPr>
          <w:trHeight w:val="1521"/>
        </w:trPr>
        <w:tc>
          <w:tcPr>
            <w:tcW w:w="1729" w:type="dxa"/>
          </w:tcPr>
          <w:p w:rsidR="00DE0CB4" w:rsidRPr="005C7064" w:rsidRDefault="00DE0CB4" w:rsidP="002E3AE9">
            <w:pPr>
              <w:pStyle w:val="Highlight2"/>
              <w:jc w:val="left"/>
              <w:rPr>
                <w:rFonts w:asciiTheme="minorHAnsi" w:hAnsiTheme="minorHAnsi" w:cstheme="minorHAnsi"/>
                <w:bCs/>
                <w:color w:val="000000"/>
                <w:szCs w:val="20"/>
                <w:lang w:eastAsia="cs-CZ"/>
              </w:rPr>
            </w:pPr>
            <w:r w:rsidRPr="005C7064">
              <w:rPr>
                <w:rFonts w:asciiTheme="minorHAnsi" w:hAnsiTheme="minorHAnsi" w:cstheme="minorHAnsi"/>
                <w:bCs/>
                <w:color w:val="000000"/>
                <w:szCs w:val="20"/>
                <w:lang w:eastAsia="cs-CZ"/>
              </w:rPr>
              <w:lastRenderedPageBreak/>
              <w:t>Riziko projektu</w:t>
            </w:r>
          </w:p>
        </w:tc>
        <w:tc>
          <w:tcPr>
            <w:tcW w:w="2694" w:type="dxa"/>
          </w:tcPr>
          <w:p w:rsidR="00DE0CB4" w:rsidRPr="007C0CDA" w:rsidRDefault="00DE0CB4" w:rsidP="002E3AE9">
            <w:pPr>
              <w:pStyle w:val="Highlight2"/>
              <w:jc w:val="center"/>
              <w:rPr>
                <w:rFonts w:ascii="Calibri" w:hAnsi="Calibri" w:cs="Calibri"/>
                <w:b w:val="0"/>
                <w:color w:val="000000"/>
                <w:lang w:eastAsia="cs-CZ"/>
              </w:rPr>
            </w:pPr>
            <w:r w:rsidRPr="007C0CDA">
              <w:rPr>
                <w:rFonts w:ascii="Calibri" w:hAnsi="Calibri" w:cs="Calibri"/>
                <w:b w:val="0"/>
                <w:color w:val="000000"/>
                <w:lang w:eastAsia="cs-CZ"/>
              </w:rPr>
              <w:t>Z pohledu úvěrování rozděluje riziko mezi příjemce, banku a FN. Likvidnější zástava, výrazné snížení rizika pro úvěrující instituci</w:t>
            </w:r>
          </w:p>
          <w:p w:rsidR="00DE0CB4" w:rsidRPr="007C0CDA" w:rsidRDefault="00DE0CB4" w:rsidP="002E3AE9">
            <w:pPr>
              <w:pStyle w:val="Highlight2"/>
              <w:jc w:val="center"/>
              <w:rPr>
                <w:rFonts w:ascii="Calibri" w:hAnsi="Calibri" w:cs="Calibri"/>
                <w:b w:val="0"/>
                <w:color w:val="000000"/>
                <w:lang w:eastAsia="cs-CZ"/>
              </w:rPr>
            </w:pPr>
          </w:p>
          <w:p w:rsidR="00DE0CB4" w:rsidRPr="007C0CDA" w:rsidRDefault="00DE0CB4" w:rsidP="002E3AE9">
            <w:pPr>
              <w:pStyle w:val="Highlight2"/>
              <w:jc w:val="center"/>
              <w:rPr>
                <w:rFonts w:ascii="Calibri" w:hAnsi="Calibri" w:cs="Calibri"/>
                <w:b w:val="0"/>
                <w:color w:val="000000"/>
                <w:lang w:eastAsia="cs-CZ"/>
              </w:rPr>
            </w:pPr>
            <w:r w:rsidRPr="007C0CDA">
              <w:rPr>
                <w:rFonts w:ascii="Calibri" w:hAnsi="Calibri" w:cs="Calibri"/>
                <w:b w:val="0"/>
                <w:color w:val="000000"/>
                <w:lang w:eastAsia="cs-CZ"/>
              </w:rPr>
              <w:t>Riziko zvýšených nákladů pro příjemce zůstává</w:t>
            </w:r>
          </w:p>
          <w:p w:rsidR="00DE0CB4" w:rsidRPr="007C0CDA" w:rsidRDefault="00DE0CB4" w:rsidP="002E3AE9">
            <w:pPr>
              <w:pStyle w:val="Highlight2"/>
              <w:jc w:val="center"/>
              <w:rPr>
                <w:rFonts w:ascii="Calibri" w:hAnsi="Calibri" w:cs="Calibri"/>
                <w:b w:val="0"/>
                <w:color w:val="000000"/>
                <w:lang w:eastAsia="cs-CZ"/>
              </w:rPr>
            </w:pPr>
          </w:p>
          <w:p w:rsidR="00DE0CB4" w:rsidRPr="007C0CDA" w:rsidRDefault="00DE0CB4" w:rsidP="002E3AE9">
            <w:pPr>
              <w:pStyle w:val="Highlight2"/>
              <w:jc w:val="center"/>
              <w:rPr>
                <w:rFonts w:ascii="Calibri" w:hAnsi="Calibri" w:cs="Calibri"/>
                <w:b w:val="0"/>
                <w:color w:val="000000"/>
                <w:lang w:eastAsia="cs-CZ"/>
              </w:rPr>
            </w:pPr>
          </w:p>
        </w:tc>
        <w:tc>
          <w:tcPr>
            <w:tcW w:w="2268" w:type="dxa"/>
          </w:tcPr>
          <w:p w:rsidR="00DE0CB4" w:rsidRPr="007C0CDA" w:rsidRDefault="00DE0CB4" w:rsidP="002E3AE9">
            <w:pPr>
              <w:pStyle w:val="Highlight2"/>
              <w:jc w:val="center"/>
              <w:rPr>
                <w:rFonts w:ascii="Calibri" w:hAnsi="Calibri" w:cs="Calibri"/>
                <w:b w:val="0"/>
                <w:color w:val="000000"/>
                <w:lang w:eastAsia="cs-CZ"/>
              </w:rPr>
            </w:pPr>
            <w:r w:rsidRPr="007C0CDA">
              <w:rPr>
                <w:rFonts w:ascii="Calibri" w:hAnsi="Calibri" w:cs="Calibri"/>
                <w:b w:val="0"/>
                <w:color w:val="000000"/>
                <w:lang w:eastAsia="cs-CZ"/>
              </w:rPr>
              <w:t>Rozděluje riziko mezi příjemce, banku a FN.</w:t>
            </w:r>
          </w:p>
          <w:p w:rsidR="00DE0CB4" w:rsidRPr="007C0CDA" w:rsidRDefault="00DE0CB4" w:rsidP="002E3AE9">
            <w:pPr>
              <w:pStyle w:val="Highlight2"/>
              <w:jc w:val="center"/>
              <w:rPr>
                <w:rFonts w:ascii="Calibri" w:hAnsi="Calibri" w:cs="Calibri"/>
                <w:b w:val="0"/>
                <w:color w:val="000000"/>
                <w:lang w:eastAsia="cs-CZ"/>
              </w:rPr>
            </w:pPr>
          </w:p>
          <w:p w:rsidR="00DE0CB4" w:rsidRPr="007C0CDA" w:rsidRDefault="00DE0CB4" w:rsidP="002E3AE9">
            <w:pPr>
              <w:pStyle w:val="Highlight2"/>
              <w:jc w:val="center"/>
              <w:rPr>
                <w:rFonts w:ascii="Calibri" w:hAnsi="Calibri" w:cs="Calibri"/>
                <w:b w:val="0"/>
                <w:color w:val="000000"/>
                <w:lang w:eastAsia="cs-CZ"/>
              </w:rPr>
            </w:pPr>
            <w:r w:rsidRPr="007C0CDA">
              <w:rPr>
                <w:rFonts w:ascii="Calibri" w:hAnsi="Calibri" w:cs="Calibri"/>
                <w:b w:val="0"/>
                <w:color w:val="000000"/>
                <w:lang w:eastAsia="cs-CZ"/>
              </w:rPr>
              <w:t>Riziko zvýšených nákladů pro příjemce zůstává</w:t>
            </w:r>
          </w:p>
          <w:p w:rsidR="00DE0CB4" w:rsidRPr="007C0CDA" w:rsidRDefault="00DE0CB4" w:rsidP="002E3AE9">
            <w:pPr>
              <w:pStyle w:val="Highlight2"/>
              <w:jc w:val="center"/>
              <w:rPr>
                <w:rFonts w:ascii="Calibri" w:hAnsi="Calibri" w:cs="Calibri"/>
                <w:b w:val="0"/>
                <w:color w:val="000000"/>
                <w:lang w:eastAsia="cs-CZ"/>
              </w:rPr>
            </w:pPr>
          </w:p>
          <w:p w:rsidR="00DE0CB4" w:rsidRPr="007C0CDA" w:rsidRDefault="00DE0CB4" w:rsidP="002E3AE9">
            <w:pPr>
              <w:pStyle w:val="Highlight2"/>
              <w:jc w:val="center"/>
              <w:rPr>
                <w:rFonts w:ascii="Calibri" w:hAnsi="Calibri" w:cs="Calibri"/>
                <w:b w:val="0"/>
                <w:color w:val="000000"/>
                <w:lang w:eastAsia="cs-CZ"/>
              </w:rPr>
            </w:pPr>
          </w:p>
        </w:tc>
        <w:tc>
          <w:tcPr>
            <w:tcW w:w="2268" w:type="dxa"/>
          </w:tcPr>
          <w:p w:rsidR="00DE0CB4" w:rsidRPr="007C0CDA" w:rsidRDefault="00DE0CB4" w:rsidP="002E3AE9">
            <w:pPr>
              <w:pStyle w:val="Highlight2"/>
              <w:jc w:val="center"/>
              <w:rPr>
                <w:rFonts w:ascii="Calibri" w:hAnsi="Calibri" w:cs="Calibri"/>
                <w:b w:val="0"/>
                <w:color w:val="000000"/>
                <w:lang w:eastAsia="cs-CZ"/>
              </w:rPr>
            </w:pPr>
            <w:r w:rsidRPr="007C0CDA">
              <w:rPr>
                <w:rFonts w:ascii="Calibri" w:hAnsi="Calibri" w:cs="Calibri"/>
                <w:b w:val="0"/>
                <w:color w:val="000000"/>
                <w:lang w:eastAsia="cs-CZ"/>
              </w:rPr>
              <w:t>Dotace části nákladů snižuje rizika příjemce z negativního vývoje revitalizace. Příjemce přebírá riziko jen do výše spoluúčasti způsobilých a nezpůsobilých nákladů</w:t>
            </w:r>
          </w:p>
          <w:p w:rsidR="00DE0CB4" w:rsidRPr="007C0CDA" w:rsidRDefault="00DE0CB4" w:rsidP="002E3AE9">
            <w:pPr>
              <w:pStyle w:val="Highlight2"/>
              <w:jc w:val="center"/>
              <w:rPr>
                <w:rFonts w:ascii="Calibri" w:hAnsi="Calibri" w:cs="Calibri"/>
                <w:b w:val="0"/>
                <w:color w:val="000000"/>
                <w:lang w:eastAsia="cs-CZ"/>
              </w:rPr>
            </w:pPr>
          </w:p>
          <w:p w:rsidR="00DE0CB4" w:rsidRPr="007C0CDA" w:rsidRDefault="00DE0CB4" w:rsidP="002E3AE9">
            <w:pPr>
              <w:pStyle w:val="Highlight2"/>
              <w:jc w:val="center"/>
              <w:rPr>
                <w:rFonts w:ascii="Calibri" w:hAnsi="Calibri" w:cs="Calibri"/>
                <w:b w:val="0"/>
                <w:color w:val="000000"/>
                <w:lang w:eastAsia="cs-CZ"/>
              </w:rPr>
            </w:pPr>
            <w:r w:rsidRPr="007C0CDA">
              <w:rPr>
                <w:rFonts w:ascii="Calibri" w:hAnsi="Calibri" w:cs="Calibri"/>
                <w:b w:val="0"/>
                <w:color w:val="000000"/>
                <w:lang w:eastAsia="cs-CZ"/>
              </w:rPr>
              <w:t>Zlepšená úvěrovatelnost dotovaných projektů</w:t>
            </w:r>
          </w:p>
          <w:p w:rsidR="00DE0CB4" w:rsidRPr="007C0CDA" w:rsidRDefault="00DE0CB4" w:rsidP="002E3AE9">
            <w:pPr>
              <w:pStyle w:val="Highlight2"/>
              <w:jc w:val="center"/>
              <w:rPr>
                <w:rFonts w:ascii="Calibri" w:hAnsi="Calibri" w:cs="Calibri"/>
                <w:b w:val="0"/>
                <w:color w:val="000000"/>
                <w:lang w:eastAsia="cs-CZ"/>
              </w:rPr>
            </w:pPr>
            <w:r w:rsidRPr="007C0CDA">
              <w:rPr>
                <w:rFonts w:ascii="Calibri" w:hAnsi="Calibri" w:cs="Calibri"/>
                <w:b w:val="0"/>
                <w:color w:val="000000"/>
                <w:lang w:eastAsia="cs-CZ"/>
              </w:rPr>
              <w:t>.</w:t>
            </w:r>
          </w:p>
          <w:p w:rsidR="00DE0CB4" w:rsidRPr="007C0CDA" w:rsidRDefault="00DE0CB4" w:rsidP="002E3AE9">
            <w:pPr>
              <w:pStyle w:val="Highlight2"/>
              <w:jc w:val="center"/>
              <w:rPr>
                <w:rFonts w:ascii="Calibri" w:hAnsi="Calibri" w:cs="Calibri"/>
                <w:b w:val="0"/>
                <w:color w:val="000000"/>
                <w:lang w:eastAsia="cs-CZ"/>
              </w:rPr>
            </w:pPr>
            <w:r w:rsidRPr="007C0CDA">
              <w:rPr>
                <w:rFonts w:ascii="Calibri" w:hAnsi="Calibri" w:cs="Calibri"/>
                <w:b w:val="0"/>
                <w:color w:val="000000"/>
              </w:rPr>
              <w:t xml:space="preserve"> ŘO má předem dané ztráty do absolutní výše dotace.</w:t>
            </w:r>
          </w:p>
        </w:tc>
      </w:tr>
      <w:tr w:rsidR="00DE0CB4" w:rsidRPr="007C0CDA" w:rsidTr="002E3AE9">
        <w:trPr>
          <w:trHeight w:val="1474"/>
        </w:trPr>
        <w:tc>
          <w:tcPr>
            <w:tcW w:w="1729" w:type="dxa"/>
          </w:tcPr>
          <w:p w:rsidR="00DE0CB4" w:rsidRPr="005C7064" w:rsidRDefault="00DE0CB4" w:rsidP="002E3AE9">
            <w:pPr>
              <w:rPr>
                <w:rFonts w:asciiTheme="minorHAnsi" w:hAnsiTheme="minorHAnsi" w:cstheme="minorHAnsi"/>
                <w:b/>
                <w:sz w:val="20"/>
              </w:rPr>
            </w:pPr>
            <w:r w:rsidRPr="005C7064">
              <w:rPr>
                <w:rFonts w:asciiTheme="minorHAnsi" w:hAnsiTheme="minorHAnsi" w:cstheme="minorHAnsi"/>
                <w:b/>
                <w:bCs/>
                <w:color w:val="000000"/>
                <w:sz w:val="20"/>
              </w:rPr>
              <w:t>Administrativní zátěž</w:t>
            </w:r>
          </w:p>
        </w:tc>
        <w:tc>
          <w:tcPr>
            <w:tcW w:w="2694" w:type="dxa"/>
          </w:tcPr>
          <w:p w:rsidR="00DE0CB4" w:rsidRPr="007C0CDA" w:rsidRDefault="00DE0CB4" w:rsidP="002E3AE9">
            <w:pPr>
              <w:pStyle w:val="Highlight2"/>
              <w:jc w:val="center"/>
              <w:rPr>
                <w:rFonts w:ascii="Calibri" w:hAnsi="Calibri" w:cs="Calibri"/>
                <w:b w:val="0"/>
                <w:color w:val="000000"/>
                <w:lang w:eastAsia="cs-CZ"/>
              </w:rPr>
            </w:pPr>
            <w:r w:rsidRPr="007C0CDA">
              <w:rPr>
                <w:rFonts w:ascii="Calibri" w:hAnsi="Calibri" w:cs="Calibri"/>
                <w:b w:val="0"/>
                <w:color w:val="000000"/>
                <w:lang w:eastAsia="cs-CZ"/>
              </w:rPr>
              <w:t>Jednoduchá administrace, bez rizika odebrání podpory z důvodu technických chyb</w:t>
            </w:r>
          </w:p>
          <w:p w:rsidR="00DE0CB4" w:rsidRPr="007C0CDA" w:rsidRDefault="00DE0CB4" w:rsidP="002E3AE9">
            <w:pPr>
              <w:pStyle w:val="Highlight2"/>
              <w:jc w:val="center"/>
              <w:rPr>
                <w:rFonts w:ascii="Calibri" w:hAnsi="Calibri" w:cs="Calibri"/>
                <w:b w:val="0"/>
                <w:bCs/>
                <w:color w:val="000000"/>
                <w:lang w:eastAsia="cs-CZ"/>
              </w:rPr>
            </w:pPr>
          </w:p>
        </w:tc>
        <w:tc>
          <w:tcPr>
            <w:tcW w:w="2268" w:type="dxa"/>
          </w:tcPr>
          <w:p w:rsidR="00DE0CB4" w:rsidRPr="005C7064" w:rsidRDefault="00DE0CB4" w:rsidP="002E3AE9">
            <w:pPr>
              <w:rPr>
                <w:sz w:val="20"/>
              </w:rPr>
            </w:pPr>
            <w:r w:rsidRPr="005C7064">
              <w:rPr>
                <w:rFonts w:cs="Calibri"/>
                <w:color w:val="000000"/>
                <w:sz w:val="20"/>
              </w:rPr>
              <w:t>Jednoduchá administrace, bez rizika odebrání podpory z důvodu technických chyb</w:t>
            </w:r>
          </w:p>
        </w:tc>
        <w:tc>
          <w:tcPr>
            <w:tcW w:w="2268" w:type="dxa"/>
          </w:tcPr>
          <w:p w:rsidR="00DE0CB4" w:rsidRPr="005C7064" w:rsidRDefault="00DE0CB4" w:rsidP="002E3AE9">
            <w:pPr>
              <w:rPr>
                <w:color w:val="000000"/>
                <w:sz w:val="20"/>
              </w:rPr>
            </w:pPr>
            <w:r w:rsidRPr="005C7064">
              <w:rPr>
                <w:rFonts w:cs="Calibri"/>
                <w:color w:val="000000"/>
                <w:sz w:val="20"/>
              </w:rPr>
              <w:t>Vysoká administrativní a regulační zátěž omezuje příjemce, zvyšuje náklady a přináší riziko odebrání dotace.</w:t>
            </w:r>
          </w:p>
        </w:tc>
      </w:tr>
      <w:tr w:rsidR="00DE0CB4" w:rsidRPr="007C0CDA" w:rsidTr="002E3AE9">
        <w:tc>
          <w:tcPr>
            <w:tcW w:w="1729" w:type="dxa"/>
          </w:tcPr>
          <w:p w:rsidR="00DE0CB4" w:rsidRPr="005C7064" w:rsidRDefault="00DE0CB4" w:rsidP="002E3AE9">
            <w:pPr>
              <w:pStyle w:val="Highlight2"/>
              <w:jc w:val="left"/>
              <w:rPr>
                <w:rFonts w:asciiTheme="minorHAnsi" w:hAnsiTheme="minorHAnsi" w:cstheme="minorHAnsi"/>
                <w:bCs/>
                <w:color w:val="auto"/>
                <w:szCs w:val="20"/>
                <w:lang w:eastAsia="cs-CZ"/>
              </w:rPr>
            </w:pPr>
            <w:r w:rsidRPr="005C7064">
              <w:rPr>
                <w:rFonts w:asciiTheme="minorHAnsi" w:hAnsiTheme="minorHAnsi" w:cstheme="minorHAnsi"/>
                <w:color w:val="auto"/>
                <w:szCs w:val="20"/>
              </w:rPr>
              <w:t>Celkový efekt na Investiční aktivitu a absorpci v SC</w:t>
            </w:r>
          </w:p>
        </w:tc>
        <w:tc>
          <w:tcPr>
            <w:tcW w:w="2694" w:type="dxa"/>
          </w:tcPr>
          <w:p w:rsidR="00DE0CB4" w:rsidRPr="007C0CDA" w:rsidRDefault="00DE0CB4" w:rsidP="002433DA">
            <w:pPr>
              <w:pStyle w:val="Highlight2"/>
              <w:jc w:val="center"/>
              <w:rPr>
                <w:rFonts w:ascii="Calibri" w:hAnsi="Calibri" w:cs="Calibri"/>
                <w:b w:val="0"/>
                <w:color w:val="000000"/>
                <w:lang w:eastAsia="cs-CZ"/>
              </w:rPr>
            </w:pPr>
            <w:r>
              <w:rPr>
                <w:rFonts w:ascii="Calibri" w:hAnsi="Calibri" w:cs="Calibri"/>
                <w:b w:val="0"/>
                <w:bCs/>
                <w:color w:val="000000"/>
                <w:lang w:eastAsia="cs-CZ"/>
              </w:rPr>
              <w:t xml:space="preserve">Záruka nemá výrazný vliv na investiční aktivitu v oblasti </w:t>
            </w:r>
            <w:r w:rsidR="00C33F63">
              <w:rPr>
                <w:rFonts w:ascii="Calibri" w:hAnsi="Calibri" w:cs="Calibri"/>
                <w:b w:val="0"/>
                <w:bCs/>
                <w:color w:val="000000"/>
                <w:lang w:eastAsia="cs-CZ"/>
              </w:rPr>
              <w:t>energetických úspor</w:t>
            </w:r>
            <w:r>
              <w:rPr>
                <w:rFonts w:ascii="Calibri" w:hAnsi="Calibri" w:cs="Calibri"/>
                <w:b w:val="0"/>
                <w:bCs/>
                <w:color w:val="000000"/>
                <w:lang w:eastAsia="cs-CZ"/>
              </w:rPr>
              <w:t>, částečně pouze v segmentu rizikových MSP</w:t>
            </w:r>
          </w:p>
        </w:tc>
        <w:tc>
          <w:tcPr>
            <w:tcW w:w="2268" w:type="dxa"/>
          </w:tcPr>
          <w:p w:rsidR="00DE0CB4" w:rsidRPr="005C7064" w:rsidRDefault="00DE0CB4" w:rsidP="002E3AE9">
            <w:pPr>
              <w:rPr>
                <w:sz w:val="20"/>
              </w:rPr>
            </w:pPr>
            <w:r w:rsidRPr="005C7064">
              <w:rPr>
                <w:sz w:val="20"/>
              </w:rPr>
              <w:t>Mírné zkrácení doby návratnosti, přístup k vyššímu externímu financování a příspěvek na projektovou přípravu</w:t>
            </w:r>
          </w:p>
          <w:p w:rsidR="00C33F63" w:rsidRDefault="00DE0CB4" w:rsidP="002E3AE9">
            <w:pPr>
              <w:rPr>
                <w:sz w:val="20"/>
              </w:rPr>
            </w:pPr>
            <w:r w:rsidRPr="005C7064">
              <w:rPr>
                <w:sz w:val="20"/>
              </w:rPr>
              <w:t>umožní vyšší investiční aktivitu</w:t>
            </w:r>
            <w:r>
              <w:rPr>
                <w:sz w:val="20"/>
              </w:rPr>
              <w:t xml:space="preserve"> v segmentu </w:t>
            </w:r>
          </w:p>
          <w:p w:rsidR="00C33F63" w:rsidRDefault="00C33F63" w:rsidP="002E3AE9">
            <w:pPr>
              <w:rPr>
                <w:sz w:val="20"/>
              </w:rPr>
            </w:pPr>
          </w:p>
          <w:p w:rsidR="00C33F63" w:rsidRDefault="00C33F63" w:rsidP="002E3AE9">
            <w:pPr>
              <w:rPr>
                <w:sz w:val="20"/>
              </w:rPr>
            </w:pPr>
            <w:r>
              <w:rPr>
                <w:sz w:val="20"/>
              </w:rPr>
              <w:t>Motivační efekt pro dodatečné investice je menší než v případě dotací, ale v případě úspor stále znatelný.</w:t>
            </w:r>
          </w:p>
          <w:p w:rsidR="00DE0CB4" w:rsidRPr="005C7064" w:rsidRDefault="00DE0CB4" w:rsidP="002433DA">
            <w:pPr>
              <w:rPr>
                <w:rFonts w:cs="Calibri"/>
                <w:color w:val="000000"/>
                <w:sz w:val="20"/>
              </w:rPr>
            </w:pPr>
          </w:p>
        </w:tc>
        <w:tc>
          <w:tcPr>
            <w:tcW w:w="2268" w:type="dxa"/>
          </w:tcPr>
          <w:p w:rsidR="00DE0CB4" w:rsidRDefault="00DE0CB4" w:rsidP="002E3AE9">
            <w:pPr>
              <w:rPr>
                <w:color w:val="000000"/>
                <w:sz w:val="20"/>
              </w:rPr>
            </w:pPr>
            <w:r>
              <w:rPr>
                <w:color w:val="000000"/>
                <w:sz w:val="20"/>
              </w:rPr>
              <w:t>Znatelný</w:t>
            </w:r>
            <w:r w:rsidRPr="005C7064">
              <w:rPr>
                <w:color w:val="000000"/>
                <w:sz w:val="20"/>
              </w:rPr>
              <w:t xml:space="preserve"> efekt na nákladovost a návratnost projektu </w:t>
            </w:r>
            <w:r>
              <w:rPr>
                <w:color w:val="000000"/>
                <w:sz w:val="20"/>
              </w:rPr>
              <w:t xml:space="preserve">může značně stimulovat aktivity </w:t>
            </w:r>
            <w:r w:rsidR="00C33F63">
              <w:rPr>
                <w:color w:val="000000"/>
                <w:sz w:val="20"/>
              </w:rPr>
              <w:t>do komplexnějších projektů s vysokou mírou energetické úspory</w:t>
            </w:r>
          </w:p>
          <w:p w:rsidR="00DE0CB4" w:rsidRPr="005C7064" w:rsidRDefault="00DE0CB4" w:rsidP="002433DA">
            <w:pPr>
              <w:rPr>
                <w:rFonts w:cs="Calibri"/>
                <w:color w:val="000000"/>
                <w:sz w:val="20"/>
              </w:rPr>
            </w:pPr>
          </w:p>
        </w:tc>
      </w:tr>
      <w:tr w:rsidR="00DE0CB4" w:rsidRPr="007C0CDA" w:rsidTr="002E3AE9">
        <w:tc>
          <w:tcPr>
            <w:tcW w:w="1729" w:type="dxa"/>
          </w:tcPr>
          <w:p w:rsidR="00DE0CB4" w:rsidRPr="005C7064" w:rsidRDefault="00DE0CB4" w:rsidP="002E3AE9">
            <w:pPr>
              <w:pStyle w:val="Highlight2"/>
              <w:jc w:val="left"/>
              <w:rPr>
                <w:rFonts w:asciiTheme="minorHAnsi" w:hAnsiTheme="minorHAnsi" w:cstheme="minorHAnsi"/>
                <w:color w:val="auto"/>
                <w:szCs w:val="20"/>
              </w:rPr>
            </w:pPr>
            <w:r w:rsidRPr="007C0CDA">
              <w:rPr>
                <w:rFonts w:ascii="Calibri" w:hAnsi="Calibri" w:cs="Calibri"/>
                <w:bCs/>
                <w:color w:val="000000"/>
                <w:lang w:eastAsia="cs-CZ"/>
              </w:rPr>
              <w:t>Efekt na narušení tržního prostředí</w:t>
            </w:r>
          </w:p>
        </w:tc>
        <w:tc>
          <w:tcPr>
            <w:tcW w:w="2694" w:type="dxa"/>
          </w:tcPr>
          <w:p w:rsidR="00DE0CB4" w:rsidRPr="005C7064" w:rsidRDefault="00DE0CB4" w:rsidP="002E3AE9">
            <w:pPr>
              <w:pStyle w:val="Highlight2"/>
              <w:jc w:val="center"/>
              <w:rPr>
                <w:rFonts w:ascii="Calibri" w:hAnsi="Calibri" w:cs="Calibri"/>
                <w:b w:val="0"/>
                <w:bCs/>
                <w:color w:val="000000"/>
                <w:szCs w:val="20"/>
                <w:lang w:eastAsia="cs-CZ"/>
              </w:rPr>
            </w:pPr>
            <w:r w:rsidRPr="005C7064">
              <w:rPr>
                <w:rFonts w:ascii="Calibri" w:hAnsi="Calibri" w:cs="Calibri"/>
                <w:b w:val="0"/>
                <w:color w:val="000000"/>
                <w:szCs w:val="20"/>
                <w:lang w:eastAsia="cs-CZ"/>
              </w:rPr>
              <w:t>Minimální vliv na tržní prostředí, zvyšují konkurenci odstraněním finanční bariéry pro menší subjekty</w:t>
            </w:r>
          </w:p>
        </w:tc>
        <w:tc>
          <w:tcPr>
            <w:tcW w:w="2268" w:type="dxa"/>
          </w:tcPr>
          <w:p w:rsidR="00DE0CB4" w:rsidRPr="005C7064" w:rsidRDefault="00DE0CB4" w:rsidP="002E3AE9">
            <w:pPr>
              <w:pStyle w:val="Highlight2"/>
              <w:jc w:val="center"/>
              <w:rPr>
                <w:rFonts w:ascii="Calibri" w:hAnsi="Calibri" w:cs="Calibri"/>
                <w:b w:val="0"/>
                <w:color w:val="000000"/>
                <w:szCs w:val="20"/>
                <w:lang w:eastAsia="cs-CZ"/>
              </w:rPr>
            </w:pPr>
            <w:r w:rsidRPr="005C7064">
              <w:rPr>
                <w:rFonts w:ascii="Calibri" w:hAnsi="Calibri" w:cs="Calibri"/>
                <w:b w:val="0"/>
                <w:color w:val="000000"/>
                <w:szCs w:val="20"/>
                <w:lang w:eastAsia="cs-CZ"/>
              </w:rPr>
              <w:t>Malý vliv na tržní prostředí, návratná podpora motivuje ekonomicky efektivní počínání subjektů</w:t>
            </w:r>
          </w:p>
          <w:p w:rsidR="00DE0CB4" w:rsidRDefault="00DE0CB4" w:rsidP="002E3AE9">
            <w:pPr>
              <w:pStyle w:val="Highlight2"/>
              <w:jc w:val="center"/>
              <w:rPr>
                <w:rFonts w:ascii="Calibri" w:hAnsi="Calibri" w:cs="Calibri"/>
                <w:b w:val="0"/>
                <w:color w:val="000000"/>
                <w:szCs w:val="20"/>
                <w:lang w:eastAsia="cs-CZ"/>
              </w:rPr>
            </w:pPr>
          </w:p>
          <w:p w:rsidR="00DE0CB4" w:rsidRPr="005C7064" w:rsidRDefault="00DE0CB4" w:rsidP="002E3AE9">
            <w:pPr>
              <w:pStyle w:val="Highlight2"/>
              <w:jc w:val="center"/>
              <w:rPr>
                <w:rFonts w:ascii="Calibri" w:hAnsi="Calibri" w:cs="Calibri"/>
                <w:b w:val="0"/>
                <w:color w:val="000000"/>
                <w:szCs w:val="20"/>
                <w:lang w:eastAsia="cs-CZ"/>
              </w:rPr>
            </w:pPr>
            <w:r w:rsidRPr="005C7064">
              <w:rPr>
                <w:rFonts w:ascii="Calibri" w:hAnsi="Calibri" w:cs="Calibri"/>
                <w:b w:val="0"/>
                <w:color w:val="000000"/>
                <w:szCs w:val="20"/>
                <w:lang w:eastAsia="cs-CZ"/>
              </w:rPr>
              <w:t>Doplnění soukromého finančního trhu</w:t>
            </w:r>
          </w:p>
          <w:p w:rsidR="00DE0CB4" w:rsidRPr="005C7064" w:rsidRDefault="00DE0CB4" w:rsidP="002433DA">
            <w:pPr>
              <w:rPr>
                <w:sz w:val="20"/>
              </w:rPr>
            </w:pPr>
            <w:r>
              <w:rPr>
                <w:sz w:val="20"/>
              </w:rPr>
              <w:t xml:space="preserve">Nenarušuje </w:t>
            </w:r>
            <w:r w:rsidR="006842C8">
              <w:rPr>
                <w:sz w:val="20"/>
              </w:rPr>
              <w:t xml:space="preserve">výrazně </w:t>
            </w:r>
            <w:r>
              <w:rPr>
                <w:sz w:val="20"/>
              </w:rPr>
              <w:t>tržní prostředí</w:t>
            </w:r>
            <w:r w:rsidR="006842C8">
              <w:rPr>
                <w:sz w:val="20"/>
              </w:rPr>
              <w:t>.</w:t>
            </w:r>
          </w:p>
        </w:tc>
        <w:tc>
          <w:tcPr>
            <w:tcW w:w="2268" w:type="dxa"/>
          </w:tcPr>
          <w:p w:rsidR="00DE0CB4" w:rsidRPr="005C7064" w:rsidRDefault="00DE0CB4" w:rsidP="002433DA">
            <w:pPr>
              <w:rPr>
                <w:color w:val="000000"/>
                <w:sz w:val="20"/>
              </w:rPr>
            </w:pPr>
            <w:r>
              <w:rPr>
                <w:rFonts w:cs="Calibri"/>
                <w:bCs/>
                <w:color w:val="000000"/>
                <w:sz w:val="20"/>
              </w:rPr>
              <w:t xml:space="preserve">Dotace znamenají zvýhodnění pro podnikání dotčených subjektů, nicméně do značné míry vyrovnávají tržní selhání. </w:t>
            </w:r>
            <w:r w:rsidR="006842C8">
              <w:rPr>
                <w:rFonts w:cs="Calibri"/>
                <w:bCs/>
                <w:color w:val="000000"/>
                <w:sz w:val="20"/>
              </w:rPr>
              <w:t>V rámci trhu znamenají výraznou úpravu jeho fungování, regulaci investiční aktivity s ohledem na vyhlášené výzvy a částečně i omezení pro tržní mechanismy typu EPC.</w:t>
            </w:r>
          </w:p>
        </w:tc>
      </w:tr>
    </w:tbl>
    <w:p w:rsidR="00DE0CB4" w:rsidRPr="007C0CDA" w:rsidRDefault="00DE0CB4" w:rsidP="00DE0CB4"/>
    <w:p w:rsidR="00DE0CB4" w:rsidRPr="007C0CDA" w:rsidRDefault="00DE0CB4" w:rsidP="00DE0CB4">
      <w:pPr>
        <w:pStyle w:val="Titulek"/>
      </w:pPr>
      <w:r w:rsidRPr="007C0CDA">
        <w:t xml:space="preserve">Tabulka </w:t>
      </w:r>
      <w:r w:rsidRPr="00B675D6">
        <w:fldChar w:fldCharType="begin"/>
      </w:r>
      <w:r w:rsidRPr="007C0CDA">
        <w:instrText xml:space="preserve"> SEQ Tabulka \* ARABIC </w:instrText>
      </w:r>
      <w:r w:rsidRPr="005C7064">
        <w:fldChar w:fldCharType="separate"/>
      </w:r>
      <w:r w:rsidRPr="007C0CDA">
        <w:rPr>
          <w:noProof/>
        </w:rPr>
        <w:t>8</w:t>
      </w:r>
      <w:r w:rsidRPr="00B675D6">
        <w:fldChar w:fldCharType="end"/>
      </w:r>
      <w:r w:rsidRPr="007C0CDA">
        <w:t xml:space="preserve"> – Přida</w:t>
      </w:r>
      <w:r>
        <w:t>ná hodnota podpory pro cíle SC 3</w:t>
      </w:r>
      <w:r w:rsidRPr="007C0CDA">
        <w:t>.</w:t>
      </w:r>
      <w:r w:rsidR="006842C8">
        <w:t>2</w:t>
      </w:r>
      <w:r w:rsidRPr="007C0CDA">
        <w:t xml:space="preserve"> </w:t>
      </w:r>
    </w:p>
    <w:p w:rsidR="00DE0CB4" w:rsidRDefault="00DE0CB4" w:rsidP="00DE0CB4"/>
    <w:p w:rsidR="006842C8" w:rsidRDefault="00DE0CB4" w:rsidP="00DE0CB4">
      <w:r>
        <w:t xml:space="preserve">Na základě porovnání přidané hodnoty je zřejmé, že v rámci aktivit </w:t>
      </w:r>
      <w:r w:rsidR="006842C8">
        <w:t>SC 3.2 lze identifikovat potenciál pro použití jak úvěrového, tak dotačního nástroje.</w:t>
      </w:r>
    </w:p>
    <w:p w:rsidR="00DE0CB4" w:rsidRPr="007C0CDA" w:rsidRDefault="00DE0CB4" w:rsidP="004061B0">
      <w:pPr>
        <w:pStyle w:val="Neslovannadpisy"/>
        <w:rPr>
          <w:lang w:eastAsia="en-US"/>
        </w:rPr>
      </w:pPr>
    </w:p>
    <w:p w:rsidR="009D2CAE" w:rsidRPr="007C0CDA" w:rsidRDefault="009D2CAE" w:rsidP="003C3B8D">
      <w:pPr>
        <w:pStyle w:val="Neslovannadpisy"/>
      </w:pPr>
      <w:r w:rsidRPr="007C0CDA">
        <w:t>Veřejná podpora</w:t>
      </w:r>
    </w:p>
    <w:p w:rsidR="009D2CAE" w:rsidRPr="007C0CDA" w:rsidRDefault="009D2CAE" w:rsidP="003C3B8D">
      <w:r w:rsidRPr="007C0CDA">
        <w:t>Pro úvěrový finanční nástroj lze řešit veřejnou podporu poskytnutím podpory de minimis nebo podpory podle Obecného nařízení o blokových výjimkách,.</w:t>
      </w:r>
    </w:p>
    <w:p w:rsidR="009D2CAE" w:rsidRPr="007C0CDA" w:rsidRDefault="009D2CAE" w:rsidP="004061B0">
      <w:pPr>
        <w:pStyle w:val="Neslovannadpisy"/>
        <w:rPr>
          <w:lang w:eastAsia="en-US"/>
        </w:rPr>
      </w:pPr>
    </w:p>
    <w:p w:rsidR="009D2CAE" w:rsidRPr="007C0CDA" w:rsidRDefault="009D2CAE" w:rsidP="004061B0">
      <w:pPr>
        <w:pStyle w:val="Neslovannadpisy"/>
        <w:rPr>
          <w:lang w:eastAsia="en-US"/>
        </w:rPr>
      </w:pPr>
      <w:r w:rsidRPr="007C0CDA">
        <w:rPr>
          <w:lang w:eastAsia="en-US"/>
        </w:rPr>
        <w:t>Komplementarity a synergie</w:t>
      </w:r>
    </w:p>
    <w:p w:rsidR="009D2CAE" w:rsidRPr="007C0CDA" w:rsidRDefault="009D2CAE" w:rsidP="004061B0">
      <w:pPr>
        <w:rPr>
          <w:lang w:eastAsia="en-US"/>
        </w:rPr>
      </w:pPr>
      <w:r w:rsidRPr="007C0CDA">
        <w:rPr>
          <w:lang w:eastAsia="en-US"/>
        </w:rPr>
        <w:t>Podpora v SC 3.2 je komplementární k podpoře v rámci OPŽP a programu Nová zelená úsporám, která cílí na nepodnikatelské subjekty a rovněž podpoře energetické účinnosti v bytových domech poskytované IROP. Synergicky k SC 3.2 působí neinvestiční podpora v programu EFEKT, která rozvíjí tržní prostředí v oblasti energetických úspor.</w:t>
      </w:r>
    </w:p>
    <w:p w:rsidR="009D2CAE" w:rsidRPr="007C0CDA" w:rsidRDefault="009D2CAE" w:rsidP="004061B0">
      <w:pPr>
        <w:rPr>
          <w:lang w:eastAsia="en-US"/>
        </w:rPr>
      </w:pPr>
    </w:p>
    <w:p w:rsidR="009D2CAE" w:rsidRPr="007C0CDA" w:rsidRDefault="009D2CAE" w:rsidP="003C3B8D">
      <w:pPr>
        <w:rPr>
          <w:lang w:eastAsia="en-US"/>
        </w:rPr>
      </w:pPr>
      <w:r w:rsidRPr="007C0CDA">
        <w:rPr>
          <w:lang w:eastAsia="en-US"/>
        </w:rPr>
        <w:t>Důležitou komplementaritu představuje také možnost zapojení Investičního plánu pro Evropu a Evropského fondu pro strategické investice.</w:t>
      </w:r>
    </w:p>
    <w:p w:rsidR="009D2CAE" w:rsidRPr="007C0CDA" w:rsidRDefault="009D2CAE" w:rsidP="004061B0">
      <w:pPr>
        <w:rPr>
          <w:lang w:eastAsia="en-US"/>
        </w:rPr>
      </w:pPr>
    </w:p>
    <w:p w:rsidR="009D2CAE" w:rsidRPr="007C0CDA" w:rsidRDefault="009D2CAE" w:rsidP="004061B0">
      <w:pPr>
        <w:rPr>
          <w:lang w:eastAsia="en-US"/>
        </w:rPr>
      </w:pPr>
    </w:p>
    <w:p w:rsidR="009D2CAE" w:rsidRPr="007C0CDA" w:rsidRDefault="009D2CAE" w:rsidP="006F42A5">
      <w:pPr>
        <w:rPr>
          <w:lang w:eastAsia="en-US"/>
        </w:rPr>
      </w:pPr>
    </w:p>
    <w:p w:rsidR="009D2CAE" w:rsidRPr="00172EF4" w:rsidRDefault="009D2CAE" w:rsidP="002433DA">
      <w:pPr>
        <w:pStyle w:val="Nadpis2"/>
        <w:rPr>
          <w:lang w:eastAsia="en-US"/>
        </w:rPr>
      </w:pPr>
      <w:bookmarkStart w:id="531" w:name="_Toc413824151"/>
      <w:bookmarkStart w:id="532" w:name="_Toc413831134"/>
      <w:bookmarkStart w:id="533" w:name="_Toc413831164"/>
      <w:bookmarkStart w:id="534" w:name="_Toc413824152"/>
      <w:bookmarkStart w:id="535" w:name="_Toc413831135"/>
      <w:bookmarkStart w:id="536" w:name="_Toc413831165"/>
      <w:bookmarkStart w:id="537" w:name="_Toc416447864"/>
      <w:bookmarkEnd w:id="531"/>
      <w:bookmarkEnd w:id="532"/>
      <w:bookmarkEnd w:id="533"/>
      <w:bookmarkEnd w:id="534"/>
      <w:bookmarkEnd w:id="535"/>
      <w:bookmarkEnd w:id="536"/>
      <w:r w:rsidRPr="00B675D6">
        <w:rPr>
          <w:lang w:eastAsia="en-US"/>
        </w:rPr>
        <w:t>Specifický cíl 3.5</w:t>
      </w:r>
      <w:r w:rsidR="00DE0CB4">
        <w:rPr>
          <w:lang w:eastAsia="en-US"/>
        </w:rPr>
        <w:t xml:space="preserve"> </w:t>
      </w:r>
      <w:r w:rsidRPr="00854519">
        <w:t>Zvýšit účinnost soustav zásobování teplem</w:t>
      </w:r>
      <w:bookmarkEnd w:id="537"/>
    </w:p>
    <w:p w:rsidR="009D2CAE" w:rsidRPr="007C0CDA" w:rsidRDefault="009D2CAE" w:rsidP="002413B6">
      <w:pPr>
        <w:pStyle w:val="Nadpis3"/>
      </w:pPr>
      <w:bookmarkStart w:id="538" w:name="_Toc416447865"/>
      <w:r w:rsidRPr="007C0CDA">
        <w:t>Zaměření specifického cíle</w:t>
      </w:r>
      <w:bookmarkEnd w:id="538"/>
    </w:p>
    <w:p w:rsidR="009D2CAE" w:rsidRPr="007C0CDA" w:rsidRDefault="009D2CAE" w:rsidP="009F0422">
      <w:pPr>
        <w:pStyle w:val="Neslovannadpisy"/>
        <w:rPr>
          <w:lang w:eastAsia="en-US"/>
        </w:rPr>
      </w:pPr>
      <w:r w:rsidRPr="007C0CDA">
        <w:rPr>
          <w:lang w:eastAsia="en-US"/>
        </w:rPr>
        <w:t>Podporované aktivity:</w:t>
      </w:r>
    </w:p>
    <w:p w:rsidR="009D2CAE" w:rsidRPr="007C0CDA" w:rsidRDefault="009D2CAE" w:rsidP="002433DA">
      <w:pPr>
        <w:pStyle w:val="Odstavecseseznamem"/>
        <w:numPr>
          <w:ilvl w:val="0"/>
          <w:numId w:val="8"/>
        </w:numPr>
        <w:rPr>
          <w:lang w:eastAsia="en-US"/>
        </w:rPr>
      </w:pPr>
      <w:r w:rsidRPr="007C0CDA">
        <w:rPr>
          <w:lang w:eastAsia="en-US"/>
        </w:rPr>
        <w:t>Instalace vysokoúčinných (plynových) kogeneračních jednotek v soustavách</w:t>
      </w:r>
    </w:p>
    <w:p w:rsidR="009D2CAE" w:rsidRPr="007C0CDA" w:rsidRDefault="009D2CAE" w:rsidP="009F0422">
      <w:pPr>
        <w:rPr>
          <w:lang w:eastAsia="en-US"/>
        </w:rPr>
      </w:pPr>
      <w:r w:rsidRPr="007C0CDA">
        <w:rPr>
          <w:lang w:eastAsia="en-US"/>
        </w:rPr>
        <w:t>zásobování teplem, včetně rozvoje a propojování existujících soustav za účelem vyššího využití</w:t>
      </w:r>
    </w:p>
    <w:p w:rsidR="009D2CAE" w:rsidRPr="007C0CDA" w:rsidRDefault="009D2CAE" w:rsidP="009F0422">
      <w:pPr>
        <w:rPr>
          <w:lang w:eastAsia="en-US"/>
        </w:rPr>
      </w:pPr>
      <w:r w:rsidRPr="007C0CDA">
        <w:rPr>
          <w:lang w:eastAsia="en-US"/>
        </w:rPr>
        <w:t>kombinované výroby elektřiny a tepla s cílem dosažení úspor primární energie.</w:t>
      </w:r>
    </w:p>
    <w:p w:rsidR="009D2CAE" w:rsidRPr="007C0CDA" w:rsidRDefault="009D2CAE" w:rsidP="002433DA">
      <w:pPr>
        <w:pStyle w:val="Odstavecseseznamem"/>
        <w:numPr>
          <w:ilvl w:val="0"/>
          <w:numId w:val="8"/>
        </w:numPr>
        <w:rPr>
          <w:lang w:eastAsia="en-US"/>
        </w:rPr>
      </w:pPr>
      <w:r w:rsidRPr="007C0CDA">
        <w:rPr>
          <w:lang w:eastAsia="en-US"/>
        </w:rPr>
        <w:t>Instalace vysokoúčinné (plynové) kogenerační jednotky za účelem lokální spotřeby</w:t>
      </w:r>
    </w:p>
    <w:p w:rsidR="009D2CAE" w:rsidRPr="007C0CDA" w:rsidRDefault="009D2CAE" w:rsidP="009F0422">
      <w:pPr>
        <w:rPr>
          <w:lang w:eastAsia="en-US"/>
        </w:rPr>
      </w:pPr>
      <w:r w:rsidRPr="007C0CDA">
        <w:rPr>
          <w:lang w:eastAsia="en-US"/>
        </w:rPr>
        <w:t>tepelné energie.</w:t>
      </w:r>
    </w:p>
    <w:p w:rsidR="009D2CAE" w:rsidRPr="007C0CDA" w:rsidRDefault="009D2CAE" w:rsidP="002433DA">
      <w:pPr>
        <w:pStyle w:val="Odstavecseseznamem"/>
        <w:numPr>
          <w:ilvl w:val="0"/>
          <w:numId w:val="8"/>
        </w:numPr>
        <w:rPr>
          <w:lang w:eastAsia="en-US"/>
        </w:rPr>
      </w:pPr>
      <w:r w:rsidRPr="007C0CDA">
        <w:rPr>
          <w:lang w:eastAsia="en-US"/>
        </w:rPr>
        <w:t>Rekonstrukce stávajících zařízení s kombinovanou výrobou elektřiny a tepla s cílem</w:t>
      </w:r>
    </w:p>
    <w:p w:rsidR="009D2CAE" w:rsidRPr="007C0CDA" w:rsidRDefault="009D2CAE" w:rsidP="009F0422">
      <w:pPr>
        <w:rPr>
          <w:lang w:eastAsia="en-US"/>
        </w:rPr>
      </w:pPr>
      <w:r w:rsidRPr="007C0CDA">
        <w:rPr>
          <w:lang w:eastAsia="en-US"/>
        </w:rPr>
        <w:t>dosažení úspory primární energie díky zlepšení technických parametrů zařízení.</w:t>
      </w:r>
    </w:p>
    <w:p w:rsidR="009D2CAE" w:rsidRPr="007C0CDA" w:rsidRDefault="009D2CAE" w:rsidP="002433DA">
      <w:pPr>
        <w:pStyle w:val="Odstavecseseznamem"/>
        <w:numPr>
          <w:ilvl w:val="0"/>
          <w:numId w:val="8"/>
        </w:numPr>
        <w:rPr>
          <w:lang w:eastAsia="en-US"/>
        </w:rPr>
      </w:pPr>
      <w:r w:rsidRPr="007C0CDA">
        <w:rPr>
          <w:lang w:eastAsia="en-US"/>
        </w:rPr>
        <w:t>Výstavba a rozvoj stávajících soustav zásobování teplem včetně předávacích stanic s</w:t>
      </w:r>
    </w:p>
    <w:p w:rsidR="009D2CAE" w:rsidRPr="007C0CDA" w:rsidRDefault="009D2CAE" w:rsidP="009F0422">
      <w:pPr>
        <w:rPr>
          <w:lang w:eastAsia="en-US"/>
        </w:rPr>
      </w:pPr>
      <w:r w:rsidRPr="007C0CDA">
        <w:rPr>
          <w:lang w:eastAsia="en-US"/>
        </w:rPr>
        <w:t>cílem maximálního využití tepla z vysokoúčinné kombinované výroby elektřiny a tepla</w:t>
      </w:r>
    </w:p>
    <w:p w:rsidR="009D2CAE" w:rsidRPr="007C0CDA" w:rsidRDefault="009D2CAE" w:rsidP="009F0422">
      <w:pPr>
        <w:rPr>
          <w:lang w:eastAsia="en-US"/>
        </w:rPr>
      </w:pPr>
      <w:r w:rsidRPr="007C0CDA">
        <w:rPr>
          <w:lang w:eastAsia="en-US"/>
        </w:rPr>
        <w:t>případně odpadního tepla z průmyslových procesů a dosažení úspor primární energie.</w:t>
      </w:r>
    </w:p>
    <w:p w:rsidR="009D2CAE" w:rsidRPr="007C0CDA" w:rsidRDefault="009D2CAE" w:rsidP="009F0422">
      <w:pPr>
        <w:rPr>
          <w:lang w:eastAsia="en-US"/>
        </w:rPr>
      </w:pPr>
    </w:p>
    <w:p w:rsidR="009D2CAE" w:rsidRPr="007C0CDA" w:rsidRDefault="009D2CAE">
      <w:pPr>
        <w:pStyle w:val="Neslovannadpisy"/>
        <w:rPr>
          <w:lang w:eastAsia="en-US"/>
        </w:rPr>
      </w:pPr>
      <w:r w:rsidRPr="007C0CDA">
        <w:rPr>
          <w:lang w:eastAsia="en-US"/>
        </w:rPr>
        <w:t xml:space="preserve">Hlavní cílová skupina: </w:t>
      </w:r>
    </w:p>
    <w:p w:rsidR="009D2CAE" w:rsidRPr="007C0CDA" w:rsidRDefault="009D2CAE" w:rsidP="00831C64">
      <w:pPr>
        <w:rPr>
          <w:lang w:eastAsia="en-US"/>
        </w:rPr>
      </w:pPr>
      <w:r w:rsidRPr="007C0CDA">
        <w:rPr>
          <w:lang w:eastAsia="en-US"/>
        </w:rPr>
        <w:t>Podnikatelské subjekty (velké podniky, ale i střední a případně malé podniky) které se soustředí na výrobu a dodávku tepla do systému zásobování teplem zkombinované výroby elektřiny a tepla.</w:t>
      </w:r>
    </w:p>
    <w:p w:rsidR="009D2CAE" w:rsidRPr="007C0CDA" w:rsidRDefault="009D2CAE" w:rsidP="009F0422">
      <w:pPr>
        <w:rPr>
          <w:lang w:eastAsia="en-US"/>
        </w:rPr>
      </w:pPr>
    </w:p>
    <w:p w:rsidR="009D2CAE" w:rsidRPr="007C0CDA" w:rsidRDefault="009D2CAE">
      <w:pPr>
        <w:pStyle w:val="Neslovannadpisy"/>
        <w:rPr>
          <w:lang w:eastAsia="en-US"/>
        </w:rPr>
      </w:pPr>
      <w:r w:rsidRPr="007C0CDA">
        <w:rPr>
          <w:lang w:eastAsia="en-US"/>
        </w:rPr>
        <w:t>Cílové území:</w:t>
      </w:r>
    </w:p>
    <w:p w:rsidR="009D2CAE" w:rsidRPr="007C0CDA" w:rsidRDefault="009D2CAE" w:rsidP="009F0422">
      <w:pPr>
        <w:rPr>
          <w:lang w:eastAsia="en-US"/>
        </w:rPr>
      </w:pPr>
      <w:r w:rsidRPr="007C0CDA">
        <w:rPr>
          <w:lang w:eastAsia="en-US"/>
        </w:rPr>
        <w:t>Území České republiky, mimo území hl. m. Prahy.</w:t>
      </w:r>
    </w:p>
    <w:p w:rsidR="009D2CAE" w:rsidRPr="007C0CDA" w:rsidRDefault="009D2CAE" w:rsidP="009F0422">
      <w:pPr>
        <w:rPr>
          <w:color w:val="FF0000"/>
          <w:lang w:eastAsia="en-US"/>
        </w:rPr>
      </w:pPr>
    </w:p>
    <w:p w:rsidR="009D2CAE" w:rsidRPr="007C0CDA" w:rsidRDefault="009D2CAE" w:rsidP="00321F1A">
      <w:pPr>
        <w:pStyle w:val="Neslovannadpisy"/>
      </w:pPr>
      <w:r w:rsidRPr="007C0CDA">
        <w:t>Výběr aktivit k posouzení vhodnosti finančního nástroje</w:t>
      </w:r>
    </w:p>
    <w:p w:rsidR="009D2CAE" w:rsidRPr="009D2CAE" w:rsidRDefault="009D2CAE">
      <w:pPr>
        <w:rPr>
          <w:b/>
          <w:lang w:eastAsia="en-US"/>
        </w:rPr>
      </w:pPr>
      <w:r w:rsidRPr="009D2CAE">
        <w:rPr>
          <w:lang w:eastAsia="en-US"/>
        </w:rPr>
        <w:t>K</w:t>
      </w:r>
      <w:r w:rsidRPr="007C0CDA">
        <w:rPr>
          <w:lang w:eastAsia="en-US"/>
        </w:rPr>
        <w:t> </w:t>
      </w:r>
      <w:r w:rsidRPr="009D2CAE">
        <w:rPr>
          <w:lang w:eastAsia="en-US"/>
        </w:rPr>
        <w:t>bližšímu předběžnému posouzení jsou vybrány všechny aktivity SC 3.5, vzhledem k</w:t>
      </w:r>
      <w:r w:rsidRPr="007C0CDA">
        <w:rPr>
          <w:lang w:eastAsia="en-US"/>
        </w:rPr>
        <w:t> </w:t>
      </w:r>
      <w:r w:rsidRPr="009D2CAE">
        <w:rPr>
          <w:lang w:eastAsia="en-US"/>
        </w:rPr>
        <w:t>potenciálně ziskovému charakteru investic jak do KVET, tak do rozvodů tepla.</w:t>
      </w:r>
    </w:p>
    <w:p w:rsidR="009D2CAE" w:rsidRPr="007C0CDA" w:rsidRDefault="009D2CAE" w:rsidP="002D08F0">
      <w:pPr>
        <w:rPr>
          <w:lang w:eastAsia="en-US"/>
        </w:rPr>
      </w:pPr>
    </w:p>
    <w:p w:rsidR="009D2CAE" w:rsidRPr="007C0CDA" w:rsidRDefault="009D2CAE" w:rsidP="002D08F0">
      <w:pPr>
        <w:rPr>
          <w:lang w:eastAsia="en-US"/>
        </w:rPr>
      </w:pPr>
      <w:r w:rsidRPr="007C0CDA">
        <w:rPr>
          <w:lang w:eastAsia="en-US"/>
        </w:rPr>
        <w:t xml:space="preserve">Oblast SC 3.5 je zaměřena na podporu podnikatelských aktivit v oblasti KVET, zahrnující kombinovanou vysoce účinnou výrobu elektřiny a tepla a rekonstrukci a budování tepelných rozvodu. Na rozdíl od kogenerace v 3.2 (kogenerace pro vlastní spotřebu), je 3.5 určena pro </w:t>
      </w:r>
      <w:r w:rsidRPr="007C0CDA">
        <w:rPr>
          <w:b/>
          <w:lang w:eastAsia="en-US"/>
        </w:rPr>
        <w:t xml:space="preserve">kogeneraci tepla, </w:t>
      </w:r>
      <w:r w:rsidRPr="007C0CDA">
        <w:rPr>
          <w:b/>
          <w:lang w:eastAsia="en-US"/>
        </w:rPr>
        <w:lastRenderedPageBreak/>
        <w:t>jejímž účelem je též prodej třetím subjektům</w:t>
      </w:r>
      <w:r w:rsidRPr="007C0CDA">
        <w:rPr>
          <w:lang w:eastAsia="en-US"/>
        </w:rPr>
        <w:t>. Aktivita neobsahuje též kogeneraci v bio-plynových stanicích zahrnutou v SC 3.1.</w:t>
      </w:r>
    </w:p>
    <w:p w:rsidR="009D2CAE" w:rsidRPr="007C0CDA" w:rsidRDefault="009D2CAE" w:rsidP="002D08F0">
      <w:pPr>
        <w:rPr>
          <w:lang w:eastAsia="en-US"/>
        </w:rPr>
      </w:pPr>
    </w:p>
    <w:p w:rsidR="009D2CAE" w:rsidRPr="007C0CDA" w:rsidRDefault="009D2CAE" w:rsidP="002D08F0">
      <w:pPr>
        <w:rPr>
          <w:lang w:eastAsia="en-US"/>
        </w:rPr>
      </w:pPr>
      <w:r w:rsidRPr="007C0CDA">
        <w:rPr>
          <w:lang w:eastAsia="en-US"/>
        </w:rPr>
        <w:t>Cílem poskytování podpory je snížit energetickou náročnost na jednotku produkce při zachování dlouhodobé stability a dostupnosti energie pro podnikatelskou sféru, zmenšit závislost tuzemské ekonomiky na dovozu energetických komodit, snížit spotřebu fosilních primárních energetických zdrojů a podporovat MSP a také velké podniky v oblasti využití obnovitelných zdrojů energie. Záměrem je využít i významný potenciál energetických úspor a využití obnovitelných zdrojů energie.</w:t>
      </w:r>
    </w:p>
    <w:p w:rsidR="009D2CAE" w:rsidRPr="009D2CAE" w:rsidRDefault="009D2CAE">
      <w:pPr>
        <w:rPr>
          <w:b/>
          <w:lang w:eastAsia="en-US"/>
        </w:rPr>
      </w:pPr>
    </w:p>
    <w:p w:rsidR="009D2CAE" w:rsidRPr="007C0CDA" w:rsidRDefault="009D2CAE" w:rsidP="002433DA">
      <w:pPr>
        <w:pStyle w:val="Nadpis3"/>
        <w:rPr>
          <w:lang w:eastAsia="en-US"/>
        </w:rPr>
      </w:pPr>
      <w:bookmarkStart w:id="539" w:name="_Toc416447866"/>
      <w:r w:rsidRPr="007C0CDA">
        <w:rPr>
          <w:b w:val="0"/>
          <w:bCs w:val="0"/>
          <w:lang w:eastAsia="en-US"/>
        </w:rPr>
        <w:t>Tržní analýza</w:t>
      </w:r>
      <w:bookmarkStart w:id="540" w:name="_Toc416383869"/>
      <w:bookmarkStart w:id="541" w:name="_Toc416447867"/>
      <w:bookmarkStart w:id="542" w:name="_Toc416383870"/>
      <w:bookmarkStart w:id="543" w:name="_Toc416447868"/>
      <w:bookmarkStart w:id="544" w:name="_Toc416447869"/>
      <w:bookmarkEnd w:id="539"/>
      <w:bookmarkEnd w:id="540"/>
      <w:bookmarkEnd w:id="541"/>
      <w:bookmarkEnd w:id="542"/>
      <w:bookmarkEnd w:id="543"/>
      <w:bookmarkEnd w:id="544"/>
    </w:p>
    <w:p w:rsidR="009D2CAE" w:rsidRPr="007C0CDA" w:rsidRDefault="009D2CAE" w:rsidP="00DF6E0B">
      <w:pPr>
        <w:rPr>
          <w:lang w:eastAsia="en-US"/>
        </w:rPr>
      </w:pPr>
      <w:r w:rsidRPr="007C0CDA">
        <w:rPr>
          <w:lang w:eastAsia="en-US"/>
        </w:rPr>
        <w:t>Kombinovaná výroba elektřiny a tepla (KVET) je nejúčinnější cestou přeměny energie paliva na využitelnou energii, díky které se šetří palivo i životní prostředí pomocí recyklace tepla z výroby elektřiny. Pokrývá téměř 2/3 dodávek tepla pro soustavy zásobování teplem v ČR a při její výrobě lze využít téměř všechna dostupná paliva. Zatímco při výrobě elektřiny v kondenzační elektrárně je větší část energie paliva (až 2/3)</w:t>
      </w:r>
      <w:r w:rsidRPr="007C0CDA">
        <w:rPr>
          <w:rStyle w:val="Znakapoznpodarou"/>
        </w:rPr>
        <w:footnoteReference w:id="24"/>
      </w:r>
      <w:r w:rsidRPr="007C0CDA">
        <w:rPr>
          <w:lang w:eastAsia="en-US"/>
        </w:rPr>
        <w:t xml:space="preserve"> z fyzikální podstaty odvedena ve formě nízkopotenciálního tepla (pára) z chladicích věží do okolí, v případě kombinované výroby v teplárně je toto teplo recyklováno a dále využito v soustavách zásobování teplem pro vytápění budov a přípravu teplé vody nebo v technologických procesech průmyslových podniků. Tím se ušetří až 1/3 primárního paliva. Proto je tento nejefektivnější a nejekologičtější způsob výroby elektřiny a tepla v EU podporován – a v současnosti v ČR stále čerpá provozní podporu na prodej elektřiny z kombinované výroby.</w:t>
      </w:r>
    </w:p>
    <w:p w:rsidR="009D2CAE" w:rsidRPr="007C0CDA" w:rsidRDefault="009D2CAE" w:rsidP="00D2362B">
      <w:pPr>
        <w:jc w:val="left"/>
        <w:rPr>
          <w:lang w:eastAsia="en-US"/>
        </w:rPr>
      </w:pPr>
    </w:p>
    <w:p w:rsidR="009D2CAE" w:rsidRPr="007C0CDA" w:rsidRDefault="009D2CAE" w:rsidP="009F71DE">
      <w:pPr>
        <w:rPr>
          <w:lang w:eastAsia="en-US"/>
        </w:rPr>
      </w:pPr>
      <w:r w:rsidRPr="007C0CDA">
        <w:rPr>
          <w:lang w:eastAsia="en-US"/>
        </w:rPr>
        <w:t xml:space="preserve">Přibližně 70 % podíl paliv na KVET jsou tuhá paliva (hnědé a černé uhlí). </w:t>
      </w:r>
      <w:r w:rsidRPr="007C0CDA">
        <w:rPr>
          <w:b/>
          <w:lang w:eastAsia="en-US"/>
        </w:rPr>
        <w:t>Závodní výrobci měli v roce 2010 podíl na výrobě elektřiny a tepla z kogenerace kolem 35 %, zbytek připadal na veřejné subjekty produkující elektřinu a teplo</w:t>
      </w:r>
      <w:r w:rsidRPr="007C0CDA">
        <w:rPr>
          <w:rStyle w:val="Znakapoznpodarou"/>
        </w:rPr>
        <w:footnoteReference w:id="25"/>
      </w:r>
      <w:r w:rsidRPr="007C0CDA">
        <w:rPr>
          <w:lang w:eastAsia="en-US"/>
        </w:rPr>
        <w:t>.  Státní energetický plán ČR do roku 2030</w:t>
      </w:r>
      <w:r w:rsidRPr="007C0CDA">
        <w:rPr>
          <w:rStyle w:val="Znakapoznpodarou"/>
        </w:rPr>
        <w:footnoteReference w:id="26"/>
      </w:r>
      <w:r w:rsidRPr="007C0CDA">
        <w:rPr>
          <w:lang w:eastAsia="en-US"/>
        </w:rPr>
        <w:t xml:space="preserve"> má za úkol snižovat skleníková plyny a zvyšovat energetickou účinnost. </w:t>
      </w:r>
      <w:r w:rsidRPr="002433DA">
        <w:rPr>
          <w:b/>
          <w:lang w:eastAsia="en-US"/>
        </w:rPr>
        <w:t>V roce 2012 bylo 13 % z celkové hrubé výroby elektřiny z</w:t>
      </w:r>
      <w:r w:rsidRPr="007C0CDA">
        <w:rPr>
          <w:b/>
          <w:lang w:eastAsia="en-US"/>
        </w:rPr>
        <w:t> </w:t>
      </w:r>
      <w:r w:rsidRPr="002433DA">
        <w:rPr>
          <w:b/>
          <w:lang w:eastAsia="en-US"/>
        </w:rPr>
        <w:t>kogenerace. Cíl do roku 2030 je zvýšit tento podíl o 30 % a pokrýt více než 25 % koncové spotřeby elektřiny</w:t>
      </w:r>
      <w:r w:rsidRPr="007C0CDA">
        <w:rPr>
          <w:lang w:eastAsia="en-US"/>
        </w:rPr>
        <w:t xml:space="preserve"> a stát se vedle jaderné energie a ostatních obnovitelných zdrojů důležitým pilířem dodávek elektrické energie v České republice.</w:t>
      </w:r>
    </w:p>
    <w:p w:rsidR="009D2CAE" w:rsidRPr="007C0CDA" w:rsidRDefault="009D2CAE" w:rsidP="009F71DE">
      <w:pPr>
        <w:rPr>
          <w:lang w:eastAsia="en-US"/>
        </w:rPr>
      </w:pPr>
    </w:p>
    <w:p w:rsidR="009D2CAE" w:rsidRPr="007C0CDA" w:rsidRDefault="009D2CAE">
      <w:pPr>
        <w:rPr>
          <w:lang w:eastAsia="en-US"/>
        </w:rPr>
      </w:pPr>
      <w:r w:rsidRPr="007C0CDA">
        <w:rPr>
          <w:b/>
          <w:lang w:eastAsia="en-US"/>
        </w:rPr>
        <w:t>V ČR existuje stále velký potenciál pro zvýšení a zefektivnění výroby tepla formou KVET. Výroba elektřiny v ČR je spojena s vysokými ztrátami kolem 500 PJ energie ročně.</w:t>
      </w:r>
      <w:r w:rsidRPr="007C0CDA">
        <w:rPr>
          <w:lang w:eastAsia="en-US"/>
        </w:rPr>
        <w:t xml:space="preserve"> Rozvodná tepelná zařízení, která umožňují existenci a rozvoj kombinované výroby elektřiny a tepla již v některých případech nevyhovují současným technickým požadavkům a docházím ke zvýšeným ztrátám energie. V některých případech bude nutno počítat s řízeným přechodem některých velkých soustav na větší množství menších systémů využívajících menší kogenerační jednotky.</w:t>
      </w:r>
    </w:p>
    <w:p w:rsidR="009D2CAE" w:rsidRPr="007C0CDA" w:rsidRDefault="009D2CAE" w:rsidP="00DF6E0B">
      <w:pPr>
        <w:rPr>
          <w:lang w:eastAsia="en-US"/>
        </w:rPr>
      </w:pPr>
    </w:p>
    <w:p w:rsidR="009D2CAE" w:rsidRPr="007C0CDA" w:rsidRDefault="009D2CAE" w:rsidP="00DF6E0B">
      <w:pPr>
        <w:rPr>
          <w:lang w:eastAsia="en-US"/>
        </w:rPr>
      </w:pPr>
      <w:r w:rsidRPr="007C0CDA">
        <w:rPr>
          <w:lang w:eastAsia="en-US"/>
        </w:rPr>
        <w:t>Zásadním problémem pro české centrální soustavy zásobování teplem, jichž se podpora SC 3.5 týká, je zastarávání.</w:t>
      </w:r>
      <w:r w:rsidRPr="007C0CDA">
        <w:rPr>
          <w:b/>
          <w:lang w:eastAsia="en-US"/>
        </w:rPr>
        <w:t>Velká část potrubí byla budovaná v 70. a 80. letech a čelí konci své životnosti a souvisejícím tepelným ztrátám.</w:t>
      </w:r>
      <w:r w:rsidRPr="007C0CDA">
        <w:rPr>
          <w:lang w:eastAsia="en-US"/>
        </w:rPr>
        <w:t xml:space="preserve">Životnost potrubí je 30 – 40 let po rekonstrukci, během které se mění z parovodů na efektivnější horkovodní či teplovodní. </w:t>
      </w:r>
    </w:p>
    <w:p w:rsidR="009D2CAE" w:rsidRPr="007C0CDA" w:rsidRDefault="009D2CAE" w:rsidP="00087DE7">
      <w:pPr>
        <w:jc w:val="left"/>
        <w:rPr>
          <w:lang w:eastAsia="en-US"/>
        </w:rPr>
      </w:pPr>
    </w:p>
    <w:p w:rsidR="009D2CAE" w:rsidRPr="007C0CDA" w:rsidRDefault="009D2CAE" w:rsidP="009638E3">
      <w:pPr>
        <w:rPr>
          <w:lang w:eastAsia="en-US"/>
        </w:rPr>
      </w:pPr>
      <w:r w:rsidRPr="007C0CDA">
        <w:rPr>
          <w:b/>
          <w:lang w:eastAsia="en-US"/>
        </w:rPr>
        <w:t>Investiční aktivity teplárenských společností se v posledních letech zvýšily, i vlivem veřejné podpory. V roce 2014 se vyměnilo cca 19 km potrubí za více než půl miliardy Kč v deseti městech</w:t>
      </w:r>
      <w:r w:rsidRPr="007C0CDA">
        <w:rPr>
          <w:rStyle w:val="Znakapoznpodarou"/>
          <w:b/>
          <w:szCs w:val="48"/>
        </w:rPr>
        <w:footnoteReference w:id="27"/>
      </w:r>
      <w:r w:rsidRPr="007C0CDA">
        <w:rPr>
          <w:lang w:eastAsia="en-US"/>
        </w:rPr>
        <w:t xml:space="preserve">.  V </w:t>
      </w:r>
      <w:r w:rsidRPr="007C0CDA">
        <w:rPr>
          <w:b/>
          <w:lang w:eastAsia="en-US"/>
        </w:rPr>
        <w:t>ČR nicméně zůstává stále mnoho set kilometrů, jejichž rekonstrukce je z důvodu konce životnosti a vysokých úniků tepla potřebná. Z asi 1500 km starých parovodních rozvodů</w:t>
      </w:r>
      <w:r w:rsidRPr="007C0CDA">
        <w:rPr>
          <w:lang w:eastAsia="en-US"/>
        </w:rPr>
        <w:t xml:space="preserve"> může být dle Teplárenského sdružení ČR (TSČR)dvě třetiny zrekonstruováno na efektivnější horkou vodu, což by si </w:t>
      </w:r>
      <w:r w:rsidRPr="007C0CDA">
        <w:rPr>
          <w:b/>
          <w:lang w:eastAsia="en-US"/>
        </w:rPr>
        <w:lastRenderedPageBreak/>
        <w:t>vyžádalo podle odhadů TSČR náklady ve výši 27 mld. Kč</w:t>
      </w:r>
      <w:r w:rsidRPr="007C0CDA">
        <w:rPr>
          <w:rStyle w:val="Znakapoznpodarou"/>
          <w:b/>
          <w:szCs w:val="48"/>
        </w:rPr>
        <w:footnoteReference w:id="28"/>
      </w:r>
      <w:r w:rsidRPr="007C0CDA">
        <w:rPr>
          <w:lang w:eastAsia="en-US"/>
        </w:rPr>
        <w:t>. Zvýšené nároky na výstavbu a rekonstrukci parovodů přinesou jistě i investice do kogenerace.</w:t>
      </w:r>
    </w:p>
    <w:p w:rsidR="009D2CAE" w:rsidRPr="007C0CDA" w:rsidRDefault="009D2CAE" w:rsidP="009638E3">
      <w:pPr>
        <w:rPr>
          <w:b/>
          <w:lang w:eastAsia="en-US"/>
        </w:rPr>
      </w:pPr>
    </w:p>
    <w:p w:rsidR="009D2CAE" w:rsidRPr="007C0CDA" w:rsidRDefault="009D2CAE" w:rsidP="009638E3">
      <w:r w:rsidRPr="002433DA">
        <w:rPr>
          <w:b/>
          <w:lang w:eastAsia="en-US"/>
        </w:rPr>
        <w:t>V případě přechodu z parních sítí na horkovodní se běžně snižují ztráty tepla na polovinu, v některých případech i na méně než třetinu stávajícího stavu.</w:t>
      </w:r>
      <w:r w:rsidRPr="007C0CDA">
        <w:rPr>
          <w:b/>
          <w:lang w:eastAsia="en-US"/>
        </w:rPr>
        <w:t xml:space="preserve"> </w:t>
      </w:r>
      <w:r w:rsidRPr="007C0CDA">
        <w:rPr>
          <w:lang w:eastAsia="en-US"/>
        </w:rPr>
        <w:t xml:space="preserve">Nové předizolované potrubí má životnost minimálně 30 až 40 let a po jeho zprovoznění může výroba tepla klesnout o celou osminu – adekvátně se tedy může snížit i spotřeba paliva. </w:t>
      </w:r>
      <w:r w:rsidRPr="007C0CDA">
        <w:t>Při modernizaci všech parních rozvodů určených k rekonstrukci by dle Teplárenského sdružení ČR došlo k úspoře primární energie ve výši7,33 PJ/rok. Průměrná životnost opatření je 30 let, tzn. za dobu životnosti se jedná o úsporu219 PJ primární energie.</w:t>
      </w:r>
    </w:p>
    <w:p w:rsidR="009D2CAE" w:rsidRPr="007C0CDA" w:rsidRDefault="009D2CAE" w:rsidP="009638E3"/>
    <w:p w:rsidR="009D2CAE" w:rsidRPr="007C0CDA" w:rsidRDefault="009D2CAE" w:rsidP="009638E3">
      <w:r w:rsidRPr="007C0CDA">
        <w:t>Producenti tepla jsou v současné době nuceni také k významným investicím do ekologizace provozu kvůli dostání zpřísněným evropským normám v oblasti emisí. Do konce roku 2016 mají podle TSČR teplárny investovat na tyto účely až 18 mld. Kč, které se částečně projeví ve zvýšené ceně pro odběratele</w:t>
      </w:r>
      <w:r w:rsidRPr="007C0CDA">
        <w:rPr>
          <w:rStyle w:val="Znakapoznpodarou"/>
        </w:rPr>
        <w:footnoteReference w:id="29"/>
      </w:r>
      <w:r w:rsidRPr="007C0CDA">
        <w:t>.</w:t>
      </w:r>
    </w:p>
    <w:p w:rsidR="009D2CAE" w:rsidRPr="007C0CDA" w:rsidRDefault="009D2CAE" w:rsidP="009638E3"/>
    <w:p w:rsidR="009D2CAE" w:rsidRPr="007C0CDA" w:rsidRDefault="009D2CAE" w:rsidP="009638E3">
      <w:r w:rsidRPr="007C0CDA">
        <w:rPr>
          <w:lang w:eastAsia="en-US"/>
        </w:rPr>
        <w:t xml:space="preserve">Podniky v této oblasti jsou jednak </w:t>
      </w:r>
      <w:r w:rsidRPr="007C0CDA">
        <w:rPr>
          <w:b/>
          <w:lang w:eastAsia="en-US"/>
        </w:rPr>
        <w:t>velké společnosti zaměřené na KVET a prodej tepla (EPH, Dalkia)</w:t>
      </w:r>
      <w:r w:rsidRPr="007C0CDA">
        <w:rPr>
          <w:lang w:eastAsia="en-US"/>
        </w:rPr>
        <w:t xml:space="preserve">, zároveň ale i </w:t>
      </w:r>
      <w:r w:rsidRPr="007C0CDA">
        <w:rPr>
          <w:b/>
          <w:lang w:eastAsia="en-US"/>
        </w:rPr>
        <w:t>někteří menší lokální producenti, často v podobě společností ve vlastnictví obce</w:t>
      </w:r>
      <w:r w:rsidRPr="007C0CDA">
        <w:rPr>
          <w:lang w:eastAsia="en-US"/>
        </w:rPr>
        <w:t>, které mnohdy nemají dostatek prostředků na modernizaci a využívají pozice lokálních kvazi-monopolů.</w:t>
      </w:r>
    </w:p>
    <w:p w:rsidR="009D2CAE" w:rsidRPr="009D2CAE" w:rsidRDefault="009D2CAE">
      <w:pPr>
        <w:rPr>
          <w:b/>
          <w:lang w:eastAsia="en-US"/>
        </w:rPr>
      </w:pPr>
    </w:p>
    <w:p w:rsidR="009D2CAE" w:rsidRPr="007C0CDA" w:rsidRDefault="009D2CAE" w:rsidP="00FE5BCE">
      <w:pPr>
        <w:pStyle w:val="Neslovannadpisy"/>
        <w:rPr>
          <w:lang w:eastAsia="en-US"/>
        </w:rPr>
      </w:pPr>
      <w:r w:rsidRPr="007C0CDA">
        <w:rPr>
          <w:lang w:eastAsia="en-US"/>
        </w:rPr>
        <w:t>Zdroje financování</w:t>
      </w:r>
    </w:p>
    <w:p w:rsidR="009D2CAE" w:rsidRPr="007C0CDA" w:rsidRDefault="009D2CAE" w:rsidP="00085893">
      <w:pPr>
        <w:rPr>
          <w:lang w:eastAsia="en-US"/>
        </w:rPr>
      </w:pPr>
      <w:r w:rsidRPr="002433DA">
        <w:rPr>
          <w:b/>
          <w:lang w:eastAsia="en-US"/>
        </w:rPr>
        <w:t>Oblast 3.5 vykazuje z</w:t>
      </w:r>
      <w:r w:rsidRPr="007C0CDA">
        <w:rPr>
          <w:b/>
          <w:lang w:eastAsia="en-US"/>
        </w:rPr>
        <w:t> </w:t>
      </w:r>
      <w:r w:rsidRPr="002433DA">
        <w:rPr>
          <w:b/>
          <w:lang w:eastAsia="en-US"/>
        </w:rPr>
        <w:t>hlediska ziskovosti a stability regulovaného odvětví dobré parametry pro úvěrování bankami</w:t>
      </w:r>
      <w:r w:rsidRPr="007C0CDA">
        <w:rPr>
          <w:lang w:eastAsia="en-US"/>
        </w:rPr>
        <w:t>.Bankovní úvěry jsou také pro většinu tepláren zásadním zdrojem, jelikož nemají pro nákladné investice dostatek vlastních zdrojů. Bariérou v rámci tepelných rozvodů je nicméně problematičnost poskytování potrubí jako kolaterálu – což v tomto ohledu omezuje též projektového financování.</w:t>
      </w:r>
    </w:p>
    <w:p w:rsidR="009D2CAE" w:rsidRPr="007C0CDA" w:rsidRDefault="009D2CAE" w:rsidP="00085893">
      <w:pPr>
        <w:rPr>
          <w:lang w:eastAsia="en-US"/>
        </w:rPr>
      </w:pPr>
    </w:p>
    <w:p w:rsidR="009D2CAE" w:rsidRPr="007C0CDA" w:rsidRDefault="009D2CAE" w:rsidP="00085893">
      <w:pPr>
        <w:rPr>
          <w:lang w:eastAsia="en-US"/>
        </w:rPr>
      </w:pPr>
      <w:r w:rsidRPr="007C0CDA">
        <w:rPr>
          <w:lang w:eastAsia="en-US"/>
        </w:rPr>
        <w:t>Zvýšená investiční aktivita v minulých letech byla dána z velké části dostupností veřejných dotačních zdrojů, v podobě programů v OP PI a OP ŽP.</w:t>
      </w:r>
    </w:p>
    <w:p w:rsidR="009D2CAE" w:rsidRPr="007C0CDA" w:rsidRDefault="009D2CAE" w:rsidP="00085893">
      <w:pPr>
        <w:rPr>
          <w:lang w:eastAsia="en-US"/>
        </w:rPr>
      </w:pPr>
    </w:p>
    <w:p w:rsidR="009D2CAE" w:rsidRPr="007C0CDA" w:rsidRDefault="009D2CAE" w:rsidP="00CF29B1">
      <w:pPr>
        <w:rPr>
          <w:b/>
          <w:lang w:eastAsia="en-US"/>
        </w:rPr>
      </w:pPr>
      <w:r w:rsidRPr="007C0CDA">
        <w:rPr>
          <w:b/>
          <w:lang w:eastAsia="en-US"/>
        </w:rPr>
        <w:t>OPPI (2007-2013)–Program Eko-energie:</w:t>
      </w:r>
    </w:p>
    <w:p w:rsidR="009D2CAE" w:rsidRPr="007C0CDA" w:rsidRDefault="009D2CAE" w:rsidP="00CF29B1">
      <w:pPr>
        <w:rPr>
          <w:lang w:eastAsia="en-US"/>
        </w:rPr>
      </w:pPr>
    </w:p>
    <w:p w:rsidR="009D2CAE" w:rsidRPr="007C0CDA" w:rsidRDefault="009D2CAE" w:rsidP="00CF29B1">
      <w:r w:rsidRPr="007C0CDA">
        <w:t xml:space="preserve">Dle materiálu „Příprava podkladů pro akční plán energetické efektivnosti“ </w:t>
      </w:r>
      <w:r w:rsidRPr="007C0CDA">
        <w:rPr>
          <w:b/>
        </w:rPr>
        <w:t>požádalo o financování úsporných opatření snižování ztrát v rozvodech elektřiny a tepla až 31 subjektů v 3. výzvách v celkové výši 1,41 mld. Kč</w:t>
      </w:r>
      <w:r w:rsidRPr="007C0CDA">
        <w:t xml:space="preserve"> (viz tabulka č. 16).</w:t>
      </w:r>
    </w:p>
    <w:p w:rsidR="009D2CAE" w:rsidRPr="007C0CDA" w:rsidRDefault="009D2CAE" w:rsidP="00CF29B1"/>
    <w:tbl>
      <w:tblPr>
        <w:tblW w:w="7580" w:type="dxa"/>
        <w:tblBorders>
          <w:bottom w:val="single" w:sz="4" w:space="0" w:color="00A1DE"/>
          <w:insideH w:val="single" w:sz="4" w:space="0" w:color="00A1DE"/>
        </w:tblBorders>
        <w:tblCellMar>
          <w:top w:w="28" w:type="dxa"/>
          <w:left w:w="28" w:type="dxa"/>
          <w:bottom w:w="28" w:type="dxa"/>
          <w:right w:w="28" w:type="dxa"/>
        </w:tblCellMar>
        <w:tblLook w:val="00A0" w:firstRow="1" w:lastRow="0" w:firstColumn="1" w:lastColumn="0" w:noHBand="0" w:noVBand="0"/>
      </w:tblPr>
      <w:tblGrid>
        <w:gridCol w:w="2763"/>
        <w:gridCol w:w="2370"/>
        <w:gridCol w:w="2447"/>
      </w:tblGrid>
      <w:tr w:rsidR="009D2CAE" w:rsidRPr="007C0CDA" w:rsidTr="007B669C">
        <w:trPr>
          <w:trHeight w:val="20"/>
        </w:trPr>
        <w:tc>
          <w:tcPr>
            <w:tcW w:w="2763" w:type="dxa"/>
            <w:tcBorders>
              <w:top w:val="nil"/>
              <w:left w:val="nil"/>
              <w:right w:val="nil"/>
            </w:tcBorders>
            <w:shd w:val="clear" w:color="auto" w:fill="00A1DE"/>
            <w:vAlign w:val="center"/>
          </w:tcPr>
          <w:p w:rsidR="009D2CAE" w:rsidRPr="007C0CDA" w:rsidRDefault="009D2CAE" w:rsidP="007B669C">
            <w:pPr>
              <w:jc w:val="center"/>
              <w:rPr>
                <w:rFonts w:ascii="Arial" w:hAnsi="Arial" w:cs="Arial"/>
                <w:b/>
                <w:color w:val="000000"/>
                <w:sz w:val="18"/>
                <w:szCs w:val="18"/>
              </w:rPr>
            </w:pPr>
            <w:r w:rsidRPr="007C0CDA">
              <w:rPr>
                <w:b/>
                <w:color w:val="000000"/>
                <w:sz w:val="18"/>
                <w:szCs w:val="18"/>
              </w:rPr>
              <w:t>Modernizace, rekonstrukce a</w:t>
            </w:r>
            <w:r w:rsidRPr="007C0CDA">
              <w:rPr>
                <w:b/>
                <w:color w:val="000000"/>
                <w:sz w:val="18"/>
                <w:szCs w:val="18"/>
              </w:rPr>
              <w:br/>
              <w:t>snižování ztrát v rozvodech</w:t>
            </w:r>
            <w:r w:rsidRPr="007C0CDA">
              <w:rPr>
                <w:b/>
                <w:color w:val="000000"/>
                <w:sz w:val="18"/>
                <w:szCs w:val="18"/>
              </w:rPr>
              <w:br/>
              <w:t>elektřiny a tepla</w:t>
            </w:r>
          </w:p>
        </w:tc>
        <w:tc>
          <w:tcPr>
            <w:tcW w:w="2370" w:type="dxa"/>
            <w:tcBorders>
              <w:top w:val="nil"/>
              <w:left w:val="nil"/>
              <w:right w:val="nil"/>
            </w:tcBorders>
            <w:shd w:val="clear" w:color="auto" w:fill="00A1DE"/>
            <w:vAlign w:val="center"/>
          </w:tcPr>
          <w:p w:rsidR="009D2CAE" w:rsidRPr="007C0CDA" w:rsidRDefault="009D2CAE" w:rsidP="007B669C">
            <w:pPr>
              <w:jc w:val="center"/>
              <w:rPr>
                <w:rFonts w:ascii="Arial" w:hAnsi="Arial" w:cs="Arial"/>
                <w:b/>
                <w:color w:val="000000"/>
                <w:sz w:val="18"/>
                <w:szCs w:val="18"/>
              </w:rPr>
            </w:pPr>
            <w:r w:rsidRPr="007C0CDA">
              <w:rPr>
                <w:b/>
                <w:color w:val="000000"/>
                <w:sz w:val="18"/>
                <w:szCs w:val="18"/>
              </w:rPr>
              <w:t>Počet projektů s tímto převažujícím úsporným opatřením</w:t>
            </w:r>
          </w:p>
        </w:tc>
        <w:tc>
          <w:tcPr>
            <w:tcW w:w="2447" w:type="dxa"/>
            <w:tcBorders>
              <w:top w:val="nil"/>
              <w:left w:val="nil"/>
              <w:right w:val="nil"/>
            </w:tcBorders>
            <w:shd w:val="clear" w:color="auto" w:fill="00A1DE"/>
            <w:vAlign w:val="center"/>
          </w:tcPr>
          <w:p w:rsidR="009D2CAE" w:rsidRPr="007C0CDA" w:rsidRDefault="009D2CAE" w:rsidP="007B669C">
            <w:pPr>
              <w:jc w:val="center"/>
              <w:rPr>
                <w:rFonts w:ascii="Arial" w:hAnsi="Arial" w:cs="Arial"/>
                <w:b/>
                <w:color w:val="000000"/>
                <w:sz w:val="18"/>
                <w:szCs w:val="18"/>
              </w:rPr>
            </w:pPr>
            <w:r w:rsidRPr="007C0CDA">
              <w:rPr>
                <w:b/>
                <w:color w:val="000000"/>
                <w:sz w:val="18"/>
                <w:szCs w:val="18"/>
              </w:rPr>
              <w:t>Celkové způsobilé výdaje (v tis. Kč)</w:t>
            </w:r>
          </w:p>
        </w:tc>
      </w:tr>
      <w:tr w:rsidR="009D2CAE" w:rsidRPr="007C0CDA" w:rsidTr="007B669C">
        <w:trPr>
          <w:trHeight w:val="20"/>
        </w:trPr>
        <w:tc>
          <w:tcPr>
            <w:tcW w:w="2763" w:type="dxa"/>
            <w:tcBorders>
              <w:left w:val="nil"/>
              <w:right w:val="nil"/>
            </w:tcBorders>
            <w:shd w:val="clear" w:color="auto" w:fill="FFFFFF"/>
            <w:noWrap/>
          </w:tcPr>
          <w:p w:rsidR="009D2CAE" w:rsidRPr="007C0CDA" w:rsidRDefault="009D2CAE" w:rsidP="007B669C">
            <w:pPr>
              <w:jc w:val="left"/>
              <w:rPr>
                <w:rFonts w:ascii="Arial" w:hAnsi="Arial" w:cs="Arial"/>
                <w:color w:val="000000"/>
                <w:sz w:val="18"/>
                <w:szCs w:val="18"/>
              </w:rPr>
            </w:pPr>
            <w:r w:rsidRPr="007C0CDA">
              <w:rPr>
                <w:color w:val="000000"/>
                <w:sz w:val="18"/>
                <w:szCs w:val="18"/>
              </w:rPr>
              <w:t>1. výzva</w:t>
            </w:r>
          </w:p>
        </w:tc>
        <w:tc>
          <w:tcPr>
            <w:tcW w:w="2370" w:type="dxa"/>
            <w:tcBorders>
              <w:left w:val="nil"/>
              <w:right w:val="nil"/>
            </w:tcBorders>
            <w:shd w:val="clear" w:color="auto" w:fill="FFFFFF"/>
            <w:noWrap/>
          </w:tcPr>
          <w:p w:rsidR="009D2CAE" w:rsidRPr="007C0CDA" w:rsidRDefault="009D2CAE" w:rsidP="007B669C">
            <w:pPr>
              <w:jc w:val="right"/>
              <w:rPr>
                <w:rFonts w:ascii="Arial" w:hAnsi="Arial" w:cs="Arial"/>
                <w:color w:val="000000"/>
                <w:sz w:val="18"/>
                <w:szCs w:val="18"/>
              </w:rPr>
            </w:pPr>
            <w:r w:rsidRPr="007C0CDA">
              <w:rPr>
                <w:color w:val="000000"/>
                <w:sz w:val="18"/>
                <w:szCs w:val="18"/>
              </w:rPr>
              <w:t>1</w:t>
            </w:r>
          </w:p>
        </w:tc>
        <w:tc>
          <w:tcPr>
            <w:tcW w:w="2447" w:type="dxa"/>
            <w:tcBorders>
              <w:left w:val="nil"/>
              <w:right w:val="nil"/>
            </w:tcBorders>
            <w:shd w:val="clear" w:color="auto" w:fill="FFFFFF"/>
            <w:noWrap/>
          </w:tcPr>
          <w:p w:rsidR="009D2CAE" w:rsidRPr="007C0CDA" w:rsidRDefault="009D2CAE" w:rsidP="007B669C">
            <w:pPr>
              <w:jc w:val="right"/>
              <w:rPr>
                <w:rFonts w:ascii="Arial" w:hAnsi="Arial" w:cs="Arial"/>
                <w:color w:val="000000"/>
                <w:sz w:val="18"/>
                <w:szCs w:val="18"/>
              </w:rPr>
            </w:pPr>
            <w:r w:rsidRPr="007C0CDA">
              <w:rPr>
                <w:color w:val="000000"/>
                <w:sz w:val="18"/>
                <w:szCs w:val="18"/>
              </w:rPr>
              <w:t>4 000</w:t>
            </w:r>
          </w:p>
        </w:tc>
      </w:tr>
      <w:tr w:rsidR="009D2CAE" w:rsidRPr="007C0CDA" w:rsidTr="007B669C">
        <w:trPr>
          <w:trHeight w:val="20"/>
        </w:trPr>
        <w:tc>
          <w:tcPr>
            <w:tcW w:w="2763" w:type="dxa"/>
            <w:tcBorders>
              <w:left w:val="nil"/>
              <w:right w:val="nil"/>
            </w:tcBorders>
            <w:shd w:val="clear" w:color="auto" w:fill="FFFFFF"/>
            <w:noWrap/>
          </w:tcPr>
          <w:p w:rsidR="009D2CAE" w:rsidRPr="007C0CDA" w:rsidRDefault="009D2CAE" w:rsidP="007B669C">
            <w:pPr>
              <w:jc w:val="left"/>
              <w:rPr>
                <w:rFonts w:ascii="Arial" w:hAnsi="Arial" w:cs="Arial"/>
                <w:color w:val="000000"/>
                <w:sz w:val="18"/>
                <w:szCs w:val="18"/>
              </w:rPr>
            </w:pPr>
            <w:r w:rsidRPr="007C0CDA">
              <w:rPr>
                <w:color w:val="000000"/>
                <w:sz w:val="18"/>
                <w:szCs w:val="18"/>
              </w:rPr>
              <w:t>2. výzva (konečná spotřeba)</w:t>
            </w:r>
          </w:p>
        </w:tc>
        <w:tc>
          <w:tcPr>
            <w:tcW w:w="2370" w:type="dxa"/>
            <w:tcBorders>
              <w:left w:val="nil"/>
              <w:right w:val="nil"/>
            </w:tcBorders>
            <w:shd w:val="clear" w:color="auto" w:fill="FFFFFF"/>
            <w:noWrap/>
          </w:tcPr>
          <w:p w:rsidR="009D2CAE" w:rsidRPr="007C0CDA" w:rsidRDefault="009D2CAE" w:rsidP="007B669C">
            <w:pPr>
              <w:jc w:val="right"/>
              <w:rPr>
                <w:rFonts w:ascii="Arial" w:hAnsi="Arial" w:cs="Arial"/>
                <w:color w:val="000000"/>
                <w:sz w:val="18"/>
                <w:szCs w:val="18"/>
              </w:rPr>
            </w:pPr>
            <w:r w:rsidRPr="007C0CDA">
              <w:rPr>
                <w:color w:val="000000"/>
                <w:sz w:val="18"/>
                <w:szCs w:val="18"/>
              </w:rPr>
              <w:t>12</w:t>
            </w:r>
          </w:p>
        </w:tc>
        <w:tc>
          <w:tcPr>
            <w:tcW w:w="2447" w:type="dxa"/>
            <w:tcBorders>
              <w:left w:val="nil"/>
              <w:right w:val="nil"/>
            </w:tcBorders>
            <w:shd w:val="clear" w:color="auto" w:fill="FFFFFF"/>
            <w:noWrap/>
          </w:tcPr>
          <w:p w:rsidR="009D2CAE" w:rsidRPr="007C0CDA" w:rsidRDefault="009D2CAE" w:rsidP="007B669C">
            <w:pPr>
              <w:jc w:val="right"/>
              <w:rPr>
                <w:rFonts w:ascii="Arial" w:hAnsi="Arial" w:cs="Arial"/>
                <w:color w:val="000000"/>
                <w:sz w:val="18"/>
                <w:szCs w:val="18"/>
              </w:rPr>
            </w:pPr>
            <w:r w:rsidRPr="007C0CDA">
              <w:rPr>
                <w:color w:val="000000"/>
                <w:sz w:val="18"/>
                <w:szCs w:val="18"/>
              </w:rPr>
              <w:t>434 964</w:t>
            </w:r>
          </w:p>
        </w:tc>
      </w:tr>
      <w:tr w:rsidR="009D2CAE" w:rsidRPr="007C0CDA" w:rsidTr="007B669C">
        <w:trPr>
          <w:trHeight w:val="20"/>
        </w:trPr>
        <w:tc>
          <w:tcPr>
            <w:tcW w:w="2763" w:type="dxa"/>
            <w:tcBorders>
              <w:left w:val="nil"/>
              <w:right w:val="nil"/>
            </w:tcBorders>
            <w:shd w:val="clear" w:color="auto" w:fill="FFFFFF"/>
            <w:noWrap/>
          </w:tcPr>
          <w:p w:rsidR="009D2CAE" w:rsidRPr="007C0CDA" w:rsidRDefault="009D2CAE" w:rsidP="007B669C">
            <w:pPr>
              <w:jc w:val="left"/>
              <w:rPr>
                <w:rFonts w:ascii="Arial" w:hAnsi="Arial" w:cs="Arial"/>
                <w:color w:val="000000"/>
                <w:sz w:val="18"/>
                <w:szCs w:val="18"/>
              </w:rPr>
            </w:pPr>
            <w:r w:rsidRPr="007C0CDA">
              <w:rPr>
                <w:color w:val="000000"/>
                <w:sz w:val="18"/>
                <w:szCs w:val="18"/>
              </w:rPr>
              <w:t>2. výzva (primární spotřeba)</w:t>
            </w:r>
          </w:p>
        </w:tc>
        <w:tc>
          <w:tcPr>
            <w:tcW w:w="2370" w:type="dxa"/>
            <w:tcBorders>
              <w:left w:val="nil"/>
              <w:right w:val="nil"/>
            </w:tcBorders>
            <w:shd w:val="clear" w:color="auto" w:fill="FFFFFF"/>
            <w:noWrap/>
          </w:tcPr>
          <w:p w:rsidR="009D2CAE" w:rsidRPr="007C0CDA" w:rsidRDefault="009D2CAE" w:rsidP="007B669C">
            <w:pPr>
              <w:jc w:val="right"/>
              <w:rPr>
                <w:rFonts w:ascii="Arial" w:hAnsi="Arial" w:cs="Arial"/>
                <w:color w:val="000000"/>
                <w:sz w:val="18"/>
                <w:szCs w:val="18"/>
              </w:rPr>
            </w:pPr>
            <w:r w:rsidRPr="007C0CDA">
              <w:rPr>
                <w:color w:val="000000"/>
                <w:sz w:val="18"/>
                <w:szCs w:val="18"/>
              </w:rPr>
              <w:t>6</w:t>
            </w:r>
          </w:p>
        </w:tc>
        <w:tc>
          <w:tcPr>
            <w:tcW w:w="2447" w:type="dxa"/>
            <w:tcBorders>
              <w:left w:val="nil"/>
              <w:right w:val="nil"/>
            </w:tcBorders>
            <w:shd w:val="clear" w:color="auto" w:fill="FFFFFF"/>
            <w:noWrap/>
          </w:tcPr>
          <w:p w:rsidR="009D2CAE" w:rsidRPr="007C0CDA" w:rsidRDefault="009D2CAE" w:rsidP="007B669C">
            <w:pPr>
              <w:jc w:val="right"/>
              <w:rPr>
                <w:rFonts w:ascii="Arial" w:hAnsi="Arial" w:cs="Arial"/>
                <w:color w:val="000000"/>
                <w:sz w:val="18"/>
                <w:szCs w:val="18"/>
              </w:rPr>
            </w:pPr>
            <w:r w:rsidRPr="007C0CDA">
              <w:rPr>
                <w:color w:val="000000"/>
                <w:sz w:val="18"/>
                <w:szCs w:val="18"/>
              </w:rPr>
              <w:t>509 475</w:t>
            </w:r>
          </w:p>
        </w:tc>
      </w:tr>
      <w:tr w:rsidR="009D2CAE" w:rsidRPr="007C0CDA" w:rsidTr="007B669C">
        <w:trPr>
          <w:trHeight w:val="20"/>
        </w:trPr>
        <w:tc>
          <w:tcPr>
            <w:tcW w:w="2763" w:type="dxa"/>
            <w:tcBorders>
              <w:left w:val="nil"/>
              <w:right w:val="nil"/>
            </w:tcBorders>
            <w:shd w:val="clear" w:color="auto" w:fill="FFFFFF"/>
            <w:noWrap/>
          </w:tcPr>
          <w:p w:rsidR="009D2CAE" w:rsidRPr="007C0CDA" w:rsidRDefault="009D2CAE" w:rsidP="007B669C">
            <w:pPr>
              <w:jc w:val="left"/>
              <w:rPr>
                <w:rFonts w:ascii="Arial" w:hAnsi="Arial" w:cs="Arial"/>
                <w:color w:val="000000"/>
                <w:sz w:val="18"/>
                <w:szCs w:val="18"/>
              </w:rPr>
            </w:pPr>
            <w:r w:rsidRPr="007C0CDA">
              <w:rPr>
                <w:color w:val="000000"/>
                <w:sz w:val="18"/>
                <w:szCs w:val="18"/>
              </w:rPr>
              <w:t>3. výzva (konečná spotřeba)</w:t>
            </w:r>
          </w:p>
        </w:tc>
        <w:tc>
          <w:tcPr>
            <w:tcW w:w="2370" w:type="dxa"/>
            <w:tcBorders>
              <w:left w:val="nil"/>
              <w:right w:val="nil"/>
            </w:tcBorders>
            <w:shd w:val="clear" w:color="auto" w:fill="FFFFFF"/>
            <w:noWrap/>
          </w:tcPr>
          <w:p w:rsidR="009D2CAE" w:rsidRPr="007C0CDA" w:rsidRDefault="009D2CAE" w:rsidP="007B669C">
            <w:pPr>
              <w:jc w:val="right"/>
              <w:rPr>
                <w:rFonts w:ascii="Arial" w:hAnsi="Arial" w:cs="Arial"/>
                <w:color w:val="000000"/>
                <w:sz w:val="18"/>
                <w:szCs w:val="18"/>
              </w:rPr>
            </w:pPr>
            <w:r w:rsidRPr="007C0CDA">
              <w:rPr>
                <w:color w:val="000000"/>
                <w:sz w:val="18"/>
                <w:szCs w:val="18"/>
              </w:rPr>
              <w:t>4</w:t>
            </w:r>
          </w:p>
        </w:tc>
        <w:tc>
          <w:tcPr>
            <w:tcW w:w="2447" w:type="dxa"/>
            <w:tcBorders>
              <w:left w:val="nil"/>
              <w:right w:val="nil"/>
            </w:tcBorders>
            <w:shd w:val="clear" w:color="auto" w:fill="FFFFFF"/>
            <w:noWrap/>
          </w:tcPr>
          <w:p w:rsidR="009D2CAE" w:rsidRPr="007C0CDA" w:rsidRDefault="009D2CAE" w:rsidP="007B669C">
            <w:pPr>
              <w:jc w:val="right"/>
              <w:rPr>
                <w:rFonts w:ascii="Arial" w:hAnsi="Arial" w:cs="Arial"/>
                <w:color w:val="000000"/>
                <w:sz w:val="18"/>
                <w:szCs w:val="18"/>
              </w:rPr>
            </w:pPr>
            <w:r w:rsidRPr="007C0CDA">
              <w:rPr>
                <w:color w:val="000000"/>
                <w:sz w:val="18"/>
                <w:szCs w:val="18"/>
              </w:rPr>
              <w:t>121 153</w:t>
            </w:r>
          </w:p>
        </w:tc>
      </w:tr>
      <w:tr w:rsidR="009D2CAE" w:rsidRPr="007C0CDA" w:rsidTr="007B669C">
        <w:trPr>
          <w:trHeight w:val="20"/>
        </w:trPr>
        <w:tc>
          <w:tcPr>
            <w:tcW w:w="2763" w:type="dxa"/>
            <w:tcBorders>
              <w:left w:val="nil"/>
              <w:right w:val="nil"/>
            </w:tcBorders>
            <w:shd w:val="clear" w:color="auto" w:fill="FFFFFF"/>
            <w:noWrap/>
          </w:tcPr>
          <w:p w:rsidR="009D2CAE" w:rsidRPr="007C0CDA" w:rsidRDefault="009D2CAE" w:rsidP="007B669C">
            <w:pPr>
              <w:jc w:val="left"/>
              <w:rPr>
                <w:rFonts w:ascii="Arial" w:hAnsi="Arial" w:cs="Arial"/>
                <w:color w:val="000000"/>
                <w:sz w:val="18"/>
                <w:szCs w:val="18"/>
              </w:rPr>
            </w:pPr>
            <w:r w:rsidRPr="007C0CDA">
              <w:rPr>
                <w:color w:val="000000"/>
                <w:sz w:val="18"/>
                <w:szCs w:val="18"/>
              </w:rPr>
              <w:t>3. výzva (primární spotřeba)</w:t>
            </w:r>
          </w:p>
        </w:tc>
        <w:tc>
          <w:tcPr>
            <w:tcW w:w="2370" w:type="dxa"/>
            <w:tcBorders>
              <w:left w:val="nil"/>
              <w:right w:val="nil"/>
            </w:tcBorders>
            <w:shd w:val="clear" w:color="auto" w:fill="FFFFFF"/>
            <w:noWrap/>
          </w:tcPr>
          <w:p w:rsidR="009D2CAE" w:rsidRPr="007C0CDA" w:rsidRDefault="009D2CAE" w:rsidP="007B669C">
            <w:pPr>
              <w:jc w:val="right"/>
              <w:rPr>
                <w:rFonts w:ascii="Arial" w:hAnsi="Arial" w:cs="Arial"/>
                <w:color w:val="000000"/>
                <w:sz w:val="18"/>
                <w:szCs w:val="18"/>
              </w:rPr>
            </w:pPr>
            <w:r w:rsidRPr="007C0CDA">
              <w:rPr>
                <w:color w:val="000000"/>
                <w:sz w:val="18"/>
                <w:szCs w:val="18"/>
              </w:rPr>
              <w:t>8</w:t>
            </w:r>
          </w:p>
        </w:tc>
        <w:tc>
          <w:tcPr>
            <w:tcW w:w="2447" w:type="dxa"/>
            <w:tcBorders>
              <w:left w:val="nil"/>
              <w:right w:val="nil"/>
            </w:tcBorders>
            <w:shd w:val="clear" w:color="auto" w:fill="FFFFFF"/>
            <w:noWrap/>
          </w:tcPr>
          <w:p w:rsidR="009D2CAE" w:rsidRPr="007C0CDA" w:rsidRDefault="009D2CAE" w:rsidP="007B669C">
            <w:pPr>
              <w:jc w:val="right"/>
              <w:rPr>
                <w:rFonts w:ascii="Arial" w:hAnsi="Arial" w:cs="Arial"/>
                <w:color w:val="000000"/>
                <w:sz w:val="18"/>
                <w:szCs w:val="18"/>
              </w:rPr>
            </w:pPr>
            <w:r w:rsidRPr="007C0CDA">
              <w:rPr>
                <w:color w:val="000000"/>
                <w:sz w:val="18"/>
                <w:szCs w:val="18"/>
              </w:rPr>
              <w:t>338 691</w:t>
            </w:r>
          </w:p>
        </w:tc>
      </w:tr>
      <w:tr w:rsidR="009D2CAE" w:rsidRPr="007C0CDA" w:rsidTr="007B669C">
        <w:trPr>
          <w:trHeight w:val="20"/>
        </w:trPr>
        <w:tc>
          <w:tcPr>
            <w:tcW w:w="2763" w:type="dxa"/>
            <w:tcBorders>
              <w:left w:val="nil"/>
              <w:right w:val="nil"/>
            </w:tcBorders>
            <w:shd w:val="clear" w:color="auto" w:fill="92D050"/>
            <w:noWrap/>
          </w:tcPr>
          <w:p w:rsidR="009D2CAE" w:rsidRPr="007C0CDA" w:rsidRDefault="009D2CAE" w:rsidP="007B669C">
            <w:pPr>
              <w:jc w:val="left"/>
              <w:rPr>
                <w:rFonts w:ascii="Arial" w:hAnsi="Arial" w:cs="Arial"/>
                <w:b/>
                <w:bCs/>
                <w:color w:val="000000"/>
                <w:sz w:val="18"/>
                <w:szCs w:val="18"/>
              </w:rPr>
            </w:pPr>
            <w:r w:rsidRPr="007C0CDA">
              <w:rPr>
                <w:b/>
                <w:bCs/>
                <w:color w:val="000000"/>
                <w:sz w:val="18"/>
                <w:szCs w:val="18"/>
              </w:rPr>
              <w:t>Celkem</w:t>
            </w:r>
          </w:p>
        </w:tc>
        <w:tc>
          <w:tcPr>
            <w:tcW w:w="2370" w:type="dxa"/>
            <w:tcBorders>
              <w:left w:val="nil"/>
              <w:right w:val="nil"/>
            </w:tcBorders>
            <w:shd w:val="clear" w:color="auto" w:fill="92D050"/>
            <w:noWrap/>
          </w:tcPr>
          <w:p w:rsidR="009D2CAE" w:rsidRPr="007C0CDA" w:rsidRDefault="009D2CAE" w:rsidP="007B669C">
            <w:pPr>
              <w:jc w:val="right"/>
              <w:rPr>
                <w:rFonts w:ascii="Arial" w:hAnsi="Arial" w:cs="Arial"/>
                <w:b/>
                <w:bCs/>
                <w:color w:val="000000"/>
                <w:sz w:val="18"/>
                <w:szCs w:val="18"/>
              </w:rPr>
            </w:pPr>
            <w:r w:rsidRPr="007C0CDA">
              <w:rPr>
                <w:b/>
                <w:bCs/>
                <w:color w:val="000000"/>
                <w:sz w:val="18"/>
                <w:szCs w:val="18"/>
              </w:rPr>
              <w:t>31</w:t>
            </w:r>
          </w:p>
        </w:tc>
        <w:tc>
          <w:tcPr>
            <w:tcW w:w="2447" w:type="dxa"/>
            <w:tcBorders>
              <w:left w:val="nil"/>
              <w:right w:val="nil"/>
            </w:tcBorders>
            <w:shd w:val="clear" w:color="auto" w:fill="92D050"/>
            <w:noWrap/>
          </w:tcPr>
          <w:p w:rsidR="009D2CAE" w:rsidRPr="007C0CDA" w:rsidRDefault="009D2CAE" w:rsidP="007B669C">
            <w:pPr>
              <w:keepNext/>
              <w:jc w:val="right"/>
              <w:rPr>
                <w:rFonts w:ascii="Arial" w:hAnsi="Arial" w:cs="Arial"/>
                <w:b/>
                <w:bCs/>
                <w:color w:val="000000"/>
                <w:sz w:val="18"/>
                <w:szCs w:val="18"/>
              </w:rPr>
            </w:pPr>
            <w:r w:rsidRPr="007C0CDA">
              <w:rPr>
                <w:b/>
                <w:bCs/>
                <w:color w:val="000000"/>
                <w:sz w:val="18"/>
                <w:szCs w:val="18"/>
              </w:rPr>
              <w:t>1 408 283</w:t>
            </w:r>
          </w:p>
        </w:tc>
      </w:tr>
    </w:tbl>
    <w:p w:rsidR="009D2CAE" w:rsidRPr="007C0CDA" w:rsidRDefault="009D2CAE" w:rsidP="006F20EF">
      <w:pPr>
        <w:pStyle w:val="Titulek"/>
      </w:pPr>
      <w:r w:rsidRPr="007C0CDA">
        <w:t>Tabulka 16: Přehled počtu projektu v OPPI v prioritní osy 3.1 zaměřených na rozvody tepla</w:t>
      </w:r>
    </w:p>
    <w:p w:rsidR="009D2CAE" w:rsidRPr="007C0CDA" w:rsidRDefault="009D2CAE" w:rsidP="002433DA">
      <w:pPr>
        <w:pStyle w:val="Titulek"/>
      </w:pPr>
      <w:r w:rsidRPr="007C0CDA">
        <w:t>Zdroj: Příprava podkladů pro akční plán energetické efektivnosti</w:t>
      </w:r>
    </w:p>
    <w:p w:rsidR="009D2CAE" w:rsidRPr="007C0CDA" w:rsidRDefault="009D2CAE" w:rsidP="00FE5BCE">
      <w:pPr>
        <w:rPr>
          <w:b/>
          <w:lang w:eastAsia="en-US"/>
        </w:rPr>
      </w:pPr>
    </w:p>
    <w:p w:rsidR="009D2CAE" w:rsidRPr="002433DA" w:rsidRDefault="009D2CAE" w:rsidP="00FE5BCE">
      <w:pPr>
        <w:rPr>
          <w:lang w:eastAsia="en-US"/>
        </w:rPr>
      </w:pPr>
      <w:r w:rsidRPr="007C0CDA">
        <w:rPr>
          <w:b/>
          <w:lang w:eastAsia="en-US"/>
        </w:rPr>
        <w:lastRenderedPageBreak/>
        <w:t>OP ŽP (2007-2013)–</w:t>
      </w:r>
      <w:r w:rsidRPr="002433DA">
        <w:rPr>
          <w:lang w:eastAsia="en-US"/>
        </w:rPr>
        <w:t>V rámci</w:t>
      </w:r>
      <w:r w:rsidRPr="007C0CDA">
        <w:rPr>
          <w:lang w:eastAsia="en-US"/>
        </w:rPr>
        <w:t xml:space="preserve"> </w:t>
      </w:r>
      <w:r w:rsidRPr="002433DA">
        <w:rPr>
          <w:lang w:eastAsia="en-US"/>
        </w:rPr>
        <w:t>podoblasti podpory 2.1.2</w:t>
      </w:r>
      <w:r w:rsidRPr="007C0CDA">
        <w:rPr>
          <w:lang w:eastAsia="en-US"/>
        </w:rPr>
        <w:t xml:space="preserve"> bylo možno čerpat dotace přímo na rekonstrukci tepelných rozvodů a výstavbu nového centrálního zdroje tepla. Pro tyto projekty bylo možno čerpat od roku 2013 606 milionů Kč.</w:t>
      </w:r>
    </w:p>
    <w:p w:rsidR="009D2CAE" w:rsidRPr="007C0CDA" w:rsidRDefault="009D2CAE" w:rsidP="00FE5BCE">
      <w:pPr>
        <w:rPr>
          <w:lang w:eastAsia="en-US"/>
        </w:rPr>
      </w:pPr>
    </w:p>
    <w:p w:rsidR="009D2CAE" w:rsidRPr="004153D2" w:rsidRDefault="009D2CAE" w:rsidP="002433DA">
      <w:pPr>
        <w:pStyle w:val="Nadpis3"/>
      </w:pPr>
      <w:bookmarkStart w:id="545" w:name="_Toc416383872"/>
      <w:bookmarkStart w:id="546" w:name="_Toc416447870"/>
      <w:bookmarkStart w:id="547" w:name="_Toc416383873"/>
      <w:bookmarkStart w:id="548" w:name="_Toc416447871"/>
      <w:bookmarkStart w:id="549" w:name="_Toc416383874"/>
      <w:bookmarkStart w:id="550" w:name="_Toc416447872"/>
      <w:bookmarkStart w:id="551" w:name="_Toc416447873"/>
      <w:bookmarkEnd w:id="545"/>
      <w:bookmarkEnd w:id="546"/>
      <w:bookmarkEnd w:id="547"/>
      <w:bookmarkEnd w:id="548"/>
      <w:bookmarkEnd w:id="549"/>
      <w:bookmarkEnd w:id="550"/>
      <w:r w:rsidRPr="00172EF4">
        <w:rPr>
          <w:lang w:eastAsia="en-US"/>
        </w:rPr>
        <w:t>Vyčíslení potenciální absorpční kapacity</w:t>
      </w:r>
      <w:bookmarkEnd w:id="551"/>
    </w:p>
    <w:p w:rsidR="009D2CAE" w:rsidRPr="007C0CDA" w:rsidRDefault="009D2CAE" w:rsidP="00CD09D2">
      <w:pPr>
        <w:pStyle w:val="Neslovannadpisy"/>
      </w:pPr>
      <w:r w:rsidRPr="007C0CDA">
        <w:t>Poptávka zjišťovaná z dotazníku</w:t>
      </w:r>
    </w:p>
    <w:p w:rsidR="009D2CAE" w:rsidRPr="002433DA" w:rsidRDefault="009D2CAE" w:rsidP="00CD09D2">
      <w:r w:rsidRPr="002433DA">
        <w:t>V dotazníkovém šetření k</w:t>
      </w:r>
      <w:r w:rsidRPr="007C0CDA">
        <w:t> </w:t>
      </w:r>
      <w:r w:rsidRPr="002433DA">
        <w:t xml:space="preserve">této studii vyjádřilo </w:t>
      </w:r>
      <w:r w:rsidRPr="002433DA">
        <w:rPr>
          <w:b/>
        </w:rPr>
        <w:t xml:space="preserve">79 společností svůj investiční záměr k SC 3.5. OP PIK 2014 </w:t>
      </w:r>
      <w:r w:rsidRPr="007C0CDA">
        <w:rPr>
          <w:b/>
        </w:rPr>
        <w:t>–</w:t>
      </w:r>
      <w:r w:rsidRPr="002433DA">
        <w:rPr>
          <w:b/>
        </w:rPr>
        <w:t xml:space="preserve"> 2020. Uvažované investiční záměry dosahují výše 952,5 mil. Kč</w:t>
      </w:r>
      <w:r w:rsidRPr="002433DA">
        <w:t xml:space="preserve"> s očekávanou dobou návratnosti 7,5 roku.</w:t>
      </w:r>
    </w:p>
    <w:p w:rsidR="009D2CAE" w:rsidRDefault="009D2CAE" w:rsidP="00DD69BE">
      <w:pPr>
        <w:pStyle w:val="Neslovannadpisy"/>
      </w:pPr>
    </w:p>
    <w:p w:rsidR="00F76EF0" w:rsidRPr="007C0CDA" w:rsidRDefault="00F76EF0" w:rsidP="00F76EF0">
      <w:r w:rsidRPr="007C0CDA">
        <w:t xml:space="preserve">Stimulační efekt jednotlivých forem finančních nástrojů plynoucí z výsledků dotazníkového šetření uvádí následující </w:t>
      </w:r>
      <w:r w:rsidR="00304FD4">
        <w:t>tabulka</w:t>
      </w:r>
      <w:r w:rsidRPr="007C0CDA">
        <w:t>.</w:t>
      </w:r>
      <w:r>
        <w:t xml:space="preserve"> Zvýhodněný úvěr ukazuje poměrně významný potenciál s kladnou odezvou u více jak poloviny respondentů.</w:t>
      </w:r>
    </w:p>
    <w:p w:rsidR="00F76EF0" w:rsidRPr="007C0CDA" w:rsidRDefault="00F76EF0" w:rsidP="00F76EF0"/>
    <w:tbl>
      <w:tblPr>
        <w:tblW w:w="9343" w:type="dxa"/>
        <w:tblBorders>
          <w:bottom w:val="single" w:sz="4" w:space="0" w:color="00A1DE"/>
          <w:insideH w:val="single" w:sz="4" w:space="0" w:color="00A1DE"/>
        </w:tblBorders>
        <w:tblCellMar>
          <w:left w:w="0" w:type="dxa"/>
          <w:right w:w="0" w:type="dxa"/>
        </w:tblCellMar>
        <w:tblLook w:val="00A0" w:firstRow="1" w:lastRow="0" w:firstColumn="1" w:lastColumn="0" w:noHBand="0" w:noVBand="0"/>
      </w:tblPr>
      <w:tblGrid>
        <w:gridCol w:w="3256"/>
        <w:gridCol w:w="1141"/>
        <w:gridCol w:w="1038"/>
        <w:gridCol w:w="1038"/>
        <w:gridCol w:w="1038"/>
        <w:gridCol w:w="1265"/>
        <w:gridCol w:w="679"/>
      </w:tblGrid>
      <w:tr w:rsidR="00F76EF0" w:rsidRPr="007C0CDA" w:rsidTr="005C7064">
        <w:trPr>
          <w:trHeight w:val="194"/>
        </w:trPr>
        <w:tc>
          <w:tcPr>
            <w:tcW w:w="3240" w:type="dxa"/>
            <w:tcBorders>
              <w:top w:val="nil"/>
              <w:left w:val="nil"/>
              <w:right w:val="nil"/>
            </w:tcBorders>
            <w:shd w:val="clear" w:color="auto" w:fill="00A1DE"/>
            <w:noWrap/>
          </w:tcPr>
          <w:p w:rsidR="00F76EF0" w:rsidRPr="007C0CDA" w:rsidRDefault="00F76EF0" w:rsidP="005C7064">
            <w:pPr>
              <w:jc w:val="left"/>
              <w:rPr>
                <w:rFonts w:ascii="Arial" w:hAnsi="Arial" w:cs="Arial"/>
                <w:b/>
                <w:bCs/>
                <w:color w:val="000000"/>
                <w:sz w:val="18"/>
                <w:szCs w:val="18"/>
              </w:rPr>
            </w:pPr>
            <w:r w:rsidRPr="007C0CDA">
              <w:rPr>
                <w:b/>
                <w:bCs/>
                <w:color w:val="000000"/>
                <w:sz w:val="18"/>
                <w:szCs w:val="18"/>
              </w:rPr>
              <w:t> </w:t>
            </w:r>
          </w:p>
        </w:tc>
        <w:tc>
          <w:tcPr>
            <w:tcW w:w="1125" w:type="dxa"/>
            <w:tcBorders>
              <w:top w:val="nil"/>
              <w:left w:val="nil"/>
              <w:right w:val="nil"/>
            </w:tcBorders>
            <w:shd w:val="clear" w:color="auto" w:fill="00A1DE"/>
            <w:noWrap/>
            <w:vAlign w:val="center"/>
          </w:tcPr>
          <w:p w:rsidR="00F76EF0" w:rsidRPr="007C0CDA" w:rsidRDefault="00F76EF0" w:rsidP="005C7064">
            <w:pPr>
              <w:jc w:val="center"/>
              <w:rPr>
                <w:rFonts w:ascii="Arial" w:hAnsi="Arial" w:cs="Arial"/>
                <w:b/>
                <w:bCs/>
                <w:color w:val="EEECE1"/>
                <w:sz w:val="18"/>
                <w:szCs w:val="18"/>
              </w:rPr>
            </w:pPr>
            <w:r w:rsidRPr="007C0CDA">
              <w:rPr>
                <w:b/>
                <w:bCs/>
                <w:color w:val="EEECE1"/>
                <w:sz w:val="18"/>
                <w:szCs w:val="18"/>
              </w:rPr>
              <w:t>Určitě ano</w:t>
            </w:r>
          </w:p>
        </w:tc>
        <w:tc>
          <w:tcPr>
            <w:tcW w:w="1022" w:type="dxa"/>
            <w:tcBorders>
              <w:top w:val="nil"/>
              <w:left w:val="nil"/>
              <w:right w:val="nil"/>
            </w:tcBorders>
            <w:shd w:val="clear" w:color="auto" w:fill="00A1DE"/>
            <w:noWrap/>
            <w:vAlign w:val="center"/>
          </w:tcPr>
          <w:p w:rsidR="00F76EF0" w:rsidRPr="007C0CDA" w:rsidRDefault="00F76EF0" w:rsidP="005C7064">
            <w:pPr>
              <w:jc w:val="center"/>
              <w:rPr>
                <w:rFonts w:ascii="Arial" w:hAnsi="Arial" w:cs="Arial"/>
                <w:b/>
                <w:bCs/>
                <w:color w:val="EEECE1"/>
                <w:sz w:val="18"/>
                <w:szCs w:val="18"/>
              </w:rPr>
            </w:pPr>
            <w:r w:rsidRPr="007C0CDA">
              <w:rPr>
                <w:b/>
                <w:bCs/>
                <w:color w:val="EEECE1"/>
                <w:sz w:val="18"/>
                <w:szCs w:val="18"/>
              </w:rPr>
              <w:t>Spíše ano</w:t>
            </w:r>
          </w:p>
        </w:tc>
        <w:tc>
          <w:tcPr>
            <w:tcW w:w="1022" w:type="dxa"/>
            <w:tcBorders>
              <w:top w:val="nil"/>
              <w:left w:val="nil"/>
              <w:right w:val="nil"/>
            </w:tcBorders>
            <w:shd w:val="clear" w:color="auto" w:fill="00A1DE"/>
            <w:noWrap/>
            <w:vAlign w:val="center"/>
          </w:tcPr>
          <w:p w:rsidR="00F76EF0" w:rsidRPr="007C0CDA" w:rsidRDefault="00F76EF0" w:rsidP="005C7064">
            <w:pPr>
              <w:jc w:val="center"/>
              <w:rPr>
                <w:rFonts w:ascii="Arial" w:hAnsi="Arial" w:cs="Arial"/>
                <w:b/>
                <w:bCs/>
                <w:color w:val="EEECE1"/>
                <w:sz w:val="18"/>
                <w:szCs w:val="18"/>
              </w:rPr>
            </w:pPr>
            <w:r w:rsidRPr="007C0CDA">
              <w:rPr>
                <w:b/>
                <w:bCs/>
                <w:color w:val="EEECE1"/>
                <w:sz w:val="18"/>
                <w:szCs w:val="18"/>
              </w:rPr>
              <w:t>Spíše ne</w:t>
            </w:r>
          </w:p>
        </w:tc>
        <w:tc>
          <w:tcPr>
            <w:tcW w:w="1022" w:type="dxa"/>
            <w:tcBorders>
              <w:top w:val="nil"/>
              <w:left w:val="nil"/>
              <w:right w:val="nil"/>
            </w:tcBorders>
            <w:shd w:val="clear" w:color="auto" w:fill="00A1DE"/>
            <w:noWrap/>
            <w:vAlign w:val="center"/>
          </w:tcPr>
          <w:p w:rsidR="00F76EF0" w:rsidRPr="007C0CDA" w:rsidRDefault="00F76EF0" w:rsidP="005C7064">
            <w:pPr>
              <w:jc w:val="center"/>
              <w:rPr>
                <w:rFonts w:ascii="Arial" w:hAnsi="Arial" w:cs="Arial"/>
                <w:b/>
                <w:bCs/>
                <w:color w:val="EEECE1"/>
                <w:sz w:val="18"/>
                <w:szCs w:val="18"/>
              </w:rPr>
            </w:pPr>
            <w:r w:rsidRPr="007C0CDA">
              <w:rPr>
                <w:b/>
                <w:bCs/>
                <w:color w:val="EEECE1"/>
                <w:sz w:val="18"/>
                <w:szCs w:val="18"/>
              </w:rPr>
              <w:t>Určitě ne</w:t>
            </w:r>
          </w:p>
        </w:tc>
        <w:tc>
          <w:tcPr>
            <w:tcW w:w="1249" w:type="dxa"/>
            <w:tcBorders>
              <w:top w:val="nil"/>
              <w:left w:val="nil"/>
              <w:right w:val="nil"/>
            </w:tcBorders>
            <w:shd w:val="clear" w:color="auto" w:fill="00A1DE"/>
            <w:noWrap/>
          </w:tcPr>
          <w:p w:rsidR="00F76EF0" w:rsidRPr="007C0CDA" w:rsidRDefault="00F76EF0" w:rsidP="005C7064">
            <w:pPr>
              <w:jc w:val="center"/>
              <w:rPr>
                <w:rFonts w:ascii="Arial" w:hAnsi="Arial" w:cs="Arial"/>
                <w:b/>
                <w:bCs/>
                <w:color w:val="000000"/>
                <w:sz w:val="18"/>
                <w:szCs w:val="18"/>
              </w:rPr>
            </w:pPr>
            <w:r w:rsidRPr="007C0CDA">
              <w:rPr>
                <w:b/>
                <w:bCs/>
                <w:color w:val="000000"/>
                <w:sz w:val="18"/>
                <w:szCs w:val="18"/>
              </w:rPr>
              <w:t> </w:t>
            </w:r>
            <w:r w:rsidRPr="007C0CDA">
              <w:rPr>
                <w:b/>
                <w:bCs/>
                <w:color w:val="EEECE1"/>
                <w:sz w:val="18"/>
                <w:szCs w:val="18"/>
              </w:rPr>
              <w:t>Typ nástroje</w:t>
            </w:r>
          </w:p>
        </w:tc>
        <w:tc>
          <w:tcPr>
            <w:tcW w:w="663" w:type="dxa"/>
            <w:tcBorders>
              <w:top w:val="nil"/>
              <w:left w:val="nil"/>
              <w:right w:val="nil"/>
            </w:tcBorders>
            <w:shd w:val="clear" w:color="auto" w:fill="00A1DE"/>
            <w:noWrap/>
          </w:tcPr>
          <w:p w:rsidR="00F76EF0" w:rsidRPr="007C0CDA" w:rsidRDefault="00F76EF0" w:rsidP="005C7064">
            <w:pPr>
              <w:jc w:val="left"/>
              <w:rPr>
                <w:rFonts w:ascii="Arial" w:hAnsi="Arial" w:cs="Arial"/>
                <w:b/>
                <w:bCs/>
                <w:color w:val="000000"/>
                <w:sz w:val="18"/>
                <w:szCs w:val="18"/>
              </w:rPr>
            </w:pPr>
            <w:r w:rsidRPr="007C0CDA">
              <w:rPr>
                <w:b/>
                <w:bCs/>
                <w:color w:val="000000"/>
                <w:sz w:val="18"/>
                <w:szCs w:val="18"/>
              </w:rPr>
              <w:t> </w:t>
            </w:r>
          </w:p>
        </w:tc>
      </w:tr>
      <w:tr w:rsidR="00F76EF0" w:rsidRPr="007C0CDA" w:rsidTr="005C7064">
        <w:trPr>
          <w:trHeight w:val="203"/>
        </w:trPr>
        <w:tc>
          <w:tcPr>
            <w:tcW w:w="3240" w:type="dxa"/>
            <w:vMerge w:val="restart"/>
            <w:tcBorders>
              <w:left w:val="nil"/>
              <w:right w:val="nil"/>
            </w:tcBorders>
            <w:shd w:val="clear" w:color="auto" w:fill="FFFFFF"/>
            <w:noWrap/>
            <w:vAlign w:val="center"/>
          </w:tcPr>
          <w:p w:rsidR="00F76EF0" w:rsidRPr="007C0CDA" w:rsidRDefault="00F76EF0" w:rsidP="005C7064">
            <w:pPr>
              <w:jc w:val="center"/>
              <w:rPr>
                <w:rFonts w:ascii="Arial" w:hAnsi="Arial" w:cs="Arial"/>
                <w:color w:val="000000"/>
                <w:sz w:val="18"/>
                <w:szCs w:val="18"/>
                <w:lang w:eastAsia="en-US"/>
              </w:rPr>
            </w:pPr>
            <w:r w:rsidRPr="007C0CDA">
              <w:rPr>
                <w:color w:val="000000"/>
                <w:sz w:val="18"/>
                <w:szCs w:val="18"/>
              </w:rPr>
              <w:t>Investice do rekonstrukce soustavy zásobování teplem</w:t>
            </w:r>
          </w:p>
        </w:tc>
        <w:tc>
          <w:tcPr>
            <w:tcW w:w="1125" w:type="dxa"/>
            <w:tcBorders>
              <w:left w:val="nil"/>
              <w:right w:val="nil"/>
            </w:tcBorders>
            <w:shd w:val="clear" w:color="auto" w:fill="FFFFFF"/>
            <w:noWrap/>
            <w:vAlign w:val="center"/>
          </w:tcPr>
          <w:p w:rsidR="00F76EF0" w:rsidRPr="007C0CDA" w:rsidRDefault="00F76EF0" w:rsidP="005C7064">
            <w:pPr>
              <w:jc w:val="right"/>
              <w:rPr>
                <w:rFonts w:ascii="Arial" w:hAnsi="Arial" w:cs="Arial"/>
                <w:color w:val="000000"/>
                <w:sz w:val="18"/>
                <w:szCs w:val="18"/>
              </w:rPr>
            </w:pPr>
            <w:r w:rsidRPr="007C0CDA">
              <w:rPr>
                <w:color w:val="000000"/>
                <w:sz w:val="18"/>
                <w:szCs w:val="18"/>
              </w:rPr>
              <w:t>14%</w:t>
            </w:r>
          </w:p>
        </w:tc>
        <w:tc>
          <w:tcPr>
            <w:tcW w:w="1022" w:type="dxa"/>
            <w:tcBorders>
              <w:left w:val="nil"/>
              <w:right w:val="nil"/>
            </w:tcBorders>
            <w:shd w:val="clear" w:color="auto" w:fill="FFFFFF"/>
            <w:noWrap/>
            <w:vAlign w:val="center"/>
          </w:tcPr>
          <w:p w:rsidR="00F76EF0" w:rsidRPr="007C0CDA" w:rsidRDefault="00F76EF0" w:rsidP="005C7064">
            <w:pPr>
              <w:jc w:val="right"/>
              <w:rPr>
                <w:rFonts w:ascii="Arial" w:hAnsi="Arial" w:cs="Arial"/>
                <w:color w:val="000000"/>
                <w:sz w:val="18"/>
                <w:szCs w:val="18"/>
              </w:rPr>
            </w:pPr>
            <w:r w:rsidRPr="007C0CDA">
              <w:rPr>
                <w:color w:val="000000"/>
                <w:sz w:val="18"/>
                <w:szCs w:val="18"/>
              </w:rPr>
              <w:t>16%</w:t>
            </w:r>
          </w:p>
        </w:tc>
        <w:tc>
          <w:tcPr>
            <w:tcW w:w="1022" w:type="dxa"/>
            <w:tcBorders>
              <w:left w:val="nil"/>
              <w:right w:val="nil"/>
            </w:tcBorders>
            <w:shd w:val="clear" w:color="auto" w:fill="FFFFFF"/>
            <w:noWrap/>
            <w:vAlign w:val="center"/>
          </w:tcPr>
          <w:p w:rsidR="00F76EF0" w:rsidRPr="007C0CDA" w:rsidRDefault="00F76EF0" w:rsidP="005C7064">
            <w:pPr>
              <w:jc w:val="right"/>
              <w:rPr>
                <w:rFonts w:ascii="Arial" w:hAnsi="Arial" w:cs="Arial"/>
                <w:color w:val="000000"/>
                <w:sz w:val="18"/>
                <w:szCs w:val="18"/>
              </w:rPr>
            </w:pPr>
            <w:r w:rsidRPr="007C0CDA">
              <w:rPr>
                <w:color w:val="000000"/>
                <w:sz w:val="18"/>
                <w:szCs w:val="18"/>
              </w:rPr>
              <w:t>19%</w:t>
            </w:r>
          </w:p>
        </w:tc>
        <w:tc>
          <w:tcPr>
            <w:tcW w:w="1022" w:type="dxa"/>
            <w:tcBorders>
              <w:left w:val="nil"/>
              <w:right w:val="nil"/>
            </w:tcBorders>
            <w:shd w:val="clear" w:color="auto" w:fill="FFFFFF"/>
            <w:noWrap/>
            <w:vAlign w:val="center"/>
          </w:tcPr>
          <w:p w:rsidR="00F76EF0" w:rsidRPr="007C0CDA" w:rsidRDefault="00F76EF0" w:rsidP="005C7064">
            <w:pPr>
              <w:jc w:val="right"/>
              <w:rPr>
                <w:rFonts w:ascii="Arial" w:hAnsi="Arial" w:cs="Arial"/>
                <w:color w:val="000000"/>
                <w:sz w:val="18"/>
                <w:szCs w:val="18"/>
              </w:rPr>
            </w:pPr>
            <w:r w:rsidRPr="007C0CDA">
              <w:rPr>
                <w:color w:val="000000"/>
                <w:sz w:val="18"/>
                <w:szCs w:val="18"/>
              </w:rPr>
              <w:t>51%</w:t>
            </w:r>
          </w:p>
        </w:tc>
        <w:tc>
          <w:tcPr>
            <w:tcW w:w="1912" w:type="dxa"/>
            <w:gridSpan w:val="2"/>
            <w:tcBorders>
              <w:left w:val="nil"/>
              <w:right w:val="nil"/>
            </w:tcBorders>
            <w:shd w:val="clear" w:color="auto" w:fill="FFFFFF"/>
            <w:noWrap/>
            <w:vAlign w:val="center"/>
          </w:tcPr>
          <w:p w:rsidR="00F76EF0" w:rsidRPr="007C0CDA" w:rsidRDefault="00F76EF0" w:rsidP="005C7064">
            <w:pPr>
              <w:jc w:val="right"/>
              <w:rPr>
                <w:rFonts w:ascii="Arial" w:hAnsi="Arial" w:cs="Arial"/>
                <w:color w:val="000000"/>
                <w:sz w:val="18"/>
                <w:szCs w:val="18"/>
              </w:rPr>
            </w:pPr>
            <w:r w:rsidRPr="007C0CDA">
              <w:rPr>
                <w:color w:val="000000"/>
                <w:sz w:val="18"/>
                <w:szCs w:val="18"/>
              </w:rPr>
              <w:t>Kapitálový vstup</w:t>
            </w:r>
          </w:p>
        </w:tc>
      </w:tr>
      <w:tr w:rsidR="00F76EF0" w:rsidRPr="007C0CDA" w:rsidTr="005C7064">
        <w:trPr>
          <w:trHeight w:val="203"/>
        </w:trPr>
        <w:tc>
          <w:tcPr>
            <w:tcW w:w="0" w:type="auto"/>
            <w:vMerge/>
            <w:tcBorders>
              <w:left w:val="nil"/>
              <w:right w:val="nil"/>
            </w:tcBorders>
            <w:shd w:val="clear" w:color="auto" w:fill="FFFFFF"/>
            <w:vAlign w:val="center"/>
          </w:tcPr>
          <w:p w:rsidR="00F76EF0" w:rsidRPr="007C0CDA" w:rsidRDefault="00F76EF0" w:rsidP="005C7064">
            <w:pPr>
              <w:jc w:val="left"/>
              <w:rPr>
                <w:rFonts w:ascii="Arial" w:hAnsi="Arial" w:cs="Arial"/>
                <w:color w:val="000000"/>
                <w:sz w:val="18"/>
                <w:szCs w:val="18"/>
                <w:lang w:eastAsia="en-US"/>
              </w:rPr>
            </w:pPr>
          </w:p>
        </w:tc>
        <w:tc>
          <w:tcPr>
            <w:tcW w:w="1125" w:type="dxa"/>
            <w:tcBorders>
              <w:left w:val="nil"/>
              <w:right w:val="nil"/>
            </w:tcBorders>
            <w:shd w:val="clear" w:color="auto" w:fill="FFFFFF"/>
            <w:noWrap/>
            <w:vAlign w:val="center"/>
          </w:tcPr>
          <w:p w:rsidR="00F76EF0" w:rsidRPr="007C0CDA" w:rsidRDefault="00F76EF0" w:rsidP="005C7064">
            <w:pPr>
              <w:jc w:val="right"/>
              <w:rPr>
                <w:rFonts w:ascii="Arial" w:hAnsi="Arial" w:cs="Arial"/>
                <w:color w:val="000000"/>
                <w:sz w:val="18"/>
                <w:szCs w:val="18"/>
              </w:rPr>
            </w:pPr>
            <w:r w:rsidRPr="007C0CDA">
              <w:rPr>
                <w:color w:val="000000"/>
                <w:sz w:val="18"/>
                <w:szCs w:val="18"/>
              </w:rPr>
              <w:t>14%</w:t>
            </w:r>
          </w:p>
        </w:tc>
        <w:tc>
          <w:tcPr>
            <w:tcW w:w="1022" w:type="dxa"/>
            <w:tcBorders>
              <w:left w:val="nil"/>
              <w:right w:val="nil"/>
            </w:tcBorders>
            <w:shd w:val="clear" w:color="auto" w:fill="FFFFFF"/>
            <w:noWrap/>
            <w:vAlign w:val="center"/>
          </w:tcPr>
          <w:p w:rsidR="00F76EF0" w:rsidRPr="007C0CDA" w:rsidRDefault="00F76EF0" w:rsidP="005C7064">
            <w:pPr>
              <w:jc w:val="right"/>
              <w:rPr>
                <w:rFonts w:ascii="Arial" w:hAnsi="Arial" w:cs="Arial"/>
                <w:color w:val="000000"/>
                <w:sz w:val="18"/>
                <w:szCs w:val="18"/>
              </w:rPr>
            </w:pPr>
            <w:r w:rsidRPr="007C0CDA">
              <w:rPr>
                <w:color w:val="000000"/>
                <w:sz w:val="18"/>
                <w:szCs w:val="18"/>
              </w:rPr>
              <w:t>28%</w:t>
            </w:r>
          </w:p>
        </w:tc>
        <w:tc>
          <w:tcPr>
            <w:tcW w:w="1022" w:type="dxa"/>
            <w:tcBorders>
              <w:left w:val="nil"/>
              <w:right w:val="nil"/>
            </w:tcBorders>
            <w:shd w:val="clear" w:color="auto" w:fill="FFFFFF"/>
            <w:noWrap/>
            <w:vAlign w:val="center"/>
          </w:tcPr>
          <w:p w:rsidR="00F76EF0" w:rsidRPr="007C0CDA" w:rsidRDefault="00F76EF0" w:rsidP="005C7064">
            <w:pPr>
              <w:jc w:val="right"/>
              <w:rPr>
                <w:rFonts w:ascii="Arial" w:hAnsi="Arial" w:cs="Arial"/>
                <w:color w:val="000000"/>
                <w:sz w:val="18"/>
                <w:szCs w:val="18"/>
              </w:rPr>
            </w:pPr>
            <w:r w:rsidRPr="007C0CDA">
              <w:rPr>
                <w:color w:val="000000"/>
                <w:sz w:val="18"/>
                <w:szCs w:val="18"/>
              </w:rPr>
              <w:t>19%</w:t>
            </w:r>
          </w:p>
        </w:tc>
        <w:tc>
          <w:tcPr>
            <w:tcW w:w="1022" w:type="dxa"/>
            <w:tcBorders>
              <w:left w:val="nil"/>
              <w:right w:val="nil"/>
            </w:tcBorders>
            <w:shd w:val="clear" w:color="auto" w:fill="FFFFFF"/>
            <w:noWrap/>
            <w:vAlign w:val="center"/>
          </w:tcPr>
          <w:p w:rsidR="00F76EF0" w:rsidRPr="007C0CDA" w:rsidRDefault="00F76EF0" w:rsidP="005C7064">
            <w:pPr>
              <w:jc w:val="right"/>
              <w:rPr>
                <w:rFonts w:ascii="Arial" w:hAnsi="Arial" w:cs="Arial"/>
                <w:color w:val="000000"/>
                <w:sz w:val="18"/>
                <w:szCs w:val="18"/>
              </w:rPr>
            </w:pPr>
            <w:r w:rsidRPr="007C0CDA">
              <w:rPr>
                <w:color w:val="000000"/>
                <w:sz w:val="18"/>
                <w:szCs w:val="18"/>
              </w:rPr>
              <w:t>40%</w:t>
            </w:r>
          </w:p>
        </w:tc>
        <w:tc>
          <w:tcPr>
            <w:tcW w:w="1912" w:type="dxa"/>
            <w:gridSpan w:val="2"/>
            <w:tcBorders>
              <w:left w:val="nil"/>
              <w:right w:val="nil"/>
            </w:tcBorders>
            <w:shd w:val="clear" w:color="auto" w:fill="FFFFFF"/>
            <w:noWrap/>
            <w:vAlign w:val="center"/>
          </w:tcPr>
          <w:p w:rsidR="00F76EF0" w:rsidRPr="007C0CDA" w:rsidRDefault="00F76EF0" w:rsidP="005C7064">
            <w:pPr>
              <w:jc w:val="right"/>
              <w:rPr>
                <w:rFonts w:ascii="Arial" w:hAnsi="Arial" w:cs="Arial"/>
                <w:color w:val="000000"/>
                <w:sz w:val="18"/>
                <w:szCs w:val="18"/>
              </w:rPr>
            </w:pPr>
            <w:r w:rsidRPr="007C0CDA">
              <w:rPr>
                <w:color w:val="000000"/>
                <w:sz w:val="18"/>
                <w:szCs w:val="18"/>
              </w:rPr>
              <w:t>Záruky</w:t>
            </w:r>
          </w:p>
        </w:tc>
      </w:tr>
      <w:tr w:rsidR="00F76EF0" w:rsidRPr="007C0CDA" w:rsidTr="005C7064">
        <w:trPr>
          <w:trHeight w:val="203"/>
        </w:trPr>
        <w:tc>
          <w:tcPr>
            <w:tcW w:w="0" w:type="auto"/>
            <w:vMerge/>
            <w:tcBorders>
              <w:left w:val="nil"/>
              <w:right w:val="nil"/>
            </w:tcBorders>
            <w:shd w:val="clear" w:color="auto" w:fill="FFFFFF"/>
            <w:vAlign w:val="center"/>
          </w:tcPr>
          <w:p w:rsidR="00F76EF0" w:rsidRPr="007C0CDA" w:rsidRDefault="00F76EF0" w:rsidP="005C7064">
            <w:pPr>
              <w:jc w:val="left"/>
              <w:rPr>
                <w:rFonts w:ascii="Arial" w:hAnsi="Arial" w:cs="Arial"/>
                <w:color w:val="000000"/>
                <w:sz w:val="18"/>
                <w:szCs w:val="18"/>
                <w:lang w:eastAsia="en-US"/>
              </w:rPr>
            </w:pPr>
          </w:p>
        </w:tc>
        <w:tc>
          <w:tcPr>
            <w:tcW w:w="1125" w:type="dxa"/>
            <w:tcBorders>
              <w:left w:val="nil"/>
              <w:right w:val="nil"/>
            </w:tcBorders>
            <w:shd w:val="clear" w:color="auto" w:fill="FFFFFF"/>
            <w:noWrap/>
            <w:vAlign w:val="center"/>
          </w:tcPr>
          <w:p w:rsidR="00F76EF0" w:rsidRPr="007C0CDA" w:rsidRDefault="00F76EF0" w:rsidP="005C7064">
            <w:pPr>
              <w:jc w:val="right"/>
              <w:rPr>
                <w:rFonts w:ascii="Arial" w:hAnsi="Arial" w:cs="Arial"/>
                <w:color w:val="000000"/>
                <w:sz w:val="18"/>
                <w:szCs w:val="18"/>
              </w:rPr>
            </w:pPr>
            <w:r w:rsidRPr="007C0CDA">
              <w:rPr>
                <w:color w:val="000000"/>
                <w:sz w:val="18"/>
                <w:szCs w:val="18"/>
              </w:rPr>
              <w:t>31%</w:t>
            </w:r>
          </w:p>
        </w:tc>
        <w:tc>
          <w:tcPr>
            <w:tcW w:w="1022" w:type="dxa"/>
            <w:tcBorders>
              <w:left w:val="nil"/>
              <w:right w:val="nil"/>
            </w:tcBorders>
            <w:shd w:val="clear" w:color="auto" w:fill="FFFFFF"/>
            <w:noWrap/>
            <w:vAlign w:val="center"/>
          </w:tcPr>
          <w:p w:rsidR="00F76EF0" w:rsidRPr="007C0CDA" w:rsidRDefault="00F76EF0" w:rsidP="005C7064">
            <w:pPr>
              <w:jc w:val="right"/>
              <w:rPr>
                <w:rFonts w:ascii="Arial" w:hAnsi="Arial" w:cs="Arial"/>
                <w:color w:val="000000"/>
                <w:sz w:val="18"/>
                <w:szCs w:val="18"/>
              </w:rPr>
            </w:pPr>
            <w:r w:rsidRPr="007C0CDA">
              <w:rPr>
                <w:color w:val="000000"/>
                <w:sz w:val="18"/>
                <w:szCs w:val="18"/>
              </w:rPr>
              <w:t>25%</w:t>
            </w:r>
          </w:p>
        </w:tc>
        <w:tc>
          <w:tcPr>
            <w:tcW w:w="1022" w:type="dxa"/>
            <w:tcBorders>
              <w:left w:val="nil"/>
              <w:right w:val="nil"/>
            </w:tcBorders>
            <w:shd w:val="clear" w:color="auto" w:fill="FFFFFF"/>
            <w:noWrap/>
            <w:vAlign w:val="center"/>
          </w:tcPr>
          <w:p w:rsidR="00F76EF0" w:rsidRPr="007C0CDA" w:rsidRDefault="00F76EF0" w:rsidP="005C7064">
            <w:pPr>
              <w:jc w:val="right"/>
              <w:rPr>
                <w:rFonts w:ascii="Arial" w:hAnsi="Arial" w:cs="Arial"/>
                <w:color w:val="000000"/>
                <w:sz w:val="18"/>
                <w:szCs w:val="18"/>
              </w:rPr>
            </w:pPr>
            <w:r w:rsidRPr="007C0CDA">
              <w:rPr>
                <w:color w:val="000000"/>
                <w:sz w:val="18"/>
                <w:szCs w:val="18"/>
              </w:rPr>
              <w:t>16%</w:t>
            </w:r>
          </w:p>
        </w:tc>
        <w:tc>
          <w:tcPr>
            <w:tcW w:w="1022" w:type="dxa"/>
            <w:tcBorders>
              <w:left w:val="nil"/>
              <w:right w:val="nil"/>
            </w:tcBorders>
            <w:shd w:val="clear" w:color="auto" w:fill="FFFFFF"/>
            <w:noWrap/>
            <w:vAlign w:val="center"/>
          </w:tcPr>
          <w:p w:rsidR="00F76EF0" w:rsidRPr="007C0CDA" w:rsidRDefault="00F76EF0" w:rsidP="005C7064">
            <w:pPr>
              <w:jc w:val="right"/>
              <w:rPr>
                <w:rFonts w:ascii="Arial" w:hAnsi="Arial" w:cs="Arial"/>
                <w:color w:val="000000"/>
                <w:sz w:val="18"/>
                <w:szCs w:val="18"/>
              </w:rPr>
            </w:pPr>
            <w:r w:rsidRPr="007C0CDA">
              <w:rPr>
                <w:color w:val="000000"/>
                <w:sz w:val="18"/>
                <w:szCs w:val="18"/>
              </w:rPr>
              <w:t>28%</w:t>
            </w:r>
          </w:p>
        </w:tc>
        <w:tc>
          <w:tcPr>
            <w:tcW w:w="1912" w:type="dxa"/>
            <w:gridSpan w:val="2"/>
            <w:tcBorders>
              <w:left w:val="nil"/>
              <w:right w:val="nil"/>
            </w:tcBorders>
            <w:shd w:val="clear" w:color="auto" w:fill="FFFFFF"/>
            <w:noWrap/>
            <w:vAlign w:val="center"/>
          </w:tcPr>
          <w:p w:rsidR="00F76EF0" w:rsidRPr="007C0CDA" w:rsidRDefault="00F76EF0" w:rsidP="005C7064">
            <w:pPr>
              <w:jc w:val="right"/>
              <w:rPr>
                <w:rFonts w:ascii="Arial" w:hAnsi="Arial" w:cs="Arial"/>
                <w:color w:val="000000"/>
                <w:sz w:val="18"/>
                <w:szCs w:val="18"/>
              </w:rPr>
            </w:pPr>
            <w:r w:rsidRPr="007C0CDA">
              <w:rPr>
                <w:color w:val="000000"/>
                <w:sz w:val="18"/>
                <w:szCs w:val="18"/>
              </w:rPr>
              <w:t>Zvýhodněný úvěr</w:t>
            </w:r>
          </w:p>
        </w:tc>
      </w:tr>
      <w:tr w:rsidR="00F76EF0" w:rsidRPr="007C0CDA" w:rsidTr="005C7064">
        <w:trPr>
          <w:trHeight w:val="20"/>
        </w:trPr>
        <w:tc>
          <w:tcPr>
            <w:tcW w:w="9343" w:type="dxa"/>
            <w:gridSpan w:val="7"/>
            <w:tcBorders>
              <w:left w:val="nil"/>
              <w:right w:val="nil"/>
            </w:tcBorders>
            <w:shd w:val="clear" w:color="auto" w:fill="548DD4"/>
            <w:vAlign w:val="center"/>
          </w:tcPr>
          <w:p w:rsidR="00F76EF0" w:rsidRPr="007C0CDA" w:rsidRDefault="00F76EF0" w:rsidP="005C7064">
            <w:pPr>
              <w:jc w:val="left"/>
              <w:rPr>
                <w:rFonts w:cs="Arial"/>
                <w:color w:val="FFFFFF"/>
                <w:sz w:val="18"/>
                <w:szCs w:val="18"/>
                <w:lang w:eastAsia="en-US"/>
              </w:rPr>
            </w:pPr>
            <w:r w:rsidRPr="007C0CDA">
              <w:rPr>
                <w:b/>
                <w:bCs/>
                <w:color w:val="FFFFFF"/>
                <w:sz w:val="18"/>
                <w:szCs w:val="18"/>
              </w:rPr>
              <w:t>V případě, že jste odpověděli spíše ne/ne, změnila by se Vaše odpověď na minulou otázku, kdyby zvýhodněný úvěr obsahoval příslib omezené dotační podpory (např. 10% celkové investice) v případě, že jsou naplněny vybrané cíle projektu?</w:t>
            </w:r>
          </w:p>
          <w:p w:rsidR="00F76EF0" w:rsidRPr="007C0CDA" w:rsidRDefault="00F76EF0" w:rsidP="005C7064">
            <w:pPr>
              <w:keepNext/>
              <w:jc w:val="left"/>
              <w:rPr>
                <w:rFonts w:ascii="Arial" w:hAnsi="Arial" w:cs="Arial"/>
                <w:color w:val="FFFFFF"/>
                <w:sz w:val="18"/>
                <w:szCs w:val="18"/>
              </w:rPr>
            </w:pPr>
          </w:p>
        </w:tc>
      </w:tr>
      <w:tr w:rsidR="00F76EF0" w:rsidRPr="007C0CDA" w:rsidTr="005C7064">
        <w:trPr>
          <w:trHeight w:val="20"/>
        </w:trPr>
        <w:tc>
          <w:tcPr>
            <w:tcW w:w="3240" w:type="dxa"/>
            <w:tcBorders>
              <w:left w:val="nil"/>
              <w:right w:val="nil"/>
            </w:tcBorders>
            <w:shd w:val="clear" w:color="auto" w:fill="548DD4"/>
            <w:vAlign w:val="center"/>
          </w:tcPr>
          <w:p w:rsidR="00F76EF0" w:rsidRPr="007C0CDA" w:rsidRDefault="00F76EF0" w:rsidP="005C7064">
            <w:pPr>
              <w:keepNext/>
              <w:rPr>
                <w:rFonts w:ascii="Arial" w:hAnsi="Arial" w:cs="Arial"/>
                <w:b/>
                <w:bCs/>
                <w:color w:val="FFFFFF"/>
                <w:sz w:val="18"/>
                <w:szCs w:val="18"/>
              </w:rPr>
            </w:pPr>
          </w:p>
        </w:tc>
        <w:tc>
          <w:tcPr>
            <w:tcW w:w="1125" w:type="dxa"/>
            <w:tcBorders>
              <w:left w:val="nil"/>
              <w:right w:val="nil"/>
            </w:tcBorders>
            <w:shd w:val="clear" w:color="auto" w:fill="548DD4"/>
            <w:noWrap/>
          </w:tcPr>
          <w:p w:rsidR="00F76EF0" w:rsidRPr="007C0CDA" w:rsidRDefault="00F76EF0" w:rsidP="005C7064">
            <w:pPr>
              <w:jc w:val="center"/>
              <w:rPr>
                <w:rFonts w:ascii="Arial" w:hAnsi="Arial" w:cs="Arial"/>
                <w:b/>
                <w:bCs/>
                <w:color w:val="FFFFFF"/>
                <w:sz w:val="18"/>
                <w:szCs w:val="18"/>
              </w:rPr>
            </w:pPr>
            <w:r w:rsidRPr="007C0CDA">
              <w:rPr>
                <w:b/>
                <w:bCs/>
                <w:color w:val="FFFFFF"/>
                <w:sz w:val="18"/>
                <w:szCs w:val="18"/>
              </w:rPr>
              <w:t>Určitě ano</w:t>
            </w:r>
          </w:p>
        </w:tc>
        <w:tc>
          <w:tcPr>
            <w:tcW w:w="1022" w:type="dxa"/>
            <w:tcBorders>
              <w:left w:val="nil"/>
              <w:right w:val="nil"/>
            </w:tcBorders>
            <w:shd w:val="clear" w:color="auto" w:fill="548DD4"/>
            <w:noWrap/>
          </w:tcPr>
          <w:p w:rsidR="00F76EF0" w:rsidRPr="007C0CDA" w:rsidRDefault="00F76EF0" w:rsidP="005C7064">
            <w:pPr>
              <w:jc w:val="center"/>
              <w:rPr>
                <w:rFonts w:ascii="Arial" w:hAnsi="Arial" w:cs="Arial"/>
                <w:b/>
                <w:bCs/>
                <w:color w:val="FFFFFF"/>
                <w:sz w:val="18"/>
                <w:szCs w:val="18"/>
              </w:rPr>
            </w:pPr>
            <w:r w:rsidRPr="007C0CDA">
              <w:rPr>
                <w:b/>
                <w:bCs/>
                <w:color w:val="FFFFFF"/>
                <w:sz w:val="18"/>
                <w:szCs w:val="18"/>
              </w:rPr>
              <w:t>Spíše ano</w:t>
            </w:r>
          </w:p>
        </w:tc>
        <w:tc>
          <w:tcPr>
            <w:tcW w:w="1022" w:type="dxa"/>
            <w:tcBorders>
              <w:left w:val="nil"/>
              <w:right w:val="nil"/>
            </w:tcBorders>
            <w:shd w:val="clear" w:color="auto" w:fill="548DD4"/>
            <w:noWrap/>
          </w:tcPr>
          <w:p w:rsidR="00F76EF0" w:rsidRPr="007C0CDA" w:rsidRDefault="00F76EF0" w:rsidP="005C7064">
            <w:pPr>
              <w:jc w:val="center"/>
              <w:rPr>
                <w:rFonts w:ascii="Arial" w:hAnsi="Arial" w:cs="Arial"/>
                <w:b/>
                <w:bCs/>
                <w:color w:val="FFFFFF"/>
                <w:sz w:val="18"/>
                <w:szCs w:val="18"/>
              </w:rPr>
            </w:pPr>
            <w:r w:rsidRPr="007C0CDA">
              <w:rPr>
                <w:b/>
                <w:bCs/>
                <w:color w:val="FFFFFF"/>
                <w:sz w:val="18"/>
                <w:szCs w:val="18"/>
              </w:rPr>
              <w:t>Spíše ne</w:t>
            </w:r>
          </w:p>
        </w:tc>
        <w:tc>
          <w:tcPr>
            <w:tcW w:w="1022" w:type="dxa"/>
            <w:tcBorders>
              <w:left w:val="nil"/>
              <w:right w:val="nil"/>
            </w:tcBorders>
            <w:shd w:val="clear" w:color="auto" w:fill="548DD4"/>
            <w:noWrap/>
          </w:tcPr>
          <w:p w:rsidR="00F76EF0" w:rsidRPr="007C0CDA" w:rsidRDefault="00F76EF0" w:rsidP="005C7064">
            <w:pPr>
              <w:jc w:val="center"/>
              <w:rPr>
                <w:rFonts w:ascii="Arial" w:hAnsi="Arial" w:cs="Arial"/>
                <w:b/>
                <w:bCs/>
                <w:color w:val="FFFFFF"/>
                <w:sz w:val="18"/>
                <w:szCs w:val="18"/>
              </w:rPr>
            </w:pPr>
            <w:r w:rsidRPr="007C0CDA">
              <w:rPr>
                <w:b/>
                <w:bCs/>
                <w:color w:val="FFFFFF"/>
                <w:sz w:val="18"/>
                <w:szCs w:val="18"/>
              </w:rPr>
              <w:t>Určitě ne</w:t>
            </w:r>
          </w:p>
        </w:tc>
        <w:tc>
          <w:tcPr>
            <w:tcW w:w="1912" w:type="dxa"/>
            <w:gridSpan w:val="2"/>
            <w:tcBorders>
              <w:left w:val="nil"/>
              <w:right w:val="nil"/>
            </w:tcBorders>
            <w:shd w:val="clear" w:color="auto" w:fill="548DD4"/>
            <w:noWrap/>
          </w:tcPr>
          <w:p w:rsidR="00F76EF0" w:rsidRPr="007C0CDA" w:rsidRDefault="00F76EF0" w:rsidP="005C7064">
            <w:pPr>
              <w:jc w:val="center"/>
              <w:rPr>
                <w:rFonts w:ascii="Arial" w:hAnsi="Arial" w:cs="Arial"/>
                <w:b/>
                <w:bCs/>
                <w:color w:val="FFFFFF"/>
                <w:sz w:val="18"/>
                <w:szCs w:val="18"/>
              </w:rPr>
            </w:pPr>
            <w:r w:rsidRPr="007C0CDA">
              <w:rPr>
                <w:b/>
                <w:bCs/>
                <w:color w:val="FFFFFF"/>
                <w:sz w:val="18"/>
                <w:szCs w:val="18"/>
              </w:rPr>
              <w:t xml:space="preserve"> Typ nástroje</w:t>
            </w:r>
          </w:p>
        </w:tc>
      </w:tr>
      <w:tr w:rsidR="00F76EF0" w:rsidRPr="007C0CDA" w:rsidTr="005C7064">
        <w:trPr>
          <w:trHeight w:val="203"/>
        </w:trPr>
        <w:tc>
          <w:tcPr>
            <w:tcW w:w="3240" w:type="dxa"/>
            <w:tcBorders>
              <w:left w:val="nil"/>
              <w:right w:val="nil"/>
            </w:tcBorders>
            <w:shd w:val="clear" w:color="auto" w:fill="FFFFFF"/>
            <w:vAlign w:val="center"/>
          </w:tcPr>
          <w:p w:rsidR="00F76EF0" w:rsidRPr="007C0CDA" w:rsidRDefault="00F76EF0" w:rsidP="005C7064">
            <w:pPr>
              <w:jc w:val="center"/>
              <w:rPr>
                <w:rFonts w:ascii="Arial" w:hAnsi="Arial" w:cs="Arial"/>
                <w:color w:val="000000"/>
                <w:sz w:val="18"/>
                <w:szCs w:val="18"/>
                <w:lang w:eastAsia="en-US"/>
              </w:rPr>
            </w:pPr>
            <w:r w:rsidRPr="007C0CDA">
              <w:rPr>
                <w:color w:val="000000"/>
                <w:sz w:val="18"/>
                <w:szCs w:val="18"/>
              </w:rPr>
              <w:t>Investice do rekonstrukce soustavy zásobování teplem</w:t>
            </w:r>
          </w:p>
        </w:tc>
        <w:tc>
          <w:tcPr>
            <w:tcW w:w="1125" w:type="dxa"/>
            <w:tcBorders>
              <w:left w:val="nil"/>
              <w:right w:val="nil"/>
            </w:tcBorders>
            <w:shd w:val="clear" w:color="auto" w:fill="FFFFFF"/>
            <w:noWrap/>
            <w:vAlign w:val="center"/>
          </w:tcPr>
          <w:p w:rsidR="00F76EF0" w:rsidRPr="007C0CDA" w:rsidRDefault="00F76EF0" w:rsidP="005C7064">
            <w:pPr>
              <w:jc w:val="right"/>
              <w:rPr>
                <w:rFonts w:ascii="Arial" w:hAnsi="Arial" w:cs="Arial"/>
                <w:color w:val="000000"/>
                <w:sz w:val="18"/>
                <w:szCs w:val="18"/>
              </w:rPr>
            </w:pPr>
            <w:r w:rsidRPr="007C0CDA">
              <w:rPr>
                <w:color w:val="000000"/>
                <w:sz w:val="18"/>
                <w:szCs w:val="18"/>
              </w:rPr>
              <w:t>15%</w:t>
            </w:r>
          </w:p>
        </w:tc>
        <w:tc>
          <w:tcPr>
            <w:tcW w:w="1022" w:type="dxa"/>
            <w:tcBorders>
              <w:left w:val="nil"/>
              <w:right w:val="nil"/>
            </w:tcBorders>
            <w:shd w:val="clear" w:color="auto" w:fill="FFFFFF"/>
            <w:noWrap/>
            <w:vAlign w:val="center"/>
          </w:tcPr>
          <w:p w:rsidR="00F76EF0" w:rsidRPr="007C0CDA" w:rsidRDefault="00F76EF0" w:rsidP="005C7064">
            <w:pPr>
              <w:jc w:val="right"/>
              <w:rPr>
                <w:rFonts w:ascii="Arial" w:hAnsi="Arial" w:cs="Arial"/>
                <w:color w:val="000000"/>
                <w:sz w:val="18"/>
                <w:szCs w:val="18"/>
              </w:rPr>
            </w:pPr>
            <w:r w:rsidRPr="007C0CDA">
              <w:rPr>
                <w:color w:val="000000"/>
                <w:sz w:val="18"/>
                <w:szCs w:val="18"/>
              </w:rPr>
              <w:t>28%</w:t>
            </w:r>
          </w:p>
        </w:tc>
        <w:tc>
          <w:tcPr>
            <w:tcW w:w="1022" w:type="dxa"/>
            <w:tcBorders>
              <w:left w:val="nil"/>
              <w:right w:val="nil"/>
            </w:tcBorders>
            <w:shd w:val="clear" w:color="auto" w:fill="FFFFFF"/>
            <w:noWrap/>
            <w:vAlign w:val="center"/>
          </w:tcPr>
          <w:p w:rsidR="00F76EF0" w:rsidRPr="007C0CDA" w:rsidRDefault="00F76EF0" w:rsidP="005C7064">
            <w:pPr>
              <w:jc w:val="right"/>
              <w:rPr>
                <w:rFonts w:ascii="Arial" w:hAnsi="Arial" w:cs="Arial"/>
                <w:color w:val="000000"/>
                <w:sz w:val="18"/>
                <w:szCs w:val="18"/>
              </w:rPr>
            </w:pPr>
            <w:r w:rsidRPr="007C0CDA">
              <w:rPr>
                <w:color w:val="000000"/>
                <w:sz w:val="18"/>
                <w:szCs w:val="18"/>
              </w:rPr>
              <w:t>22%</w:t>
            </w:r>
          </w:p>
        </w:tc>
        <w:tc>
          <w:tcPr>
            <w:tcW w:w="1022" w:type="dxa"/>
            <w:tcBorders>
              <w:left w:val="nil"/>
              <w:right w:val="nil"/>
            </w:tcBorders>
            <w:shd w:val="clear" w:color="auto" w:fill="FFFFFF"/>
            <w:noWrap/>
            <w:vAlign w:val="center"/>
          </w:tcPr>
          <w:p w:rsidR="00F76EF0" w:rsidRPr="007C0CDA" w:rsidRDefault="00F76EF0" w:rsidP="005C7064">
            <w:pPr>
              <w:jc w:val="right"/>
              <w:rPr>
                <w:rFonts w:ascii="Arial" w:hAnsi="Arial" w:cs="Arial"/>
                <w:color w:val="000000"/>
                <w:sz w:val="18"/>
                <w:szCs w:val="18"/>
              </w:rPr>
            </w:pPr>
            <w:r w:rsidRPr="007C0CDA">
              <w:rPr>
                <w:color w:val="000000"/>
                <w:sz w:val="18"/>
                <w:szCs w:val="18"/>
              </w:rPr>
              <w:t>35%</w:t>
            </w:r>
          </w:p>
        </w:tc>
        <w:tc>
          <w:tcPr>
            <w:tcW w:w="1912" w:type="dxa"/>
            <w:gridSpan w:val="2"/>
            <w:tcBorders>
              <w:left w:val="nil"/>
              <w:right w:val="nil"/>
            </w:tcBorders>
            <w:shd w:val="clear" w:color="auto" w:fill="FFFFFF"/>
            <w:noWrap/>
            <w:vAlign w:val="center"/>
          </w:tcPr>
          <w:p w:rsidR="00F76EF0" w:rsidRPr="007C0CDA" w:rsidRDefault="00F76EF0" w:rsidP="005C7064">
            <w:pPr>
              <w:jc w:val="right"/>
              <w:rPr>
                <w:rFonts w:ascii="Arial" w:hAnsi="Arial" w:cs="Arial"/>
                <w:color w:val="000000"/>
                <w:sz w:val="18"/>
                <w:szCs w:val="18"/>
                <w:lang w:eastAsia="en-US"/>
              </w:rPr>
            </w:pPr>
            <w:r w:rsidRPr="007C0CDA">
              <w:rPr>
                <w:color w:val="000000"/>
                <w:sz w:val="18"/>
                <w:szCs w:val="18"/>
              </w:rPr>
              <w:t>Zvýhodněný úvěr + dotace</w:t>
            </w:r>
          </w:p>
        </w:tc>
      </w:tr>
    </w:tbl>
    <w:p w:rsidR="00F76EF0" w:rsidRPr="007C0CDA" w:rsidRDefault="00F76EF0" w:rsidP="00F76EF0">
      <w:pPr>
        <w:pStyle w:val="Titulek"/>
      </w:pPr>
      <w:r w:rsidRPr="007C0CDA">
        <w:t xml:space="preserve">Tabulka </w:t>
      </w:r>
      <w:r w:rsidRPr="00854519">
        <w:fldChar w:fldCharType="begin"/>
      </w:r>
      <w:r w:rsidRPr="007C0CDA">
        <w:instrText xml:space="preserve"> SEQ Tabulka \* ARABIC </w:instrText>
      </w:r>
      <w:r w:rsidRPr="005C7064">
        <w:fldChar w:fldCharType="separate"/>
      </w:r>
      <w:r w:rsidR="00304FD4">
        <w:rPr>
          <w:noProof/>
        </w:rPr>
        <w:t>17</w:t>
      </w:r>
      <w:r w:rsidRPr="00854519">
        <w:fldChar w:fldCharType="end"/>
      </w:r>
      <w:r w:rsidRPr="007C0CDA">
        <w:t>- Aktivační potenciál finančních nástrojů (Zdroj: Dotazníkové šetření Ex ante OP PIK)</w:t>
      </w:r>
    </w:p>
    <w:p w:rsidR="00F76EF0" w:rsidRPr="007C0CDA" w:rsidRDefault="00F76EF0" w:rsidP="00DD69BE">
      <w:pPr>
        <w:pStyle w:val="Neslovannadpisy"/>
      </w:pPr>
    </w:p>
    <w:p w:rsidR="009D2CAE" w:rsidRPr="007C0CDA" w:rsidRDefault="009D2CAE" w:rsidP="00DD69BE">
      <w:pPr>
        <w:pStyle w:val="Neslovannadpisy"/>
      </w:pPr>
      <w:r w:rsidRPr="007C0CDA">
        <w:t>Odhad absorpční kapacity navrhovaných finančních nástrojů</w:t>
      </w:r>
    </w:p>
    <w:p w:rsidR="009D2CAE" w:rsidRPr="007C0CDA" w:rsidRDefault="009D2CAE" w:rsidP="00DD69BE">
      <w:r w:rsidRPr="002433DA">
        <w:t>Na základě odhadů Teplárenského sdružení o celkové investiční potřebě CZT (27 mld. Kč), dat o investiční aktivitě a podpoře v</w:t>
      </w:r>
      <w:r w:rsidRPr="007C0CDA">
        <w:t> </w:t>
      </w:r>
      <w:r w:rsidRPr="002433DA">
        <w:t>rámci OPPI a OPŽP v</w:t>
      </w:r>
      <w:r w:rsidRPr="007C0CDA">
        <w:t> </w:t>
      </w:r>
      <w:r w:rsidRPr="002433DA">
        <w:t>minulých letech a předpokladu zvýšené akcelerace rekonstrukcí v</w:t>
      </w:r>
      <w:r w:rsidRPr="007C0CDA">
        <w:t> </w:t>
      </w:r>
      <w:r w:rsidRPr="002433DA">
        <w:t xml:space="preserve">nadcházejícím období </w:t>
      </w:r>
      <w:r w:rsidRPr="002433DA">
        <w:rPr>
          <w:b/>
        </w:rPr>
        <w:t>odhadujeme minimální investiční poptávku v</w:t>
      </w:r>
      <w:r w:rsidRPr="007C0CDA">
        <w:rPr>
          <w:b/>
        </w:rPr>
        <w:t> </w:t>
      </w:r>
      <w:r w:rsidRPr="002433DA">
        <w:rPr>
          <w:b/>
        </w:rPr>
        <w:t>oblasti SC 3.5 v</w:t>
      </w:r>
      <w:r w:rsidRPr="007C0CDA">
        <w:rPr>
          <w:b/>
        </w:rPr>
        <w:t> </w:t>
      </w:r>
      <w:r w:rsidRPr="002433DA">
        <w:rPr>
          <w:b/>
        </w:rPr>
        <w:t>příštím období na 4-10 mld. Kč</w:t>
      </w:r>
      <w:r w:rsidRPr="002433DA">
        <w:t>. Pokud by se aktivoval veškerý potenciál, který Teplárenské sdružení ČR odhaduje, může být reálná absorpční kapacita ještě výrazně vyšší. Z</w:t>
      </w:r>
      <w:r w:rsidRPr="007C0CDA">
        <w:t> </w:t>
      </w:r>
      <w:r w:rsidRPr="002433DA">
        <w:t>hlediska vysoké návratnosti investic do rozvodů tepla předpokládá nicméně velká část investic výraznější dotační podporu.</w:t>
      </w:r>
    </w:p>
    <w:p w:rsidR="009D2CAE" w:rsidRPr="007C0CDA" w:rsidRDefault="009D2CAE" w:rsidP="00DD69BE"/>
    <w:p w:rsidR="009D2CAE" w:rsidRPr="00854519" w:rsidRDefault="009D2CAE" w:rsidP="002433DA">
      <w:pPr>
        <w:pStyle w:val="Nadpis3"/>
      </w:pPr>
      <w:bookmarkStart w:id="552" w:name="_Toc416447874"/>
      <w:r w:rsidRPr="00B675D6">
        <w:t>Analýza tržních selhání a suboptimální investiční situace</w:t>
      </w:r>
      <w:bookmarkEnd w:id="552"/>
    </w:p>
    <w:p w:rsidR="009D2CAE" w:rsidRPr="007C0CDA" w:rsidRDefault="009D2CAE" w:rsidP="00116A6A">
      <w:r w:rsidRPr="007C0CDA">
        <w:t>Výrazné energetické ztráty v letitých rozvodech tepla jsou dnes citelným problémem v oblasti energetické účinnosti, který zvyšuje spotřebu fosilních paliv. Relativně malá investiční aktivita i přes dlouhodobě ziskový charakter investic indikuje výrazné tržní selhání.</w:t>
      </w:r>
    </w:p>
    <w:p w:rsidR="009D2CAE" w:rsidRPr="007C0CDA" w:rsidRDefault="009D2CAE" w:rsidP="00116A6A"/>
    <w:p w:rsidR="009D2CAE" w:rsidRPr="007C0CDA" w:rsidRDefault="009D2CAE">
      <w:r w:rsidRPr="007C0CDA">
        <w:t>Suboptimální investiční situace v SC 3.5 spočívá zejména ve vysokých nákladech na rekonstrukci (řádově až stamilionové projekty),dlouhé době návratnost (až 15 let) a také regulovanosti odvětví. Určování cen dle kalkulace podle cenových rozhodnutí ERÚ není v případě producentů tepla příliš motivující pro nové investice. Producenti tepla vystupují prakticky v pozici lokálních kvazi-monopolů a mohou do značné míry přenášet náklady na paliva a energetické ztráty na odběratele – byť postupující odpojování uživatelů od centrálního zásobování, přechod na decentralizované zdroje a energetické úspory pozici centrálních producentů komplikuje.</w:t>
      </w:r>
    </w:p>
    <w:p w:rsidR="009D2CAE" w:rsidRPr="007C0CDA" w:rsidRDefault="009D2CAE"/>
    <w:p w:rsidR="009D2CAE" w:rsidRPr="007C0CDA" w:rsidRDefault="009D2CAE">
      <w:r w:rsidRPr="007C0CDA">
        <w:t>Problémem pro teplárny jsou v současné době výrazné náklady na opatření ke snížení emisí do roku 2016. Primárně ekologizační opatření mají tedy v investičním harmonogramu přednost a potenciál dalších investic bude umenšen jak z hlediska vlastních zdrojů a přeúvěrování podniků, tak z hlediska přenesení investičních nákladů na odběratele – kteří se stávají velmi citlivými na cenu.Otázka dostupnosti levných zdrojů na investice je tedy u rekonstrukce CZT klíčová.</w:t>
      </w:r>
    </w:p>
    <w:p w:rsidR="009D2CAE" w:rsidRPr="007C0CDA" w:rsidRDefault="009D2CAE"/>
    <w:p w:rsidR="009D2CAE" w:rsidRPr="007C0CDA" w:rsidRDefault="009D2CAE">
      <w:r w:rsidRPr="007C0CDA">
        <w:t>Vysoké náklady se pojí i se zefektivňováním KVET a zejména pak s jejím novým zaváděním, které si žádá investice do rozvodů tepla a je podmíněno existencí dostatečné poptávky. Tyto požadavky jsou částečně kompenzovány vysokým zvýhodněním provozní podporou a samotnou efektivností tohoto druhu výroby.</w:t>
      </w:r>
    </w:p>
    <w:p w:rsidR="009D2CAE" w:rsidRPr="007C0CDA" w:rsidRDefault="009D2CAE"/>
    <w:p w:rsidR="009D2CAE" w:rsidRPr="007C0CDA" w:rsidRDefault="009D2CAE">
      <w:r w:rsidRPr="007C0CDA">
        <w:t>Také přípravná fáze investic sebou nese vysoké náklady, včetně energetických auditů a projektové přípravy – byť vzhledem k velikosti projektů a faktu, že tyto investice jsou na rozdíl od SC 3.2 zpravidla v centru zájmu těchto firem, toto nepředstavuje tak velkou bariéru.</w:t>
      </w:r>
    </w:p>
    <w:p w:rsidR="009D2CAE" w:rsidRPr="007C0CDA" w:rsidRDefault="009D2CAE"/>
    <w:p w:rsidR="009D2CAE" w:rsidRPr="007C0CDA" w:rsidRDefault="009D2CAE">
      <w:r w:rsidRPr="007C0CDA">
        <w:t>Úvěrové financování je z hlediska relativní stability regulovaného odvětví a zisků poměrně dobře dostupné, komplikací však může být zmíněná nemožnost poskytování potrubí jako kolaterálu, případně v některých případech přeúvěrovanost z důvodu dalších investic a slabá kapitálová vybavenost menších subjektů. S projekty je přirozeně spojené též technologické riziko a zejména problém dlouhé doby návratnosti.</w:t>
      </w:r>
    </w:p>
    <w:p w:rsidR="009D2CAE" w:rsidRPr="007C0CDA" w:rsidRDefault="009D2CAE" w:rsidP="00F2306B">
      <w:pPr>
        <w:pStyle w:val="Vtneslovannadpis"/>
      </w:pPr>
    </w:p>
    <w:p w:rsidR="009D2CAE" w:rsidRPr="00854519" w:rsidRDefault="009D2CAE" w:rsidP="002433DA">
      <w:pPr>
        <w:pStyle w:val="Nadpis3"/>
      </w:pPr>
      <w:bookmarkStart w:id="553" w:name="_Toc416447875"/>
      <w:r w:rsidRPr="00B675D6">
        <w:t>Návrh opatření</w:t>
      </w:r>
      <w:bookmarkEnd w:id="553"/>
    </w:p>
    <w:p w:rsidR="009D2CAE" w:rsidRPr="007C0CDA" w:rsidRDefault="009D2CAE">
      <w:r w:rsidRPr="007C0CDA">
        <w:t>Investice do KVET a rekonstrukcí tepelných rozvodů jsou charakteristické vysokou nákladností a poměrně dlouhou dobou návratnosti (typový projekt rekonstrukce distribučního potrubí vykazuje dobu návratnosti 11,3 roku). Vyplatí se tedy až v delším časovém horizontu. Rozdílná kapitálová síla a úvěrovatelnost subjektů na trhu implikuje pro část podniků obtížný přístup k financování, problém tvoří i nemožnost užití podzemního potrubí jako kolaterál. Oblast tak vykazuje výraznou tržní mezeru a potenciál pro užití veřejné podpory, která by aktivizovala velkou investiční potřebu, jež se zde nachází.</w:t>
      </w:r>
    </w:p>
    <w:p w:rsidR="009D2CAE" w:rsidRPr="007C0CDA" w:rsidRDefault="009D2CAE"/>
    <w:p w:rsidR="009D2CAE" w:rsidRPr="007C0CDA" w:rsidRDefault="009D2CAE">
      <w:r w:rsidRPr="007C0CDA">
        <w:t>Vzhledem k ziskovému charakteru projektů v SC 3.5 a identifikovanému tržnímu selhání v přístupu k financím a delší návratnosti doporučujeme v této oblasti minimálně na část alokace využít podporu formou finančních nástrojů – poskytováním zvýhodněných úvěrů s delší dobou splatnosti a příspěvkem na projektovou dokumentaci. Obdobně jako v SC 3.2 doporučujeme vzhledem k dosavadní dotační podpoře evoluční přístup, nejprve v podobě pilotního projektu na menší část alokace, který bude doplňkový k dotační podpoře.</w:t>
      </w:r>
    </w:p>
    <w:p w:rsidR="009D2CAE" w:rsidRPr="007C0CDA" w:rsidRDefault="009D2CAE"/>
    <w:p w:rsidR="009D2CAE" w:rsidRPr="007C0CDA" w:rsidRDefault="009D2CAE">
      <w:r w:rsidRPr="007C0CDA">
        <w:t>Deloitte Advisory doporučuje poskytování zvýhodněných úvěrů aplikovat při konfliktu profilu žadatele s kritérii komerčních bank v jiných oblastech než ziskovost a zajištění, tedy např. velikosti projektu nebo konkrétní typ projektu. Největším rizikem pro komerční banky je návratnost projektu, z toho důvodu je podstata zvýhodnění úvěru primárně v prodloužení doby splatnosti.</w:t>
      </w:r>
    </w:p>
    <w:p w:rsidR="009D2CAE" w:rsidRPr="007C0CDA" w:rsidRDefault="009D2CAE"/>
    <w:p w:rsidR="009D2CAE" w:rsidRPr="007C0CDA" w:rsidRDefault="009D2CAE" w:rsidP="00F8454D">
      <w:pPr>
        <w:pStyle w:val="Nadpis3"/>
        <w:rPr>
          <w:lang w:eastAsia="en-US"/>
        </w:rPr>
      </w:pPr>
      <w:bookmarkStart w:id="554" w:name="_Toc416447876"/>
      <w:r w:rsidRPr="007C0CDA">
        <w:rPr>
          <w:lang w:eastAsia="en-US"/>
        </w:rPr>
        <w:t>Posouzení přidané hodnoty finančních nástrojů</w:t>
      </w:r>
      <w:bookmarkEnd w:id="554"/>
    </w:p>
    <w:p w:rsidR="006842C8" w:rsidRDefault="006842C8" w:rsidP="006842C8">
      <w:r w:rsidRPr="007C0CDA">
        <w:t xml:space="preserve">V rámci tabulek níže je uveden přehled přidané hodnoty, problémů a rizik z pohledu konečného příjemce a ŘO (tabulka č. 2) a z pohledu celkového dopadu na absorpční kapacitu a dosažení cílů SC </w:t>
      </w:r>
      <w:r>
        <w:t>3</w:t>
      </w:r>
      <w:r w:rsidRPr="007C0CDA">
        <w:t>.</w:t>
      </w:r>
      <w:r>
        <w:t>2</w:t>
      </w:r>
      <w:r w:rsidRPr="007C0CDA">
        <w:t xml:space="preserve">, se zohledněním dopadů na tržní prostředí. Porovnány jsou nástroje formou </w:t>
      </w:r>
      <w:r>
        <w:t xml:space="preserve">záruk, zvýhodněných úvěrů </w:t>
      </w:r>
      <w:r w:rsidRPr="007C0CDA">
        <w:t>a dotací.</w:t>
      </w:r>
    </w:p>
    <w:p w:rsidR="006842C8" w:rsidRPr="007C0CDA" w:rsidRDefault="006842C8" w:rsidP="006842C8"/>
    <w:tbl>
      <w:tblPr>
        <w:tblpPr w:leftFromText="141" w:rightFromText="141" w:vertAnchor="text" w:horzAnchor="margin" w:tblpY="-23"/>
        <w:tblW w:w="8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60"/>
        <w:gridCol w:w="960"/>
        <w:gridCol w:w="2414"/>
        <w:gridCol w:w="2330"/>
        <w:gridCol w:w="2330"/>
      </w:tblGrid>
      <w:tr w:rsidR="006842C8" w:rsidRPr="007C0CDA" w:rsidTr="002E3AE9">
        <w:trPr>
          <w:trHeight w:val="315"/>
        </w:trPr>
        <w:tc>
          <w:tcPr>
            <w:tcW w:w="960" w:type="dxa"/>
            <w:shd w:val="clear" w:color="auto" w:fill="365F91"/>
            <w:noWrap/>
            <w:vAlign w:val="bottom"/>
          </w:tcPr>
          <w:p w:rsidR="006842C8" w:rsidRPr="007C0CDA" w:rsidRDefault="006842C8" w:rsidP="002E3AE9">
            <w:pPr>
              <w:jc w:val="left"/>
              <w:rPr>
                <w:rFonts w:ascii="Times New Roman" w:hAnsi="Times New Roman"/>
                <w:sz w:val="24"/>
                <w:szCs w:val="24"/>
              </w:rPr>
            </w:pPr>
          </w:p>
        </w:tc>
        <w:tc>
          <w:tcPr>
            <w:tcW w:w="960" w:type="dxa"/>
            <w:shd w:val="clear" w:color="auto" w:fill="365F91"/>
            <w:noWrap/>
            <w:vAlign w:val="bottom"/>
          </w:tcPr>
          <w:p w:rsidR="006842C8" w:rsidRPr="007C0CDA" w:rsidRDefault="006842C8" w:rsidP="002E3AE9">
            <w:pPr>
              <w:jc w:val="left"/>
              <w:rPr>
                <w:rFonts w:ascii="Times New Roman" w:hAnsi="Times New Roman"/>
                <w:color w:val="000000"/>
                <w:sz w:val="24"/>
                <w:szCs w:val="24"/>
              </w:rPr>
            </w:pPr>
            <w:r w:rsidRPr="007C0CDA">
              <w:rPr>
                <w:rFonts w:ascii="Times New Roman" w:hAnsi="Times New Roman"/>
                <w:color w:val="000000"/>
                <w:sz w:val="24"/>
                <w:szCs w:val="24"/>
              </w:rPr>
              <w:t> </w:t>
            </w:r>
          </w:p>
        </w:tc>
        <w:tc>
          <w:tcPr>
            <w:tcW w:w="4744" w:type="dxa"/>
            <w:gridSpan w:val="2"/>
            <w:shd w:val="clear" w:color="auto" w:fill="365F91"/>
            <w:noWrap/>
            <w:vAlign w:val="center"/>
          </w:tcPr>
          <w:p w:rsidR="006842C8" w:rsidRPr="007C0CDA" w:rsidRDefault="006842C8" w:rsidP="002E3AE9">
            <w:pPr>
              <w:jc w:val="center"/>
              <w:rPr>
                <w:b/>
                <w:bCs/>
                <w:color w:val="FFFFFF"/>
                <w:sz w:val="24"/>
                <w:szCs w:val="24"/>
              </w:rPr>
            </w:pPr>
            <w:r w:rsidRPr="007C0CDA">
              <w:rPr>
                <w:b/>
                <w:bCs/>
                <w:color w:val="FFFFFF"/>
                <w:sz w:val="24"/>
                <w:szCs w:val="24"/>
              </w:rPr>
              <w:t>Finanční nástroj</w:t>
            </w:r>
          </w:p>
        </w:tc>
        <w:tc>
          <w:tcPr>
            <w:tcW w:w="2330" w:type="dxa"/>
            <w:shd w:val="clear" w:color="auto" w:fill="365F91"/>
          </w:tcPr>
          <w:p w:rsidR="006842C8" w:rsidRPr="007C0CDA" w:rsidRDefault="006842C8" w:rsidP="002E3AE9">
            <w:pPr>
              <w:jc w:val="center"/>
              <w:rPr>
                <w:b/>
                <w:bCs/>
                <w:color w:val="FFFFFF"/>
                <w:sz w:val="24"/>
                <w:szCs w:val="24"/>
              </w:rPr>
            </w:pPr>
            <w:r w:rsidRPr="007C0CDA">
              <w:rPr>
                <w:b/>
                <w:bCs/>
                <w:color w:val="FFFFFF"/>
                <w:sz w:val="24"/>
                <w:szCs w:val="24"/>
              </w:rPr>
              <w:t>Dotace</w:t>
            </w:r>
          </w:p>
        </w:tc>
      </w:tr>
      <w:tr w:rsidR="006842C8" w:rsidRPr="007C0CDA" w:rsidTr="002E3AE9">
        <w:trPr>
          <w:trHeight w:val="315"/>
        </w:trPr>
        <w:tc>
          <w:tcPr>
            <w:tcW w:w="960" w:type="dxa"/>
            <w:shd w:val="clear" w:color="auto" w:fill="365F91"/>
            <w:noWrap/>
            <w:vAlign w:val="center"/>
          </w:tcPr>
          <w:p w:rsidR="006842C8" w:rsidRPr="007C0CDA" w:rsidRDefault="006842C8" w:rsidP="002E3AE9">
            <w:pPr>
              <w:jc w:val="center"/>
              <w:rPr>
                <w:b/>
                <w:bCs/>
                <w:color w:val="000000"/>
                <w:sz w:val="24"/>
                <w:szCs w:val="24"/>
              </w:rPr>
            </w:pPr>
          </w:p>
        </w:tc>
        <w:tc>
          <w:tcPr>
            <w:tcW w:w="960" w:type="dxa"/>
            <w:shd w:val="clear" w:color="auto" w:fill="365F91"/>
            <w:noWrap/>
            <w:vAlign w:val="center"/>
          </w:tcPr>
          <w:p w:rsidR="006842C8" w:rsidRPr="007C0CDA" w:rsidRDefault="006842C8" w:rsidP="002E3AE9">
            <w:pPr>
              <w:jc w:val="left"/>
              <w:rPr>
                <w:color w:val="000000"/>
                <w:sz w:val="24"/>
                <w:szCs w:val="24"/>
              </w:rPr>
            </w:pPr>
            <w:r w:rsidRPr="007C0CDA">
              <w:rPr>
                <w:color w:val="000000"/>
                <w:sz w:val="24"/>
                <w:szCs w:val="24"/>
              </w:rPr>
              <w:t> </w:t>
            </w:r>
          </w:p>
        </w:tc>
        <w:tc>
          <w:tcPr>
            <w:tcW w:w="2414" w:type="dxa"/>
            <w:shd w:val="clear" w:color="auto" w:fill="365F91"/>
            <w:vAlign w:val="center"/>
          </w:tcPr>
          <w:p w:rsidR="006842C8" w:rsidRPr="007C0CDA" w:rsidRDefault="006842C8" w:rsidP="002E3AE9">
            <w:pPr>
              <w:jc w:val="center"/>
              <w:rPr>
                <w:b/>
                <w:bCs/>
                <w:color w:val="FFFFFF"/>
                <w:sz w:val="24"/>
                <w:szCs w:val="24"/>
              </w:rPr>
            </w:pPr>
            <w:r w:rsidRPr="007C0CDA">
              <w:rPr>
                <w:b/>
                <w:bCs/>
                <w:color w:val="FFFFFF"/>
                <w:sz w:val="24"/>
                <w:szCs w:val="24"/>
              </w:rPr>
              <w:t>Záruční nástroj</w:t>
            </w:r>
          </w:p>
        </w:tc>
        <w:tc>
          <w:tcPr>
            <w:tcW w:w="2330" w:type="dxa"/>
            <w:shd w:val="clear" w:color="auto" w:fill="365F91"/>
            <w:vAlign w:val="center"/>
          </w:tcPr>
          <w:p w:rsidR="006842C8" w:rsidRPr="007C0CDA" w:rsidRDefault="006842C8" w:rsidP="002E3AE9">
            <w:pPr>
              <w:jc w:val="center"/>
              <w:rPr>
                <w:b/>
                <w:bCs/>
                <w:color w:val="FFFFFF"/>
                <w:sz w:val="24"/>
                <w:szCs w:val="24"/>
              </w:rPr>
            </w:pPr>
            <w:r w:rsidRPr="007C0CDA">
              <w:rPr>
                <w:b/>
                <w:bCs/>
                <w:color w:val="FFFFFF"/>
                <w:sz w:val="24"/>
                <w:szCs w:val="24"/>
              </w:rPr>
              <w:t>Zvýhodněný úvěr</w:t>
            </w:r>
          </w:p>
        </w:tc>
        <w:tc>
          <w:tcPr>
            <w:tcW w:w="2330" w:type="dxa"/>
            <w:shd w:val="clear" w:color="auto" w:fill="365F91"/>
          </w:tcPr>
          <w:p w:rsidR="006842C8" w:rsidRPr="007C0CDA" w:rsidRDefault="006842C8" w:rsidP="002E3AE9">
            <w:pPr>
              <w:jc w:val="center"/>
              <w:rPr>
                <w:b/>
                <w:bCs/>
                <w:color w:val="FFFFFF"/>
                <w:sz w:val="24"/>
                <w:szCs w:val="24"/>
              </w:rPr>
            </w:pPr>
          </w:p>
        </w:tc>
      </w:tr>
      <w:tr w:rsidR="006842C8" w:rsidRPr="007C0CDA" w:rsidTr="002E3AE9">
        <w:trPr>
          <w:trHeight w:val="720"/>
        </w:trPr>
        <w:tc>
          <w:tcPr>
            <w:tcW w:w="960" w:type="dxa"/>
            <w:vMerge w:val="restart"/>
            <w:shd w:val="clear" w:color="auto" w:fill="8DB3E2"/>
            <w:noWrap/>
            <w:textDirection w:val="btLr"/>
            <w:vAlign w:val="center"/>
          </w:tcPr>
          <w:p w:rsidR="006842C8" w:rsidRPr="007C0CDA" w:rsidRDefault="006842C8" w:rsidP="002E3AE9">
            <w:pPr>
              <w:jc w:val="center"/>
              <w:rPr>
                <w:b/>
                <w:bCs/>
                <w:color w:val="FFFFFF"/>
                <w:sz w:val="24"/>
                <w:szCs w:val="24"/>
              </w:rPr>
            </w:pPr>
            <w:r w:rsidRPr="007C0CDA">
              <w:rPr>
                <w:b/>
                <w:bCs/>
                <w:color w:val="FFFFFF"/>
                <w:sz w:val="24"/>
                <w:szCs w:val="24"/>
              </w:rPr>
              <w:t>Přidaná hodnota veřejné podpory pro příjemce a ŘO</w:t>
            </w:r>
          </w:p>
        </w:tc>
        <w:tc>
          <w:tcPr>
            <w:tcW w:w="960" w:type="dxa"/>
            <w:vMerge w:val="restart"/>
            <w:shd w:val="clear" w:color="auto" w:fill="8DB3E2"/>
            <w:noWrap/>
            <w:textDirection w:val="btLr"/>
            <w:vAlign w:val="center"/>
          </w:tcPr>
          <w:p w:rsidR="006842C8" w:rsidRPr="007C0CDA" w:rsidRDefault="006842C8" w:rsidP="002E3AE9">
            <w:pPr>
              <w:jc w:val="center"/>
              <w:rPr>
                <w:b/>
                <w:bCs/>
                <w:color w:val="FFFFFF"/>
                <w:sz w:val="24"/>
                <w:szCs w:val="24"/>
              </w:rPr>
            </w:pPr>
            <w:r w:rsidRPr="007C0CDA">
              <w:rPr>
                <w:b/>
                <w:bCs/>
                <w:color w:val="FFFFFF"/>
                <w:sz w:val="24"/>
                <w:szCs w:val="24"/>
              </w:rPr>
              <w:t>Konečný příjemce</w:t>
            </w:r>
          </w:p>
        </w:tc>
        <w:tc>
          <w:tcPr>
            <w:tcW w:w="2414" w:type="dxa"/>
            <w:shd w:val="clear" w:color="auto" w:fill="8DB3E2"/>
            <w:vAlign w:val="center"/>
          </w:tcPr>
          <w:p w:rsidR="006842C8" w:rsidRPr="007C0CDA" w:rsidRDefault="006842C8" w:rsidP="002E3AE9">
            <w:pPr>
              <w:jc w:val="center"/>
              <w:rPr>
                <w:b/>
                <w:color w:val="FFFFFF"/>
                <w:sz w:val="20"/>
              </w:rPr>
            </w:pPr>
            <w:r w:rsidRPr="007C0CDA">
              <w:rPr>
                <w:b/>
                <w:color w:val="FFFFFF"/>
                <w:sz w:val="20"/>
              </w:rPr>
              <w:t>Zpřístupnění nedosažitelného financování</w:t>
            </w:r>
          </w:p>
        </w:tc>
        <w:tc>
          <w:tcPr>
            <w:tcW w:w="2330" w:type="dxa"/>
            <w:shd w:val="clear" w:color="auto" w:fill="8DB3E2"/>
            <w:vAlign w:val="center"/>
          </w:tcPr>
          <w:p w:rsidR="006842C8" w:rsidRPr="007C0CDA" w:rsidRDefault="006842C8" w:rsidP="002E3AE9">
            <w:pPr>
              <w:jc w:val="center"/>
              <w:rPr>
                <w:b/>
                <w:color w:val="FFFFFF"/>
                <w:sz w:val="20"/>
              </w:rPr>
            </w:pPr>
            <w:r w:rsidRPr="007C0CDA">
              <w:rPr>
                <w:b/>
                <w:color w:val="FFFFFF"/>
                <w:sz w:val="20"/>
              </w:rPr>
              <w:t>Zpřístupnění vyšší míry externího financování</w:t>
            </w:r>
          </w:p>
        </w:tc>
        <w:tc>
          <w:tcPr>
            <w:tcW w:w="2330" w:type="dxa"/>
            <w:shd w:val="clear" w:color="auto" w:fill="8DB3E2"/>
          </w:tcPr>
          <w:p w:rsidR="006842C8" w:rsidRPr="007C0CDA" w:rsidRDefault="006842C8" w:rsidP="002E3AE9">
            <w:pPr>
              <w:jc w:val="center"/>
              <w:rPr>
                <w:b/>
                <w:color w:val="FFFFFF"/>
                <w:sz w:val="20"/>
              </w:rPr>
            </w:pPr>
            <w:r w:rsidRPr="007C0CDA">
              <w:rPr>
                <w:b/>
                <w:color w:val="FFFFFF"/>
                <w:sz w:val="20"/>
              </w:rPr>
              <w:t>Nevratný příspěvek na projekt</w:t>
            </w:r>
          </w:p>
        </w:tc>
      </w:tr>
      <w:tr w:rsidR="006842C8" w:rsidRPr="007C0CDA" w:rsidTr="002E3AE9">
        <w:trPr>
          <w:trHeight w:val="480"/>
        </w:trPr>
        <w:tc>
          <w:tcPr>
            <w:tcW w:w="960" w:type="dxa"/>
            <w:vMerge/>
            <w:shd w:val="clear" w:color="auto" w:fill="8DB3E2"/>
            <w:vAlign w:val="center"/>
          </w:tcPr>
          <w:p w:rsidR="006842C8" w:rsidRPr="007C0CDA" w:rsidRDefault="006842C8" w:rsidP="002E3AE9">
            <w:pPr>
              <w:jc w:val="left"/>
              <w:rPr>
                <w:b/>
                <w:bCs/>
                <w:color w:val="FFFFFF"/>
                <w:sz w:val="24"/>
                <w:szCs w:val="24"/>
              </w:rPr>
            </w:pPr>
          </w:p>
        </w:tc>
        <w:tc>
          <w:tcPr>
            <w:tcW w:w="960" w:type="dxa"/>
            <w:vMerge/>
            <w:shd w:val="clear" w:color="auto" w:fill="8DB3E2"/>
            <w:vAlign w:val="center"/>
          </w:tcPr>
          <w:p w:rsidR="006842C8" w:rsidRPr="007C0CDA" w:rsidRDefault="006842C8" w:rsidP="002E3AE9">
            <w:pPr>
              <w:jc w:val="left"/>
              <w:rPr>
                <w:b/>
                <w:bCs/>
                <w:color w:val="FFFFFF"/>
                <w:sz w:val="24"/>
                <w:szCs w:val="24"/>
              </w:rPr>
            </w:pPr>
          </w:p>
        </w:tc>
        <w:tc>
          <w:tcPr>
            <w:tcW w:w="2414" w:type="dxa"/>
            <w:shd w:val="clear" w:color="auto" w:fill="8DB3E2"/>
            <w:vAlign w:val="center"/>
          </w:tcPr>
          <w:p w:rsidR="006842C8" w:rsidRPr="007C0CDA" w:rsidRDefault="006842C8" w:rsidP="002E3AE9">
            <w:pPr>
              <w:jc w:val="center"/>
              <w:rPr>
                <w:b/>
                <w:color w:val="FFFFFF"/>
                <w:sz w:val="20"/>
              </w:rPr>
            </w:pPr>
            <w:r w:rsidRPr="007C0CDA">
              <w:rPr>
                <w:b/>
                <w:color w:val="FFFFFF"/>
                <w:sz w:val="20"/>
              </w:rPr>
              <w:t>Částečné snížení úrokové sazby snížením rizikové přirážky</w:t>
            </w:r>
          </w:p>
        </w:tc>
        <w:tc>
          <w:tcPr>
            <w:tcW w:w="2330" w:type="dxa"/>
            <w:shd w:val="clear" w:color="auto" w:fill="8DB3E2"/>
            <w:vAlign w:val="center"/>
          </w:tcPr>
          <w:p w:rsidR="006842C8" w:rsidRPr="007C0CDA" w:rsidRDefault="006842C8" w:rsidP="002E3AE9">
            <w:pPr>
              <w:jc w:val="center"/>
              <w:rPr>
                <w:b/>
                <w:color w:val="FFFFFF"/>
                <w:sz w:val="20"/>
              </w:rPr>
            </w:pPr>
            <w:r w:rsidRPr="007C0CDA">
              <w:rPr>
                <w:b/>
                <w:color w:val="FFFFFF"/>
                <w:sz w:val="20"/>
              </w:rPr>
              <w:t>Snížení úrokové sazby</w:t>
            </w:r>
          </w:p>
        </w:tc>
        <w:tc>
          <w:tcPr>
            <w:tcW w:w="2330" w:type="dxa"/>
            <w:shd w:val="clear" w:color="auto" w:fill="8DB3E2"/>
          </w:tcPr>
          <w:p w:rsidR="006842C8" w:rsidRPr="007C0CDA" w:rsidRDefault="006842C8" w:rsidP="002E3AE9">
            <w:pPr>
              <w:jc w:val="center"/>
              <w:rPr>
                <w:b/>
                <w:color w:val="FFFFFF"/>
                <w:sz w:val="20"/>
              </w:rPr>
            </w:pPr>
            <w:r w:rsidRPr="007C0CDA">
              <w:rPr>
                <w:b/>
                <w:color w:val="FFFFFF"/>
                <w:sz w:val="20"/>
              </w:rPr>
              <w:t xml:space="preserve">Vysoce snížená doba návratnosti </w:t>
            </w:r>
          </w:p>
        </w:tc>
      </w:tr>
      <w:tr w:rsidR="006842C8" w:rsidRPr="007C0CDA" w:rsidTr="002E3AE9">
        <w:trPr>
          <w:trHeight w:val="720"/>
        </w:trPr>
        <w:tc>
          <w:tcPr>
            <w:tcW w:w="960" w:type="dxa"/>
            <w:vMerge/>
            <w:shd w:val="clear" w:color="auto" w:fill="8DB3E2"/>
            <w:vAlign w:val="center"/>
          </w:tcPr>
          <w:p w:rsidR="006842C8" w:rsidRPr="007C0CDA" w:rsidRDefault="006842C8" w:rsidP="002E3AE9">
            <w:pPr>
              <w:jc w:val="left"/>
              <w:rPr>
                <w:b/>
                <w:bCs/>
                <w:color w:val="FFFFFF"/>
                <w:sz w:val="24"/>
                <w:szCs w:val="24"/>
              </w:rPr>
            </w:pPr>
          </w:p>
        </w:tc>
        <w:tc>
          <w:tcPr>
            <w:tcW w:w="960" w:type="dxa"/>
            <w:vMerge/>
            <w:shd w:val="clear" w:color="auto" w:fill="8DB3E2"/>
            <w:vAlign w:val="center"/>
          </w:tcPr>
          <w:p w:rsidR="006842C8" w:rsidRPr="007C0CDA" w:rsidRDefault="006842C8" w:rsidP="002E3AE9">
            <w:pPr>
              <w:jc w:val="left"/>
              <w:rPr>
                <w:b/>
                <w:bCs/>
                <w:color w:val="FFFFFF"/>
                <w:sz w:val="24"/>
                <w:szCs w:val="24"/>
              </w:rPr>
            </w:pPr>
          </w:p>
        </w:tc>
        <w:tc>
          <w:tcPr>
            <w:tcW w:w="2414" w:type="dxa"/>
            <w:shd w:val="clear" w:color="auto" w:fill="8DB3E2"/>
            <w:vAlign w:val="center"/>
          </w:tcPr>
          <w:p w:rsidR="006842C8" w:rsidRPr="007C0CDA" w:rsidRDefault="006842C8" w:rsidP="002E3AE9">
            <w:pPr>
              <w:jc w:val="center"/>
              <w:rPr>
                <w:b/>
                <w:color w:val="FFFFFF"/>
                <w:sz w:val="20"/>
              </w:rPr>
            </w:pPr>
            <w:r w:rsidRPr="007C0CDA">
              <w:rPr>
                <w:b/>
                <w:color w:val="FFFFFF"/>
                <w:sz w:val="20"/>
              </w:rPr>
              <w:t>Snížení nároků na zástavu podniku</w:t>
            </w:r>
          </w:p>
        </w:tc>
        <w:tc>
          <w:tcPr>
            <w:tcW w:w="2330" w:type="dxa"/>
            <w:shd w:val="clear" w:color="auto" w:fill="8DB3E2"/>
            <w:vAlign w:val="center"/>
          </w:tcPr>
          <w:p w:rsidR="006842C8" w:rsidRPr="007C0CDA" w:rsidRDefault="006842C8" w:rsidP="002E3AE9">
            <w:pPr>
              <w:jc w:val="center"/>
              <w:rPr>
                <w:b/>
                <w:color w:val="FFFFFF"/>
                <w:sz w:val="20"/>
              </w:rPr>
            </w:pPr>
            <w:r w:rsidRPr="007C0CDA">
              <w:rPr>
                <w:b/>
                <w:color w:val="FFFFFF"/>
                <w:sz w:val="20"/>
              </w:rPr>
              <w:t>Delší doba splatnosti</w:t>
            </w:r>
          </w:p>
        </w:tc>
        <w:tc>
          <w:tcPr>
            <w:tcW w:w="2330" w:type="dxa"/>
            <w:shd w:val="clear" w:color="auto" w:fill="8DB3E2"/>
          </w:tcPr>
          <w:p w:rsidR="006842C8" w:rsidRPr="007C0CDA" w:rsidRDefault="006842C8" w:rsidP="002E3AE9">
            <w:pPr>
              <w:jc w:val="center"/>
              <w:rPr>
                <w:b/>
                <w:color w:val="FFFFFF"/>
                <w:sz w:val="20"/>
              </w:rPr>
            </w:pPr>
            <w:r w:rsidRPr="007C0CDA">
              <w:rPr>
                <w:b/>
                <w:color w:val="FFFFFF"/>
                <w:sz w:val="20"/>
              </w:rPr>
              <w:t>Snazší opatření úvěru na zbytek nákladů projektu</w:t>
            </w:r>
          </w:p>
        </w:tc>
      </w:tr>
      <w:tr w:rsidR="006842C8" w:rsidRPr="007C0CDA" w:rsidTr="002E3AE9">
        <w:trPr>
          <w:trHeight w:val="478"/>
        </w:trPr>
        <w:tc>
          <w:tcPr>
            <w:tcW w:w="960" w:type="dxa"/>
            <w:vMerge/>
            <w:shd w:val="clear" w:color="auto" w:fill="8DB3E2"/>
            <w:vAlign w:val="center"/>
          </w:tcPr>
          <w:p w:rsidR="006842C8" w:rsidRPr="007C0CDA" w:rsidRDefault="006842C8" w:rsidP="002E3AE9">
            <w:pPr>
              <w:jc w:val="left"/>
              <w:rPr>
                <w:b/>
                <w:bCs/>
                <w:color w:val="FFFFFF"/>
                <w:sz w:val="24"/>
                <w:szCs w:val="24"/>
              </w:rPr>
            </w:pPr>
          </w:p>
        </w:tc>
        <w:tc>
          <w:tcPr>
            <w:tcW w:w="960" w:type="dxa"/>
            <w:vMerge/>
            <w:shd w:val="clear" w:color="auto" w:fill="8DB3E2"/>
            <w:vAlign w:val="center"/>
          </w:tcPr>
          <w:p w:rsidR="006842C8" w:rsidRPr="007C0CDA" w:rsidRDefault="006842C8" w:rsidP="002E3AE9">
            <w:pPr>
              <w:jc w:val="left"/>
              <w:rPr>
                <w:b/>
                <w:bCs/>
                <w:color w:val="FFFFFF"/>
                <w:sz w:val="24"/>
                <w:szCs w:val="24"/>
              </w:rPr>
            </w:pPr>
          </w:p>
        </w:tc>
        <w:tc>
          <w:tcPr>
            <w:tcW w:w="2414" w:type="dxa"/>
            <w:shd w:val="clear" w:color="auto" w:fill="8DB3E2"/>
            <w:noWrap/>
            <w:vAlign w:val="center"/>
          </w:tcPr>
          <w:p w:rsidR="006842C8" w:rsidRPr="007C0CDA" w:rsidRDefault="006842C8" w:rsidP="002E3AE9">
            <w:pPr>
              <w:jc w:val="center"/>
              <w:rPr>
                <w:b/>
                <w:color w:val="FFFFFF"/>
                <w:sz w:val="20"/>
              </w:rPr>
            </w:pPr>
          </w:p>
        </w:tc>
        <w:tc>
          <w:tcPr>
            <w:tcW w:w="2330" w:type="dxa"/>
            <w:shd w:val="clear" w:color="auto" w:fill="8DB3E2"/>
            <w:vAlign w:val="center"/>
          </w:tcPr>
          <w:p w:rsidR="006842C8" w:rsidRPr="007C0CDA" w:rsidRDefault="006842C8" w:rsidP="002E3AE9">
            <w:pPr>
              <w:jc w:val="center"/>
              <w:rPr>
                <w:b/>
                <w:color w:val="FFFFFF"/>
                <w:sz w:val="20"/>
              </w:rPr>
            </w:pPr>
            <w:r w:rsidRPr="007C0CDA">
              <w:rPr>
                <w:b/>
                <w:color w:val="FFFFFF"/>
                <w:sz w:val="20"/>
              </w:rPr>
              <w:t>Snížená doba návratnosti</w:t>
            </w:r>
          </w:p>
        </w:tc>
        <w:tc>
          <w:tcPr>
            <w:tcW w:w="2330" w:type="dxa"/>
            <w:shd w:val="clear" w:color="auto" w:fill="8DB3E2"/>
          </w:tcPr>
          <w:p w:rsidR="006842C8" w:rsidRPr="007C0CDA" w:rsidRDefault="006842C8" w:rsidP="002E3AE9">
            <w:pPr>
              <w:jc w:val="center"/>
              <w:rPr>
                <w:b/>
                <w:color w:val="FFFFFF"/>
                <w:sz w:val="20"/>
              </w:rPr>
            </w:pPr>
            <w:r w:rsidRPr="007C0CDA">
              <w:rPr>
                <w:b/>
                <w:color w:val="FFFFFF"/>
                <w:sz w:val="20"/>
              </w:rPr>
              <w:t>Možnost investovat nadměrný zisk do dalších investic</w:t>
            </w:r>
          </w:p>
        </w:tc>
      </w:tr>
      <w:tr w:rsidR="006842C8" w:rsidRPr="007C0CDA" w:rsidTr="002E3AE9">
        <w:trPr>
          <w:trHeight w:val="680"/>
        </w:trPr>
        <w:tc>
          <w:tcPr>
            <w:tcW w:w="960" w:type="dxa"/>
            <w:vMerge/>
            <w:shd w:val="clear" w:color="auto" w:fill="8DB3E2"/>
            <w:vAlign w:val="center"/>
          </w:tcPr>
          <w:p w:rsidR="006842C8" w:rsidRPr="007C0CDA" w:rsidRDefault="006842C8" w:rsidP="002E3AE9">
            <w:pPr>
              <w:jc w:val="left"/>
              <w:rPr>
                <w:b/>
                <w:bCs/>
                <w:color w:val="FFFFFF"/>
                <w:sz w:val="24"/>
                <w:szCs w:val="24"/>
              </w:rPr>
            </w:pPr>
          </w:p>
        </w:tc>
        <w:tc>
          <w:tcPr>
            <w:tcW w:w="960" w:type="dxa"/>
            <w:vMerge/>
            <w:shd w:val="clear" w:color="auto" w:fill="8DB3E2"/>
            <w:vAlign w:val="center"/>
          </w:tcPr>
          <w:p w:rsidR="006842C8" w:rsidRPr="007C0CDA" w:rsidRDefault="006842C8" w:rsidP="002E3AE9">
            <w:pPr>
              <w:jc w:val="left"/>
              <w:rPr>
                <w:b/>
                <w:bCs/>
                <w:color w:val="FFFFFF"/>
                <w:sz w:val="24"/>
                <w:szCs w:val="24"/>
              </w:rPr>
            </w:pPr>
          </w:p>
        </w:tc>
        <w:tc>
          <w:tcPr>
            <w:tcW w:w="2414" w:type="dxa"/>
            <w:shd w:val="clear" w:color="auto" w:fill="8DB3E2"/>
            <w:vAlign w:val="center"/>
          </w:tcPr>
          <w:p w:rsidR="006842C8" w:rsidRPr="007C0CDA" w:rsidRDefault="006842C8" w:rsidP="002E3AE9">
            <w:pPr>
              <w:jc w:val="center"/>
              <w:rPr>
                <w:b/>
                <w:color w:val="FFFFFF"/>
                <w:sz w:val="20"/>
              </w:rPr>
            </w:pPr>
            <w:r w:rsidRPr="007C0CDA">
              <w:rPr>
                <w:b/>
                <w:color w:val="FFFFFF"/>
                <w:sz w:val="20"/>
              </w:rPr>
              <w:t>Platba v předstihu v podobě úvěru</w:t>
            </w:r>
          </w:p>
        </w:tc>
        <w:tc>
          <w:tcPr>
            <w:tcW w:w="2330" w:type="dxa"/>
            <w:shd w:val="clear" w:color="auto" w:fill="8DB3E2"/>
            <w:vAlign w:val="center"/>
          </w:tcPr>
          <w:p w:rsidR="006842C8" w:rsidRPr="007C0CDA" w:rsidRDefault="006842C8" w:rsidP="002E3AE9">
            <w:pPr>
              <w:jc w:val="center"/>
              <w:rPr>
                <w:b/>
                <w:color w:val="FFFFFF"/>
                <w:sz w:val="20"/>
              </w:rPr>
            </w:pPr>
            <w:r w:rsidRPr="007C0CDA">
              <w:rPr>
                <w:b/>
                <w:color w:val="FFFFFF"/>
                <w:sz w:val="20"/>
              </w:rPr>
              <w:t>Platba v předstihu v podobě úvěru</w:t>
            </w:r>
          </w:p>
        </w:tc>
        <w:tc>
          <w:tcPr>
            <w:tcW w:w="2330" w:type="dxa"/>
            <w:shd w:val="clear" w:color="auto" w:fill="8DB3E2"/>
          </w:tcPr>
          <w:p w:rsidR="006842C8" w:rsidRPr="007C0CDA" w:rsidRDefault="006842C8" w:rsidP="002E3AE9">
            <w:pPr>
              <w:jc w:val="center"/>
              <w:rPr>
                <w:b/>
                <w:color w:val="FFFFFF"/>
                <w:sz w:val="20"/>
              </w:rPr>
            </w:pPr>
          </w:p>
        </w:tc>
      </w:tr>
      <w:tr w:rsidR="006842C8" w:rsidRPr="007C0CDA" w:rsidTr="002E3AE9">
        <w:trPr>
          <w:trHeight w:val="690"/>
        </w:trPr>
        <w:tc>
          <w:tcPr>
            <w:tcW w:w="960" w:type="dxa"/>
            <w:vMerge/>
            <w:shd w:val="clear" w:color="auto" w:fill="8DB3E2"/>
            <w:vAlign w:val="center"/>
          </w:tcPr>
          <w:p w:rsidR="006842C8" w:rsidRPr="007C0CDA" w:rsidRDefault="006842C8" w:rsidP="002E3AE9">
            <w:pPr>
              <w:jc w:val="left"/>
              <w:rPr>
                <w:b/>
                <w:bCs/>
                <w:color w:val="FFFFFF"/>
                <w:sz w:val="24"/>
                <w:szCs w:val="24"/>
              </w:rPr>
            </w:pPr>
          </w:p>
        </w:tc>
        <w:tc>
          <w:tcPr>
            <w:tcW w:w="960" w:type="dxa"/>
            <w:vMerge/>
            <w:shd w:val="clear" w:color="auto" w:fill="8DB3E2"/>
            <w:vAlign w:val="center"/>
          </w:tcPr>
          <w:p w:rsidR="006842C8" w:rsidRPr="007C0CDA" w:rsidRDefault="006842C8" w:rsidP="002E3AE9">
            <w:pPr>
              <w:jc w:val="left"/>
              <w:rPr>
                <w:b/>
                <w:bCs/>
                <w:color w:val="FFFFFF"/>
                <w:sz w:val="24"/>
                <w:szCs w:val="24"/>
              </w:rPr>
            </w:pPr>
          </w:p>
        </w:tc>
        <w:tc>
          <w:tcPr>
            <w:tcW w:w="2414" w:type="dxa"/>
            <w:shd w:val="clear" w:color="auto" w:fill="8DB3E2"/>
            <w:vAlign w:val="center"/>
          </w:tcPr>
          <w:p w:rsidR="006842C8" w:rsidRPr="007C0CDA" w:rsidRDefault="006842C8" w:rsidP="002E3AE9">
            <w:pPr>
              <w:jc w:val="center"/>
              <w:rPr>
                <w:b/>
                <w:color w:val="FFFFFF"/>
                <w:sz w:val="20"/>
              </w:rPr>
            </w:pPr>
            <w:r w:rsidRPr="007C0CDA">
              <w:rPr>
                <w:b/>
                <w:color w:val="FFFFFF"/>
                <w:sz w:val="20"/>
              </w:rPr>
              <w:t>Nižší administrativní náročnost</w:t>
            </w:r>
          </w:p>
        </w:tc>
        <w:tc>
          <w:tcPr>
            <w:tcW w:w="2330" w:type="dxa"/>
            <w:shd w:val="clear" w:color="auto" w:fill="8DB3E2"/>
            <w:vAlign w:val="center"/>
          </w:tcPr>
          <w:p w:rsidR="006842C8" w:rsidRPr="007C0CDA" w:rsidRDefault="006842C8" w:rsidP="002E3AE9">
            <w:pPr>
              <w:jc w:val="center"/>
              <w:rPr>
                <w:b/>
                <w:color w:val="FFFFFF"/>
                <w:sz w:val="20"/>
              </w:rPr>
            </w:pPr>
            <w:r w:rsidRPr="007C0CDA">
              <w:rPr>
                <w:b/>
                <w:color w:val="FFFFFF"/>
                <w:sz w:val="20"/>
              </w:rPr>
              <w:t>Nižší administrativní náročnost</w:t>
            </w:r>
          </w:p>
        </w:tc>
        <w:tc>
          <w:tcPr>
            <w:tcW w:w="2330" w:type="dxa"/>
            <w:shd w:val="clear" w:color="auto" w:fill="8DB3E2"/>
          </w:tcPr>
          <w:p w:rsidR="006842C8" w:rsidRPr="007C0CDA" w:rsidRDefault="006842C8" w:rsidP="002E3AE9">
            <w:pPr>
              <w:jc w:val="left"/>
              <w:rPr>
                <w:rFonts w:ascii="Times New Roman" w:hAnsi="Times New Roman"/>
                <w:b/>
                <w:color w:val="FFFFFF"/>
                <w:sz w:val="20"/>
              </w:rPr>
            </w:pPr>
          </w:p>
        </w:tc>
      </w:tr>
      <w:tr w:rsidR="006842C8" w:rsidRPr="007C0CDA" w:rsidTr="002E3AE9">
        <w:trPr>
          <w:trHeight w:val="735"/>
        </w:trPr>
        <w:tc>
          <w:tcPr>
            <w:tcW w:w="960" w:type="dxa"/>
            <w:vMerge/>
            <w:shd w:val="clear" w:color="auto" w:fill="8DB3E2"/>
            <w:vAlign w:val="center"/>
          </w:tcPr>
          <w:p w:rsidR="006842C8" w:rsidRPr="007C0CDA" w:rsidRDefault="006842C8" w:rsidP="002E3AE9">
            <w:pPr>
              <w:jc w:val="left"/>
              <w:rPr>
                <w:b/>
                <w:bCs/>
                <w:color w:val="FFFFFF"/>
                <w:sz w:val="24"/>
                <w:szCs w:val="24"/>
              </w:rPr>
            </w:pPr>
          </w:p>
        </w:tc>
        <w:tc>
          <w:tcPr>
            <w:tcW w:w="960" w:type="dxa"/>
            <w:vMerge w:val="restart"/>
            <w:shd w:val="clear" w:color="auto" w:fill="8DB3E2"/>
            <w:noWrap/>
            <w:textDirection w:val="btLr"/>
            <w:vAlign w:val="center"/>
          </w:tcPr>
          <w:p w:rsidR="006842C8" w:rsidRPr="007C0CDA" w:rsidRDefault="006842C8" w:rsidP="002E3AE9">
            <w:pPr>
              <w:jc w:val="center"/>
              <w:rPr>
                <w:b/>
                <w:bCs/>
                <w:color w:val="FFFFFF"/>
                <w:sz w:val="24"/>
                <w:szCs w:val="24"/>
              </w:rPr>
            </w:pPr>
            <w:r w:rsidRPr="007C0CDA">
              <w:rPr>
                <w:b/>
                <w:bCs/>
                <w:color w:val="FFFFFF"/>
                <w:sz w:val="24"/>
                <w:szCs w:val="24"/>
              </w:rPr>
              <w:t>ŘO</w:t>
            </w:r>
          </w:p>
        </w:tc>
        <w:tc>
          <w:tcPr>
            <w:tcW w:w="2414" w:type="dxa"/>
            <w:shd w:val="clear" w:color="auto" w:fill="8DB3E2"/>
            <w:vAlign w:val="center"/>
          </w:tcPr>
          <w:p w:rsidR="006842C8" w:rsidRPr="007C0CDA" w:rsidRDefault="006842C8" w:rsidP="002E3AE9">
            <w:pPr>
              <w:jc w:val="center"/>
              <w:rPr>
                <w:b/>
                <w:color w:val="FFFFFF"/>
                <w:sz w:val="20"/>
              </w:rPr>
            </w:pPr>
            <w:r w:rsidRPr="007C0CDA">
              <w:rPr>
                <w:b/>
                <w:color w:val="FFFFFF"/>
                <w:sz w:val="20"/>
              </w:rPr>
              <w:t>Vysoký pákový efekt a širší objem podpořených projektů a investic</w:t>
            </w:r>
          </w:p>
        </w:tc>
        <w:tc>
          <w:tcPr>
            <w:tcW w:w="2330" w:type="dxa"/>
            <w:shd w:val="clear" w:color="auto" w:fill="8DB3E2"/>
            <w:vAlign w:val="center"/>
          </w:tcPr>
          <w:p w:rsidR="006842C8" w:rsidRPr="007C0CDA" w:rsidRDefault="006842C8" w:rsidP="002E3AE9">
            <w:pPr>
              <w:jc w:val="center"/>
              <w:rPr>
                <w:b/>
                <w:color w:val="FFFFFF"/>
                <w:sz w:val="20"/>
              </w:rPr>
            </w:pPr>
            <w:r w:rsidRPr="007C0CDA">
              <w:rPr>
                <w:b/>
                <w:color w:val="FFFFFF"/>
                <w:sz w:val="20"/>
              </w:rPr>
              <w:t>Vysoký revolvingový efekt a podpoření projektů v dalších cyklech</w:t>
            </w:r>
          </w:p>
        </w:tc>
        <w:tc>
          <w:tcPr>
            <w:tcW w:w="2330" w:type="dxa"/>
            <w:shd w:val="clear" w:color="auto" w:fill="8DB3E2"/>
          </w:tcPr>
          <w:p w:rsidR="006842C8" w:rsidRPr="007C0CDA" w:rsidRDefault="006842C8" w:rsidP="002E3AE9">
            <w:pPr>
              <w:rPr>
                <w:b/>
                <w:color w:val="FFFFFF"/>
                <w:sz w:val="20"/>
              </w:rPr>
            </w:pPr>
            <w:r>
              <w:rPr>
                <w:b/>
                <w:color w:val="FFFFFF"/>
                <w:sz w:val="20"/>
              </w:rPr>
              <w:t>Vysoká absorpční kapacita</w:t>
            </w:r>
          </w:p>
        </w:tc>
      </w:tr>
      <w:tr w:rsidR="006842C8" w:rsidRPr="007C0CDA" w:rsidTr="002E3AE9">
        <w:trPr>
          <w:trHeight w:val="735"/>
        </w:trPr>
        <w:tc>
          <w:tcPr>
            <w:tcW w:w="960" w:type="dxa"/>
            <w:vMerge/>
            <w:shd w:val="clear" w:color="auto" w:fill="8DB3E2"/>
            <w:vAlign w:val="center"/>
          </w:tcPr>
          <w:p w:rsidR="006842C8" w:rsidRPr="007C0CDA" w:rsidRDefault="006842C8" w:rsidP="002E3AE9">
            <w:pPr>
              <w:jc w:val="left"/>
              <w:rPr>
                <w:b/>
                <w:bCs/>
                <w:color w:val="FFFFFF"/>
                <w:sz w:val="18"/>
                <w:szCs w:val="18"/>
              </w:rPr>
            </w:pPr>
          </w:p>
        </w:tc>
        <w:tc>
          <w:tcPr>
            <w:tcW w:w="960" w:type="dxa"/>
            <w:vMerge/>
            <w:shd w:val="clear" w:color="auto" w:fill="8DB3E2"/>
            <w:noWrap/>
            <w:textDirection w:val="btLr"/>
            <w:vAlign w:val="center"/>
          </w:tcPr>
          <w:p w:rsidR="006842C8" w:rsidRPr="007C0CDA" w:rsidRDefault="006842C8" w:rsidP="002E3AE9">
            <w:pPr>
              <w:jc w:val="center"/>
              <w:rPr>
                <w:b/>
                <w:bCs/>
                <w:color w:val="FFFFFF"/>
                <w:sz w:val="18"/>
                <w:szCs w:val="18"/>
              </w:rPr>
            </w:pPr>
          </w:p>
        </w:tc>
        <w:tc>
          <w:tcPr>
            <w:tcW w:w="2414" w:type="dxa"/>
            <w:shd w:val="clear" w:color="auto" w:fill="8DB3E2"/>
            <w:vAlign w:val="center"/>
          </w:tcPr>
          <w:p w:rsidR="006842C8" w:rsidRPr="007C0CDA" w:rsidRDefault="006842C8" w:rsidP="002E3AE9">
            <w:pPr>
              <w:jc w:val="center"/>
              <w:rPr>
                <w:b/>
                <w:color w:val="FFFFFF"/>
                <w:sz w:val="20"/>
              </w:rPr>
            </w:pPr>
            <w:r w:rsidRPr="007C0CDA">
              <w:rPr>
                <w:b/>
                <w:color w:val="FFFFFF"/>
                <w:sz w:val="20"/>
              </w:rPr>
              <w:t>Možnost revolvingu v závislosti na rizikové strategii</w:t>
            </w:r>
          </w:p>
        </w:tc>
        <w:tc>
          <w:tcPr>
            <w:tcW w:w="2330" w:type="dxa"/>
            <w:shd w:val="clear" w:color="auto" w:fill="8DB3E2"/>
            <w:vAlign w:val="center"/>
          </w:tcPr>
          <w:p w:rsidR="006842C8" w:rsidRPr="007C0CDA" w:rsidRDefault="006842C8" w:rsidP="002E3AE9">
            <w:pPr>
              <w:jc w:val="center"/>
              <w:rPr>
                <w:b/>
                <w:color w:val="FFFFFF"/>
                <w:sz w:val="20"/>
              </w:rPr>
            </w:pPr>
            <w:r w:rsidRPr="007C0CDA">
              <w:rPr>
                <w:b/>
                <w:color w:val="FFFFFF"/>
                <w:sz w:val="20"/>
              </w:rPr>
              <w:t>Predikovatelné splátky</w:t>
            </w:r>
          </w:p>
        </w:tc>
        <w:tc>
          <w:tcPr>
            <w:tcW w:w="2330" w:type="dxa"/>
            <w:shd w:val="clear" w:color="auto" w:fill="8DB3E2"/>
          </w:tcPr>
          <w:p w:rsidR="006842C8" w:rsidRPr="007C0CDA" w:rsidRDefault="006842C8" w:rsidP="002E3AE9">
            <w:pPr>
              <w:jc w:val="center"/>
              <w:rPr>
                <w:b/>
                <w:color w:val="FFFFFF"/>
                <w:sz w:val="20"/>
              </w:rPr>
            </w:pPr>
            <w:r>
              <w:rPr>
                <w:b/>
                <w:color w:val="FFFFFF"/>
                <w:sz w:val="20"/>
              </w:rPr>
              <w:t>Motivace subjektů k investicím v této oblasti</w:t>
            </w:r>
          </w:p>
        </w:tc>
      </w:tr>
      <w:tr w:rsidR="006842C8" w:rsidRPr="007C0CDA" w:rsidTr="002E3AE9">
        <w:trPr>
          <w:trHeight w:val="311"/>
        </w:trPr>
        <w:tc>
          <w:tcPr>
            <w:tcW w:w="960" w:type="dxa"/>
            <w:vMerge/>
            <w:shd w:val="clear" w:color="auto" w:fill="8DB3E2"/>
            <w:vAlign w:val="center"/>
          </w:tcPr>
          <w:p w:rsidR="006842C8" w:rsidRPr="007C0CDA" w:rsidRDefault="006842C8" w:rsidP="002E3AE9">
            <w:pPr>
              <w:jc w:val="left"/>
              <w:rPr>
                <w:b/>
                <w:bCs/>
                <w:color w:val="FFFFFF"/>
                <w:sz w:val="18"/>
                <w:szCs w:val="18"/>
              </w:rPr>
            </w:pPr>
          </w:p>
        </w:tc>
        <w:tc>
          <w:tcPr>
            <w:tcW w:w="960" w:type="dxa"/>
            <w:vMerge/>
            <w:shd w:val="clear" w:color="auto" w:fill="8DB3E2"/>
            <w:noWrap/>
            <w:textDirection w:val="btLr"/>
            <w:vAlign w:val="center"/>
          </w:tcPr>
          <w:p w:rsidR="006842C8" w:rsidRPr="007C0CDA" w:rsidRDefault="006842C8" w:rsidP="002E3AE9">
            <w:pPr>
              <w:jc w:val="center"/>
              <w:rPr>
                <w:b/>
                <w:bCs/>
                <w:color w:val="FFFFFF"/>
                <w:sz w:val="18"/>
                <w:szCs w:val="18"/>
              </w:rPr>
            </w:pPr>
          </w:p>
        </w:tc>
        <w:tc>
          <w:tcPr>
            <w:tcW w:w="2414" w:type="dxa"/>
            <w:shd w:val="clear" w:color="auto" w:fill="8DB3E2"/>
            <w:vAlign w:val="center"/>
          </w:tcPr>
          <w:p w:rsidR="006842C8" w:rsidRPr="007C0CDA" w:rsidRDefault="006842C8" w:rsidP="002E3AE9">
            <w:pPr>
              <w:jc w:val="center"/>
              <w:rPr>
                <w:b/>
                <w:color w:val="FFFFFF"/>
                <w:sz w:val="20"/>
              </w:rPr>
            </w:pPr>
            <w:r w:rsidRPr="007C0CDA">
              <w:rPr>
                <w:b/>
                <w:color w:val="FFFFFF"/>
                <w:sz w:val="20"/>
              </w:rPr>
              <w:t>Rychlé čerpání</w:t>
            </w:r>
          </w:p>
        </w:tc>
        <w:tc>
          <w:tcPr>
            <w:tcW w:w="2330" w:type="dxa"/>
            <w:shd w:val="clear" w:color="auto" w:fill="8DB3E2"/>
            <w:vAlign w:val="center"/>
          </w:tcPr>
          <w:p w:rsidR="006842C8" w:rsidRPr="007C0CDA" w:rsidRDefault="006842C8" w:rsidP="002E3AE9">
            <w:pPr>
              <w:jc w:val="center"/>
              <w:rPr>
                <w:b/>
                <w:color w:val="FFFFFF"/>
                <w:sz w:val="20"/>
              </w:rPr>
            </w:pPr>
            <w:r w:rsidRPr="007C0CDA">
              <w:rPr>
                <w:b/>
                <w:color w:val="FFFFFF"/>
                <w:sz w:val="20"/>
              </w:rPr>
              <w:t>Rychlé čerpání</w:t>
            </w:r>
          </w:p>
        </w:tc>
        <w:tc>
          <w:tcPr>
            <w:tcW w:w="2330" w:type="dxa"/>
            <w:shd w:val="clear" w:color="auto" w:fill="8DB3E2"/>
          </w:tcPr>
          <w:p w:rsidR="006842C8" w:rsidRPr="007C0CDA" w:rsidRDefault="006842C8" w:rsidP="002E3AE9">
            <w:pPr>
              <w:jc w:val="center"/>
              <w:rPr>
                <w:b/>
                <w:color w:val="FFFFFF"/>
                <w:sz w:val="20"/>
              </w:rPr>
            </w:pPr>
          </w:p>
        </w:tc>
      </w:tr>
      <w:tr w:rsidR="006842C8" w:rsidRPr="007C0CDA" w:rsidTr="002E3AE9">
        <w:trPr>
          <w:trHeight w:val="735"/>
        </w:trPr>
        <w:tc>
          <w:tcPr>
            <w:tcW w:w="960" w:type="dxa"/>
            <w:vMerge w:val="restart"/>
            <w:shd w:val="clear" w:color="auto" w:fill="FF0000"/>
            <w:textDirection w:val="btLr"/>
            <w:vAlign w:val="center"/>
          </w:tcPr>
          <w:p w:rsidR="006842C8" w:rsidRPr="007C0CDA" w:rsidRDefault="006842C8" w:rsidP="002E3AE9">
            <w:pPr>
              <w:ind w:left="113" w:right="113"/>
              <w:jc w:val="center"/>
              <w:rPr>
                <w:b/>
                <w:bCs/>
                <w:color w:val="FFFFFF"/>
                <w:sz w:val="24"/>
                <w:szCs w:val="24"/>
              </w:rPr>
            </w:pPr>
            <w:r w:rsidRPr="007C0CDA">
              <w:rPr>
                <w:b/>
                <w:bCs/>
                <w:color w:val="FFFFFF"/>
                <w:sz w:val="24"/>
                <w:szCs w:val="24"/>
              </w:rPr>
              <w:t>Nevýhody a rizika</w:t>
            </w:r>
          </w:p>
        </w:tc>
        <w:tc>
          <w:tcPr>
            <w:tcW w:w="960" w:type="dxa"/>
            <w:vMerge w:val="restart"/>
            <w:shd w:val="clear" w:color="auto" w:fill="FF0000"/>
            <w:noWrap/>
            <w:textDirection w:val="btLr"/>
            <w:vAlign w:val="center"/>
          </w:tcPr>
          <w:p w:rsidR="006842C8" w:rsidRPr="007C0CDA" w:rsidRDefault="006842C8" w:rsidP="002E3AE9">
            <w:pPr>
              <w:jc w:val="center"/>
              <w:rPr>
                <w:b/>
                <w:bCs/>
                <w:color w:val="FFFFFF"/>
                <w:sz w:val="24"/>
                <w:szCs w:val="24"/>
              </w:rPr>
            </w:pPr>
            <w:r w:rsidRPr="007C0CDA">
              <w:rPr>
                <w:b/>
                <w:bCs/>
                <w:color w:val="FFFFFF"/>
                <w:sz w:val="24"/>
                <w:szCs w:val="24"/>
              </w:rPr>
              <w:t>Konečný příjemce</w:t>
            </w:r>
          </w:p>
        </w:tc>
        <w:tc>
          <w:tcPr>
            <w:tcW w:w="2414" w:type="dxa"/>
            <w:shd w:val="clear" w:color="auto" w:fill="FF0000"/>
            <w:vAlign w:val="center"/>
          </w:tcPr>
          <w:p w:rsidR="006842C8" w:rsidRPr="007C0CDA" w:rsidRDefault="006842C8" w:rsidP="002E3AE9">
            <w:pPr>
              <w:jc w:val="center"/>
              <w:rPr>
                <w:b/>
                <w:color w:val="FFFFFF"/>
                <w:sz w:val="20"/>
              </w:rPr>
            </w:pPr>
            <w:r w:rsidRPr="007C0CDA">
              <w:rPr>
                <w:b/>
                <w:color w:val="FFFFFF"/>
                <w:sz w:val="20"/>
              </w:rPr>
              <w:t>Nedostává peníze, musí splácet</w:t>
            </w:r>
          </w:p>
        </w:tc>
        <w:tc>
          <w:tcPr>
            <w:tcW w:w="2330" w:type="dxa"/>
            <w:shd w:val="clear" w:color="auto" w:fill="FF0000"/>
            <w:vAlign w:val="center"/>
          </w:tcPr>
          <w:p w:rsidR="006842C8" w:rsidRPr="007C0CDA" w:rsidRDefault="006842C8" w:rsidP="002E3AE9">
            <w:pPr>
              <w:jc w:val="center"/>
              <w:rPr>
                <w:b/>
                <w:color w:val="FFFFFF"/>
                <w:sz w:val="20"/>
              </w:rPr>
            </w:pPr>
            <w:r w:rsidRPr="007C0CDA">
              <w:rPr>
                <w:b/>
                <w:color w:val="FFFFFF"/>
                <w:sz w:val="20"/>
              </w:rPr>
              <w:t>Nedostává peníze, musí splácet</w:t>
            </w:r>
          </w:p>
        </w:tc>
        <w:tc>
          <w:tcPr>
            <w:tcW w:w="2330" w:type="dxa"/>
            <w:shd w:val="clear" w:color="auto" w:fill="FF0000"/>
          </w:tcPr>
          <w:p w:rsidR="006842C8" w:rsidRPr="007C0CDA" w:rsidRDefault="006842C8" w:rsidP="002E3AE9">
            <w:pPr>
              <w:jc w:val="center"/>
              <w:rPr>
                <w:b/>
                <w:color w:val="FFFFFF"/>
                <w:sz w:val="20"/>
              </w:rPr>
            </w:pPr>
            <w:r w:rsidRPr="007C0CDA">
              <w:rPr>
                <w:b/>
                <w:color w:val="FFFFFF"/>
                <w:sz w:val="20"/>
              </w:rPr>
              <w:t>Vysoká administrativní náročnost</w:t>
            </w:r>
          </w:p>
        </w:tc>
      </w:tr>
      <w:tr w:rsidR="006842C8" w:rsidRPr="007C0CDA" w:rsidTr="002E3AE9">
        <w:trPr>
          <w:trHeight w:val="735"/>
        </w:trPr>
        <w:tc>
          <w:tcPr>
            <w:tcW w:w="960" w:type="dxa"/>
            <w:vMerge/>
            <w:shd w:val="clear" w:color="auto" w:fill="FF0000"/>
            <w:vAlign w:val="center"/>
          </w:tcPr>
          <w:p w:rsidR="006842C8" w:rsidRPr="007C0CDA" w:rsidRDefault="006842C8" w:rsidP="002E3AE9">
            <w:pPr>
              <w:jc w:val="left"/>
              <w:rPr>
                <w:b/>
                <w:bCs/>
                <w:color w:val="000000"/>
                <w:sz w:val="24"/>
                <w:szCs w:val="24"/>
              </w:rPr>
            </w:pPr>
          </w:p>
        </w:tc>
        <w:tc>
          <w:tcPr>
            <w:tcW w:w="960" w:type="dxa"/>
            <w:vMerge/>
            <w:shd w:val="clear" w:color="auto" w:fill="FF0000"/>
            <w:noWrap/>
            <w:textDirection w:val="btLr"/>
            <w:vAlign w:val="center"/>
          </w:tcPr>
          <w:p w:rsidR="006842C8" w:rsidRPr="007C0CDA" w:rsidRDefault="006842C8" w:rsidP="002E3AE9">
            <w:pPr>
              <w:jc w:val="center"/>
              <w:rPr>
                <w:b/>
                <w:bCs/>
                <w:color w:val="000000"/>
                <w:sz w:val="24"/>
                <w:szCs w:val="24"/>
              </w:rPr>
            </w:pPr>
          </w:p>
        </w:tc>
        <w:tc>
          <w:tcPr>
            <w:tcW w:w="2414" w:type="dxa"/>
            <w:shd w:val="clear" w:color="auto" w:fill="FF0000"/>
            <w:vAlign w:val="center"/>
          </w:tcPr>
          <w:p w:rsidR="006842C8" w:rsidRPr="007C0CDA" w:rsidRDefault="006842C8" w:rsidP="002E3AE9">
            <w:pPr>
              <w:jc w:val="center"/>
              <w:rPr>
                <w:b/>
                <w:color w:val="FFFFFF"/>
                <w:sz w:val="20"/>
              </w:rPr>
            </w:pPr>
            <w:r w:rsidRPr="007C0CDA">
              <w:rPr>
                <w:b/>
                <w:color w:val="FFFFFF"/>
                <w:sz w:val="20"/>
              </w:rPr>
              <w:t>Malý efekt na snížení úroků</w:t>
            </w:r>
          </w:p>
        </w:tc>
        <w:tc>
          <w:tcPr>
            <w:tcW w:w="2330" w:type="dxa"/>
            <w:shd w:val="clear" w:color="auto" w:fill="FF0000"/>
            <w:vAlign w:val="center"/>
          </w:tcPr>
          <w:p w:rsidR="006842C8" w:rsidRPr="007C0CDA" w:rsidRDefault="006842C8" w:rsidP="002E3AE9">
            <w:pPr>
              <w:jc w:val="center"/>
              <w:rPr>
                <w:b/>
                <w:color w:val="FFFFFF"/>
                <w:sz w:val="20"/>
              </w:rPr>
            </w:pPr>
            <w:r w:rsidRPr="007C0CDA">
              <w:rPr>
                <w:b/>
                <w:color w:val="FFFFFF"/>
                <w:sz w:val="20"/>
              </w:rPr>
              <w:t>Nižší efekt na návratnost projektu v porovnání s dotací</w:t>
            </w:r>
          </w:p>
        </w:tc>
        <w:tc>
          <w:tcPr>
            <w:tcW w:w="2330" w:type="dxa"/>
            <w:shd w:val="clear" w:color="auto" w:fill="FF0000"/>
          </w:tcPr>
          <w:p w:rsidR="006842C8" w:rsidRPr="007C0CDA" w:rsidRDefault="006842C8" w:rsidP="002E3AE9">
            <w:pPr>
              <w:jc w:val="center"/>
              <w:rPr>
                <w:b/>
                <w:color w:val="FFFFFF"/>
                <w:sz w:val="20"/>
              </w:rPr>
            </w:pPr>
            <w:r w:rsidRPr="007C0CDA">
              <w:rPr>
                <w:b/>
                <w:color w:val="FFFFFF"/>
                <w:sz w:val="20"/>
              </w:rPr>
              <w:t>Regulovaná výběrová řízení na dodavatele – vyšší náklady</w:t>
            </w:r>
          </w:p>
        </w:tc>
      </w:tr>
      <w:tr w:rsidR="006842C8" w:rsidRPr="007C0CDA" w:rsidTr="002E3AE9">
        <w:trPr>
          <w:trHeight w:val="456"/>
        </w:trPr>
        <w:tc>
          <w:tcPr>
            <w:tcW w:w="960" w:type="dxa"/>
            <w:vMerge/>
            <w:shd w:val="clear" w:color="auto" w:fill="FF0000"/>
            <w:vAlign w:val="center"/>
          </w:tcPr>
          <w:p w:rsidR="006842C8" w:rsidRPr="007C0CDA" w:rsidRDefault="006842C8" w:rsidP="002E3AE9">
            <w:pPr>
              <w:jc w:val="left"/>
              <w:rPr>
                <w:b/>
                <w:bCs/>
                <w:color w:val="000000"/>
                <w:sz w:val="24"/>
                <w:szCs w:val="24"/>
              </w:rPr>
            </w:pPr>
          </w:p>
        </w:tc>
        <w:tc>
          <w:tcPr>
            <w:tcW w:w="960" w:type="dxa"/>
            <w:vMerge/>
            <w:shd w:val="clear" w:color="auto" w:fill="FF0000"/>
            <w:noWrap/>
            <w:textDirection w:val="btLr"/>
            <w:vAlign w:val="center"/>
          </w:tcPr>
          <w:p w:rsidR="006842C8" w:rsidRPr="007C0CDA" w:rsidRDefault="006842C8" w:rsidP="002E3AE9">
            <w:pPr>
              <w:jc w:val="center"/>
              <w:rPr>
                <w:b/>
                <w:bCs/>
                <w:color w:val="000000"/>
                <w:sz w:val="24"/>
                <w:szCs w:val="24"/>
              </w:rPr>
            </w:pPr>
          </w:p>
        </w:tc>
        <w:tc>
          <w:tcPr>
            <w:tcW w:w="2414" w:type="dxa"/>
            <w:shd w:val="clear" w:color="auto" w:fill="FF0000"/>
            <w:vAlign w:val="center"/>
          </w:tcPr>
          <w:p w:rsidR="006842C8" w:rsidRPr="007C0CDA" w:rsidRDefault="006842C8" w:rsidP="002E3AE9">
            <w:pPr>
              <w:jc w:val="center"/>
              <w:rPr>
                <w:b/>
                <w:color w:val="FFFFFF"/>
                <w:sz w:val="20"/>
              </w:rPr>
            </w:pPr>
          </w:p>
        </w:tc>
        <w:tc>
          <w:tcPr>
            <w:tcW w:w="2330" w:type="dxa"/>
            <w:shd w:val="clear" w:color="auto" w:fill="FF0000"/>
            <w:vAlign w:val="center"/>
          </w:tcPr>
          <w:p w:rsidR="006842C8" w:rsidRPr="007C0CDA" w:rsidRDefault="006842C8" w:rsidP="002E3AE9">
            <w:pPr>
              <w:jc w:val="center"/>
              <w:rPr>
                <w:b/>
                <w:color w:val="FFFFFF"/>
                <w:sz w:val="20"/>
              </w:rPr>
            </w:pPr>
            <w:r w:rsidRPr="007C0CDA">
              <w:rPr>
                <w:b/>
                <w:color w:val="FFFFFF"/>
                <w:sz w:val="20"/>
              </w:rPr>
              <w:t>Nižší efekt zpřístupnění financování pro velmi rizikové projekty</w:t>
            </w:r>
          </w:p>
        </w:tc>
        <w:tc>
          <w:tcPr>
            <w:tcW w:w="2330" w:type="dxa"/>
            <w:shd w:val="clear" w:color="auto" w:fill="FF0000"/>
          </w:tcPr>
          <w:p w:rsidR="006842C8" w:rsidRPr="007C0CDA" w:rsidRDefault="006842C8" w:rsidP="002E3AE9">
            <w:pPr>
              <w:jc w:val="center"/>
              <w:rPr>
                <w:b/>
                <w:color w:val="FFFFFF"/>
                <w:sz w:val="20"/>
              </w:rPr>
            </w:pPr>
            <w:r w:rsidRPr="007C0CDA">
              <w:rPr>
                <w:b/>
                <w:color w:val="FFFFFF"/>
                <w:sz w:val="20"/>
              </w:rPr>
              <w:t>Nutnost předfinancování – platba ex post</w:t>
            </w:r>
          </w:p>
        </w:tc>
      </w:tr>
      <w:tr w:rsidR="006842C8" w:rsidRPr="007C0CDA" w:rsidTr="002E3AE9">
        <w:trPr>
          <w:trHeight w:val="735"/>
        </w:trPr>
        <w:tc>
          <w:tcPr>
            <w:tcW w:w="960" w:type="dxa"/>
            <w:vMerge/>
            <w:shd w:val="clear" w:color="auto" w:fill="FF0000"/>
            <w:vAlign w:val="center"/>
          </w:tcPr>
          <w:p w:rsidR="006842C8" w:rsidRPr="007C0CDA" w:rsidRDefault="006842C8" w:rsidP="002E3AE9">
            <w:pPr>
              <w:jc w:val="left"/>
              <w:rPr>
                <w:b/>
                <w:bCs/>
                <w:color w:val="000000"/>
                <w:sz w:val="24"/>
                <w:szCs w:val="24"/>
              </w:rPr>
            </w:pPr>
          </w:p>
        </w:tc>
        <w:tc>
          <w:tcPr>
            <w:tcW w:w="960" w:type="dxa"/>
            <w:vMerge/>
            <w:shd w:val="clear" w:color="auto" w:fill="FF0000"/>
            <w:noWrap/>
            <w:textDirection w:val="btLr"/>
            <w:vAlign w:val="center"/>
          </w:tcPr>
          <w:p w:rsidR="006842C8" w:rsidRPr="007C0CDA" w:rsidRDefault="006842C8" w:rsidP="002E3AE9">
            <w:pPr>
              <w:jc w:val="center"/>
              <w:rPr>
                <w:b/>
                <w:bCs/>
                <w:color w:val="000000"/>
                <w:sz w:val="24"/>
                <w:szCs w:val="24"/>
              </w:rPr>
            </w:pPr>
          </w:p>
        </w:tc>
        <w:tc>
          <w:tcPr>
            <w:tcW w:w="2414" w:type="dxa"/>
            <w:shd w:val="clear" w:color="auto" w:fill="FF0000"/>
            <w:vAlign w:val="center"/>
          </w:tcPr>
          <w:p w:rsidR="006842C8" w:rsidRPr="007C0CDA" w:rsidRDefault="006842C8" w:rsidP="002E3AE9">
            <w:pPr>
              <w:jc w:val="center"/>
              <w:rPr>
                <w:b/>
                <w:color w:val="FFFFFF"/>
                <w:sz w:val="20"/>
              </w:rPr>
            </w:pPr>
          </w:p>
        </w:tc>
        <w:tc>
          <w:tcPr>
            <w:tcW w:w="2330" w:type="dxa"/>
            <w:shd w:val="clear" w:color="auto" w:fill="FF0000"/>
            <w:vAlign w:val="center"/>
          </w:tcPr>
          <w:p w:rsidR="006842C8" w:rsidRPr="007C0CDA" w:rsidRDefault="006842C8" w:rsidP="002E3AE9">
            <w:pPr>
              <w:jc w:val="center"/>
              <w:rPr>
                <w:b/>
                <w:color w:val="FFFFFF"/>
                <w:sz w:val="20"/>
              </w:rPr>
            </w:pPr>
          </w:p>
        </w:tc>
        <w:tc>
          <w:tcPr>
            <w:tcW w:w="2330" w:type="dxa"/>
            <w:shd w:val="clear" w:color="auto" w:fill="FF0000"/>
          </w:tcPr>
          <w:p w:rsidR="006842C8" w:rsidRPr="007C0CDA" w:rsidRDefault="006842C8" w:rsidP="002E3AE9">
            <w:pPr>
              <w:jc w:val="center"/>
              <w:rPr>
                <w:b/>
                <w:color w:val="FFFFFF"/>
                <w:sz w:val="20"/>
              </w:rPr>
            </w:pPr>
            <w:r w:rsidRPr="007C0CDA">
              <w:rPr>
                <w:b/>
                <w:color w:val="FFFFFF"/>
                <w:sz w:val="20"/>
              </w:rPr>
              <w:t>Riziko dodatečného odebrání dotace z důvodu chyb v projektu a nesplnění podmínek</w:t>
            </w:r>
          </w:p>
        </w:tc>
      </w:tr>
      <w:tr w:rsidR="006842C8" w:rsidRPr="007C0CDA" w:rsidTr="002E3AE9">
        <w:trPr>
          <w:trHeight w:val="735"/>
        </w:trPr>
        <w:tc>
          <w:tcPr>
            <w:tcW w:w="960" w:type="dxa"/>
            <w:vMerge/>
            <w:shd w:val="clear" w:color="auto" w:fill="FF0000"/>
            <w:vAlign w:val="center"/>
          </w:tcPr>
          <w:p w:rsidR="006842C8" w:rsidRPr="007C0CDA" w:rsidRDefault="006842C8" w:rsidP="002E3AE9">
            <w:pPr>
              <w:jc w:val="left"/>
              <w:rPr>
                <w:b/>
                <w:bCs/>
                <w:color w:val="000000"/>
                <w:sz w:val="24"/>
                <w:szCs w:val="24"/>
              </w:rPr>
            </w:pPr>
          </w:p>
        </w:tc>
        <w:tc>
          <w:tcPr>
            <w:tcW w:w="960" w:type="dxa"/>
            <w:vMerge w:val="restart"/>
            <w:shd w:val="clear" w:color="auto" w:fill="FF0000"/>
            <w:noWrap/>
            <w:textDirection w:val="btLr"/>
            <w:vAlign w:val="center"/>
          </w:tcPr>
          <w:p w:rsidR="006842C8" w:rsidRPr="007C0CDA" w:rsidRDefault="006842C8" w:rsidP="002E3AE9">
            <w:pPr>
              <w:jc w:val="center"/>
              <w:rPr>
                <w:b/>
                <w:bCs/>
                <w:color w:val="FFFFFF"/>
                <w:sz w:val="24"/>
                <w:szCs w:val="24"/>
              </w:rPr>
            </w:pPr>
            <w:r w:rsidRPr="007C0CDA">
              <w:rPr>
                <w:b/>
                <w:bCs/>
                <w:color w:val="FFFFFF"/>
                <w:sz w:val="24"/>
                <w:szCs w:val="24"/>
              </w:rPr>
              <w:t>ŘO</w:t>
            </w:r>
          </w:p>
        </w:tc>
        <w:tc>
          <w:tcPr>
            <w:tcW w:w="2414" w:type="dxa"/>
            <w:shd w:val="clear" w:color="auto" w:fill="FF0000"/>
            <w:vAlign w:val="center"/>
          </w:tcPr>
          <w:p w:rsidR="006842C8" w:rsidRPr="007C0CDA" w:rsidRDefault="006842C8" w:rsidP="002E3AE9">
            <w:pPr>
              <w:jc w:val="center"/>
              <w:rPr>
                <w:b/>
                <w:color w:val="FFFFFF"/>
                <w:sz w:val="20"/>
              </w:rPr>
            </w:pPr>
            <w:r w:rsidRPr="007C0CDA">
              <w:rPr>
                <w:b/>
                <w:color w:val="FFFFFF"/>
                <w:sz w:val="20"/>
              </w:rPr>
              <w:t>Velmi nízký revolvingový efekt</w:t>
            </w:r>
          </w:p>
        </w:tc>
        <w:tc>
          <w:tcPr>
            <w:tcW w:w="2330" w:type="dxa"/>
            <w:shd w:val="clear" w:color="auto" w:fill="FF0000"/>
            <w:vAlign w:val="center"/>
          </w:tcPr>
          <w:p w:rsidR="006842C8" w:rsidRPr="007C0CDA" w:rsidRDefault="006842C8" w:rsidP="002E3AE9">
            <w:pPr>
              <w:jc w:val="center"/>
              <w:rPr>
                <w:b/>
                <w:color w:val="FFFFFF"/>
                <w:sz w:val="20"/>
              </w:rPr>
            </w:pPr>
            <w:r w:rsidRPr="007C0CDA">
              <w:rPr>
                <w:b/>
                <w:color w:val="FFFFFF"/>
                <w:sz w:val="20"/>
              </w:rPr>
              <w:t>Nižší pákový efekt než záruky</w:t>
            </w:r>
          </w:p>
        </w:tc>
        <w:tc>
          <w:tcPr>
            <w:tcW w:w="2330" w:type="dxa"/>
            <w:shd w:val="clear" w:color="auto" w:fill="FF0000"/>
          </w:tcPr>
          <w:p w:rsidR="006842C8" w:rsidRPr="007C0CDA" w:rsidRDefault="006842C8" w:rsidP="002E3AE9">
            <w:pPr>
              <w:jc w:val="center"/>
              <w:rPr>
                <w:b/>
                <w:color w:val="FFFFFF"/>
                <w:sz w:val="20"/>
              </w:rPr>
            </w:pPr>
            <w:r w:rsidRPr="007C0CDA">
              <w:rPr>
                <w:b/>
                <w:color w:val="FFFFFF"/>
                <w:sz w:val="20"/>
              </w:rPr>
              <w:t>Nenávratné výdaje</w:t>
            </w:r>
          </w:p>
        </w:tc>
      </w:tr>
      <w:tr w:rsidR="006842C8" w:rsidRPr="007C0CDA" w:rsidTr="002E3AE9">
        <w:trPr>
          <w:trHeight w:val="566"/>
        </w:trPr>
        <w:tc>
          <w:tcPr>
            <w:tcW w:w="960" w:type="dxa"/>
            <w:vMerge/>
            <w:shd w:val="clear" w:color="auto" w:fill="FF0000"/>
            <w:vAlign w:val="center"/>
          </w:tcPr>
          <w:p w:rsidR="006842C8" w:rsidRPr="007C0CDA" w:rsidRDefault="006842C8" w:rsidP="002E3AE9">
            <w:pPr>
              <w:jc w:val="left"/>
              <w:rPr>
                <w:b/>
                <w:bCs/>
                <w:color w:val="000000"/>
                <w:sz w:val="18"/>
                <w:szCs w:val="18"/>
              </w:rPr>
            </w:pPr>
          </w:p>
        </w:tc>
        <w:tc>
          <w:tcPr>
            <w:tcW w:w="960" w:type="dxa"/>
            <w:vMerge/>
            <w:shd w:val="clear" w:color="auto" w:fill="FF0000"/>
            <w:noWrap/>
            <w:textDirection w:val="btLr"/>
            <w:vAlign w:val="center"/>
          </w:tcPr>
          <w:p w:rsidR="006842C8" w:rsidRPr="007C0CDA" w:rsidRDefault="006842C8" w:rsidP="002E3AE9">
            <w:pPr>
              <w:jc w:val="center"/>
              <w:rPr>
                <w:b/>
                <w:bCs/>
                <w:color w:val="000000"/>
                <w:sz w:val="18"/>
                <w:szCs w:val="18"/>
              </w:rPr>
            </w:pPr>
          </w:p>
        </w:tc>
        <w:tc>
          <w:tcPr>
            <w:tcW w:w="2414" w:type="dxa"/>
            <w:shd w:val="clear" w:color="auto" w:fill="FF0000"/>
            <w:vAlign w:val="center"/>
          </w:tcPr>
          <w:p w:rsidR="006842C8" w:rsidRPr="007C0CDA" w:rsidRDefault="006842C8" w:rsidP="002E3AE9">
            <w:pPr>
              <w:jc w:val="center"/>
              <w:rPr>
                <w:b/>
                <w:color w:val="FFFFFF"/>
                <w:sz w:val="20"/>
              </w:rPr>
            </w:pPr>
            <w:r>
              <w:rPr>
                <w:b/>
                <w:color w:val="FFFFFF"/>
                <w:sz w:val="20"/>
              </w:rPr>
              <w:t>Malý efekt na investiční aktivitu</w:t>
            </w:r>
          </w:p>
        </w:tc>
        <w:tc>
          <w:tcPr>
            <w:tcW w:w="2330" w:type="dxa"/>
            <w:shd w:val="clear" w:color="auto" w:fill="FF0000"/>
            <w:vAlign w:val="center"/>
          </w:tcPr>
          <w:p w:rsidR="006842C8" w:rsidRPr="007C0CDA" w:rsidRDefault="006842C8" w:rsidP="002E3AE9">
            <w:pPr>
              <w:jc w:val="center"/>
              <w:rPr>
                <w:b/>
                <w:color w:val="FFFFFF"/>
                <w:sz w:val="20"/>
              </w:rPr>
            </w:pPr>
            <w:r w:rsidRPr="007C0CDA">
              <w:rPr>
                <w:b/>
                <w:color w:val="FFFFFF"/>
                <w:sz w:val="20"/>
              </w:rPr>
              <w:t>Revolving omezují poplatky zprostředkovatelskému subjektu</w:t>
            </w:r>
          </w:p>
        </w:tc>
        <w:tc>
          <w:tcPr>
            <w:tcW w:w="2330" w:type="dxa"/>
            <w:shd w:val="clear" w:color="auto" w:fill="FF0000"/>
          </w:tcPr>
          <w:p w:rsidR="006842C8" w:rsidRPr="007C0CDA" w:rsidRDefault="006842C8" w:rsidP="002E3AE9">
            <w:pPr>
              <w:jc w:val="center"/>
              <w:rPr>
                <w:b/>
                <w:color w:val="FFFFFF"/>
                <w:sz w:val="20"/>
              </w:rPr>
            </w:pPr>
            <w:r>
              <w:rPr>
                <w:b/>
                <w:color w:val="FFFFFF"/>
                <w:sz w:val="20"/>
              </w:rPr>
              <w:t>Počet podpořených projektů přímo omezen alokací</w:t>
            </w:r>
          </w:p>
        </w:tc>
      </w:tr>
      <w:tr w:rsidR="006842C8" w:rsidRPr="007C0CDA" w:rsidTr="002E3AE9">
        <w:trPr>
          <w:trHeight w:val="264"/>
        </w:trPr>
        <w:tc>
          <w:tcPr>
            <w:tcW w:w="960" w:type="dxa"/>
            <w:vMerge/>
            <w:shd w:val="clear" w:color="auto" w:fill="FF0000"/>
            <w:vAlign w:val="center"/>
          </w:tcPr>
          <w:p w:rsidR="006842C8" w:rsidRPr="007C0CDA" w:rsidRDefault="006842C8" w:rsidP="002E3AE9">
            <w:pPr>
              <w:jc w:val="left"/>
              <w:rPr>
                <w:b/>
                <w:bCs/>
                <w:color w:val="000000"/>
                <w:sz w:val="18"/>
                <w:szCs w:val="18"/>
              </w:rPr>
            </w:pPr>
          </w:p>
        </w:tc>
        <w:tc>
          <w:tcPr>
            <w:tcW w:w="960" w:type="dxa"/>
            <w:vMerge/>
            <w:shd w:val="clear" w:color="auto" w:fill="FF0000"/>
            <w:noWrap/>
            <w:textDirection w:val="btLr"/>
            <w:vAlign w:val="center"/>
          </w:tcPr>
          <w:p w:rsidR="006842C8" w:rsidRPr="007C0CDA" w:rsidRDefault="006842C8" w:rsidP="002E3AE9">
            <w:pPr>
              <w:jc w:val="center"/>
              <w:rPr>
                <w:b/>
                <w:bCs/>
                <w:color w:val="000000"/>
                <w:sz w:val="18"/>
                <w:szCs w:val="18"/>
              </w:rPr>
            </w:pPr>
          </w:p>
        </w:tc>
        <w:tc>
          <w:tcPr>
            <w:tcW w:w="2414" w:type="dxa"/>
            <w:shd w:val="clear" w:color="auto" w:fill="FF0000"/>
            <w:vAlign w:val="center"/>
          </w:tcPr>
          <w:p w:rsidR="006842C8" w:rsidRPr="007C0CDA" w:rsidRDefault="006842C8" w:rsidP="002E3AE9">
            <w:pPr>
              <w:jc w:val="center"/>
              <w:rPr>
                <w:b/>
                <w:color w:val="FFFFFF"/>
                <w:sz w:val="20"/>
              </w:rPr>
            </w:pPr>
          </w:p>
        </w:tc>
        <w:tc>
          <w:tcPr>
            <w:tcW w:w="2330" w:type="dxa"/>
            <w:shd w:val="clear" w:color="auto" w:fill="FF0000"/>
            <w:vAlign w:val="center"/>
          </w:tcPr>
          <w:p w:rsidR="006842C8" w:rsidRPr="007C0CDA" w:rsidRDefault="006842C8" w:rsidP="002E3AE9">
            <w:pPr>
              <w:jc w:val="center"/>
              <w:rPr>
                <w:b/>
                <w:color w:val="FFFFFF"/>
                <w:sz w:val="20"/>
              </w:rPr>
            </w:pPr>
          </w:p>
        </w:tc>
        <w:tc>
          <w:tcPr>
            <w:tcW w:w="2330" w:type="dxa"/>
            <w:shd w:val="clear" w:color="auto" w:fill="FF0000"/>
          </w:tcPr>
          <w:p w:rsidR="006842C8" w:rsidRPr="007C0CDA" w:rsidRDefault="006842C8" w:rsidP="002E3AE9">
            <w:pPr>
              <w:keepNext/>
              <w:jc w:val="center"/>
              <w:rPr>
                <w:b/>
                <w:color w:val="FFFFFF"/>
                <w:sz w:val="20"/>
              </w:rPr>
            </w:pPr>
            <w:r w:rsidRPr="007C0CDA">
              <w:rPr>
                <w:b/>
                <w:color w:val="FFFFFF"/>
                <w:sz w:val="20"/>
              </w:rPr>
              <w:t>Pomalejší čerpání</w:t>
            </w:r>
          </w:p>
        </w:tc>
      </w:tr>
    </w:tbl>
    <w:p w:rsidR="006842C8" w:rsidRPr="007C0CDA" w:rsidRDefault="006842C8" w:rsidP="006842C8">
      <w:pPr>
        <w:pStyle w:val="Titulek"/>
      </w:pPr>
      <w:r w:rsidRPr="007C0CDA">
        <w:t xml:space="preserve">Tabulka </w:t>
      </w:r>
      <w:r w:rsidRPr="00B675D6">
        <w:fldChar w:fldCharType="begin"/>
      </w:r>
      <w:r w:rsidRPr="007C0CDA">
        <w:instrText xml:space="preserve"> SEQ Tabulka \* ARABIC </w:instrText>
      </w:r>
      <w:r w:rsidRPr="005C7064">
        <w:fldChar w:fldCharType="separate"/>
      </w:r>
      <w:r w:rsidRPr="007C0CDA">
        <w:rPr>
          <w:noProof/>
        </w:rPr>
        <w:t>7</w:t>
      </w:r>
      <w:r w:rsidRPr="00B675D6">
        <w:fldChar w:fldCharType="end"/>
      </w:r>
      <w:r w:rsidRPr="007C0CDA">
        <w:t>: Přidaná hodnota, nevýhody a rizika veřejné podpory pro příjemce a ŘO</w:t>
      </w:r>
    </w:p>
    <w:p w:rsidR="006842C8" w:rsidRPr="007C0CDA" w:rsidRDefault="006842C8" w:rsidP="006842C8">
      <w:pPr>
        <w:shd w:val="clear" w:color="auto" w:fill="FFFFFF" w:themeFill="background1"/>
      </w:pP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9"/>
        <w:gridCol w:w="2694"/>
        <w:gridCol w:w="2268"/>
        <w:gridCol w:w="2268"/>
        <w:tblGridChange w:id="555">
          <w:tblGrid>
            <w:gridCol w:w="1729"/>
            <w:gridCol w:w="2694"/>
            <w:gridCol w:w="2268"/>
            <w:gridCol w:w="2268"/>
          </w:tblGrid>
        </w:tblGridChange>
      </w:tblGrid>
      <w:tr w:rsidR="006842C8" w:rsidRPr="007C0CDA" w:rsidTr="002E3AE9">
        <w:tc>
          <w:tcPr>
            <w:tcW w:w="1729" w:type="dxa"/>
            <w:shd w:val="clear" w:color="auto" w:fill="548DD4" w:themeFill="text2" w:themeFillTint="99"/>
          </w:tcPr>
          <w:p w:rsidR="006842C8" w:rsidRPr="007C0CDA" w:rsidRDefault="006842C8" w:rsidP="002E3AE9">
            <w:pPr>
              <w:pStyle w:val="Highlight2"/>
              <w:shd w:val="clear" w:color="auto" w:fill="8DB3E2" w:themeFill="text2" w:themeFillTint="66"/>
              <w:jc w:val="center"/>
              <w:rPr>
                <w:rFonts w:ascii="Calibri" w:hAnsi="Calibri" w:cs="Calibri"/>
                <w:color w:val="FFFFFF"/>
                <w:sz w:val="22"/>
                <w:szCs w:val="22"/>
              </w:rPr>
            </w:pPr>
            <w:r w:rsidRPr="007C0CDA">
              <w:rPr>
                <w:rFonts w:ascii="Calibri" w:hAnsi="Calibri" w:cs="Calibri"/>
                <w:color w:val="FFFFFF"/>
                <w:sz w:val="22"/>
                <w:szCs w:val="22"/>
                <w:lang w:eastAsia="cs-CZ"/>
              </w:rPr>
              <w:t>Tržní selhání</w:t>
            </w:r>
          </w:p>
        </w:tc>
        <w:tc>
          <w:tcPr>
            <w:tcW w:w="2694" w:type="dxa"/>
            <w:shd w:val="clear" w:color="auto" w:fill="548DD4" w:themeFill="text2" w:themeFillTint="99"/>
          </w:tcPr>
          <w:p w:rsidR="006842C8" w:rsidRPr="007C0CDA" w:rsidRDefault="006842C8" w:rsidP="002E3AE9">
            <w:pPr>
              <w:pStyle w:val="Highlight2"/>
              <w:shd w:val="clear" w:color="auto" w:fill="8DB3E2" w:themeFill="text2" w:themeFillTint="66"/>
              <w:jc w:val="center"/>
              <w:rPr>
                <w:rFonts w:ascii="Calibri" w:hAnsi="Calibri" w:cs="Calibri"/>
                <w:bCs/>
                <w:color w:val="FFFFFF"/>
                <w:sz w:val="22"/>
                <w:szCs w:val="22"/>
                <w:lang w:eastAsia="cs-CZ"/>
              </w:rPr>
            </w:pPr>
            <w:r w:rsidRPr="007C0CDA">
              <w:rPr>
                <w:rFonts w:ascii="Calibri" w:hAnsi="Calibri" w:cs="Calibri"/>
                <w:bCs/>
                <w:color w:val="FFFFFF"/>
                <w:sz w:val="22"/>
                <w:szCs w:val="22"/>
                <w:lang w:eastAsia="cs-CZ"/>
              </w:rPr>
              <w:t>Záruční nástroj</w:t>
            </w:r>
          </w:p>
        </w:tc>
        <w:tc>
          <w:tcPr>
            <w:tcW w:w="2268" w:type="dxa"/>
            <w:shd w:val="clear" w:color="auto" w:fill="548DD4" w:themeFill="text2" w:themeFillTint="99"/>
          </w:tcPr>
          <w:p w:rsidR="006842C8" w:rsidRPr="007C0CDA" w:rsidRDefault="006842C8" w:rsidP="002E3AE9">
            <w:pPr>
              <w:pStyle w:val="Highlight2"/>
              <w:shd w:val="clear" w:color="auto" w:fill="8DB3E2" w:themeFill="text2" w:themeFillTint="66"/>
              <w:jc w:val="center"/>
              <w:rPr>
                <w:rFonts w:ascii="Calibri" w:hAnsi="Calibri" w:cs="Calibri"/>
                <w:color w:val="FFFFFF"/>
                <w:sz w:val="22"/>
                <w:szCs w:val="22"/>
              </w:rPr>
            </w:pPr>
            <w:r w:rsidRPr="007C0CDA">
              <w:rPr>
                <w:rFonts w:ascii="Calibri" w:hAnsi="Calibri" w:cs="Calibri"/>
                <w:bCs/>
                <w:color w:val="FFFFFF"/>
                <w:sz w:val="22"/>
                <w:szCs w:val="22"/>
                <w:lang w:eastAsia="cs-CZ"/>
              </w:rPr>
              <w:t>Zvýhodněný úvěr</w:t>
            </w:r>
          </w:p>
        </w:tc>
        <w:tc>
          <w:tcPr>
            <w:tcW w:w="2268" w:type="dxa"/>
            <w:shd w:val="clear" w:color="auto" w:fill="548DD4" w:themeFill="text2" w:themeFillTint="99"/>
          </w:tcPr>
          <w:p w:rsidR="006842C8" w:rsidRPr="007C0CDA" w:rsidRDefault="006842C8" w:rsidP="002E3AE9">
            <w:pPr>
              <w:pStyle w:val="Highlight2"/>
              <w:shd w:val="clear" w:color="auto" w:fill="8DB3E2" w:themeFill="text2" w:themeFillTint="66"/>
              <w:jc w:val="center"/>
              <w:rPr>
                <w:rFonts w:ascii="Calibri" w:hAnsi="Calibri" w:cs="Calibri"/>
                <w:bCs/>
                <w:color w:val="FFFFFF"/>
                <w:sz w:val="22"/>
                <w:szCs w:val="22"/>
                <w:lang w:eastAsia="cs-CZ"/>
              </w:rPr>
            </w:pPr>
            <w:r w:rsidRPr="007C0CDA">
              <w:rPr>
                <w:rFonts w:ascii="Calibri" w:hAnsi="Calibri" w:cs="Calibri"/>
                <w:bCs/>
                <w:color w:val="FFFFFF"/>
                <w:sz w:val="22"/>
                <w:szCs w:val="22"/>
                <w:lang w:eastAsia="cs-CZ"/>
              </w:rPr>
              <w:t>Dotace</w:t>
            </w:r>
          </w:p>
        </w:tc>
      </w:tr>
      <w:tr w:rsidR="006842C8" w:rsidRPr="007C0CDA" w:rsidTr="002E3AE9">
        <w:trPr>
          <w:trHeight w:val="793"/>
        </w:trPr>
        <w:tc>
          <w:tcPr>
            <w:tcW w:w="1729" w:type="dxa"/>
          </w:tcPr>
          <w:p w:rsidR="006842C8" w:rsidRPr="007C0CDA" w:rsidRDefault="006842C8" w:rsidP="002E3AE9">
            <w:pPr>
              <w:pStyle w:val="Highlight2"/>
              <w:jc w:val="left"/>
              <w:rPr>
                <w:rFonts w:ascii="Calibri" w:hAnsi="Calibri" w:cs="Calibri"/>
              </w:rPr>
            </w:pPr>
            <w:r w:rsidRPr="007C0CDA">
              <w:rPr>
                <w:rFonts w:ascii="Calibri" w:hAnsi="Calibri" w:cs="Calibri"/>
                <w:color w:val="auto"/>
                <w:szCs w:val="20"/>
              </w:rPr>
              <w:lastRenderedPageBreak/>
              <w:t>Náklady projektu a návratnost</w:t>
            </w:r>
          </w:p>
        </w:tc>
        <w:tc>
          <w:tcPr>
            <w:tcW w:w="2694" w:type="dxa"/>
          </w:tcPr>
          <w:p w:rsidR="006842C8" w:rsidRPr="007C0CDA" w:rsidRDefault="006842C8" w:rsidP="002E3AE9">
            <w:pPr>
              <w:pStyle w:val="Highlight2"/>
              <w:jc w:val="center"/>
              <w:rPr>
                <w:rFonts w:ascii="Calibri" w:hAnsi="Calibri" w:cs="Calibri"/>
                <w:b w:val="0"/>
                <w:color w:val="000000"/>
                <w:lang w:eastAsia="cs-CZ"/>
              </w:rPr>
            </w:pPr>
            <w:r w:rsidRPr="007C0CDA">
              <w:rPr>
                <w:rFonts w:ascii="Calibri" w:hAnsi="Calibri" w:cs="Calibri"/>
                <w:b w:val="0"/>
                <w:color w:val="auto"/>
                <w:szCs w:val="20"/>
              </w:rPr>
              <w:t>Nemá velký vliv na snížení nákladů projektu a jeho návratnost</w:t>
            </w:r>
          </w:p>
        </w:tc>
        <w:tc>
          <w:tcPr>
            <w:tcW w:w="2268" w:type="dxa"/>
          </w:tcPr>
          <w:p w:rsidR="006842C8" w:rsidRPr="007C0CDA" w:rsidRDefault="006842C8" w:rsidP="002E3AE9">
            <w:pPr>
              <w:pStyle w:val="Highlight2"/>
              <w:jc w:val="center"/>
              <w:rPr>
                <w:rFonts w:ascii="Calibri" w:hAnsi="Calibri" w:cs="Calibri"/>
                <w:b w:val="0"/>
              </w:rPr>
            </w:pPr>
            <w:r w:rsidRPr="007C0CDA">
              <w:rPr>
                <w:rFonts w:ascii="Calibri" w:hAnsi="Calibri" w:cs="Calibri"/>
                <w:b w:val="0"/>
                <w:color w:val="auto"/>
                <w:szCs w:val="20"/>
              </w:rPr>
              <w:t xml:space="preserve">Částečně snižuje úrokové náklady a počáteční náklady na přípravu, radikálně však </w:t>
            </w:r>
            <w:r>
              <w:rPr>
                <w:rFonts w:ascii="Calibri" w:hAnsi="Calibri" w:cs="Calibri"/>
                <w:b w:val="0"/>
                <w:color w:val="auto"/>
                <w:szCs w:val="20"/>
              </w:rPr>
              <w:t>nemění parametry</w:t>
            </w:r>
            <w:r w:rsidRPr="007C0CDA">
              <w:rPr>
                <w:rFonts w:ascii="Calibri" w:hAnsi="Calibri" w:cs="Calibri"/>
                <w:b w:val="0"/>
                <w:color w:val="auto"/>
                <w:szCs w:val="20"/>
              </w:rPr>
              <w:t xml:space="preserve"> návratnosti</w:t>
            </w:r>
          </w:p>
        </w:tc>
        <w:tc>
          <w:tcPr>
            <w:tcW w:w="2268" w:type="dxa"/>
          </w:tcPr>
          <w:p w:rsidR="006842C8" w:rsidRPr="007C0CDA" w:rsidRDefault="006842C8" w:rsidP="002E3AE9">
            <w:pPr>
              <w:pStyle w:val="Highlight2"/>
              <w:jc w:val="center"/>
              <w:rPr>
                <w:rFonts w:ascii="Calibri" w:hAnsi="Calibri" w:cs="Calibri"/>
                <w:b w:val="0"/>
                <w:color w:val="000000"/>
                <w:lang w:eastAsia="cs-CZ"/>
              </w:rPr>
            </w:pPr>
            <w:r w:rsidRPr="007C0CDA">
              <w:rPr>
                <w:rFonts w:ascii="Calibri" w:hAnsi="Calibri" w:cs="Calibri"/>
                <w:b w:val="0"/>
                <w:color w:val="auto"/>
                <w:szCs w:val="20"/>
              </w:rPr>
              <w:t>Výrazně snižuj</w:t>
            </w:r>
            <w:r>
              <w:rPr>
                <w:rFonts w:ascii="Calibri" w:hAnsi="Calibri" w:cs="Calibri"/>
                <w:b w:val="0"/>
                <w:color w:val="auto"/>
                <w:szCs w:val="20"/>
              </w:rPr>
              <w:t>e náklady pro žadatele a vylepšuje tedy i</w:t>
            </w:r>
            <w:r w:rsidRPr="007C0CDA">
              <w:rPr>
                <w:rFonts w:ascii="Calibri" w:hAnsi="Calibri" w:cs="Calibri"/>
                <w:b w:val="0"/>
                <w:color w:val="auto"/>
                <w:szCs w:val="20"/>
              </w:rPr>
              <w:t xml:space="preserve"> návratnost projektu.</w:t>
            </w:r>
          </w:p>
        </w:tc>
      </w:tr>
      <w:tr w:rsidR="006842C8" w:rsidRPr="007C0CDA" w:rsidTr="002E3AE9">
        <w:trPr>
          <w:trHeight w:val="1521"/>
        </w:trPr>
        <w:tc>
          <w:tcPr>
            <w:tcW w:w="1729" w:type="dxa"/>
          </w:tcPr>
          <w:p w:rsidR="006842C8" w:rsidRPr="005C7064" w:rsidRDefault="006842C8" w:rsidP="002E3AE9">
            <w:pPr>
              <w:pStyle w:val="Highlight2"/>
              <w:jc w:val="left"/>
              <w:rPr>
                <w:rFonts w:asciiTheme="minorHAnsi" w:hAnsiTheme="minorHAnsi" w:cstheme="minorHAnsi"/>
                <w:bCs/>
                <w:color w:val="000000"/>
                <w:szCs w:val="20"/>
                <w:lang w:eastAsia="cs-CZ"/>
              </w:rPr>
            </w:pPr>
            <w:r w:rsidRPr="005C7064">
              <w:rPr>
                <w:rFonts w:asciiTheme="minorHAnsi" w:hAnsiTheme="minorHAnsi" w:cstheme="minorHAnsi"/>
                <w:bCs/>
                <w:color w:val="000000"/>
                <w:szCs w:val="20"/>
                <w:lang w:eastAsia="cs-CZ"/>
              </w:rPr>
              <w:t>Riziko projektu</w:t>
            </w:r>
          </w:p>
        </w:tc>
        <w:tc>
          <w:tcPr>
            <w:tcW w:w="2694" w:type="dxa"/>
          </w:tcPr>
          <w:p w:rsidR="006842C8" w:rsidRPr="007C0CDA" w:rsidRDefault="006842C8" w:rsidP="002E3AE9">
            <w:pPr>
              <w:pStyle w:val="Highlight2"/>
              <w:jc w:val="center"/>
              <w:rPr>
                <w:rFonts w:ascii="Calibri" w:hAnsi="Calibri" w:cs="Calibri"/>
                <w:b w:val="0"/>
                <w:color w:val="000000"/>
                <w:lang w:eastAsia="cs-CZ"/>
              </w:rPr>
            </w:pPr>
            <w:r w:rsidRPr="007C0CDA">
              <w:rPr>
                <w:rFonts w:ascii="Calibri" w:hAnsi="Calibri" w:cs="Calibri"/>
                <w:b w:val="0"/>
                <w:color w:val="000000"/>
                <w:lang w:eastAsia="cs-CZ"/>
              </w:rPr>
              <w:t>Z pohledu úvěrování rozděluje riziko mezi příjemce, banku a FN. Likvidnější zástava, výrazné snížení rizika pro úvěrující instituci</w:t>
            </w:r>
          </w:p>
          <w:p w:rsidR="006842C8" w:rsidRPr="007C0CDA" w:rsidRDefault="006842C8" w:rsidP="002E3AE9">
            <w:pPr>
              <w:pStyle w:val="Highlight2"/>
              <w:jc w:val="center"/>
              <w:rPr>
                <w:rFonts w:ascii="Calibri" w:hAnsi="Calibri" w:cs="Calibri"/>
                <w:b w:val="0"/>
                <w:color w:val="000000"/>
                <w:lang w:eastAsia="cs-CZ"/>
              </w:rPr>
            </w:pPr>
          </w:p>
          <w:p w:rsidR="006842C8" w:rsidRPr="007C0CDA" w:rsidRDefault="006842C8" w:rsidP="002E3AE9">
            <w:pPr>
              <w:pStyle w:val="Highlight2"/>
              <w:jc w:val="center"/>
              <w:rPr>
                <w:rFonts w:ascii="Calibri" w:hAnsi="Calibri" w:cs="Calibri"/>
                <w:b w:val="0"/>
                <w:color w:val="000000"/>
                <w:lang w:eastAsia="cs-CZ"/>
              </w:rPr>
            </w:pPr>
            <w:r w:rsidRPr="007C0CDA">
              <w:rPr>
                <w:rFonts w:ascii="Calibri" w:hAnsi="Calibri" w:cs="Calibri"/>
                <w:b w:val="0"/>
                <w:color w:val="000000"/>
                <w:lang w:eastAsia="cs-CZ"/>
              </w:rPr>
              <w:t>Riziko zvýšených nákladů pro příjemce zůstává</w:t>
            </w:r>
          </w:p>
          <w:p w:rsidR="006842C8" w:rsidRPr="007C0CDA" w:rsidRDefault="006842C8" w:rsidP="002E3AE9">
            <w:pPr>
              <w:pStyle w:val="Highlight2"/>
              <w:jc w:val="center"/>
              <w:rPr>
                <w:rFonts w:ascii="Calibri" w:hAnsi="Calibri" w:cs="Calibri"/>
                <w:b w:val="0"/>
                <w:color w:val="000000"/>
                <w:lang w:eastAsia="cs-CZ"/>
              </w:rPr>
            </w:pPr>
          </w:p>
          <w:p w:rsidR="006842C8" w:rsidRPr="007C0CDA" w:rsidRDefault="006842C8" w:rsidP="002E3AE9">
            <w:pPr>
              <w:pStyle w:val="Highlight2"/>
              <w:jc w:val="center"/>
              <w:rPr>
                <w:rFonts w:ascii="Calibri" w:hAnsi="Calibri" w:cs="Calibri"/>
                <w:b w:val="0"/>
                <w:color w:val="000000"/>
                <w:lang w:eastAsia="cs-CZ"/>
              </w:rPr>
            </w:pPr>
          </w:p>
        </w:tc>
        <w:tc>
          <w:tcPr>
            <w:tcW w:w="2268" w:type="dxa"/>
          </w:tcPr>
          <w:p w:rsidR="006842C8" w:rsidRPr="007C0CDA" w:rsidRDefault="006842C8" w:rsidP="002E3AE9">
            <w:pPr>
              <w:pStyle w:val="Highlight2"/>
              <w:jc w:val="center"/>
              <w:rPr>
                <w:rFonts w:ascii="Calibri" w:hAnsi="Calibri" w:cs="Calibri"/>
                <w:b w:val="0"/>
                <w:color w:val="000000"/>
                <w:lang w:eastAsia="cs-CZ"/>
              </w:rPr>
            </w:pPr>
            <w:r w:rsidRPr="007C0CDA">
              <w:rPr>
                <w:rFonts w:ascii="Calibri" w:hAnsi="Calibri" w:cs="Calibri"/>
                <w:b w:val="0"/>
                <w:color w:val="000000"/>
                <w:lang w:eastAsia="cs-CZ"/>
              </w:rPr>
              <w:t>Rozděluje riziko mezi příjemce, banku a FN.</w:t>
            </w:r>
          </w:p>
          <w:p w:rsidR="006842C8" w:rsidRPr="007C0CDA" w:rsidRDefault="006842C8" w:rsidP="002E3AE9">
            <w:pPr>
              <w:pStyle w:val="Highlight2"/>
              <w:jc w:val="center"/>
              <w:rPr>
                <w:rFonts w:ascii="Calibri" w:hAnsi="Calibri" w:cs="Calibri"/>
                <w:b w:val="0"/>
                <w:color w:val="000000"/>
                <w:lang w:eastAsia="cs-CZ"/>
              </w:rPr>
            </w:pPr>
          </w:p>
          <w:p w:rsidR="006842C8" w:rsidRPr="007C0CDA" w:rsidRDefault="006842C8" w:rsidP="002E3AE9">
            <w:pPr>
              <w:pStyle w:val="Highlight2"/>
              <w:jc w:val="center"/>
              <w:rPr>
                <w:rFonts w:ascii="Calibri" w:hAnsi="Calibri" w:cs="Calibri"/>
                <w:b w:val="0"/>
                <w:color w:val="000000"/>
                <w:lang w:eastAsia="cs-CZ"/>
              </w:rPr>
            </w:pPr>
            <w:r w:rsidRPr="007C0CDA">
              <w:rPr>
                <w:rFonts w:ascii="Calibri" w:hAnsi="Calibri" w:cs="Calibri"/>
                <w:b w:val="0"/>
                <w:color w:val="000000"/>
                <w:lang w:eastAsia="cs-CZ"/>
              </w:rPr>
              <w:t>Riziko zvýšených nákladů pro příjemce zůstává</w:t>
            </w:r>
          </w:p>
          <w:p w:rsidR="006842C8" w:rsidRPr="007C0CDA" w:rsidRDefault="006842C8" w:rsidP="002E3AE9">
            <w:pPr>
              <w:pStyle w:val="Highlight2"/>
              <w:jc w:val="center"/>
              <w:rPr>
                <w:rFonts w:ascii="Calibri" w:hAnsi="Calibri" w:cs="Calibri"/>
                <w:b w:val="0"/>
                <w:color w:val="000000"/>
                <w:lang w:eastAsia="cs-CZ"/>
              </w:rPr>
            </w:pPr>
          </w:p>
          <w:p w:rsidR="006842C8" w:rsidRPr="007C0CDA" w:rsidRDefault="006842C8" w:rsidP="002E3AE9">
            <w:pPr>
              <w:pStyle w:val="Highlight2"/>
              <w:jc w:val="center"/>
              <w:rPr>
                <w:rFonts w:ascii="Calibri" w:hAnsi="Calibri" w:cs="Calibri"/>
                <w:b w:val="0"/>
                <w:color w:val="000000"/>
                <w:lang w:eastAsia="cs-CZ"/>
              </w:rPr>
            </w:pPr>
          </w:p>
        </w:tc>
        <w:tc>
          <w:tcPr>
            <w:tcW w:w="2268" w:type="dxa"/>
          </w:tcPr>
          <w:p w:rsidR="006842C8" w:rsidRPr="007C0CDA" w:rsidRDefault="006842C8" w:rsidP="002E3AE9">
            <w:pPr>
              <w:pStyle w:val="Highlight2"/>
              <w:jc w:val="center"/>
              <w:rPr>
                <w:rFonts w:ascii="Calibri" w:hAnsi="Calibri" w:cs="Calibri"/>
                <w:b w:val="0"/>
                <w:color w:val="000000"/>
                <w:lang w:eastAsia="cs-CZ"/>
              </w:rPr>
            </w:pPr>
            <w:r w:rsidRPr="007C0CDA">
              <w:rPr>
                <w:rFonts w:ascii="Calibri" w:hAnsi="Calibri" w:cs="Calibri"/>
                <w:b w:val="0"/>
                <w:color w:val="000000"/>
                <w:lang w:eastAsia="cs-CZ"/>
              </w:rPr>
              <w:t>Dotace části nákladů snižuje rizika příjemce z negativního vývoje revitalizace. Příjemce přebírá riziko jen do výše spoluúčasti způsobilých a nezpůsobilých nákladů</w:t>
            </w:r>
          </w:p>
          <w:p w:rsidR="006842C8" w:rsidRPr="007C0CDA" w:rsidRDefault="006842C8" w:rsidP="002E3AE9">
            <w:pPr>
              <w:pStyle w:val="Highlight2"/>
              <w:jc w:val="center"/>
              <w:rPr>
                <w:rFonts w:ascii="Calibri" w:hAnsi="Calibri" w:cs="Calibri"/>
                <w:b w:val="0"/>
                <w:color w:val="000000"/>
                <w:lang w:eastAsia="cs-CZ"/>
              </w:rPr>
            </w:pPr>
          </w:p>
          <w:p w:rsidR="006842C8" w:rsidRPr="007C0CDA" w:rsidRDefault="006842C8" w:rsidP="002E3AE9">
            <w:pPr>
              <w:pStyle w:val="Highlight2"/>
              <w:jc w:val="center"/>
              <w:rPr>
                <w:rFonts w:ascii="Calibri" w:hAnsi="Calibri" w:cs="Calibri"/>
                <w:b w:val="0"/>
                <w:color w:val="000000"/>
                <w:lang w:eastAsia="cs-CZ"/>
              </w:rPr>
            </w:pPr>
            <w:r w:rsidRPr="007C0CDA">
              <w:rPr>
                <w:rFonts w:ascii="Calibri" w:hAnsi="Calibri" w:cs="Calibri"/>
                <w:b w:val="0"/>
                <w:color w:val="000000"/>
                <w:lang w:eastAsia="cs-CZ"/>
              </w:rPr>
              <w:t>Zlepšená úvěrovatelnost dotovaných projektů</w:t>
            </w:r>
          </w:p>
          <w:p w:rsidR="006842C8" w:rsidRPr="007C0CDA" w:rsidRDefault="006842C8" w:rsidP="002E3AE9">
            <w:pPr>
              <w:pStyle w:val="Highlight2"/>
              <w:jc w:val="center"/>
              <w:rPr>
                <w:rFonts w:ascii="Calibri" w:hAnsi="Calibri" w:cs="Calibri"/>
                <w:b w:val="0"/>
                <w:color w:val="000000"/>
                <w:lang w:eastAsia="cs-CZ"/>
              </w:rPr>
            </w:pPr>
            <w:r w:rsidRPr="007C0CDA">
              <w:rPr>
                <w:rFonts w:ascii="Calibri" w:hAnsi="Calibri" w:cs="Calibri"/>
                <w:b w:val="0"/>
                <w:color w:val="000000"/>
                <w:lang w:eastAsia="cs-CZ"/>
              </w:rPr>
              <w:t>.</w:t>
            </w:r>
          </w:p>
          <w:p w:rsidR="006842C8" w:rsidRPr="007C0CDA" w:rsidRDefault="006842C8" w:rsidP="002E3AE9">
            <w:pPr>
              <w:pStyle w:val="Highlight2"/>
              <w:jc w:val="center"/>
              <w:rPr>
                <w:rFonts w:ascii="Calibri" w:hAnsi="Calibri" w:cs="Calibri"/>
                <w:b w:val="0"/>
                <w:color w:val="000000"/>
                <w:lang w:eastAsia="cs-CZ"/>
              </w:rPr>
            </w:pPr>
            <w:r w:rsidRPr="007C0CDA">
              <w:rPr>
                <w:rFonts w:ascii="Calibri" w:hAnsi="Calibri" w:cs="Calibri"/>
                <w:b w:val="0"/>
                <w:color w:val="000000"/>
              </w:rPr>
              <w:t xml:space="preserve"> ŘO má předem dané ztráty do absolutní výše dotace.</w:t>
            </w:r>
          </w:p>
        </w:tc>
      </w:tr>
      <w:tr w:rsidR="006842C8" w:rsidRPr="007C0CDA" w:rsidTr="002E3AE9">
        <w:trPr>
          <w:trHeight w:val="1474"/>
        </w:trPr>
        <w:tc>
          <w:tcPr>
            <w:tcW w:w="1729" w:type="dxa"/>
          </w:tcPr>
          <w:p w:rsidR="006842C8" w:rsidRPr="005C7064" w:rsidRDefault="006842C8" w:rsidP="002E3AE9">
            <w:pPr>
              <w:rPr>
                <w:rFonts w:asciiTheme="minorHAnsi" w:hAnsiTheme="minorHAnsi" w:cstheme="minorHAnsi"/>
                <w:b/>
                <w:sz w:val="20"/>
              </w:rPr>
            </w:pPr>
            <w:r w:rsidRPr="005C7064">
              <w:rPr>
                <w:rFonts w:asciiTheme="minorHAnsi" w:hAnsiTheme="minorHAnsi" w:cstheme="minorHAnsi"/>
                <w:b/>
                <w:bCs/>
                <w:color w:val="000000"/>
                <w:sz w:val="20"/>
              </w:rPr>
              <w:t>Administrativní zátěž</w:t>
            </w:r>
          </w:p>
        </w:tc>
        <w:tc>
          <w:tcPr>
            <w:tcW w:w="2694" w:type="dxa"/>
          </w:tcPr>
          <w:p w:rsidR="006842C8" w:rsidRPr="007C0CDA" w:rsidRDefault="006842C8" w:rsidP="002E3AE9">
            <w:pPr>
              <w:pStyle w:val="Highlight2"/>
              <w:jc w:val="center"/>
              <w:rPr>
                <w:rFonts w:ascii="Calibri" w:hAnsi="Calibri" w:cs="Calibri"/>
                <w:b w:val="0"/>
                <w:color w:val="000000"/>
                <w:lang w:eastAsia="cs-CZ"/>
              </w:rPr>
            </w:pPr>
            <w:r w:rsidRPr="007C0CDA">
              <w:rPr>
                <w:rFonts w:ascii="Calibri" w:hAnsi="Calibri" w:cs="Calibri"/>
                <w:b w:val="0"/>
                <w:color w:val="000000"/>
                <w:lang w:eastAsia="cs-CZ"/>
              </w:rPr>
              <w:t>Jednoduchá administrace, bez rizika odebrání podpory z důvodu technických chyb</w:t>
            </w:r>
          </w:p>
          <w:p w:rsidR="006842C8" w:rsidRPr="007C0CDA" w:rsidRDefault="006842C8" w:rsidP="002E3AE9">
            <w:pPr>
              <w:pStyle w:val="Highlight2"/>
              <w:jc w:val="center"/>
              <w:rPr>
                <w:rFonts w:ascii="Calibri" w:hAnsi="Calibri" w:cs="Calibri"/>
                <w:b w:val="0"/>
                <w:bCs/>
                <w:color w:val="000000"/>
                <w:lang w:eastAsia="cs-CZ"/>
              </w:rPr>
            </w:pPr>
          </w:p>
        </w:tc>
        <w:tc>
          <w:tcPr>
            <w:tcW w:w="2268" w:type="dxa"/>
          </w:tcPr>
          <w:p w:rsidR="006842C8" w:rsidRPr="005C7064" w:rsidRDefault="006842C8" w:rsidP="002E3AE9">
            <w:pPr>
              <w:rPr>
                <w:sz w:val="20"/>
              </w:rPr>
            </w:pPr>
            <w:r w:rsidRPr="005C7064">
              <w:rPr>
                <w:rFonts w:cs="Calibri"/>
                <w:color w:val="000000"/>
                <w:sz w:val="20"/>
              </w:rPr>
              <w:t>Jednoduchá administrace, bez rizika odebrání podpory z důvodu technických chyb</w:t>
            </w:r>
          </w:p>
        </w:tc>
        <w:tc>
          <w:tcPr>
            <w:tcW w:w="2268" w:type="dxa"/>
          </w:tcPr>
          <w:p w:rsidR="006842C8" w:rsidRPr="005C7064" w:rsidRDefault="006842C8" w:rsidP="002E3AE9">
            <w:pPr>
              <w:rPr>
                <w:color w:val="000000"/>
                <w:sz w:val="20"/>
              </w:rPr>
            </w:pPr>
            <w:r w:rsidRPr="005C7064">
              <w:rPr>
                <w:rFonts w:cs="Calibri"/>
                <w:color w:val="000000"/>
                <w:sz w:val="20"/>
              </w:rPr>
              <w:t>Vysoká administrativní a regulační zátěž omezuje příjemce, zvyšuje náklady a přináší riziko odebrání dotace.</w:t>
            </w:r>
          </w:p>
        </w:tc>
      </w:tr>
      <w:tr w:rsidR="006842C8" w:rsidRPr="007C0CDA" w:rsidTr="002E3AE9">
        <w:tc>
          <w:tcPr>
            <w:tcW w:w="1729" w:type="dxa"/>
          </w:tcPr>
          <w:p w:rsidR="006842C8" w:rsidRPr="005C7064" w:rsidRDefault="006842C8" w:rsidP="002E3AE9">
            <w:pPr>
              <w:pStyle w:val="Highlight2"/>
              <w:jc w:val="left"/>
              <w:rPr>
                <w:rFonts w:asciiTheme="minorHAnsi" w:hAnsiTheme="minorHAnsi" w:cstheme="minorHAnsi"/>
                <w:bCs/>
                <w:color w:val="auto"/>
                <w:szCs w:val="20"/>
                <w:lang w:eastAsia="cs-CZ"/>
              </w:rPr>
            </w:pPr>
            <w:r w:rsidRPr="005C7064">
              <w:rPr>
                <w:rFonts w:asciiTheme="minorHAnsi" w:hAnsiTheme="minorHAnsi" w:cstheme="minorHAnsi"/>
                <w:color w:val="auto"/>
                <w:szCs w:val="20"/>
              </w:rPr>
              <w:t>Celkový efekt na Investiční aktivitu a absorpci v SC</w:t>
            </w:r>
          </w:p>
        </w:tc>
        <w:tc>
          <w:tcPr>
            <w:tcW w:w="2694" w:type="dxa"/>
          </w:tcPr>
          <w:p w:rsidR="006842C8" w:rsidRDefault="006842C8" w:rsidP="002433DA">
            <w:pPr>
              <w:pStyle w:val="Highlight2"/>
              <w:jc w:val="center"/>
              <w:rPr>
                <w:rFonts w:ascii="Calibri" w:hAnsi="Calibri" w:cs="Calibri"/>
                <w:b w:val="0"/>
                <w:bCs/>
                <w:color w:val="000000"/>
                <w:lang w:eastAsia="cs-CZ"/>
              </w:rPr>
            </w:pPr>
            <w:r>
              <w:rPr>
                <w:rFonts w:ascii="Calibri" w:hAnsi="Calibri" w:cs="Calibri"/>
                <w:b w:val="0"/>
                <w:bCs/>
                <w:color w:val="000000"/>
                <w:lang w:eastAsia="cs-CZ"/>
              </w:rPr>
              <w:t xml:space="preserve">Záruka může mít vliv na oblast rekonstrukce CZT, vzhledem k identifikovanému problému s ručením – což se týká menších subjektů. </w:t>
            </w:r>
          </w:p>
          <w:p w:rsidR="006842C8" w:rsidRPr="007C0CDA" w:rsidRDefault="006842C8" w:rsidP="002433DA">
            <w:pPr>
              <w:pStyle w:val="Highlight2"/>
              <w:jc w:val="center"/>
              <w:rPr>
                <w:rFonts w:ascii="Calibri" w:hAnsi="Calibri" w:cs="Calibri"/>
                <w:b w:val="0"/>
                <w:color w:val="000000"/>
                <w:lang w:eastAsia="cs-CZ"/>
              </w:rPr>
            </w:pPr>
            <w:r>
              <w:rPr>
                <w:rFonts w:ascii="Calibri" w:hAnsi="Calibri" w:cs="Calibri"/>
                <w:b w:val="0"/>
                <w:bCs/>
                <w:color w:val="000000"/>
                <w:lang w:eastAsia="cs-CZ"/>
              </w:rPr>
              <w:t>Na druhou stranu neřeší primární problém dlouhé návratnosti a motivace k investicím v rámci regulovaného odvětví.</w:t>
            </w:r>
          </w:p>
        </w:tc>
        <w:tc>
          <w:tcPr>
            <w:tcW w:w="2268" w:type="dxa"/>
          </w:tcPr>
          <w:p w:rsidR="006842C8" w:rsidRPr="005C7064" w:rsidRDefault="006842C8" w:rsidP="002E3AE9">
            <w:pPr>
              <w:rPr>
                <w:sz w:val="20"/>
              </w:rPr>
            </w:pPr>
            <w:r w:rsidRPr="005C7064">
              <w:rPr>
                <w:sz w:val="20"/>
              </w:rPr>
              <w:t>Mírné zkrácení doby návratnosti, přístup k vyššímu externímu financování a příspěvek na projektovou přípravu</w:t>
            </w:r>
          </w:p>
          <w:p w:rsidR="006842C8" w:rsidRDefault="006842C8" w:rsidP="002E3AE9">
            <w:pPr>
              <w:rPr>
                <w:sz w:val="20"/>
              </w:rPr>
            </w:pPr>
            <w:r>
              <w:rPr>
                <w:sz w:val="20"/>
              </w:rPr>
              <w:t>budou mít v rámci délky návratnosti a investiční aktivitě v regulovaném odvětví spíše nízký efekt.</w:t>
            </w:r>
          </w:p>
          <w:p w:rsidR="006842C8" w:rsidRPr="005C7064" w:rsidRDefault="006842C8" w:rsidP="002433DA">
            <w:pPr>
              <w:rPr>
                <w:rFonts w:cs="Calibri"/>
                <w:color w:val="000000"/>
                <w:sz w:val="20"/>
              </w:rPr>
            </w:pPr>
          </w:p>
        </w:tc>
        <w:tc>
          <w:tcPr>
            <w:tcW w:w="2268" w:type="dxa"/>
          </w:tcPr>
          <w:p w:rsidR="006842C8" w:rsidRDefault="006842C8" w:rsidP="002E3AE9">
            <w:pPr>
              <w:rPr>
                <w:color w:val="000000"/>
                <w:sz w:val="20"/>
              </w:rPr>
            </w:pPr>
            <w:r>
              <w:rPr>
                <w:color w:val="000000"/>
                <w:sz w:val="20"/>
              </w:rPr>
              <w:t>Znatelný</w:t>
            </w:r>
            <w:r w:rsidRPr="005C7064">
              <w:rPr>
                <w:color w:val="000000"/>
                <w:sz w:val="20"/>
              </w:rPr>
              <w:t xml:space="preserve"> efekt na nákladovost a návratnost projektu </w:t>
            </w:r>
            <w:r>
              <w:rPr>
                <w:color w:val="000000"/>
                <w:sz w:val="20"/>
              </w:rPr>
              <w:t>může značně stimulovat aktivity v této oblasti.</w:t>
            </w:r>
          </w:p>
          <w:p w:rsidR="006842C8" w:rsidRPr="005C7064" w:rsidRDefault="006842C8" w:rsidP="002E3AE9">
            <w:pPr>
              <w:rPr>
                <w:rFonts w:cs="Calibri"/>
                <w:color w:val="000000"/>
                <w:sz w:val="20"/>
              </w:rPr>
            </w:pPr>
          </w:p>
        </w:tc>
      </w:tr>
      <w:tr w:rsidR="006842C8" w:rsidRPr="007C0CDA" w:rsidTr="002E3AE9">
        <w:tc>
          <w:tcPr>
            <w:tcW w:w="1729" w:type="dxa"/>
          </w:tcPr>
          <w:p w:rsidR="006842C8" w:rsidRPr="005C7064" w:rsidRDefault="006842C8" w:rsidP="002E3AE9">
            <w:pPr>
              <w:pStyle w:val="Highlight2"/>
              <w:jc w:val="left"/>
              <w:rPr>
                <w:rFonts w:asciiTheme="minorHAnsi" w:hAnsiTheme="minorHAnsi" w:cstheme="minorHAnsi"/>
                <w:color w:val="auto"/>
                <w:szCs w:val="20"/>
              </w:rPr>
            </w:pPr>
            <w:r w:rsidRPr="007C0CDA">
              <w:rPr>
                <w:rFonts w:ascii="Calibri" w:hAnsi="Calibri" w:cs="Calibri"/>
                <w:bCs/>
                <w:color w:val="000000"/>
                <w:lang w:eastAsia="cs-CZ"/>
              </w:rPr>
              <w:t>Efekt na narušení tržního prostředí</w:t>
            </w:r>
          </w:p>
        </w:tc>
        <w:tc>
          <w:tcPr>
            <w:tcW w:w="2694" w:type="dxa"/>
          </w:tcPr>
          <w:p w:rsidR="006842C8" w:rsidRPr="005C7064" w:rsidRDefault="006842C8" w:rsidP="002E3AE9">
            <w:pPr>
              <w:pStyle w:val="Highlight2"/>
              <w:jc w:val="center"/>
              <w:rPr>
                <w:rFonts w:ascii="Calibri" w:hAnsi="Calibri" w:cs="Calibri"/>
                <w:b w:val="0"/>
                <w:bCs/>
                <w:color w:val="000000"/>
                <w:szCs w:val="20"/>
                <w:lang w:eastAsia="cs-CZ"/>
              </w:rPr>
            </w:pPr>
            <w:r w:rsidRPr="005C7064">
              <w:rPr>
                <w:rFonts w:ascii="Calibri" w:hAnsi="Calibri" w:cs="Calibri"/>
                <w:b w:val="0"/>
                <w:color w:val="000000"/>
                <w:szCs w:val="20"/>
                <w:lang w:eastAsia="cs-CZ"/>
              </w:rPr>
              <w:t>Minimální vliv na tržní prostředí, zvyšují konkurenci odstraněním finanční bariéry pro menší subjekty</w:t>
            </w:r>
          </w:p>
        </w:tc>
        <w:tc>
          <w:tcPr>
            <w:tcW w:w="2268" w:type="dxa"/>
          </w:tcPr>
          <w:p w:rsidR="006842C8" w:rsidRPr="005C7064" w:rsidRDefault="006842C8" w:rsidP="002E3AE9">
            <w:pPr>
              <w:pStyle w:val="Highlight2"/>
              <w:jc w:val="center"/>
              <w:rPr>
                <w:rFonts w:ascii="Calibri" w:hAnsi="Calibri" w:cs="Calibri"/>
                <w:b w:val="0"/>
                <w:color w:val="000000"/>
                <w:szCs w:val="20"/>
                <w:lang w:eastAsia="cs-CZ"/>
              </w:rPr>
            </w:pPr>
            <w:r w:rsidRPr="005C7064">
              <w:rPr>
                <w:rFonts w:ascii="Calibri" w:hAnsi="Calibri" w:cs="Calibri"/>
                <w:b w:val="0"/>
                <w:color w:val="000000"/>
                <w:szCs w:val="20"/>
                <w:lang w:eastAsia="cs-CZ"/>
              </w:rPr>
              <w:t>Malý vliv na tržní prostředí, návratná podpora motivuje ekonomicky efektivní počínání subjektů</w:t>
            </w:r>
          </w:p>
          <w:p w:rsidR="006842C8" w:rsidRPr="005C7064" w:rsidRDefault="006842C8" w:rsidP="002E3AE9">
            <w:pPr>
              <w:pStyle w:val="Highlight2"/>
              <w:jc w:val="center"/>
              <w:rPr>
                <w:rFonts w:ascii="Calibri" w:hAnsi="Calibri" w:cs="Calibri"/>
                <w:b w:val="0"/>
                <w:color w:val="000000"/>
                <w:szCs w:val="20"/>
                <w:lang w:eastAsia="cs-CZ"/>
              </w:rPr>
            </w:pPr>
            <w:r w:rsidRPr="005C7064">
              <w:rPr>
                <w:rFonts w:ascii="Calibri" w:hAnsi="Calibri" w:cs="Calibri"/>
                <w:b w:val="0"/>
                <w:color w:val="000000"/>
                <w:szCs w:val="20"/>
                <w:lang w:eastAsia="cs-CZ"/>
              </w:rPr>
              <w:t>Doplnění soukromého finančního trhu</w:t>
            </w:r>
          </w:p>
          <w:p w:rsidR="006842C8" w:rsidRPr="005C7064" w:rsidRDefault="006842C8" w:rsidP="002E3AE9">
            <w:pPr>
              <w:rPr>
                <w:sz w:val="20"/>
              </w:rPr>
            </w:pPr>
            <w:r>
              <w:rPr>
                <w:sz w:val="20"/>
              </w:rPr>
              <w:t>Nenarušuje tržní prostředí podobně jako provozní podpora</w:t>
            </w:r>
          </w:p>
        </w:tc>
        <w:tc>
          <w:tcPr>
            <w:tcW w:w="2268" w:type="dxa"/>
          </w:tcPr>
          <w:p w:rsidR="006842C8" w:rsidRPr="005C7064" w:rsidRDefault="006842C8" w:rsidP="002433DA">
            <w:pPr>
              <w:rPr>
                <w:color w:val="000000"/>
                <w:sz w:val="20"/>
              </w:rPr>
            </w:pPr>
            <w:r>
              <w:rPr>
                <w:rFonts w:cs="Calibri"/>
                <w:bCs/>
                <w:color w:val="000000"/>
                <w:sz w:val="20"/>
              </w:rPr>
              <w:t>Dotace znamenají zvýhodnění pro podnikání dotčených subjektů, nicméně do značné míry vyrovnávají tržní selhání. V rámci trhu se nejedná o závažné narušení vzhledem k jeho zvláštnímu regulovanému a kvazi-monopolnímu charakteru.</w:t>
            </w:r>
          </w:p>
        </w:tc>
      </w:tr>
    </w:tbl>
    <w:p w:rsidR="006842C8" w:rsidRPr="007C0CDA" w:rsidRDefault="006842C8" w:rsidP="006842C8"/>
    <w:p w:rsidR="006842C8" w:rsidRPr="007C0CDA" w:rsidRDefault="006842C8" w:rsidP="006842C8">
      <w:pPr>
        <w:pStyle w:val="Titulek"/>
      </w:pPr>
      <w:r w:rsidRPr="007C0CDA">
        <w:t xml:space="preserve">Tabulka </w:t>
      </w:r>
      <w:r w:rsidRPr="00B675D6">
        <w:fldChar w:fldCharType="begin"/>
      </w:r>
      <w:r w:rsidRPr="007C0CDA">
        <w:instrText xml:space="preserve"> SEQ Tabulka \* ARABIC </w:instrText>
      </w:r>
      <w:r w:rsidRPr="005C7064">
        <w:fldChar w:fldCharType="separate"/>
      </w:r>
      <w:r w:rsidRPr="007C0CDA">
        <w:rPr>
          <w:noProof/>
        </w:rPr>
        <w:t>8</w:t>
      </w:r>
      <w:r w:rsidRPr="00B675D6">
        <w:fldChar w:fldCharType="end"/>
      </w:r>
      <w:r w:rsidRPr="007C0CDA">
        <w:t xml:space="preserve"> – Přida</w:t>
      </w:r>
      <w:r>
        <w:t>ná hodnota podpory pro cíle SC 3</w:t>
      </w:r>
      <w:r w:rsidRPr="007C0CDA">
        <w:t>.</w:t>
      </w:r>
      <w:r w:rsidR="002E3AE9">
        <w:t>5</w:t>
      </w:r>
      <w:r w:rsidRPr="007C0CDA">
        <w:t xml:space="preserve"> </w:t>
      </w:r>
    </w:p>
    <w:p w:rsidR="006842C8" w:rsidRDefault="006842C8" w:rsidP="006842C8"/>
    <w:p w:rsidR="006842C8" w:rsidRDefault="006842C8" w:rsidP="006842C8">
      <w:r>
        <w:t xml:space="preserve">Na základě porovnání přidané hodnoty je zřejmé, </w:t>
      </w:r>
      <w:r w:rsidR="002E3AE9">
        <w:t>že výrazná selhání trhu řeší v porovnání lépe dotační podpora. Případný potenciál úvěrového a záručního nástroje</w:t>
      </w:r>
      <w:r w:rsidR="00845C02">
        <w:t xml:space="preserve"> a jejich absorpční kapacita</w:t>
      </w:r>
      <w:r w:rsidR="002E3AE9">
        <w:t xml:space="preserve"> </w:t>
      </w:r>
      <w:r w:rsidR="00FA1215">
        <w:t>musí být ještě ověřeny. Určité pozitivum skýtá jejich revolvingový efekt a vliv na přístup k financování.</w:t>
      </w:r>
    </w:p>
    <w:p w:rsidR="009D2CAE" w:rsidRPr="007C0CDA" w:rsidRDefault="009D2CAE" w:rsidP="00F2306B"/>
    <w:p w:rsidR="009D2CAE" w:rsidRPr="007C0CDA" w:rsidRDefault="009D2CAE" w:rsidP="003C3B8D">
      <w:pPr>
        <w:pStyle w:val="Neslovannadpisy"/>
      </w:pPr>
      <w:r w:rsidRPr="007C0CDA">
        <w:t>Veřejná podpora</w:t>
      </w:r>
    </w:p>
    <w:p w:rsidR="009D2CAE" w:rsidRPr="007C0CDA" w:rsidRDefault="009D2CAE" w:rsidP="003C3B8D">
      <w:r w:rsidRPr="007C0CDA">
        <w:t>Pro úvěrový finanční nástroj lze řešit veřejnou podporu poskytnutím podpory de minimis nebo podpory podle Obecného nařízení o blokových výjimkách, v případě kapitálového finančního nástroje pouze podpory podle Obecného nařízení o blokových výjimkách.</w:t>
      </w:r>
    </w:p>
    <w:p w:rsidR="009D2CAE" w:rsidRPr="007C0CDA" w:rsidRDefault="009D2CAE" w:rsidP="00E01C2E"/>
    <w:p w:rsidR="009D2CAE" w:rsidRPr="002433DA" w:rsidRDefault="009D2CAE" w:rsidP="00E01C2E">
      <w:pPr>
        <w:rPr>
          <w:b/>
        </w:rPr>
      </w:pPr>
      <w:r w:rsidRPr="002433DA">
        <w:rPr>
          <w:b/>
        </w:rPr>
        <w:t>Komplementarity a synergie</w:t>
      </w:r>
    </w:p>
    <w:p w:rsidR="009D2CAE" w:rsidRPr="007C0CDA" w:rsidRDefault="009D2CAE" w:rsidP="00E01C2E">
      <w:r w:rsidRPr="007C0CDA">
        <w:t>Komplementarity vznikají zejména v souvislosti s podporu energetické účinnosti ve specifickém cíli 3.2, kdy v SC 3.5 dochází k podpoře úspor energie při distribuci energie.</w:t>
      </w:r>
    </w:p>
    <w:p w:rsidR="009D2CAE" w:rsidRPr="007C0CDA" w:rsidRDefault="009D2CAE" w:rsidP="00E01C2E"/>
    <w:p w:rsidR="009D2CAE" w:rsidRPr="007C0CDA" w:rsidRDefault="009D2CAE" w:rsidP="003C3B8D">
      <w:pPr>
        <w:rPr>
          <w:lang w:eastAsia="en-US"/>
        </w:rPr>
      </w:pPr>
      <w:r w:rsidRPr="007C0CDA">
        <w:rPr>
          <w:lang w:eastAsia="en-US"/>
        </w:rPr>
        <w:t>Důležitou komplementaritu představuje také možnost zapojení Investičního plánu pro Evropu a Evropského fondu pro strategické investice.</w:t>
      </w:r>
    </w:p>
    <w:p w:rsidR="009D2CAE" w:rsidRPr="007C0CDA" w:rsidRDefault="009D2CAE" w:rsidP="00E01C2E"/>
    <w:p w:rsidR="009D2CAE" w:rsidRPr="007C0CDA" w:rsidRDefault="009D2CAE" w:rsidP="00E01C2E"/>
    <w:p w:rsidR="009D2CAE" w:rsidRPr="004153D2" w:rsidRDefault="009D2CAE" w:rsidP="002433DA">
      <w:pPr>
        <w:pStyle w:val="Nadpis2"/>
        <w:rPr>
          <w:lang w:eastAsia="en-US"/>
        </w:rPr>
      </w:pPr>
      <w:bookmarkStart w:id="556" w:name="_Toc416447877"/>
      <w:r w:rsidRPr="00B675D6">
        <w:rPr>
          <w:lang w:eastAsia="en-US"/>
        </w:rPr>
        <w:t xml:space="preserve">Specifický cíl 4.1- </w:t>
      </w:r>
      <w:r w:rsidRPr="00854519">
        <w:t xml:space="preserve">Zvětšit pokrytí vysokorychlostním přístupem </w:t>
      </w:r>
      <w:r w:rsidRPr="00172EF4">
        <w:t>k internetu</w:t>
      </w:r>
      <w:bookmarkEnd w:id="556"/>
    </w:p>
    <w:p w:rsidR="009D2CAE" w:rsidRPr="007C0CDA" w:rsidRDefault="009D2CAE" w:rsidP="002413B6">
      <w:pPr>
        <w:pStyle w:val="Nadpis3"/>
      </w:pPr>
      <w:bookmarkStart w:id="557" w:name="_Toc416447878"/>
      <w:r w:rsidRPr="007C0CDA">
        <w:t>Zaměření specifického cíle</w:t>
      </w:r>
      <w:bookmarkEnd w:id="557"/>
    </w:p>
    <w:p w:rsidR="009D2CAE" w:rsidRPr="007C0CDA" w:rsidRDefault="009D2CAE">
      <w:pPr>
        <w:pStyle w:val="Neslovannadpisy"/>
      </w:pPr>
      <w:r w:rsidRPr="007C0CDA">
        <w:t>Podporované aktivity:</w:t>
      </w:r>
    </w:p>
    <w:p w:rsidR="009D2CAE" w:rsidRPr="007C0CDA" w:rsidRDefault="009D2CAE" w:rsidP="002433DA">
      <w:pPr>
        <w:pStyle w:val="Odstavecseseznamem"/>
        <w:numPr>
          <w:ilvl w:val="0"/>
          <w:numId w:val="8"/>
        </w:numPr>
      </w:pPr>
      <w:r w:rsidRPr="007C0CDA">
        <w:t>Modernizace resp. rozšiřování stávající infrastruktury pro vysokorychlostní přístup k internetu využitím optických prvků s cílem umožnit vysokorychlostní přístup k internetu přenosovou rychlostí alespoň 30 Mbit/s,</w:t>
      </w:r>
    </w:p>
    <w:p w:rsidR="009D2CAE" w:rsidRPr="007C0CDA" w:rsidRDefault="009D2CAE" w:rsidP="002433DA">
      <w:pPr>
        <w:pStyle w:val="Odstavecseseznamem"/>
        <w:numPr>
          <w:ilvl w:val="0"/>
          <w:numId w:val="8"/>
        </w:numPr>
      </w:pPr>
      <w:r w:rsidRPr="007C0CDA">
        <w:t>zřizování nových sítí sestávajících z části nebo plně z optických vedení pro vysokorychlostní přístup k internetu umožňující přenosovou rychlost alespoň 30 Mbit/s; v případě zřizování nových sítí s pevným připojením do jednotlivých domácností musí tato síť umožnit přenosovou rychlost až 100 Mbit/s,</w:t>
      </w:r>
    </w:p>
    <w:p w:rsidR="009D2CAE" w:rsidRPr="007C0CDA" w:rsidRDefault="009D2CAE" w:rsidP="002433DA">
      <w:pPr>
        <w:pStyle w:val="Odstavecseseznamem"/>
        <w:numPr>
          <w:ilvl w:val="0"/>
          <w:numId w:val="8"/>
        </w:numPr>
      </w:pPr>
      <w:r w:rsidRPr="007C0CDA">
        <w:t>vytváření pasivní infrastruktury pro vysokorychlostní přístup k internetu zejména v lokalitách předpokládaného budoucího stavebního rozvoje, přičemž tato aktivita může být podpořena pouze v kombinaci s jednou z předchozích dvou aktivit.</w:t>
      </w:r>
    </w:p>
    <w:p w:rsidR="009D2CAE" w:rsidRPr="007C0CDA" w:rsidRDefault="009D2CAE"/>
    <w:p w:rsidR="009D2CAE" w:rsidRPr="007C0CDA" w:rsidRDefault="009D2CAE">
      <w:pPr>
        <w:pStyle w:val="Neslovannadpisy"/>
      </w:pPr>
      <w:r w:rsidRPr="007C0CDA">
        <w:t>Hlavní typ příjemců:</w:t>
      </w:r>
    </w:p>
    <w:p w:rsidR="009D2CAE" w:rsidRPr="007C0CDA" w:rsidRDefault="009D2CAE" w:rsidP="008674AE">
      <w:r w:rsidRPr="007C0CDA">
        <w:t>Podnikatelské subjekty v elektronických komunikacích bez ohledu na velikost.</w:t>
      </w:r>
    </w:p>
    <w:p w:rsidR="009D2CAE" w:rsidRPr="007C0CDA" w:rsidRDefault="009D2CAE" w:rsidP="008674AE"/>
    <w:p w:rsidR="009D2CAE" w:rsidRPr="007C0CDA" w:rsidRDefault="009D2CAE" w:rsidP="000E21F7">
      <w:pPr>
        <w:pStyle w:val="Neslovannadpisy"/>
      </w:pPr>
      <w:r w:rsidRPr="007C0CDA">
        <w:t xml:space="preserve">Hlavní cílová skupina: </w:t>
      </w:r>
    </w:p>
    <w:p w:rsidR="009D2CAE" w:rsidRPr="007C0CDA" w:rsidRDefault="009D2CAE" w:rsidP="000E21F7">
      <w:r w:rsidRPr="007C0CDA">
        <w:t>Obyvatelé a podnikatelé, kteří nemají možnost využívat vysokorychlostní přístup k internetu o rychlosti alespoň 30 Mbit/s.</w:t>
      </w:r>
    </w:p>
    <w:p w:rsidR="009D2CAE" w:rsidRPr="007C0CDA" w:rsidRDefault="009D2CAE" w:rsidP="008674AE">
      <w:pPr>
        <w:pStyle w:val="Neslovannadpisy"/>
      </w:pPr>
    </w:p>
    <w:p w:rsidR="009D2CAE" w:rsidRPr="007C0CDA" w:rsidRDefault="009D2CAE" w:rsidP="008674AE">
      <w:pPr>
        <w:pStyle w:val="Neslovannadpisy"/>
      </w:pPr>
      <w:r w:rsidRPr="007C0CDA">
        <w:t>Cílové území:</w:t>
      </w:r>
    </w:p>
    <w:p w:rsidR="009D2CAE" w:rsidRPr="007C0CDA" w:rsidRDefault="009D2CAE" w:rsidP="008674AE">
      <w:r w:rsidRPr="007C0CDA">
        <w:t>Všechny regiony v ČR kromě hl. m. Prahy.</w:t>
      </w:r>
    </w:p>
    <w:p w:rsidR="009D2CAE" w:rsidRPr="007C0CDA" w:rsidDel="000E21F7" w:rsidRDefault="009D2CAE" w:rsidP="00CE0F8D"/>
    <w:p w:rsidR="009D2CAE" w:rsidRPr="007C0CDA" w:rsidRDefault="009D2CAE">
      <w:pPr>
        <w:pStyle w:val="Neslovannadpisy"/>
      </w:pPr>
      <w:r w:rsidRPr="007C0CDA">
        <w:t>Výběr aktivit k posouzení vhodnosti finančního nástroje</w:t>
      </w:r>
    </w:p>
    <w:p w:rsidR="009D2CAE" w:rsidRPr="007C0CDA" w:rsidDel="000E21F7" w:rsidRDefault="009D2CAE" w:rsidP="00CE0F8D">
      <w:r w:rsidRPr="007C0CDA">
        <w:t>K předběžnému posouzení byla i na základě indikace Evropské komise vybrána celá oblast budování NGA sítí v SC 4.1.</w:t>
      </w:r>
    </w:p>
    <w:p w:rsidR="009D2CAE" w:rsidRPr="007C0CDA" w:rsidRDefault="009D2CAE" w:rsidP="00CE0F8D"/>
    <w:p w:rsidR="009D2CAE" w:rsidRPr="00854519" w:rsidRDefault="009D2CAE" w:rsidP="002433DA">
      <w:pPr>
        <w:pStyle w:val="Nadpis3"/>
      </w:pPr>
      <w:bookmarkStart w:id="558" w:name="_Toc416447879"/>
      <w:r w:rsidRPr="00B675D6">
        <w:lastRenderedPageBreak/>
        <w:t>Tržní analýza</w:t>
      </w:r>
      <w:bookmarkEnd w:id="558"/>
    </w:p>
    <w:p w:rsidR="009D2CAE" w:rsidRPr="007C0CDA" w:rsidRDefault="009D2CAE">
      <w:r w:rsidRPr="007C0CDA">
        <w:t xml:space="preserve">Hospodářsky rozvoj ve vyspělých státech je považován za nejdůležitější aspekt ekonomického růstu. Bez rozvoje ICT je hospodářský rozvoj nemožný a právě proto se orgány EU začaly zaobírat strategií na podporu rozvoje této oblasti, které nezbytnou součásti je spolehlivé a rychlé připojení k internetu. Pokrytí kvalitním připojením k internetu je důležité jak v případě firem, tak i domácnosti, protože moderní společnosti vyžaduje nové formy práce, komunikace, kdy vyhledávaní informací je úzce spjaté právě s přístupem k vysokorychlostnímu internetu. </w:t>
      </w:r>
    </w:p>
    <w:p w:rsidR="009D2CAE" w:rsidRPr="007C0CDA" w:rsidRDefault="009D2CAE"/>
    <w:p w:rsidR="009D2CAE" w:rsidRPr="007C0CDA" w:rsidRDefault="009D2CAE" w:rsidP="00CE0F8D">
      <w:r w:rsidRPr="007C0CDA">
        <w:t xml:space="preserve">Pokud chce Česká republika udržovat krok s vyspělými státy, musí se nezbytně otázce rozvoje síti nové generace (Next Generation Access) věnovat na vládní úrovni.Specifický cíl 4.1 má za cíl zvětšit pokrytí vysokorychlostním přístupem k internetu. Rozšiřování sítí má probíhat buď rekonstrukci již existujících sítí elektronických komunikací, nebo výstavbou nových. </w:t>
      </w:r>
    </w:p>
    <w:p w:rsidR="009D2CAE" w:rsidRPr="007C0CDA" w:rsidRDefault="009D2CAE" w:rsidP="00CE0F8D"/>
    <w:p w:rsidR="009D2CAE" w:rsidRPr="007C0CDA" w:rsidRDefault="009D2CAE" w:rsidP="00DC3B1F">
      <w:pPr>
        <w:rPr>
          <w:rFonts w:ascii="Times New Roman" w:hAnsi="Times New Roman"/>
          <w:sz w:val="24"/>
        </w:rPr>
      </w:pPr>
      <w:r w:rsidRPr="007C0CDA">
        <w:t>Dne 20. března 2013 vláda usnesením č. 203 schválila aktualizovanou Státní politiku v elektronických komunikacích – Digitální Česko v. 2.0, Cesta k digitální ekonomice</w:t>
      </w:r>
      <w:r w:rsidRPr="007C0CDA">
        <w:rPr>
          <w:rStyle w:val="Znakapoznpodarou"/>
          <w:b/>
        </w:rPr>
        <w:footnoteReference w:id="30"/>
      </w:r>
      <w:r w:rsidRPr="007C0CDA">
        <w:t xml:space="preserve">. Jedním z bodů této strategie je Podpora rozvoje vysokorychlostních přístupových síti k internetu a zároveň usnadnění jejích výstavby. Podle tohoto vládního dokumentu je cílem do roku 2020 dosáhnout přístup k 30 Mbit/s internetu pro všechny obyvatelé a minimálně pro polovinu domácnosti přístup k internetu umožňujícímu přenosovou rychlost 100 Mbit/s. </w:t>
      </w:r>
    </w:p>
    <w:p w:rsidR="009D2CAE" w:rsidRPr="007C0CDA" w:rsidRDefault="009D2CAE" w:rsidP="00CE0F8D"/>
    <w:p w:rsidR="009D2CAE" w:rsidRPr="007C0CDA" w:rsidRDefault="009D2CAE" w:rsidP="00CE0F8D">
      <w:r w:rsidRPr="007C0CDA">
        <w:t>Cílovou skupinou jsou nejenom běžné domácnosti, ale také podnikatelé, kteří se nacházejí v oblastech, kde neexistuje žádná NGA síť (Next Generation Access) a v nejbližší době je nepravděpodobné, že by došlo ke změně stávající situace. Subjekty podnikající v oblasti elektronických komunikací nebudují NGA sítě oblastech s nižší hustotou zalidnění, protože to není ekonomicky výhodné. Investice do komunikační infrastruktury provádějí na liberalizovaných trzích soukromé subjekty na základě tržních mechanizmů a proto především v regionech s vysokou perspektivou poptávky, přičemž se dále rozšiřuje „propast v přístupu k vysokorychlostnímu připojení" mezi venkovskými a městskými oblastmi. Méně obydlené oblasti ČR by mohly zůstat v důsledku nedostatečné dostupnosti připojení k internetu – dokonce i při stoupající poptávce – dlouhodobě vyloučeny z hospodářského rozvoje.</w:t>
      </w:r>
    </w:p>
    <w:p w:rsidR="009D2CAE" w:rsidRPr="007C0CDA" w:rsidRDefault="009D2CAE" w:rsidP="001C5E56">
      <w:pPr>
        <w:jc w:val="left"/>
      </w:pPr>
    </w:p>
    <w:p w:rsidR="009D2CAE" w:rsidRPr="007C0CDA" w:rsidRDefault="009D2CAE" w:rsidP="00DC3B1F">
      <w:r w:rsidRPr="007C0CDA">
        <w:t>Pro lokalizaci oblastí se slabým nebo žádným přístupem k internetu prostřednictvím infrastruktury splňující kritéria NGA sítí bylo provedeno tzv. „mapování“ na území celé ČR. Šetření dostupnosti NGA sítě na úrovni nižší než je území obce, tj. na úrovni základní sídelní jednotky (ZSJ), provedl Český telekomunikační Úřad</w:t>
      </w:r>
      <w:r w:rsidRPr="007C0CDA">
        <w:rPr>
          <w:rStyle w:val="Znakapoznpodarou"/>
        </w:rPr>
        <w:footnoteReference w:id="31"/>
      </w:r>
      <w:r w:rsidRPr="007C0CDA">
        <w:t>, Tyto výsledky byly využity rovněž při zpracování Národního plánu rozvojesítí nové generace, jehož pracovní verze byla předmětem veřejné konzultace</w:t>
      </w:r>
      <w:r w:rsidRPr="007C0CDA">
        <w:rPr>
          <w:rStyle w:val="Znakapoznpodarou"/>
        </w:rPr>
        <w:footnoteReference w:id="32"/>
      </w:r>
      <w:r w:rsidRPr="007C0CDA">
        <w:t xml:space="preserve">. </w:t>
      </w:r>
    </w:p>
    <w:p w:rsidR="009D2CAE" w:rsidRPr="007C0CDA" w:rsidRDefault="009D2CAE" w:rsidP="00CE0F8D"/>
    <w:p w:rsidR="009D2CAE" w:rsidRPr="007C0CDA" w:rsidRDefault="009D2CAE" w:rsidP="00CE0F8D">
      <w:pPr>
        <w:rPr>
          <w:b/>
        </w:rPr>
      </w:pPr>
      <w:r w:rsidRPr="007C0CDA">
        <w:rPr>
          <w:b/>
        </w:rPr>
        <w:t>Výsledkem mapování oblastí bylo rozčlenění ZSJ na tzv. bíle, šedé a černé oblasti:</w:t>
      </w:r>
    </w:p>
    <w:p w:rsidR="009D2CAE" w:rsidRPr="007C0CDA" w:rsidRDefault="009D2CAE" w:rsidP="002433DA">
      <w:pPr>
        <w:pStyle w:val="Odstavecseseznamem"/>
        <w:numPr>
          <w:ilvl w:val="0"/>
          <w:numId w:val="2"/>
        </w:numPr>
      </w:pPr>
      <w:r w:rsidRPr="007C0CDA">
        <w:t>Bílá místa – lokalita, kde neexistuje žádná NGA síť a existuje vysoká pravděpodobnost, že v nejbližších 3 letech nebude síť vybudovaná za komerčních podmínek.</w:t>
      </w:r>
    </w:p>
    <w:p w:rsidR="009D2CAE" w:rsidRPr="007C0CDA" w:rsidRDefault="009D2CAE" w:rsidP="002433DA">
      <w:pPr>
        <w:pStyle w:val="Odstavecseseznamem"/>
        <w:numPr>
          <w:ilvl w:val="0"/>
          <w:numId w:val="2"/>
        </w:numPr>
      </w:pPr>
      <w:r w:rsidRPr="007C0CDA">
        <w:t>Šedá místa – lokalita, kde existuje pouze jedna NGA síť od jednoho operátora a pravděpodobnost, že bude vybudovaná druhá v průběhu 3 let za komerčních podmínek, je nízká.</w:t>
      </w:r>
    </w:p>
    <w:p w:rsidR="009D2CAE" w:rsidRPr="007C0CDA" w:rsidRDefault="009D2CAE" w:rsidP="002433DA">
      <w:pPr>
        <w:pStyle w:val="Odstavecseseznamem"/>
        <w:numPr>
          <w:ilvl w:val="0"/>
          <w:numId w:val="2"/>
        </w:numPr>
      </w:pPr>
      <w:r w:rsidRPr="007C0CDA">
        <w:t xml:space="preserve">Černá místa – lokalita, kde existují, nebo v nadcházejících 3 letech budou zavedeny alespoň 2 NGA sítě od různých provozovatelů. </w:t>
      </w:r>
    </w:p>
    <w:p w:rsidR="009D2CAE" w:rsidRPr="007C0CDA" w:rsidRDefault="009D2CAE" w:rsidP="00CE0F8D"/>
    <w:p w:rsidR="009D2CAE" w:rsidRPr="007C0CDA" w:rsidRDefault="009D2CAE" w:rsidP="00CE0F8D">
      <w:r w:rsidRPr="007C0CDA">
        <w:t>Geografické rozmístění bílých, šedých a černých oblastí je znázorněno na schématu níže.</w:t>
      </w:r>
    </w:p>
    <w:p w:rsidR="009D2CAE" w:rsidRPr="007C0CDA" w:rsidRDefault="009D2CAE" w:rsidP="00CE0F8D"/>
    <w:p w:rsidR="009D2CAE" w:rsidRPr="007C0CDA" w:rsidRDefault="002D1138">
      <w:pPr>
        <w:keepNext/>
      </w:pPr>
      <w:r>
        <w:rPr>
          <w:noProof/>
        </w:rPr>
        <w:lastRenderedPageBreak/>
        <w:drawing>
          <wp:inline distT="0" distB="0" distL="0" distR="0" wp14:anchorId="350CC994" wp14:editId="469DFE71">
            <wp:extent cx="5715000" cy="3571875"/>
            <wp:effectExtent l="0" t="0" r="0" b="9525"/>
            <wp:docPr id="25"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3571875"/>
                    </a:xfrm>
                    <a:prstGeom prst="rect">
                      <a:avLst/>
                    </a:prstGeom>
                    <a:noFill/>
                    <a:ln>
                      <a:noFill/>
                    </a:ln>
                  </pic:spPr>
                </pic:pic>
              </a:graphicData>
            </a:graphic>
          </wp:inline>
        </w:drawing>
      </w:r>
    </w:p>
    <w:p w:rsidR="009D2CAE" w:rsidRPr="007C0CDA" w:rsidRDefault="009D2CAE" w:rsidP="00DF6E0B">
      <w:pPr>
        <w:pStyle w:val="Titulek"/>
      </w:pPr>
      <w:r w:rsidRPr="007C0CDA">
        <w:t xml:space="preserve">Obrázek </w:t>
      </w:r>
      <w:r w:rsidRPr="00854519">
        <w:fldChar w:fldCharType="begin"/>
      </w:r>
      <w:r w:rsidRPr="007C0CDA">
        <w:instrText xml:space="preserve"> SEQ Obrázek \* ARABIC </w:instrText>
      </w:r>
      <w:r w:rsidRPr="002433DA">
        <w:fldChar w:fldCharType="separate"/>
      </w:r>
      <w:r w:rsidRPr="007C0CDA">
        <w:rPr>
          <w:noProof/>
        </w:rPr>
        <w:t>2</w:t>
      </w:r>
      <w:r w:rsidRPr="00854519">
        <w:fldChar w:fldCharType="end"/>
      </w:r>
      <w:r w:rsidRPr="007C0CDA">
        <w:t>: Rozložení bílých, šedých a černých míst</w:t>
      </w:r>
    </w:p>
    <w:p w:rsidR="009D2CAE" w:rsidRPr="007C0CDA" w:rsidRDefault="009D2CAE" w:rsidP="00DF6E0B">
      <w:pPr>
        <w:pStyle w:val="Titulek"/>
      </w:pPr>
      <w:r w:rsidRPr="007C0CDA">
        <w:t xml:space="preserve">Zdroj: ČTÚ - </w:t>
      </w:r>
      <w:hyperlink r:id="rId33" w:history="1">
        <w:r w:rsidRPr="007C0CDA">
          <w:rPr>
            <w:rStyle w:val="Hypertextovodkaz"/>
          </w:rPr>
          <w:t>https://www.ctu.cz/ctu-online/pruzkum-nga.html</w:t>
        </w:r>
      </w:hyperlink>
    </w:p>
    <w:p w:rsidR="009D2CAE" w:rsidRPr="007C0CDA" w:rsidRDefault="009D2CAE" w:rsidP="00CE0F8D"/>
    <w:p w:rsidR="009D2CAE" w:rsidRPr="007C0CDA" w:rsidRDefault="009D2CAE" w:rsidP="001C5E56">
      <w:r w:rsidRPr="007C0CDA">
        <w:t xml:space="preserve">K 1. 7. 2014 bylo bílou barvou označeno 43,53 % základních sídelných jednotek, 24,8 % šedou barvou a 31,68 % barvou černou. </w:t>
      </w:r>
      <w:r w:rsidRPr="002433DA">
        <w:rPr>
          <w:b/>
        </w:rPr>
        <w:t>Podporu z veřejných finančních zdrojů mají nárok získat pouze lokality označené jako bíle oblastí a ve výjimečných případech šedé oblast</w:t>
      </w:r>
      <w:r w:rsidRPr="007C0CDA">
        <w:rPr>
          <w:b/>
        </w:rPr>
        <w:t>i</w:t>
      </w:r>
      <w:r w:rsidRPr="007C0CDA">
        <w:t xml:space="preserve"> (pouze za předpokladu, že jediný operátor narušuje tržní prostředí). Při úvahách založených na výstupech NGA mapování ze srpna 2014 je třeba vycházet ze skutečnosti, že mapa je koncipována jako indikativní.  Pro konkrétní případy využití některé z forem veřejné podpory dojde k upřesnění a aktualizaci dat.</w:t>
      </w:r>
    </w:p>
    <w:p w:rsidR="009D2CAE" w:rsidRPr="007C0CDA" w:rsidRDefault="009D2CAE" w:rsidP="001C5E56"/>
    <w:p w:rsidR="009D2CAE" w:rsidRPr="007C0CDA" w:rsidRDefault="009D2CAE" w:rsidP="001C5E56">
      <w:r w:rsidRPr="007C0CDA">
        <w:t>Bíle a šedé oblasti mají převážně venkovský charakter, ve výskytu těchto nedostatečně pokrytých míst dosahuje ČR podprůměrné výsledky v evropském srovnání (EU28). Dostupnost vysokorychlostního internetu zejména ve venkovských oblastech dosahuje pouze 2,8 % (2013), což pro poskytovatelé elektronické komunikace znamená obrovskou investiční příležitost, především za předpokladu možnosti využívat na související investice veřejné zdroje financování.</w:t>
      </w:r>
    </w:p>
    <w:p w:rsidR="009D2CAE" w:rsidRPr="007C0CDA" w:rsidRDefault="009D2CAE" w:rsidP="001C5E56"/>
    <w:p w:rsidR="009D2CAE" w:rsidRPr="007C0CDA" w:rsidRDefault="009D2CAE" w:rsidP="001C5E56">
      <w:r w:rsidRPr="007C0CDA">
        <w:t>V průběhu roku 2014 využívalo přenosovou rychlost vyšší než 100 Mbit/s pouze 20 % společností a 7 % domácností. Tento jev je způsoben hlavně nízkou informovaností o existenci vysokorychlostního přístupu k internetu, ale také i nedostupnosti v místech, kde po něm existuje poptávka.</w:t>
      </w:r>
    </w:p>
    <w:p w:rsidR="009D2CAE" w:rsidRPr="007C0CDA" w:rsidRDefault="009D2CAE" w:rsidP="001C5E56"/>
    <w:p w:rsidR="009D2CAE" w:rsidRPr="007C0CDA" w:rsidRDefault="009D2CAE" w:rsidP="001C5E56">
      <w:r w:rsidRPr="007C0CDA">
        <w:t>V období 16. 2. 2015 až 22. 2. 2015 provedla společnost Seznam.cz měření rychlosti internetového připojení na území celé České republiky. Z výsledku lze vyčíst, že až 80 % české populace připojené na internet má rychlost k připojení nižší než 10 Mbit/s. Pouze 2,82 % uživatelů má připojení k internetu s rychlosti vyšší než 30 Mbit/s, z čeho nejvíc v Ústeckém kraji (4,4 %) a nejmíň v Královéhradeckém kraji (0,93 %). Z dalších zjištění se zjistilo, že nejvíc lidí se k internetu připojují prostřednictvím Wi-Fi (42 %).Pomocí mobilu se připojuje na internet 29 % české populace.</w:t>
      </w:r>
      <w:r w:rsidRPr="007C0CDA">
        <w:rPr>
          <w:rStyle w:val="Znakapoznpodarou"/>
        </w:rPr>
        <w:footnoteReference w:id="33"/>
      </w:r>
      <w:r w:rsidRPr="007C0CDA">
        <w:t xml:space="preserve"> Detailní mapu rychlosti internetu podle Seznam.cz lze vidět níže.</w:t>
      </w:r>
    </w:p>
    <w:p w:rsidR="009D2CAE" w:rsidRPr="007C0CDA" w:rsidRDefault="002D1138" w:rsidP="00132988">
      <w:r>
        <w:rPr>
          <w:noProof/>
        </w:rPr>
        <w:lastRenderedPageBreak/>
        <w:drawing>
          <wp:inline distT="0" distB="0" distL="0" distR="0" wp14:anchorId="4CD47C21" wp14:editId="0EAACC24">
            <wp:extent cx="5753100" cy="3276600"/>
            <wp:effectExtent l="0" t="0" r="0" b="0"/>
            <wp:docPr id="26" name="Picture 11612" descr="https://www.seznam.cz/mapa-rychlosti-internetu/img/map/map-full.png?4.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2" descr="https://www.seznam.cz/mapa-rychlosti-internetu/img/map/map-full.png?4.24.6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3276600"/>
                    </a:xfrm>
                    <a:prstGeom prst="rect">
                      <a:avLst/>
                    </a:prstGeom>
                    <a:noFill/>
                    <a:ln>
                      <a:noFill/>
                    </a:ln>
                  </pic:spPr>
                </pic:pic>
              </a:graphicData>
            </a:graphic>
          </wp:inline>
        </w:drawing>
      </w:r>
    </w:p>
    <w:p w:rsidR="009D2CAE" w:rsidRPr="007C0CDA" w:rsidRDefault="009D2CAE" w:rsidP="00132988">
      <w:pPr>
        <w:pStyle w:val="Titulek"/>
      </w:pPr>
      <w:r w:rsidRPr="007C0CDA">
        <w:t xml:space="preserve">Obrázek </w:t>
      </w:r>
      <w:r w:rsidRPr="00854519">
        <w:fldChar w:fldCharType="begin"/>
      </w:r>
      <w:r w:rsidRPr="007C0CDA">
        <w:instrText xml:space="preserve"> SEQ Obrázek \* ARABIC </w:instrText>
      </w:r>
      <w:r w:rsidRPr="002433DA">
        <w:fldChar w:fldCharType="separate"/>
      </w:r>
      <w:r w:rsidRPr="007C0CDA">
        <w:rPr>
          <w:noProof/>
        </w:rPr>
        <w:t>2</w:t>
      </w:r>
      <w:r w:rsidRPr="00854519">
        <w:fldChar w:fldCharType="end"/>
      </w:r>
      <w:r w:rsidRPr="007C0CDA">
        <w:t>: mapa rychlosti internetu v ČR (stav 02/2015)</w:t>
      </w:r>
    </w:p>
    <w:p w:rsidR="009D2CAE" w:rsidRPr="007C0CDA" w:rsidRDefault="009D2CAE" w:rsidP="00132988">
      <w:pPr>
        <w:pStyle w:val="Titulek"/>
      </w:pPr>
      <w:r w:rsidRPr="007C0CDA">
        <w:rPr>
          <w:i/>
        </w:rPr>
        <w:t>(Zdroj: www.seznam.cz</w:t>
      </w:r>
      <w:r w:rsidRPr="007C0CDA">
        <w:t>)</w:t>
      </w:r>
    </w:p>
    <w:p w:rsidR="009D2CAE" w:rsidRPr="007C0CDA" w:rsidRDefault="009D2CAE" w:rsidP="001C5E56"/>
    <w:p w:rsidR="009D2CAE" w:rsidRPr="007C0CDA" w:rsidRDefault="009D2CAE" w:rsidP="001C5E56"/>
    <w:p w:rsidR="009D2CAE" w:rsidRPr="007C0CDA" w:rsidRDefault="009D2CAE" w:rsidP="001C5E56">
      <w:pPr>
        <w:rPr>
          <w:b/>
        </w:rPr>
      </w:pPr>
      <w:r w:rsidRPr="007C0CDA">
        <w:rPr>
          <w:b/>
        </w:rPr>
        <w:t>Strategickým cílem MPO je vybudování dostatečně rozvinuté a dostupné technologické základny v podobě adekvátní infrastruktury (NGA sítě) umožňující vysokorychlostní přístup k internetu v relevantních lokalitách ČR, ve kterých tato infrastruktura není a nelze předpokládat, že tam bude vybudována působením tržních mechanizmů za komerčních podmínek.</w:t>
      </w:r>
    </w:p>
    <w:p w:rsidR="009D2CAE" w:rsidRPr="007C0CDA" w:rsidRDefault="009D2CAE" w:rsidP="00CE0F8D"/>
    <w:p w:rsidR="009D2CAE" w:rsidRPr="007C0CDA" w:rsidRDefault="009D2CAE" w:rsidP="008A50E2">
      <w:r w:rsidRPr="007C0CDA">
        <w:t xml:space="preserve">Strana poptávky je tedy tvořená potřebou naplnění jednoho z cílů z programu Digitální Česko 2.0, kterým je poměrně ambiciózní kompletní odstranění bílých oblastí (výjimečně šedé). Všechna zmiňovaná opatření budou budována s ohledem na plnění </w:t>
      </w:r>
      <w:r w:rsidRPr="007C0CDA">
        <w:rPr>
          <w:b/>
        </w:rPr>
        <w:t>koncepce Digitální Česko 2.0</w:t>
      </w:r>
      <w:r w:rsidRPr="007C0CDA">
        <w:t>. I když jsou bílé oblasti většinou venkovské či horské oblasti, stále je potřeba brát ohled na strukturální problémy regionů, kde se bílá místa posuzují podle Strategie regionálního rozvoje s důrazem na vyvážený rozvoj ČR.</w:t>
      </w:r>
    </w:p>
    <w:p w:rsidR="009D2CAE" w:rsidRPr="007C0CDA" w:rsidRDefault="009D2CAE" w:rsidP="008A50E2"/>
    <w:p w:rsidR="009D2CAE" w:rsidRPr="007C0CDA" w:rsidRDefault="009D2CAE" w:rsidP="008A50E2">
      <w:r w:rsidRPr="007C0CDA">
        <w:t>Je nutné dodat, že velká část bílých míst není ve skutečnosti odstřižena od internetu, nýbrž působí zde poskytovatelé internetového připojení ovšem prostřednictvím síťové infrastruktury, která neodpovídá parametrům NGA sítí. Je tedy nutné přistupovat opatrně ke kvantifikaci skutečné investiční potřeby a přístupu k tržnímu prostředí v rámci všech poskytovatelů internetu.</w:t>
      </w:r>
    </w:p>
    <w:p w:rsidR="009D2CAE" w:rsidRPr="007C0CDA" w:rsidRDefault="009D2CAE" w:rsidP="008A50E2"/>
    <w:p w:rsidR="009D2CAE" w:rsidRPr="007C0CDA" w:rsidRDefault="009D2CAE" w:rsidP="008A50E2">
      <w:pPr>
        <w:rPr>
          <w:b/>
        </w:rPr>
      </w:pPr>
      <w:r w:rsidRPr="007C0CDA">
        <w:rPr>
          <w:b/>
        </w:rPr>
        <w:t>Investiční modely:</w:t>
      </w:r>
    </w:p>
    <w:p w:rsidR="009D2CAE" w:rsidRPr="007C0CDA" w:rsidRDefault="009D2CAE" w:rsidP="002433DA">
      <w:pPr>
        <w:pStyle w:val="Odstavecseseznamem"/>
        <w:numPr>
          <w:ilvl w:val="0"/>
          <w:numId w:val="2"/>
        </w:numPr>
      </w:pPr>
      <w:r w:rsidRPr="007C0CDA">
        <w:t>Bottom-up model</w:t>
      </w:r>
    </w:p>
    <w:p w:rsidR="009D2CAE" w:rsidRPr="007C0CDA" w:rsidRDefault="009D2CAE" w:rsidP="002433DA">
      <w:pPr>
        <w:pStyle w:val="Odstavecseseznamem"/>
        <w:numPr>
          <w:ilvl w:val="0"/>
          <w:numId w:val="2"/>
        </w:numPr>
      </w:pPr>
      <w:r w:rsidRPr="007C0CDA">
        <w:t xml:space="preserve">Private design, build and operate (DBO) model – preferovaný a vhodný. ŘO poskytne dotace operátorovi, který provozuje síť a zajišťuje poskytování služby vysokorychlostního přístupu k internetu. Veřejný subjekt nemá žádnou specifickou roli ve vlastnictví nebo provozování, jenom ukládá povinnosti podmiňující přístup k veřejné podpoře.  </w:t>
      </w:r>
    </w:p>
    <w:p w:rsidR="009D2CAE" w:rsidRPr="007C0CDA" w:rsidRDefault="009D2CAE" w:rsidP="002433DA">
      <w:pPr>
        <w:pStyle w:val="Odstavecseseznamem"/>
        <w:numPr>
          <w:ilvl w:val="0"/>
          <w:numId w:val="2"/>
        </w:numPr>
      </w:pPr>
      <w:r w:rsidRPr="007C0CDA">
        <w:t>Public outsourcing model</w:t>
      </w:r>
    </w:p>
    <w:p w:rsidR="009D2CAE" w:rsidRPr="007C0CDA" w:rsidRDefault="009D2CAE" w:rsidP="002433DA">
      <w:pPr>
        <w:pStyle w:val="Odstavecseseznamem"/>
        <w:numPr>
          <w:ilvl w:val="0"/>
          <w:numId w:val="2"/>
        </w:numPr>
      </w:pPr>
      <w:r w:rsidRPr="007C0CDA">
        <w:t>Joint venture model</w:t>
      </w:r>
    </w:p>
    <w:p w:rsidR="009D2CAE" w:rsidRPr="007C0CDA" w:rsidRDefault="009D2CAE" w:rsidP="00CE0F8D"/>
    <w:p w:rsidR="009D2CAE" w:rsidRPr="007C0CDA" w:rsidRDefault="009D2CAE">
      <w:r w:rsidRPr="007C0CDA">
        <w:rPr>
          <w:b/>
        </w:rPr>
        <w:t>SC 4.1 je novou oblastí podpory, která nebyla doposud podporována v rámci OPPI, ani dalších operačních programů.</w:t>
      </w:r>
      <w:r w:rsidRPr="007C0CDA">
        <w:t xml:space="preserve"> podniky tedy neměly dosud přístup k veřejným zdrojům financování </w:t>
      </w:r>
      <w:r w:rsidRPr="002433DA">
        <w:t>tohoto typu.</w:t>
      </w:r>
      <w:r w:rsidRPr="007C0CDA">
        <w:t xml:space="preserve">Vláda v tuto chvíli neplánuje využít na stavbu NGA sítí žádné veřejné národní zdroje. V dubnu </w:t>
      </w:r>
      <w:r w:rsidRPr="007C0CDA">
        <w:lastRenderedPageBreak/>
        <w:t>2014 bylo rozhodnuto, že na jejich výstavbu nebudou použity ani výnosy z aukce prodeje kmitočtů v letech 2013 – 2014.</w:t>
      </w:r>
    </w:p>
    <w:p w:rsidR="009D2CAE" w:rsidRPr="007C0CDA" w:rsidRDefault="009D2CAE" w:rsidP="00171AF5"/>
    <w:p w:rsidR="009D2CAE" w:rsidRPr="00854519" w:rsidRDefault="009D2CAE" w:rsidP="002433DA">
      <w:pPr>
        <w:pStyle w:val="Nadpis3"/>
      </w:pPr>
      <w:bookmarkStart w:id="559" w:name="_Toc416447880"/>
      <w:r w:rsidRPr="00B675D6">
        <w:rPr>
          <w:lang w:eastAsia="en-US"/>
        </w:rPr>
        <w:t>Vyčíslení potenciální absorpční kapacity</w:t>
      </w:r>
      <w:bookmarkEnd w:id="559"/>
    </w:p>
    <w:p w:rsidR="00906FF8" w:rsidRPr="007C0CDA" w:rsidRDefault="009D2CAE" w:rsidP="00906FF8">
      <w:r w:rsidRPr="007C0CDA">
        <w:rPr>
          <w:b/>
        </w:rPr>
        <w:t>Průměrný celkový náklad na kilometr sítě se podle</w:t>
      </w:r>
      <w:r w:rsidR="00D22455">
        <w:rPr>
          <w:b/>
        </w:rPr>
        <w:t xml:space="preserve"> odhadu</w:t>
      </w:r>
      <w:r w:rsidRPr="007C0CDA">
        <w:rPr>
          <w:b/>
        </w:rPr>
        <w:t xml:space="preserve"> ICT Unie ČR pohybuje v rozmezí 1,5-2 mil. Kč.</w:t>
      </w:r>
      <w:r w:rsidR="009A386B">
        <w:rPr>
          <w:b/>
        </w:rPr>
        <w:t xml:space="preserve"> </w:t>
      </w:r>
      <w:r w:rsidRPr="007C0CDA">
        <w:t xml:space="preserve">Variabilita bílých míst a projektů je nicméně veliká. I při znalost počtu zhruba 10 tis. bílých míst identifikovaných při posledním šetření </w:t>
      </w:r>
      <w:r w:rsidRPr="002433DA">
        <w:t xml:space="preserve">lze tedy vyslovit pouze řádový odhad celkových investic potřebných na zasíťování současných bílých míst. </w:t>
      </w:r>
      <w:r w:rsidR="009A386B" w:rsidRPr="005C7064">
        <w:t>Dle o</w:t>
      </w:r>
      <w:r w:rsidR="009A386B">
        <w:t xml:space="preserve">dhadu Deloitte Advisory vycházející z rozlohy ČR, počtu obcí se zohledněním vojenských újezdů a průměrné vzdálenosti mezi nimi je odvozeno, že na zasíťování 1 typového bílého místa (ZSJ) je potřeba zhruba 6 - 8 km sítě. Na základě těchto předpokladů lze modelově určit relevantní investiční potřebu v řádu 90-160 mld. Kč. </w:t>
      </w:r>
      <w:r w:rsidRPr="002433DA">
        <w:rPr>
          <w:b/>
        </w:rPr>
        <w:t xml:space="preserve">Celková suma </w:t>
      </w:r>
      <w:r w:rsidR="009A386B">
        <w:rPr>
          <w:b/>
        </w:rPr>
        <w:t xml:space="preserve">tedy </w:t>
      </w:r>
      <w:r w:rsidRPr="002433DA">
        <w:rPr>
          <w:b/>
        </w:rPr>
        <w:t>zřejmě bezpečně přesahuje 100 mld. Kč a řádově tedy i alokované zdroje OP PIK</w:t>
      </w:r>
      <w:r w:rsidRPr="007C0CDA">
        <w:t>.</w:t>
      </w:r>
      <w:r w:rsidR="009A386B">
        <w:t xml:space="preserve"> </w:t>
      </w:r>
      <w:r w:rsidR="00906FF8">
        <w:t>Kritickým zhodnocením nicméně ještě musí projít účelnost prosazování NGA na řadě bílých lokalit.</w:t>
      </w:r>
    </w:p>
    <w:p w:rsidR="009A386B" w:rsidRDefault="009A386B" w:rsidP="00F80B02"/>
    <w:p w:rsidR="009D2CAE" w:rsidRPr="007C0CDA" w:rsidRDefault="009D2CAE" w:rsidP="00F80B02">
      <w:r w:rsidRPr="007C0CDA">
        <w:t xml:space="preserve">Reálná investiční poptávka bude extrémně závislá na dostupnosti podpory, jak vyplývá ze samotné definice bílých míst. </w:t>
      </w:r>
      <w:r w:rsidR="00906FF8">
        <w:t>V praxi</w:t>
      </w:r>
      <w:r w:rsidRPr="007C0CDA">
        <w:t xml:space="preserve"> zde lze počítat pouze s minimální absorpční kapacitou zvýhodněných úvěrů</w:t>
      </w:r>
      <w:r w:rsidR="00906FF8">
        <w:t xml:space="preserve"> na cílové lokality</w:t>
      </w:r>
      <w:r w:rsidRPr="007C0CDA">
        <w:t>.</w:t>
      </w:r>
    </w:p>
    <w:p w:rsidR="009D2CAE" w:rsidRPr="007C0CDA" w:rsidRDefault="009D2CAE" w:rsidP="00171AF5"/>
    <w:p w:rsidR="009D2CAE" w:rsidRPr="00854519" w:rsidRDefault="009D2CAE" w:rsidP="002433DA">
      <w:pPr>
        <w:pStyle w:val="Nadpis3"/>
      </w:pPr>
      <w:bookmarkStart w:id="560" w:name="_Toc416447881"/>
      <w:r w:rsidRPr="00B675D6">
        <w:t>Analýza tržních selhání a suboptimální investiční situace</w:t>
      </w:r>
      <w:bookmarkEnd w:id="560"/>
    </w:p>
    <w:p w:rsidR="009D2CAE" w:rsidRPr="007C0CDA" w:rsidRDefault="009D2CAE" w:rsidP="00171AF5">
      <w:r w:rsidRPr="007C0CDA">
        <w:t>Hlavním tržním selháním při rozvoji síti nové generace jsou vysoké náklady na výstavbu a zároveň slabá poptávka po těchto službách v méně zalidněných bílých oblastech generující nižší výnosy. Náklady navyšují hlavně administrativní náklady výstavby, věcná břemena a vícenáklady bez přímé vazby na stavbu (např. morální zastarávání technologie, které tlačí na rychlou návratnost investic). Administrativní překážky při výstavbě vznikají z důvodu neexistence definice „výstavby ve veřejném zájmu“.</w:t>
      </w:r>
    </w:p>
    <w:p w:rsidR="009D2CAE" w:rsidRPr="007C0CDA" w:rsidRDefault="009D2CAE" w:rsidP="00171AF5"/>
    <w:p w:rsidR="009D2CAE" w:rsidRPr="007C0CDA" w:rsidRDefault="009D2CAE" w:rsidP="00171AF5">
      <w:r w:rsidRPr="007C0CDA">
        <w:t xml:space="preserve">Suboptimální investiční situace na trhu ČR vzniká i ze skutečnosti, že </w:t>
      </w:r>
      <w:r w:rsidRPr="002433DA">
        <w:rPr>
          <w:b/>
        </w:rPr>
        <w:t>poptávka od domácností po vysokých rychlostech připojení je dosud nízká a</w:t>
      </w:r>
      <w:r w:rsidRPr="007C0CDA">
        <w:rPr>
          <w:b/>
        </w:rPr>
        <w:t xml:space="preserve"> </w:t>
      </w:r>
      <w:r w:rsidRPr="002433DA">
        <w:rPr>
          <w:b/>
        </w:rPr>
        <w:t>mnohde nestačí pro pokrytí vysokých investičních nákladů.</w:t>
      </w:r>
      <w:r w:rsidRPr="007C0CDA">
        <w:t xml:space="preserve"> Benefity rychlého přístupu k internetu pro rozvoj určitého druhu podnikání a služeb v perifernějších oblastech logicky nejsou ochotny individuální domácnosti financovat.</w:t>
      </w:r>
    </w:p>
    <w:p w:rsidR="009D2CAE" w:rsidRPr="007C0CDA" w:rsidRDefault="009D2CAE" w:rsidP="00171AF5"/>
    <w:p w:rsidR="009D2CAE" w:rsidRPr="007C0CDA" w:rsidRDefault="009D2CAE" w:rsidP="00171AF5">
      <w:r w:rsidRPr="007C0CDA">
        <w:t xml:space="preserve">Alternativní mobilní sítě se budují v oblastech s nízkou hustotou zalidnění, ale v současné době nedokážou poskytovat kvalitu a robustnost připojení  odpovídající NGA sítím.  </w:t>
      </w:r>
    </w:p>
    <w:p w:rsidR="009D2CAE" w:rsidRPr="007C0CDA" w:rsidRDefault="009D2CAE" w:rsidP="00171AF5"/>
    <w:p w:rsidR="009D2CAE" w:rsidRPr="00172EF4" w:rsidRDefault="009D2CAE" w:rsidP="002433DA">
      <w:pPr>
        <w:pStyle w:val="Nadpis3"/>
      </w:pPr>
      <w:bookmarkStart w:id="561" w:name="_Toc416383885"/>
      <w:bookmarkStart w:id="562" w:name="_Toc416447882"/>
      <w:bookmarkStart w:id="563" w:name="_Toc416383886"/>
      <w:bookmarkStart w:id="564" w:name="_Toc416447883"/>
      <w:bookmarkStart w:id="565" w:name="_Toc416383887"/>
      <w:bookmarkStart w:id="566" w:name="_Toc416447884"/>
      <w:bookmarkStart w:id="567" w:name="_Toc416383888"/>
      <w:bookmarkStart w:id="568" w:name="_Toc416447885"/>
      <w:bookmarkStart w:id="569" w:name="_Toc416383889"/>
      <w:bookmarkStart w:id="570" w:name="_Toc416447886"/>
      <w:bookmarkStart w:id="571" w:name="_Toc416383890"/>
      <w:bookmarkStart w:id="572" w:name="_Toc416447887"/>
      <w:bookmarkStart w:id="573" w:name="_Toc416383891"/>
      <w:bookmarkStart w:id="574" w:name="_Toc416447888"/>
      <w:bookmarkStart w:id="575" w:name="_Toc416447889"/>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r w:rsidRPr="00854519">
        <w:t>Návrh opatření</w:t>
      </w:r>
      <w:bookmarkEnd w:id="575"/>
    </w:p>
    <w:p w:rsidR="009D2CAE" w:rsidRPr="007C0CDA" w:rsidRDefault="009D2CAE" w:rsidP="00171AF5">
      <w:r w:rsidRPr="007C0CDA">
        <w:t>Vzhledem k vysokým investičním nákladům na budování NGA sítí a předpokládané nízké výnosnosti většinou řídce osídlených „bílých“ oblastí je nutné motivovat subjekty k takto cílené aktivitě veřejnou podporou, ze státních či evropských zdrojů. I z toho důvodu je v SC 4.1 předpoklad velkého využití dotační podpory.</w:t>
      </w:r>
    </w:p>
    <w:p w:rsidR="009D2CAE" w:rsidRPr="007C0CDA" w:rsidRDefault="009D2CAE" w:rsidP="00171AF5"/>
    <w:p w:rsidR="009D2CAE" w:rsidRPr="007C0CDA" w:rsidRDefault="009D2CAE" w:rsidP="00171AF5">
      <w:r w:rsidRPr="007C0CDA">
        <w:t xml:space="preserve">Při důsledném dodržení definice bílých míst jako oblastí za hranicí tržní rentabilnosti investic do NGA sítí je potenciál SC 4.1 pro využití úvěrového či záručního nástroje velmi malý. Hlavní část potenciálních investorů v této oblasti tvoří velké telekomunikační společnosti, které nemají v porovnání s MSP problém s přístupem k externímu financování za nízké sazby.Identifikovanou bariérou je především nákladovost a výnosnost investic. Za současných obecně nízkých úrokových </w:t>
      </w:r>
      <w:r w:rsidRPr="007C0CDA">
        <w:lastRenderedPageBreak/>
        <w:t>sazeb je nicméně potenciál dostatečného zvýhodnění jejich snížením velmi omezený. Oblast je dle našeho názoru vhodná primárně pro dotační podporu.</w:t>
      </w:r>
    </w:p>
    <w:p w:rsidR="009D2CAE" w:rsidRPr="007C0CDA" w:rsidRDefault="009D2CAE" w:rsidP="00171AF5"/>
    <w:p w:rsidR="009D2CAE" w:rsidRPr="007C0CDA" w:rsidRDefault="009D2CAE" w:rsidP="003C3B8D">
      <w:pPr>
        <w:pStyle w:val="Neslovannadpisy"/>
      </w:pPr>
      <w:r w:rsidRPr="007C0CDA">
        <w:t>Veřejná podpora</w:t>
      </w:r>
    </w:p>
    <w:p w:rsidR="009D2CAE" w:rsidRPr="007C0CDA" w:rsidRDefault="009D2CAE" w:rsidP="003C3B8D">
      <w:r w:rsidRPr="007C0CDA">
        <w:t>Pro kapitálový finanční nástroj lze řešit veřejnou podporu poskytnutím podpory podle Obecného nařízení o blokových výjimkách.</w:t>
      </w:r>
    </w:p>
    <w:p w:rsidR="009D2CAE" w:rsidRPr="007C0CDA" w:rsidRDefault="009D2CAE" w:rsidP="003C3B8D"/>
    <w:p w:rsidR="009D2CAE" w:rsidRPr="007C0CDA" w:rsidRDefault="009D2CAE" w:rsidP="003C3B8D">
      <w:pPr>
        <w:rPr>
          <w:b/>
        </w:rPr>
      </w:pPr>
      <w:r w:rsidRPr="007C0CDA">
        <w:rPr>
          <w:b/>
        </w:rPr>
        <w:t>Komplementarity a synergie</w:t>
      </w:r>
    </w:p>
    <w:p w:rsidR="009D2CAE" w:rsidRPr="007C0CDA" w:rsidRDefault="009D2CAE" w:rsidP="003C3B8D"/>
    <w:p w:rsidR="009D2CAE" w:rsidRPr="007C0CDA" w:rsidRDefault="009D2CAE" w:rsidP="003C3B8D">
      <w:pPr>
        <w:rPr>
          <w:lang w:eastAsia="en-US"/>
        </w:rPr>
      </w:pPr>
      <w:r w:rsidRPr="007C0CDA">
        <w:rPr>
          <w:lang w:eastAsia="en-US"/>
        </w:rPr>
        <w:t>Důležitou komplementaritu představuje možnost zapojení Investičního plánu pro Evropu a Evropského fondu pro strategické investice, např. pro šedá místa.</w:t>
      </w:r>
    </w:p>
    <w:p w:rsidR="009D2CAE" w:rsidRPr="002433DA" w:rsidRDefault="009D2CAE">
      <w:pPr>
        <w:rPr>
          <w:lang w:eastAsia="en-US"/>
        </w:rPr>
      </w:pPr>
      <w:bookmarkStart w:id="576" w:name="_Toc416383893"/>
      <w:bookmarkStart w:id="577" w:name="_Toc416383894"/>
      <w:bookmarkStart w:id="578" w:name="_Toc416383895"/>
      <w:bookmarkStart w:id="579" w:name="_Toc416383896"/>
      <w:bookmarkStart w:id="580" w:name="_Toc416383897"/>
      <w:bookmarkStart w:id="581" w:name="_Toc416383898"/>
      <w:bookmarkStart w:id="582" w:name="_Toc416383899"/>
      <w:bookmarkStart w:id="583" w:name="_Toc416383900"/>
      <w:bookmarkStart w:id="584" w:name="_Toc416383901"/>
      <w:bookmarkStart w:id="585" w:name="_Toc416383902"/>
      <w:bookmarkEnd w:id="576"/>
      <w:bookmarkEnd w:id="577"/>
      <w:bookmarkEnd w:id="578"/>
      <w:bookmarkEnd w:id="579"/>
      <w:bookmarkEnd w:id="580"/>
      <w:bookmarkEnd w:id="581"/>
      <w:bookmarkEnd w:id="582"/>
      <w:bookmarkEnd w:id="583"/>
      <w:bookmarkEnd w:id="584"/>
      <w:bookmarkEnd w:id="585"/>
    </w:p>
    <w:p w:rsidR="009D2CAE" w:rsidRPr="007C0CDA" w:rsidRDefault="009D2CAE">
      <w:pPr>
        <w:overflowPunct/>
        <w:autoSpaceDE/>
        <w:autoSpaceDN/>
        <w:adjustRightInd/>
        <w:jc w:val="left"/>
        <w:textAlignment w:val="auto"/>
      </w:pPr>
    </w:p>
    <w:p w:rsidR="009D2CAE" w:rsidRPr="007C0CDA" w:rsidRDefault="009D2CAE">
      <w:pPr>
        <w:overflowPunct/>
        <w:autoSpaceDE/>
        <w:autoSpaceDN/>
        <w:adjustRightInd/>
        <w:jc w:val="left"/>
        <w:textAlignment w:val="auto"/>
      </w:pPr>
      <w:r w:rsidRPr="007C0CDA">
        <w:br w:type="page"/>
      </w:r>
    </w:p>
    <w:p w:rsidR="009D2CAE" w:rsidRPr="007C0CDA" w:rsidRDefault="009D2CAE" w:rsidP="002433DA">
      <w:pPr>
        <w:pStyle w:val="Nadpis1"/>
      </w:pPr>
      <w:bookmarkStart w:id="586" w:name="_Toc416383905"/>
      <w:bookmarkStart w:id="587" w:name="_Toc416447890"/>
      <w:bookmarkStart w:id="588" w:name="_Toc414464596"/>
      <w:bookmarkStart w:id="589" w:name="_Toc416447891"/>
      <w:bookmarkEnd w:id="586"/>
      <w:bookmarkEnd w:id="587"/>
      <w:r w:rsidRPr="007C0CDA">
        <w:lastRenderedPageBreak/>
        <w:t>Blok II.: Návrh vhodné strategie</w:t>
      </w:r>
      <w:bookmarkEnd w:id="588"/>
      <w:bookmarkEnd w:id="589"/>
    </w:p>
    <w:p w:rsidR="009D2CAE" w:rsidRPr="007C0CDA" w:rsidRDefault="009D2CAE" w:rsidP="00CE3165"/>
    <w:p w:rsidR="009D2CAE" w:rsidRPr="007C0CDA" w:rsidRDefault="009D2CAE" w:rsidP="00CE3165">
      <w:pPr>
        <w:rPr>
          <w:b/>
        </w:rPr>
      </w:pPr>
      <w:r w:rsidRPr="007C0CDA">
        <w:t xml:space="preserve">Cílem této kapitoly je shrnout základní atributy spojené s návrhem nastavení finančních nástrojů v oblastech OP PIK, ve kterých bylo potvrzeno selhání trhu a vhodnost přesunu dotačního schématu do alternativní formy financování. Pro každou oblast byl rozpracován návrh finančního nástroje, který se snaží o vyjasnění klíčových otázek pro možnost implementace navrhovaných nástrojů. </w:t>
      </w:r>
    </w:p>
    <w:p w:rsidR="009D2CAE" w:rsidRPr="007C0CDA" w:rsidRDefault="009D2CAE" w:rsidP="00CE3165">
      <w:pPr>
        <w:rPr>
          <w:b/>
        </w:rPr>
      </w:pPr>
    </w:p>
    <w:p w:rsidR="009D2CAE" w:rsidRPr="007C0CDA" w:rsidRDefault="009D2CAE" w:rsidP="00CE3165">
      <w:pPr>
        <w:spacing w:after="240"/>
      </w:pPr>
      <w:r w:rsidRPr="007C0CDA">
        <w:t>Návrh investiční strategie v členění dle oblastí podpory je zpracován v následující struktuře:</w:t>
      </w:r>
    </w:p>
    <w:p w:rsidR="009D2CAE" w:rsidRPr="007C0CDA" w:rsidRDefault="009D2CAE" w:rsidP="002433DA">
      <w:pPr>
        <w:pStyle w:val="Odstavecseseznamem"/>
        <w:numPr>
          <w:ilvl w:val="0"/>
          <w:numId w:val="34"/>
        </w:numPr>
        <w:overflowPunct/>
        <w:autoSpaceDE/>
        <w:autoSpaceDN/>
        <w:adjustRightInd/>
        <w:spacing w:after="120"/>
        <w:contextualSpacing w:val="0"/>
        <w:textAlignment w:val="auto"/>
      </w:pPr>
      <w:r w:rsidRPr="007C0CDA">
        <w:t>Odůvodnění volby oblasti podpory a návrhu nástroje;</w:t>
      </w:r>
    </w:p>
    <w:p w:rsidR="009D2CAE" w:rsidRPr="007C0CDA" w:rsidRDefault="009D2CAE" w:rsidP="002433DA">
      <w:pPr>
        <w:pStyle w:val="Odstavecseseznamem"/>
        <w:numPr>
          <w:ilvl w:val="0"/>
          <w:numId w:val="34"/>
        </w:numPr>
        <w:overflowPunct/>
        <w:autoSpaceDE/>
        <w:autoSpaceDN/>
        <w:adjustRightInd/>
        <w:spacing w:after="120"/>
        <w:contextualSpacing w:val="0"/>
        <w:textAlignment w:val="auto"/>
      </w:pPr>
      <w:r w:rsidRPr="007C0CDA">
        <w:t>Schéma fungování navrhovaného finančního nástroje;</w:t>
      </w:r>
    </w:p>
    <w:p w:rsidR="009D2CAE" w:rsidRPr="007C0CDA" w:rsidRDefault="009D2CAE" w:rsidP="002433DA">
      <w:pPr>
        <w:pStyle w:val="Odstavecseseznamem"/>
        <w:numPr>
          <w:ilvl w:val="0"/>
          <w:numId w:val="34"/>
        </w:numPr>
        <w:overflowPunct/>
        <w:autoSpaceDE/>
        <w:autoSpaceDN/>
        <w:adjustRightInd/>
        <w:spacing w:after="120"/>
        <w:contextualSpacing w:val="0"/>
        <w:textAlignment w:val="auto"/>
      </w:pPr>
      <w:r w:rsidRPr="007C0CDA">
        <w:t>Základní parametry finančního nástroje;</w:t>
      </w:r>
    </w:p>
    <w:p w:rsidR="009D2CAE" w:rsidRPr="007C0CDA" w:rsidRDefault="009D2CAE" w:rsidP="002433DA">
      <w:pPr>
        <w:pStyle w:val="Odstavecseseznamem"/>
        <w:numPr>
          <w:ilvl w:val="0"/>
          <w:numId w:val="34"/>
        </w:numPr>
        <w:overflowPunct/>
        <w:autoSpaceDE/>
        <w:autoSpaceDN/>
        <w:adjustRightInd/>
        <w:spacing w:after="120"/>
        <w:contextualSpacing w:val="0"/>
        <w:textAlignment w:val="auto"/>
      </w:pPr>
      <w:r w:rsidRPr="007C0CDA">
        <w:t>Posouzení zkušeností získaných v minulosti</w:t>
      </w:r>
    </w:p>
    <w:p w:rsidR="009D2CAE" w:rsidRPr="007C0CDA" w:rsidRDefault="009D2CAE" w:rsidP="002433DA">
      <w:pPr>
        <w:pStyle w:val="Odstavecseseznamem"/>
        <w:numPr>
          <w:ilvl w:val="0"/>
          <w:numId w:val="34"/>
        </w:numPr>
        <w:overflowPunct/>
        <w:autoSpaceDE/>
        <w:autoSpaceDN/>
        <w:adjustRightInd/>
        <w:spacing w:after="120"/>
        <w:contextualSpacing w:val="0"/>
        <w:textAlignment w:val="auto"/>
      </w:pPr>
      <w:r w:rsidRPr="007C0CDA">
        <w:t>Očekávané výsledky finančního nástroje</w:t>
      </w:r>
    </w:p>
    <w:p w:rsidR="009D2CAE" w:rsidRPr="0038688B" w:rsidRDefault="009D2CAE" w:rsidP="002433DA">
      <w:pPr>
        <w:pStyle w:val="Nadpis2"/>
      </w:pPr>
      <w:bookmarkStart w:id="590" w:name="_Toc416447892"/>
      <w:r w:rsidRPr="00B675D6">
        <w:t>S</w:t>
      </w:r>
      <w:r w:rsidRPr="00854519">
        <w:t>pecifický cíl</w:t>
      </w:r>
      <w:r w:rsidRPr="004153D2">
        <w:t xml:space="preserve"> 1.1</w:t>
      </w:r>
      <w:bookmarkEnd w:id="590"/>
    </w:p>
    <w:p w:rsidR="009D2CAE" w:rsidRPr="002433DA" w:rsidRDefault="009D2CAE" w:rsidP="002433DA">
      <w:pPr>
        <w:pStyle w:val="Nadpis3"/>
      </w:pPr>
      <w:bookmarkStart w:id="591" w:name="_Toc416383908"/>
      <w:bookmarkStart w:id="592" w:name="_Toc416447893"/>
      <w:bookmarkStart w:id="593" w:name="_Toc416383909"/>
      <w:bookmarkStart w:id="594" w:name="_Toc416447894"/>
      <w:bookmarkStart w:id="595" w:name="_Toc416383910"/>
      <w:bookmarkStart w:id="596" w:name="_Toc416447895"/>
      <w:bookmarkStart w:id="597" w:name="_Toc414464598"/>
      <w:bookmarkStart w:id="598" w:name="_Toc416447896"/>
      <w:bookmarkEnd w:id="591"/>
      <w:bookmarkEnd w:id="592"/>
      <w:bookmarkEnd w:id="593"/>
      <w:bookmarkEnd w:id="594"/>
      <w:bookmarkEnd w:id="595"/>
      <w:bookmarkEnd w:id="596"/>
      <w:r w:rsidRPr="007B2DEF">
        <w:t>Odůvodnění volby oblasti podpory a návrhu nástroj</w:t>
      </w:r>
      <w:r w:rsidRPr="002F7B85">
        <w:t>e</w:t>
      </w:r>
      <w:bookmarkStart w:id="599" w:name="_Toc416447897"/>
      <w:bookmarkEnd w:id="597"/>
      <w:bookmarkEnd w:id="598"/>
      <w:bookmarkEnd w:id="599"/>
    </w:p>
    <w:p w:rsidR="009D2CAE" w:rsidRPr="007C0CDA" w:rsidRDefault="009D2CAE" w:rsidP="00CE3165">
      <w:r w:rsidRPr="007C0CDA">
        <w:t xml:space="preserve">Na základě provedené analýzy v bloku I. identifikujeme částečný potenciál pro užití finančních nástrojů v rámci programu Inovace. Jako nejvhodnější se v rámci posouzení přidané hodnoty vedle dotace jeví </w:t>
      </w:r>
      <w:r w:rsidRPr="002433DA">
        <w:rPr>
          <w:b/>
        </w:rPr>
        <w:t>záruční finanční nástroj</w:t>
      </w:r>
      <w:r w:rsidRPr="007C0CDA">
        <w:t>.</w:t>
      </w:r>
    </w:p>
    <w:p w:rsidR="009D2CAE" w:rsidRPr="007C0CDA" w:rsidRDefault="009D2CAE" w:rsidP="00CE3165"/>
    <w:p w:rsidR="009D2CAE" w:rsidRPr="007C0CDA" w:rsidRDefault="009D2CAE" w:rsidP="00CE3165">
      <w:r w:rsidRPr="007C0CDA">
        <w:t>Výsledky průmyslových inovací podnikatelského sektoru mají velký, avšak nejistý ziskový potenciál. Jako největší překážka v realizování životaschopných projektů je vnímána rizikovost a nákladnost. Ta může být částečně vyvážena následnou nadstandardní ziskovostí a velkým posílením konkurenceschopnosti podniku na trhu, firmy však mají z důvodů rizika snížený přístup k externímu financování.</w:t>
      </w:r>
    </w:p>
    <w:p w:rsidR="009D2CAE" w:rsidRPr="007C0CDA" w:rsidRDefault="009D2CAE" w:rsidP="00CE3165"/>
    <w:p w:rsidR="009D2CAE" w:rsidRPr="007C0CDA" w:rsidRDefault="009D2CAE" w:rsidP="00CE3165">
      <w:r w:rsidRPr="007C0CDA">
        <w:t>Aktivity podporované v programu Inovace jsou vlastní většině podniků, které budují podnikání na produkci vysoké přidané hodnoty a pokročilé technologické náročnosti, zároveň však i těm, kteří se snaží o zefektivnění výrobních procesů.Z podstaty je lze považovat za významné zdroje generování ziskovosti a konkurenceschopnosti – úspěšně realizované investice této oblasti by měly vykazovat kladnou profitabilitu.</w:t>
      </w:r>
    </w:p>
    <w:p w:rsidR="009D2CAE" w:rsidRPr="007C0CDA" w:rsidRDefault="009D2CAE" w:rsidP="00CE3165"/>
    <w:p w:rsidR="009D2CAE" w:rsidRPr="007C0CDA" w:rsidRDefault="009D2CAE">
      <w:r w:rsidRPr="007C0CDA">
        <w:t xml:space="preserve">Z tohoto titulu není překvapující, že poptávka po dotačních zdrojích výrazně převyšovala nabídku ve všech sledovaných výzvách. Vzhledem k dalšímu očekávanému převisu poptávky po dotačních výzvách i ziskovému charakteru těchto investic se nedomníváme, že je efektivní nadále veškeré projekty v těchto programech podporovat dotačně. Existující tržní selhání může z části překlenout i záruční finanční nástroj.Banky nejsou ochotné financovat projekty inovací bez dostatečného zajištění, což je překážkou především u malých a středních podniků. </w:t>
      </w:r>
    </w:p>
    <w:p w:rsidR="009D2CAE" w:rsidRPr="007C0CDA" w:rsidRDefault="009D2CAE" w:rsidP="00CE3165"/>
    <w:p w:rsidR="009D2CAE" w:rsidRPr="007C0CDA" w:rsidRDefault="009D2CAE" w:rsidP="00CE3165">
      <w:r w:rsidRPr="007C0CDA">
        <w:t xml:space="preserve">Záruční typ finančního nástroje byl zvolen, jelikož nejlépe splní účel veřejného zásahu, tedy zjednoduší financování inovací, aniž by z trhu vytěsňoval soukromé prostředky. Vycházíme z analýzou potvrzených závěrů, že bankovní domy mají zájem úvěry poskytovat, a nečiní tak nikoli z důvodu nedostatku prostředků, ale z důvodu interně hodnoceného rizika s úvěrem spojeného. Záruční FN rizikový profil úvěru významně sníží a uvolní tak bankovní zdroje alokované k financování podnikového VaVaI. </w:t>
      </w:r>
    </w:p>
    <w:p w:rsidR="009D2CAE" w:rsidRPr="007C0CDA" w:rsidRDefault="009D2CAE" w:rsidP="00CE3165"/>
    <w:p w:rsidR="009D2CAE" w:rsidRPr="007C0CDA" w:rsidRDefault="009D2CAE" w:rsidP="00CE3165">
      <w:r w:rsidRPr="007C0CDA">
        <w:lastRenderedPageBreak/>
        <w:t xml:space="preserve">Administrace úvěru zůstává plně v gesci úvěrové instituce, které FN poskytuje záruku a se kterou vstupuje žadatel do přímého smluvního vztahu. Plná angažovanost banky je žádoucí. V případě úvěrů tohoto typu se banka stává dlouhodobým partnerem klienta a do značné míry zasahuje do vnitřní corporate governance podniku. Banky jsou obecně považovány za nositele best practice v dané problematice, proto jejich vliv na vnitřní procesy v podniku považujeme za vhodný. </w:t>
      </w:r>
    </w:p>
    <w:p w:rsidR="009D2CAE" w:rsidRPr="007C0CDA" w:rsidRDefault="009D2CAE" w:rsidP="00CE3165"/>
    <w:p w:rsidR="009D2CAE" w:rsidRPr="007C0CDA" w:rsidRDefault="009D2CAE" w:rsidP="00CE3165">
      <w:r w:rsidRPr="007C0CDA">
        <w:t>Vzhledem k vyšší nákladnosti mnoha projektů, nejisté návratnosti a obecně nízkému motivačnímu účinku záruk na změnu inovační politiky podniku však považujeme významné zachování dotační podpory v tomto cíly za žádoucí. Finanční nástroj by měl sloužit paralelně jako alternativa dotacím vzhledem k omezené alokaci i indikovanými problémy s dotacemi, které odrazují některé podnikatele.</w:t>
      </w:r>
    </w:p>
    <w:p w:rsidR="009D2CAE" w:rsidRPr="007C0CDA" w:rsidRDefault="009D2CAE" w:rsidP="00CE3165"/>
    <w:p w:rsidR="009D2CAE" w:rsidRPr="007C0CDA" w:rsidRDefault="009D2CAE" w:rsidP="002433DA">
      <w:pPr>
        <w:pStyle w:val="Nadpis3"/>
      </w:pPr>
      <w:bookmarkStart w:id="600" w:name="_Toc416447898"/>
      <w:bookmarkStart w:id="601" w:name="_Toc416383913"/>
      <w:bookmarkStart w:id="602" w:name="_Toc416447899"/>
      <w:bookmarkStart w:id="603" w:name="_Toc416383914"/>
      <w:bookmarkStart w:id="604" w:name="_Toc416447900"/>
      <w:bookmarkStart w:id="605" w:name="_Toc416383915"/>
      <w:bookmarkStart w:id="606" w:name="_Toc416447901"/>
      <w:bookmarkStart w:id="607" w:name="_Toc416383916"/>
      <w:bookmarkStart w:id="608" w:name="_Toc416447902"/>
      <w:bookmarkStart w:id="609" w:name="_Toc416383917"/>
      <w:bookmarkStart w:id="610" w:name="_Toc416447903"/>
      <w:bookmarkStart w:id="611" w:name="_Toc416383918"/>
      <w:bookmarkStart w:id="612" w:name="_Toc416447904"/>
      <w:bookmarkStart w:id="613" w:name="_Toc416383919"/>
      <w:bookmarkStart w:id="614" w:name="_Toc416447905"/>
      <w:bookmarkStart w:id="615" w:name="_Toc416383920"/>
      <w:bookmarkStart w:id="616" w:name="_Toc416447906"/>
      <w:bookmarkStart w:id="617" w:name="_Toc416383921"/>
      <w:bookmarkStart w:id="618" w:name="_Toc416447907"/>
      <w:bookmarkStart w:id="619" w:name="_Toc414464599"/>
      <w:bookmarkStart w:id="620" w:name="_Toc416447908"/>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r w:rsidRPr="007C0CDA">
        <w:t>Schéma fungování navrhovaného finančního nástroje</w:t>
      </w:r>
      <w:bookmarkEnd w:id="619"/>
      <w:bookmarkEnd w:id="620"/>
    </w:p>
    <w:p w:rsidR="009D2CAE" w:rsidRPr="007C0CDA" w:rsidRDefault="009D2CAE" w:rsidP="00CE3165">
      <w:pPr>
        <w:pStyle w:val="CaptionIntroductionparagraph"/>
      </w:pPr>
      <w:r w:rsidRPr="007C0CDA">
        <w:t>Záruční nástroj (SC 1.1)</w:t>
      </w:r>
    </w:p>
    <w:p w:rsidR="009D2CAE" w:rsidRPr="007C0CDA" w:rsidRDefault="009D2CAE" w:rsidP="00CE3165">
      <w:pPr>
        <w:pStyle w:val="CaptionIntroductionparagraph"/>
        <w:jc w:val="center"/>
      </w:pPr>
    </w:p>
    <w:p w:rsidR="009D2CAE" w:rsidRPr="007C0CDA" w:rsidRDefault="00C41E93" w:rsidP="00CE3165">
      <w:pPr>
        <w:pStyle w:val="CaptionIntroductionparagraph"/>
        <w:jc w:val="center"/>
      </w:pPr>
      <w:r w:rsidRPr="00C41E93">
        <w:rPr>
          <w:rFonts w:ascii="Calibri" w:hAnsi="Calibri"/>
          <w:b w:val="0"/>
          <w:noProof/>
          <w:color w:val="auto"/>
          <w:sz w:val="22"/>
          <w:szCs w:val="20"/>
          <w:lang w:eastAsia="cs-CZ"/>
        </w:rPr>
        <w:t xml:space="preserve"> </w:t>
      </w:r>
      <w:r w:rsidRPr="00C41E93">
        <w:drawing>
          <wp:inline distT="0" distB="0" distL="0" distR="0" wp14:anchorId="29C00800" wp14:editId="46FFC390">
            <wp:extent cx="5562599" cy="3876675"/>
            <wp:effectExtent l="0" t="0" r="635" b="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b="7077"/>
                    <a:stretch/>
                  </pic:blipFill>
                  <pic:spPr bwMode="auto">
                    <a:xfrm>
                      <a:off x="0" y="0"/>
                      <a:ext cx="5563376" cy="3877217"/>
                    </a:xfrm>
                    <a:prstGeom prst="rect">
                      <a:avLst/>
                    </a:prstGeom>
                    <a:ln>
                      <a:noFill/>
                    </a:ln>
                    <a:extLst>
                      <a:ext uri="{53640926-AAD7-44D8-BBD7-CCE9431645EC}">
                        <a14:shadowObscured xmlns:a14="http://schemas.microsoft.com/office/drawing/2010/main"/>
                      </a:ext>
                    </a:extLst>
                  </pic:spPr>
                </pic:pic>
              </a:graphicData>
            </a:graphic>
          </wp:inline>
        </w:drawing>
      </w:r>
    </w:p>
    <w:p w:rsidR="009D2CAE" w:rsidRPr="007C0CDA" w:rsidRDefault="009D2CAE" w:rsidP="002433DA">
      <w:pPr>
        <w:pStyle w:val="Nadpis3"/>
      </w:pPr>
      <w:bookmarkStart w:id="621" w:name="_Toc416383923"/>
      <w:bookmarkStart w:id="622" w:name="_Toc416447909"/>
      <w:bookmarkStart w:id="623" w:name="_Toc416383924"/>
      <w:bookmarkStart w:id="624" w:name="_Toc416447910"/>
      <w:bookmarkStart w:id="625" w:name="_Toc416383925"/>
      <w:bookmarkStart w:id="626" w:name="_Toc416447911"/>
      <w:bookmarkStart w:id="627" w:name="_Toc416383926"/>
      <w:bookmarkStart w:id="628" w:name="_Toc416447912"/>
      <w:bookmarkStart w:id="629" w:name="_Toc416383927"/>
      <w:bookmarkStart w:id="630" w:name="_Toc416447913"/>
      <w:bookmarkStart w:id="631" w:name="_Toc416383928"/>
      <w:bookmarkStart w:id="632" w:name="_Toc416447914"/>
      <w:bookmarkStart w:id="633" w:name="_Toc416383929"/>
      <w:bookmarkStart w:id="634" w:name="_Toc416447915"/>
      <w:bookmarkStart w:id="635" w:name="_Toc416383930"/>
      <w:bookmarkStart w:id="636" w:name="_Toc416447916"/>
      <w:bookmarkStart w:id="637" w:name="_Toc416383931"/>
      <w:bookmarkStart w:id="638" w:name="_Toc416447917"/>
      <w:bookmarkStart w:id="639" w:name="_Toc414464600"/>
      <w:bookmarkStart w:id="640" w:name="_Toc416447918"/>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r w:rsidRPr="007C0CDA">
        <w:t>Základní parametry finančního nástroje</w:t>
      </w:r>
      <w:bookmarkEnd w:id="639"/>
      <w:bookmarkEnd w:id="640"/>
    </w:p>
    <w:p w:rsidR="009D2CAE" w:rsidRPr="007C0CDA" w:rsidRDefault="009D2CAE" w:rsidP="00CE3165">
      <w:pPr>
        <w:pStyle w:val="CaptionIntroductionparagraph"/>
      </w:pPr>
      <w:r w:rsidRPr="007C0CDA">
        <w:t>Individuální nebo portfoliová záruka (SC 1.1)</w:t>
      </w:r>
    </w:p>
    <w:tbl>
      <w:tblPr>
        <w:tblW w:w="0" w:type="auto"/>
        <w:tblBorders>
          <w:top w:val="single" w:sz="4" w:space="0" w:color="92D400"/>
          <w:bottom w:val="single" w:sz="4" w:space="0" w:color="92D400"/>
          <w:insideH w:val="single" w:sz="4" w:space="0" w:color="92D400"/>
        </w:tblBorders>
        <w:tblCellMar>
          <w:top w:w="28" w:type="dxa"/>
          <w:left w:w="28" w:type="dxa"/>
          <w:bottom w:w="28" w:type="dxa"/>
          <w:right w:w="28" w:type="dxa"/>
        </w:tblCellMar>
        <w:tblLook w:val="00A0" w:firstRow="1" w:lastRow="0" w:firstColumn="1" w:lastColumn="0" w:noHBand="0" w:noVBand="0"/>
      </w:tblPr>
      <w:tblGrid>
        <w:gridCol w:w="2282"/>
        <w:gridCol w:w="6788"/>
      </w:tblGrid>
      <w:tr w:rsidR="009D2CAE" w:rsidRPr="007C0CDA" w:rsidTr="00A47740">
        <w:tc>
          <w:tcPr>
            <w:tcW w:w="2282" w:type="dxa"/>
            <w:shd w:val="clear" w:color="auto" w:fill="ECFFC3"/>
          </w:tcPr>
          <w:p w:rsidR="009D2CAE" w:rsidRPr="007C0CDA" w:rsidRDefault="009D2CAE" w:rsidP="00A47740">
            <w:pPr>
              <w:rPr>
                <w:b/>
              </w:rPr>
            </w:pPr>
          </w:p>
        </w:tc>
        <w:tc>
          <w:tcPr>
            <w:tcW w:w="6788" w:type="dxa"/>
            <w:shd w:val="clear" w:color="auto" w:fill="ECFFC3"/>
          </w:tcPr>
          <w:p w:rsidR="009D2CAE" w:rsidRPr="007C0CDA" w:rsidRDefault="009D2CAE" w:rsidP="00A47740">
            <w:pPr>
              <w:ind w:left="38"/>
              <w:rPr>
                <w:b/>
              </w:rPr>
            </w:pPr>
          </w:p>
        </w:tc>
      </w:tr>
      <w:tr w:rsidR="009D2CAE" w:rsidRPr="007C0CDA" w:rsidTr="00A47740">
        <w:tc>
          <w:tcPr>
            <w:tcW w:w="2282" w:type="dxa"/>
            <w:shd w:val="clear" w:color="auto" w:fill="92D400"/>
            <w:noWrap/>
          </w:tcPr>
          <w:p w:rsidR="009D2CAE" w:rsidRPr="007C0CDA" w:rsidRDefault="009D2CAE" w:rsidP="00A47740">
            <w:pPr>
              <w:jc w:val="left"/>
              <w:rPr>
                <w:b/>
                <w:color w:val="FFFFFF"/>
              </w:rPr>
            </w:pPr>
            <w:r w:rsidRPr="007C0CDA">
              <w:rPr>
                <w:b/>
                <w:color w:val="FFFFFF"/>
              </w:rPr>
              <w:t>Cíle a odůvodnění finančního nástroje</w:t>
            </w:r>
          </w:p>
        </w:tc>
        <w:tc>
          <w:tcPr>
            <w:tcW w:w="6788" w:type="dxa"/>
            <w:shd w:val="clear" w:color="auto" w:fill="FFFFFF"/>
            <w:noWrap/>
          </w:tcPr>
          <w:p w:rsidR="009D2CAE" w:rsidRPr="007C0CDA" w:rsidRDefault="009D2CAE" w:rsidP="00A47740">
            <w:r w:rsidRPr="007C0CDA">
              <w:t xml:space="preserve">Finanční nástroj si klade za cíl zpřístupnit úvěrové financování podnikového výzkumu a vývoje, které na něj za tržních podmínek nedosáhne z důvodu nedostatečného kolaterálu. Budoucí ekonomické benefity založené na výsledcích výzkumu a vývoje jsou vždy spojeny se značným rizikem a banky požadují zajištění úvěru kolaterálem. Oproti např. investicím do DHM nelze za kolaterál považovat samotnou investici do VaV, neboť ta je z pohledu banky silně nelikvidní a její hodnota je velmi nejistá. Žadatelé tedy musí </w:t>
            </w:r>
            <w:r w:rsidRPr="007C0CDA">
              <w:lastRenderedPageBreak/>
              <w:t xml:space="preserve">ručit jinými svými aktivy, která buď nedosahují požadované výše, nebo se podniky nemohou vystavit riziku nutnosti jejich postoupení v případě nezdaru výzkumného záměru. Výsledná úroková sazba bude pro konečného příjemce na nižší než tržní úrovni, z důvodu eliminace části rizikové prémie aplikované bankou. </w:t>
            </w:r>
          </w:p>
        </w:tc>
      </w:tr>
      <w:tr w:rsidR="009D2CAE" w:rsidRPr="007C0CDA" w:rsidTr="00A47740">
        <w:tc>
          <w:tcPr>
            <w:tcW w:w="2282" w:type="dxa"/>
            <w:shd w:val="clear" w:color="auto" w:fill="92D400"/>
            <w:noWrap/>
          </w:tcPr>
          <w:p w:rsidR="009D2CAE" w:rsidRPr="007C0CDA" w:rsidRDefault="009D2CAE" w:rsidP="00A47740">
            <w:pPr>
              <w:jc w:val="left"/>
              <w:rPr>
                <w:b/>
                <w:color w:val="FFFFFF"/>
              </w:rPr>
            </w:pPr>
            <w:r w:rsidRPr="007C0CDA">
              <w:rPr>
                <w:b/>
                <w:color w:val="FFFFFF"/>
              </w:rPr>
              <w:lastRenderedPageBreak/>
              <w:t>Definice a kritéria způsobilých projektů</w:t>
            </w:r>
          </w:p>
        </w:tc>
        <w:tc>
          <w:tcPr>
            <w:tcW w:w="6788" w:type="dxa"/>
            <w:shd w:val="clear" w:color="auto" w:fill="FFFFFF"/>
            <w:noWrap/>
          </w:tcPr>
          <w:p w:rsidR="009D2CAE" w:rsidRPr="007C0CDA" w:rsidRDefault="009D2CAE" w:rsidP="00A47740">
            <w:r w:rsidRPr="007C0CDA">
              <w:t>Podpora je určena pro financování inovativního výzkumu a vývoje MSP i velkých podniků. Obor podnikání žadatelů je omezen pouze programem podpory a výzvou a je velmi široký. Způsobilými výdaji se rozumí veškeré výdaje na VaVaI, které je nutno vynaložit ke splnění cíle projektu konečného příjemce.</w:t>
            </w:r>
          </w:p>
        </w:tc>
      </w:tr>
      <w:tr w:rsidR="009D2CAE" w:rsidRPr="007C0CDA" w:rsidTr="00A47740">
        <w:tc>
          <w:tcPr>
            <w:tcW w:w="2282" w:type="dxa"/>
            <w:shd w:val="clear" w:color="auto" w:fill="92D400"/>
            <w:noWrap/>
          </w:tcPr>
          <w:p w:rsidR="009D2CAE" w:rsidRPr="007C0CDA" w:rsidRDefault="009D2CAE" w:rsidP="00A47740">
            <w:pPr>
              <w:jc w:val="left"/>
              <w:rPr>
                <w:b/>
                <w:color w:val="FFFFFF"/>
              </w:rPr>
            </w:pPr>
            <w:r w:rsidRPr="007C0CDA">
              <w:rPr>
                <w:b/>
                <w:color w:val="FFFFFF"/>
              </w:rPr>
              <w:t>Forma podpory</w:t>
            </w:r>
          </w:p>
        </w:tc>
        <w:tc>
          <w:tcPr>
            <w:tcW w:w="6788" w:type="dxa"/>
            <w:shd w:val="clear" w:color="auto" w:fill="FFFFFF"/>
            <w:noWrap/>
          </w:tcPr>
          <w:p w:rsidR="009D2CAE" w:rsidRPr="007C0CDA" w:rsidRDefault="009D2CAE">
            <w:r w:rsidRPr="007C0CDA">
              <w:t xml:space="preserve">Finanční nástroj bude poskytovat účelovou podporu formou záruky úvěrové instituci za konkrétní záměr na realizaci investice do VaVaI. Úvěr bude poskytnut se sníženou úrokovou sazbou, neboť do ní bude pouze v omezené míře promítnuta riziková přirážka. Distributorem úvěrů konečným příjemcům bude úvěrující instituce. </w:t>
            </w:r>
          </w:p>
        </w:tc>
      </w:tr>
      <w:tr w:rsidR="009D2CAE" w:rsidRPr="007C0CDA" w:rsidTr="00A47740">
        <w:tc>
          <w:tcPr>
            <w:tcW w:w="2282" w:type="dxa"/>
            <w:shd w:val="clear" w:color="auto" w:fill="92D400"/>
            <w:noWrap/>
          </w:tcPr>
          <w:p w:rsidR="009D2CAE" w:rsidRPr="007C0CDA" w:rsidRDefault="009D2CAE" w:rsidP="00A47740">
            <w:pPr>
              <w:jc w:val="left"/>
              <w:rPr>
                <w:b/>
                <w:color w:val="FFFFFF"/>
              </w:rPr>
            </w:pPr>
            <w:r w:rsidRPr="007C0CDA">
              <w:rPr>
                <w:b/>
                <w:color w:val="FFFFFF"/>
              </w:rPr>
              <w:t>Výše podpory</w:t>
            </w:r>
          </w:p>
        </w:tc>
        <w:tc>
          <w:tcPr>
            <w:tcW w:w="6788" w:type="dxa"/>
            <w:shd w:val="clear" w:color="auto" w:fill="FFFFFF"/>
            <w:noWrap/>
          </w:tcPr>
          <w:p w:rsidR="009D2CAE" w:rsidRPr="007C0CDA" w:rsidRDefault="009D2CAE" w:rsidP="00A47740">
            <w:r w:rsidRPr="007C0CDA">
              <w:rPr>
                <w:rFonts w:cs="Calibri"/>
              </w:rPr>
              <w:t>Záruka za úvěr je poskytována k bankovním úvěrům až do výše 80 % jistiny zaručeného úvěru, maximálně ve výši 100 mil. Kč. Očekávaná průměrná výše zaručených úvěrů je 700-1200 tis. EUR dle velikosti projektů v OP PI Inovace.</w:t>
            </w:r>
          </w:p>
          <w:p w:rsidR="009D2CAE" w:rsidRPr="007C0CDA" w:rsidRDefault="009D2CAE" w:rsidP="00A47740"/>
        </w:tc>
      </w:tr>
      <w:tr w:rsidR="009D2CAE" w:rsidRPr="007C0CDA" w:rsidTr="00A47740">
        <w:tc>
          <w:tcPr>
            <w:tcW w:w="2282" w:type="dxa"/>
            <w:shd w:val="clear" w:color="auto" w:fill="92D400"/>
            <w:noWrap/>
          </w:tcPr>
          <w:p w:rsidR="009D2CAE" w:rsidRPr="007C0CDA" w:rsidRDefault="009D2CAE" w:rsidP="00A47740">
            <w:pPr>
              <w:jc w:val="left"/>
              <w:rPr>
                <w:b/>
                <w:color w:val="FFFFFF"/>
              </w:rPr>
            </w:pPr>
            <w:r w:rsidRPr="007C0CDA">
              <w:rPr>
                <w:b/>
                <w:color w:val="FFFFFF"/>
              </w:rPr>
              <w:t>Základní parametry poskytované podpory</w:t>
            </w:r>
          </w:p>
        </w:tc>
        <w:tc>
          <w:tcPr>
            <w:tcW w:w="6788" w:type="dxa"/>
            <w:shd w:val="clear" w:color="auto" w:fill="FFFFFF"/>
            <w:noWrap/>
          </w:tcPr>
          <w:p w:rsidR="009D2CAE" w:rsidRPr="007C0CDA" w:rsidRDefault="009D2CAE" w:rsidP="00A47740">
            <w:r w:rsidRPr="007C0CDA">
              <w:t>Podpora bude poskytována formou záruky vybraného implementačního partnera přímo úvěrující instituci konečného příjemce na case-by-case bázi, nebo portfoliovým způsobem (vytvoření portfolia zaručených úvěrů úvěrující institucí).</w:t>
            </w:r>
          </w:p>
        </w:tc>
      </w:tr>
      <w:tr w:rsidR="009D2CAE" w:rsidRPr="007C0CDA" w:rsidTr="00A47740">
        <w:tc>
          <w:tcPr>
            <w:tcW w:w="2282" w:type="dxa"/>
            <w:shd w:val="clear" w:color="auto" w:fill="92D400"/>
            <w:noWrap/>
          </w:tcPr>
          <w:p w:rsidR="009D2CAE" w:rsidRPr="007C0CDA" w:rsidRDefault="009D2CAE" w:rsidP="00A47740">
            <w:pPr>
              <w:jc w:val="left"/>
              <w:rPr>
                <w:b/>
                <w:color w:val="FFFFFF"/>
              </w:rPr>
            </w:pPr>
            <w:r w:rsidRPr="007C0CDA">
              <w:rPr>
                <w:b/>
                <w:color w:val="FFFFFF"/>
              </w:rPr>
              <w:t>Kroky k aktivizaci soukromých finančních zdrojů</w:t>
            </w:r>
          </w:p>
        </w:tc>
        <w:tc>
          <w:tcPr>
            <w:tcW w:w="6788" w:type="dxa"/>
            <w:shd w:val="clear" w:color="auto" w:fill="FFFFFF"/>
            <w:noWrap/>
          </w:tcPr>
          <w:p w:rsidR="009D2CAE" w:rsidRPr="007C0CDA" w:rsidRDefault="009D2CAE" w:rsidP="00A47740">
            <w:pPr>
              <w:contextualSpacing/>
            </w:pPr>
            <w:r w:rsidRPr="007C0CDA">
              <w:t xml:space="preserve">Bankovní subjekty mají zájem klienty úvěrovat, avšak s ohledem na riziko spojené s některými obchodními případy tak nečiní. Částečná eliminace rizika umožní bankám zapůjčit další objem finančních prostředků. </w:t>
            </w:r>
          </w:p>
        </w:tc>
      </w:tr>
      <w:tr w:rsidR="009D2CAE" w:rsidRPr="007C0CDA" w:rsidTr="00A47740">
        <w:tc>
          <w:tcPr>
            <w:tcW w:w="2282" w:type="dxa"/>
            <w:shd w:val="clear" w:color="auto" w:fill="92D400"/>
            <w:noWrap/>
          </w:tcPr>
          <w:p w:rsidR="009D2CAE" w:rsidRPr="007C0CDA" w:rsidRDefault="009D2CAE" w:rsidP="00A47740">
            <w:pPr>
              <w:jc w:val="left"/>
              <w:rPr>
                <w:b/>
                <w:color w:val="FFFFFF"/>
              </w:rPr>
            </w:pPr>
            <w:r w:rsidRPr="007C0CDA">
              <w:rPr>
                <w:b/>
                <w:color w:val="FFFFFF"/>
              </w:rPr>
              <w:t>Očekávaná alokace</w:t>
            </w:r>
          </w:p>
        </w:tc>
        <w:tc>
          <w:tcPr>
            <w:tcW w:w="6788" w:type="dxa"/>
            <w:shd w:val="clear" w:color="auto" w:fill="FFFFFF"/>
            <w:noWrap/>
          </w:tcPr>
          <w:p w:rsidR="009D2CAE" w:rsidRPr="007C0CDA" w:rsidRDefault="009D2CAE" w:rsidP="00C61687">
            <w:r w:rsidRPr="007C0CDA">
              <w:t>Doporučujeme záruční finanční nástroj využít pro maximálně 15 % alokace podporovaných aktivit programu Inovace v rámci specifického cíle 1.1.</w:t>
            </w:r>
          </w:p>
          <w:p w:rsidR="009D2CAE" w:rsidRPr="007C0CDA" w:rsidRDefault="009D2CAE" w:rsidP="002433DA"/>
        </w:tc>
      </w:tr>
    </w:tbl>
    <w:p w:rsidR="009D2CAE" w:rsidRPr="007C0CDA" w:rsidRDefault="009D2CAE" w:rsidP="00CE3165">
      <w:pPr>
        <w:pStyle w:val="CaptionIntroductionparagraph"/>
      </w:pPr>
    </w:p>
    <w:p w:rsidR="009D2CAE" w:rsidRPr="007C0CDA" w:rsidRDefault="009D2CAE" w:rsidP="002433DA">
      <w:pPr>
        <w:pStyle w:val="Nadpis3"/>
      </w:pPr>
      <w:bookmarkStart w:id="641" w:name="_Toc416383933"/>
      <w:bookmarkStart w:id="642" w:name="_Toc416447919"/>
      <w:bookmarkStart w:id="643" w:name="_Toc414464601"/>
      <w:bookmarkStart w:id="644" w:name="_Toc416447951"/>
      <w:bookmarkEnd w:id="641"/>
      <w:bookmarkEnd w:id="642"/>
      <w:r w:rsidRPr="007C0CDA">
        <w:t>Posouzení zkušeností získaných v minulosti</w:t>
      </w:r>
      <w:bookmarkEnd w:id="643"/>
      <w:bookmarkEnd w:id="644"/>
    </w:p>
    <w:p w:rsidR="009D2CAE" w:rsidRPr="007C0CDA" w:rsidRDefault="009D2CAE" w:rsidP="00CE3165">
      <w:pPr>
        <w:pStyle w:val="CaptionIntroductionparagraph"/>
      </w:pPr>
      <w:r w:rsidRPr="007C0CDA">
        <w:t xml:space="preserve">SC 1.1 </w:t>
      </w:r>
    </w:p>
    <w:p w:rsidR="009D2CAE" w:rsidRPr="007C0CDA" w:rsidRDefault="009D2CAE" w:rsidP="000B6E72">
      <w:r w:rsidRPr="007C0CDA">
        <w:t>Navrhovaný nástroj navazuje na podporu, která byla poskytována v programovém období 2007-2013. Sledované oblasti byly doposud řešeny převážně formou dotace.</w:t>
      </w:r>
    </w:p>
    <w:p w:rsidR="009D2CAE" w:rsidRPr="007C0CDA" w:rsidRDefault="009D2CAE" w:rsidP="000B6E72"/>
    <w:p w:rsidR="009D2CAE" w:rsidRPr="007C0CDA" w:rsidRDefault="009D2CAE" w:rsidP="000B6E72">
      <w:r w:rsidRPr="007C0CDA">
        <w:t xml:space="preserve">Hlavním programem podpory pro podnikové inovace vyšších řádů byl </w:t>
      </w:r>
      <w:r w:rsidRPr="002433DA">
        <w:rPr>
          <w:b/>
        </w:rPr>
        <w:t>program Inovace v</w:t>
      </w:r>
      <w:r w:rsidRPr="007C0CDA">
        <w:rPr>
          <w:b/>
        </w:rPr>
        <w:t> </w:t>
      </w:r>
      <w:r w:rsidRPr="002433DA">
        <w:rPr>
          <w:b/>
        </w:rPr>
        <w:t>OP PI,</w:t>
      </w:r>
      <w:r w:rsidRPr="007C0CDA">
        <w:t xml:space="preserve"> jehož detailní výsledky z pohledu nabídky zdrojů a poptávky jsou uvedeny v bloku I.</w:t>
      </w:r>
      <w:r w:rsidRPr="002433DA">
        <w:rPr>
          <w:b/>
        </w:rPr>
        <w:t>Program vykázal výrazný převis poptávky</w:t>
      </w:r>
      <w:r w:rsidRPr="007C0CDA">
        <w:t>, přestože musíme zohlednit částečnou duplicitu žádostí v jednotlivých výzvách. V oblasti inovačních projektů podniků bylo do konce roku 2014 přijato MPO 4335registračních žádostí o celkových uznatelných nákladech158 mld. Kč a 65,4 mld. Kč požadované dotace. Podpořeno bylo 1643 projektů (38 %)v objemu 51 mld. uznatelných nákladů a požadovanou dotací 22,3 mld. Kč.Průměrná velikost podpořeného projektu z hlediska jeho způsobilých nákladů byla tedy 30 mil. Kč.</w:t>
      </w:r>
    </w:p>
    <w:p w:rsidR="009D2CAE" w:rsidRPr="007C0CDA" w:rsidRDefault="009D2CAE" w:rsidP="000B6E72"/>
    <w:p w:rsidR="009D2CAE" w:rsidRPr="007C0CDA" w:rsidRDefault="009D2CAE" w:rsidP="000B6E72">
      <w:r w:rsidRPr="007C0CDA">
        <w:t xml:space="preserve">Stejně jako program TIP a další dotační programy ve VaVaI byla tedy minulá podpora inovacím formou dotací úspěšná z hlediska absorpční kapacity a zvýšení inovačních investic, které byly nicméně podmíněny vynaložením velkého množství nenávratných veřejných zdrojů. Nevýhodou </w:t>
      </w:r>
      <w:r w:rsidRPr="007C0CDA">
        <w:lastRenderedPageBreak/>
        <w:t>nenávratné dotační podpory byl nižší tlak na ekonomický úspěch a racionálnost projektu, který mohl částečně snížit kvalitu projektů.</w:t>
      </w:r>
    </w:p>
    <w:p w:rsidR="009D2CAE" w:rsidRPr="007C0CDA" w:rsidRDefault="009D2CAE" w:rsidP="000B6E72"/>
    <w:p w:rsidR="009D2CAE" w:rsidRPr="007C0CDA" w:rsidRDefault="009D2CAE" w:rsidP="000B6E72">
      <w:r w:rsidRPr="007C0CDA">
        <w:t>Reakce příjemců na dotační podporu ve VaVaI v tomto období (dotazník MPO 2014) z části udávají stále problematickou míru administrativní složitosti a nákladů – malé společnosti ve velké míře museli čerpat služby specializovaných poradenských společností na přípravu projektů i administraci. Objevily se též stížnosti na nadměrné posuzování formálních a technických chyb v rámci dotačních projektů, které mohou vést až k riziku odebrání dotace. Výrazný problém představovala v dotačních projektech nutnost veřejných výběrových řízení, které znesnadňovaly postup v projektu a výběr dodavatelů. U dotačních projektů zpravidla nasazovaly dodavatelé vyšší ceny.</w:t>
      </w:r>
    </w:p>
    <w:p w:rsidR="009D2CAE" w:rsidRPr="007C0CDA" w:rsidRDefault="009D2CAE" w:rsidP="00CE3165"/>
    <w:p w:rsidR="009D2CAE" w:rsidRPr="007C0CDA" w:rsidRDefault="009D2CAE" w:rsidP="000B6E72">
      <w:r w:rsidRPr="007C0CDA">
        <w:t>Ve sledovaném období byl spuštěn též úvěrový program Inostart, který se svým zaměřením pohybuje na pomezí SC 1.1 a SC 2.1 – jedná se o podporu začínajících podnikatelů, ovšem podmíněnou vysoce inovativním zaměřením. Z hlediska SC 1.1 lze jako indikativní zkušenost z tohoto programu uvést fakt, že dle úvodních zkušeností pilotního spuštění programu v Olomouckém a Moravskoslezském kraji byla absorpční kapacita omezena z velké míry právě požadavkem inovací, který u přihlášených nebyl vždy v dostatečné míře naplněn. Jednalo se však o úzký segment společností do 3 let existence, který jde mimo primární zaměření SC 1.1.</w:t>
      </w:r>
    </w:p>
    <w:p w:rsidR="009D2CAE" w:rsidRPr="007C0CDA" w:rsidRDefault="009D2CAE" w:rsidP="000B6E72"/>
    <w:p w:rsidR="009D2CAE" w:rsidRPr="007C0CDA" w:rsidRDefault="009D2CAE" w:rsidP="000B6E72">
      <w:r w:rsidRPr="007C0CDA">
        <w:t>Záruční program v oblasti VaVaI projektů byl realizován v ČR v rámci Risk Sharing Instrument EIF. Tímto způsobem realizovalo zaručené úvěry hned několik bank v ČR (UniCredit Bank, Česká spořitelna, Komerční banka, GE Money Bank), které se typicky týkaly právě cílových projektů programu Inovace. Nutno však dodat, že pro tento program neplatila omezení z hlediska dalších kombinací veřejné podpory, která budou platit pro finanční nástroje v rámci ESIF.</w:t>
      </w:r>
    </w:p>
    <w:p w:rsidR="009D2CAE" w:rsidRPr="007C0CDA" w:rsidRDefault="009D2CAE" w:rsidP="000B6E72"/>
    <w:p w:rsidR="009D2CAE" w:rsidRPr="002433DA" w:rsidRDefault="009D2CAE">
      <w:r w:rsidRPr="007C0CDA">
        <w:t>Záruční nástroj však přesto pokládáme na základě těchto zkušeností za možnou doplňující alternativu k dotační podpoře, která umožní flexibilnější a administrativně snazší formu podpory pro společnosti, které mají problém s obdržením bankovního financování.</w:t>
      </w:r>
    </w:p>
    <w:p w:rsidR="009D2CAE" w:rsidRPr="007C0CDA" w:rsidRDefault="009D2CAE"/>
    <w:p w:rsidR="009D2CAE" w:rsidRPr="007C0CDA" w:rsidRDefault="009D2CAE" w:rsidP="00CE3165"/>
    <w:p w:rsidR="009D2CAE" w:rsidRPr="007C0CDA" w:rsidRDefault="009D2CAE" w:rsidP="002433DA">
      <w:pPr>
        <w:pStyle w:val="Nadpis3"/>
      </w:pPr>
      <w:bookmarkStart w:id="645" w:name="_Toc414464602"/>
      <w:bookmarkStart w:id="646" w:name="_Toc416447952"/>
      <w:r w:rsidRPr="007C0CDA">
        <w:t>Očekávané výsledky finančního nástroje</w:t>
      </w:r>
      <w:bookmarkEnd w:id="645"/>
      <w:bookmarkEnd w:id="646"/>
    </w:p>
    <w:p w:rsidR="009D2CAE" w:rsidRPr="007C0CDA" w:rsidRDefault="009D2CAE" w:rsidP="007314C9">
      <w:r w:rsidRPr="007C0CDA">
        <w:t xml:space="preserve">Multiplikační a revolvingový efekt navrhovaného záručního instrumentu v SC 1.1 je přímo závislý na strategii řízení rizika. </w:t>
      </w:r>
    </w:p>
    <w:p w:rsidR="009D2CAE" w:rsidRPr="007C0CDA" w:rsidRDefault="009D2CAE" w:rsidP="007314C9"/>
    <w:p w:rsidR="009D2CAE" w:rsidRPr="007C0CDA" w:rsidRDefault="009D2CAE" w:rsidP="007314C9">
      <w:r w:rsidRPr="007C0CDA">
        <w:t xml:space="preserve">Na základě zkušeností ČMZRB s poskytováním záruk v programech Start a Kredit odhadujeme míru defaultu přizpůsobenou na nejisté prostředí inovací na 18 %. Zároveň vycházíme z předpokladu, že na záručních plněních bude alokace vyčerpána ze 70 %, jako v ostatních dosavadních případech. </w:t>
      </w:r>
    </w:p>
    <w:p w:rsidR="009D2CAE" w:rsidRPr="007C0CDA" w:rsidRDefault="009D2CAE" w:rsidP="00CE3165"/>
    <w:p w:rsidR="009D2CAE" w:rsidRPr="007C0CDA" w:rsidRDefault="009D2CAE" w:rsidP="007314C9"/>
    <w:tbl>
      <w:tblPr>
        <w:tblW w:w="5240" w:type="dxa"/>
        <w:jc w:val="center"/>
        <w:tblCellMar>
          <w:left w:w="70" w:type="dxa"/>
          <w:right w:w="70" w:type="dxa"/>
        </w:tblCellMar>
        <w:tblLook w:val="00A0" w:firstRow="1" w:lastRow="0" w:firstColumn="1" w:lastColumn="0" w:noHBand="0" w:noVBand="0"/>
      </w:tblPr>
      <w:tblGrid>
        <w:gridCol w:w="1780"/>
        <w:gridCol w:w="501"/>
        <w:gridCol w:w="1660"/>
        <w:gridCol w:w="1299"/>
      </w:tblGrid>
      <w:tr w:rsidR="009D2CAE" w:rsidRPr="007C0CDA" w:rsidTr="009C3CDB">
        <w:trPr>
          <w:trHeight w:val="300"/>
          <w:jc w:val="center"/>
        </w:trPr>
        <w:tc>
          <w:tcPr>
            <w:tcW w:w="1780" w:type="dxa"/>
            <w:tcBorders>
              <w:top w:val="single" w:sz="4" w:space="0" w:color="auto"/>
              <w:left w:val="single" w:sz="4" w:space="0" w:color="auto"/>
              <w:bottom w:val="single" w:sz="4" w:space="0" w:color="auto"/>
              <w:right w:val="single" w:sz="4" w:space="0" w:color="auto"/>
            </w:tcBorders>
            <w:noWrap/>
            <w:vAlign w:val="center"/>
          </w:tcPr>
          <w:p w:rsidR="009D2CAE" w:rsidRPr="007C0CDA" w:rsidRDefault="009D2CAE" w:rsidP="009C3CDB">
            <w:pPr>
              <w:jc w:val="left"/>
              <w:rPr>
                <w:rFonts w:ascii="Arial" w:hAnsi="Arial" w:cs="Arial"/>
                <w:color w:val="000000"/>
                <w:sz w:val="18"/>
                <w:szCs w:val="22"/>
              </w:rPr>
            </w:pPr>
            <w:r w:rsidRPr="007C0CDA">
              <w:rPr>
                <w:rFonts w:ascii="Arial" w:hAnsi="Arial" w:cs="Arial"/>
                <w:color w:val="000000"/>
                <w:sz w:val="18"/>
                <w:szCs w:val="22"/>
              </w:rPr>
              <w:t>Default rate</w:t>
            </w:r>
          </w:p>
        </w:tc>
        <w:tc>
          <w:tcPr>
            <w:tcW w:w="501" w:type="dxa"/>
            <w:tcBorders>
              <w:top w:val="single" w:sz="4" w:space="0" w:color="auto"/>
              <w:left w:val="nil"/>
              <w:bottom w:val="single" w:sz="4" w:space="0" w:color="auto"/>
              <w:right w:val="single" w:sz="4" w:space="0" w:color="auto"/>
            </w:tcBorders>
            <w:noWrap/>
            <w:vAlign w:val="center"/>
          </w:tcPr>
          <w:p w:rsidR="009D2CAE" w:rsidRPr="007C0CDA" w:rsidRDefault="009D2CAE" w:rsidP="009C3CDB">
            <w:pPr>
              <w:jc w:val="center"/>
              <w:rPr>
                <w:rFonts w:ascii="Arial" w:hAnsi="Arial" w:cs="Arial"/>
                <w:color w:val="000000"/>
                <w:sz w:val="18"/>
                <w:szCs w:val="22"/>
              </w:rPr>
            </w:pPr>
            <w:r w:rsidRPr="007C0CDA">
              <w:rPr>
                <w:rFonts w:ascii="Arial" w:hAnsi="Arial" w:cs="Arial"/>
                <w:color w:val="000000"/>
                <w:sz w:val="18"/>
                <w:szCs w:val="22"/>
              </w:rPr>
              <w:t>18%</w:t>
            </w:r>
          </w:p>
        </w:tc>
        <w:tc>
          <w:tcPr>
            <w:tcW w:w="1660" w:type="dxa"/>
            <w:tcBorders>
              <w:top w:val="single" w:sz="4" w:space="0" w:color="auto"/>
              <w:left w:val="nil"/>
              <w:bottom w:val="single" w:sz="4" w:space="0" w:color="auto"/>
              <w:right w:val="single" w:sz="4" w:space="0" w:color="auto"/>
            </w:tcBorders>
            <w:noWrap/>
            <w:vAlign w:val="center"/>
          </w:tcPr>
          <w:p w:rsidR="009D2CAE" w:rsidRPr="007C0CDA" w:rsidRDefault="009D2CAE" w:rsidP="009C3CDB">
            <w:pPr>
              <w:jc w:val="left"/>
              <w:rPr>
                <w:rFonts w:ascii="Arial" w:hAnsi="Arial" w:cs="Arial"/>
                <w:color w:val="000000"/>
                <w:sz w:val="18"/>
                <w:szCs w:val="22"/>
              </w:rPr>
            </w:pPr>
            <w:r w:rsidRPr="007C0CDA">
              <w:rPr>
                <w:rFonts w:ascii="Arial" w:hAnsi="Arial" w:cs="Arial"/>
                <w:color w:val="000000"/>
                <w:sz w:val="18"/>
                <w:szCs w:val="22"/>
              </w:rPr>
              <w:t>Alokace OPPIK</w:t>
            </w:r>
          </w:p>
        </w:tc>
        <w:tc>
          <w:tcPr>
            <w:tcW w:w="1299" w:type="dxa"/>
            <w:tcBorders>
              <w:top w:val="single" w:sz="4" w:space="0" w:color="auto"/>
              <w:left w:val="nil"/>
              <w:bottom w:val="single" w:sz="4" w:space="0" w:color="auto"/>
              <w:right w:val="single" w:sz="4" w:space="0" w:color="auto"/>
            </w:tcBorders>
            <w:noWrap/>
            <w:vAlign w:val="center"/>
          </w:tcPr>
          <w:p w:rsidR="009D2CAE" w:rsidRPr="007C0CDA" w:rsidRDefault="009D2CAE" w:rsidP="009C3CDB">
            <w:pPr>
              <w:jc w:val="center"/>
              <w:rPr>
                <w:rFonts w:ascii="Arial" w:hAnsi="Arial" w:cs="Arial"/>
                <w:color w:val="000000"/>
                <w:sz w:val="18"/>
                <w:szCs w:val="22"/>
              </w:rPr>
            </w:pPr>
            <w:r w:rsidRPr="007C0CDA">
              <w:rPr>
                <w:rFonts w:ascii="Arial" w:hAnsi="Arial" w:cs="Arial"/>
                <w:color w:val="000000"/>
                <w:sz w:val="18"/>
                <w:szCs w:val="22"/>
              </w:rPr>
              <w:t>1</w:t>
            </w:r>
            <w:r w:rsidRPr="007C0CDA">
              <w:rPr>
                <w:color w:val="000000"/>
                <w:sz w:val="18"/>
                <w:szCs w:val="22"/>
              </w:rPr>
              <w:t> </w:t>
            </w:r>
            <w:r w:rsidRPr="007C0CDA">
              <w:rPr>
                <w:rFonts w:ascii="Arial" w:hAnsi="Arial" w:cs="Arial"/>
                <w:color w:val="000000"/>
                <w:sz w:val="18"/>
                <w:szCs w:val="22"/>
              </w:rPr>
              <w:t>644</w:t>
            </w:r>
            <w:r w:rsidRPr="007C0CDA">
              <w:rPr>
                <w:color w:val="000000"/>
                <w:sz w:val="18"/>
                <w:szCs w:val="22"/>
              </w:rPr>
              <w:t xml:space="preserve"> mil. Kč</w:t>
            </w:r>
          </w:p>
        </w:tc>
      </w:tr>
      <w:tr w:rsidR="009D2CAE" w:rsidRPr="007C0CDA" w:rsidTr="009C3CDB">
        <w:trPr>
          <w:trHeight w:val="300"/>
          <w:jc w:val="center"/>
        </w:trPr>
        <w:tc>
          <w:tcPr>
            <w:tcW w:w="1780" w:type="dxa"/>
            <w:tcBorders>
              <w:top w:val="nil"/>
              <w:left w:val="single" w:sz="4" w:space="0" w:color="auto"/>
              <w:bottom w:val="single" w:sz="4" w:space="0" w:color="auto"/>
              <w:right w:val="single" w:sz="4" w:space="0" w:color="auto"/>
            </w:tcBorders>
            <w:noWrap/>
            <w:vAlign w:val="center"/>
          </w:tcPr>
          <w:p w:rsidR="009D2CAE" w:rsidRPr="007C0CDA" w:rsidRDefault="009D2CAE" w:rsidP="009C3CDB">
            <w:pPr>
              <w:jc w:val="left"/>
              <w:rPr>
                <w:rFonts w:ascii="Arial" w:hAnsi="Arial" w:cs="Arial"/>
                <w:color w:val="000000"/>
                <w:sz w:val="18"/>
                <w:szCs w:val="22"/>
              </w:rPr>
            </w:pPr>
            <w:r w:rsidRPr="007C0CDA">
              <w:rPr>
                <w:rFonts w:ascii="Arial" w:hAnsi="Arial" w:cs="Arial"/>
                <w:color w:val="000000"/>
                <w:sz w:val="18"/>
                <w:szCs w:val="22"/>
              </w:rPr>
              <w:t>Záruka jistiny</w:t>
            </w:r>
          </w:p>
        </w:tc>
        <w:tc>
          <w:tcPr>
            <w:tcW w:w="501" w:type="dxa"/>
            <w:tcBorders>
              <w:top w:val="nil"/>
              <w:left w:val="nil"/>
              <w:bottom w:val="single" w:sz="4" w:space="0" w:color="auto"/>
              <w:right w:val="single" w:sz="4" w:space="0" w:color="auto"/>
            </w:tcBorders>
            <w:noWrap/>
            <w:vAlign w:val="center"/>
          </w:tcPr>
          <w:p w:rsidR="009D2CAE" w:rsidRPr="007C0CDA" w:rsidRDefault="009D2CAE" w:rsidP="009C3CDB">
            <w:pPr>
              <w:jc w:val="center"/>
              <w:rPr>
                <w:rFonts w:ascii="Arial" w:hAnsi="Arial" w:cs="Arial"/>
                <w:color w:val="000000"/>
                <w:sz w:val="18"/>
                <w:szCs w:val="22"/>
              </w:rPr>
            </w:pPr>
            <w:r w:rsidRPr="007C0CDA">
              <w:rPr>
                <w:rFonts w:ascii="Arial" w:hAnsi="Arial" w:cs="Arial"/>
                <w:color w:val="000000"/>
                <w:sz w:val="18"/>
                <w:szCs w:val="22"/>
              </w:rPr>
              <w:t>70%</w:t>
            </w:r>
          </w:p>
        </w:tc>
        <w:tc>
          <w:tcPr>
            <w:tcW w:w="1660" w:type="dxa"/>
            <w:tcBorders>
              <w:top w:val="nil"/>
              <w:left w:val="nil"/>
              <w:bottom w:val="single" w:sz="4" w:space="0" w:color="auto"/>
              <w:right w:val="single" w:sz="4" w:space="0" w:color="auto"/>
            </w:tcBorders>
            <w:noWrap/>
            <w:vAlign w:val="center"/>
          </w:tcPr>
          <w:p w:rsidR="009D2CAE" w:rsidRPr="007C0CDA" w:rsidRDefault="009D2CAE" w:rsidP="009C3CDB">
            <w:pPr>
              <w:jc w:val="left"/>
              <w:rPr>
                <w:rFonts w:ascii="Arial" w:hAnsi="Arial" w:cs="Arial"/>
                <w:color w:val="000000"/>
                <w:sz w:val="18"/>
                <w:szCs w:val="22"/>
              </w:rPr>
            </w:pPr>
            <w:r w:rsidRPr="007C0CDA">
              <w:rPr>
                <w:rFonts w:ascii="Arial" w:hAnsi="Arial" w:cs="Arial"/>
                <w:color w:val="000000"/>
                <w:sz w:val="18"/>
                <w:szCs w:val="22"/>
              </w:rPr>
              <w:t>Investice</w:t>
            </w:r>
          </w:p>
        </w:tc>
        <w:tc>
          <w:tcPr>
            <w:tcW w:w="1299" w:type="dxa"/>
            <w:tcBorders>
              <w:top w:val="nil"/>
              <w:left w:val="nil"/>
              <w:bottom w:val="single" w:sz="4" w:space="0" w:color="auto"/>
              <w:right w:val="single" w:sz="4" w:space="0" w:color="auto"/>
            </w:tcBorders>
            <w:noWrap/>
            <w:vAlign w:val="center"/>
          </w:tcPr>
          <w:p w:rsidR="009D2CAE" w:rsidRPr="007C0CDA" w:rsidRDefault="009D2CAE" w:rsidP="009C3CDB">
            <w:pPr>
              <w:jc w:val="center"/>
              <w:rPr>
                <w:rFonts w:ascii="Arial" w:hAnsi="Arial" w:cs="Arial"/>
                <w:color w:val="000000"/>
                <w:sz w:val="18"/>
                <w:szCs w:val="22"/>
              </w:rPr>
            </w:pPr>
            <w:r w:rsidRPr="007C0CDA">
              <w:rPr>
                <w:rFonts w:ascii="Arial" w:hAnsi="Arial" w:cs="Arial"/>
                <w:color w:val="000000"/>
                <w:sz w:val="18"/>
                <w:szCs w:val="22"/>
              </w:rPr>
              <w:t>9</w:t>
            </w:r>
            <w:r w:rsidRPr="007C0CDA">
              <w:rPr>
                <w:color w:val="000000"/>
                <w:sz w:val="18"/>
                <w:szCs w:val="22"/>
              </w:rPr>
              <w:t> </w:t>
            </w:r>
            <w:r w:rsidRPr="007C0CDA">
              <w:rPr>
                <w:rFonts w:ascii="Arial" w:hAnsi="Arial" w:cs="Arial"/>
                <w:color w:val="000000"/>
                <w:sz w:val="18"/>
                <w:szCs w:val="22"/>
              </w:rPr>
              <w:t>133</w:t>
            </w:r>
            <w:r w:rsidRPr="007C0CDA">
              <w:rPr>
                <w:color w:val="000000"/>
                <w:sz w:val="18"/>
                <w:szCs w:val="22"/>
              </w:rPr>
              <w:t xml:space="preserve"> mil. Kč</w:t>
            </w:r>
          </w:p>
        </w:tc>
      </w:tr>
      <w:tr w:rsidR="009D2CAE" w:rsidRPr="007C0CDA" w:rsidTr="009C3CDB">
        <w:trPr>
          <w:trHeight w:val="300"/>
          <w:jc w:val="center"/>
        </w:trPr>
        <w:tc>
          <w:tcPr>
            <w:tcW w:w="1780" w:type="dxa"/>
            <w:tcBorders>
              <w:top w:val="nil"/>
              <w:left w:val="single" w:sz="4" w:space="0" w:color="auto"/>
              <w:bottom w:val="single" w:sz="4" w:space="0" w:color="auto"/>
              <w:right w:val="single" w:sz="4" w:space="0" w:color="auto"/>
            </w:tcBorders>
            <w:noWrap/>
            <w:vAlign w:val="center"/>
          </w:tcPr>
          <w:p w:rsidR="009D2CAE" w:rsidRPr="007C0CDA" w:rsidRDefault="009D2CAE" w:rsidP="009C3CDB">
            <w:pPr>
              <w:jc w:val="left"/>
              <w:rPr>
                <w:rFonts w:ascii="Arial" w:hAnsi="Arial" w:cs="Arial"/>
                <w:color w:val="000000"/>
                <w:sz w:val="18"/>
                <w:szCs w:val="22"/>
              </w:rPr>
            </w:pPr>
            <w:r w:rsidRPr="007C0CDA">
              <w:rPr>
                <w:color w:val="000000"/>
                <w:sz w:val="18"/>
                <w:szCs w:val="22"/>
              </w:rPr>
              <w:t>Č</w:t>
            </w:r>
            <w:r w:rsidRPr="007C0CDA">
              <w:rPr>
                <w:rFonts w:ascii="Arial" w:hAnsi="Arial" w:cs="Arial"/>
                <w:color w:val="000000"/>
                <w:sz w:val="18"/>
                <w:szCs w:val="22"/>
              </w:rPr>
              <w:t>erpání alokace</w:t>
            </w:r>
          </w:p>
        </w:tc>
        <w:tc>
          <w:tcPr>
            <w:tcW w:w="501" w:type="dxa"/>
            <w:tcBorders>
              <w:top w:val="nil"/>
              <w:left w:val="nil"/>
              <w:bottom w:val="single" w:sz="4" w:space="0" w:color="auto"/>
              <w:right w:val="single" w:sz="4" w:space="0" w:color="auto"/>
            </w:tcBorders>
            <w:noWrap/>
            <w:vAlign w:val="center"/>
          </w:tcPr>
          <w:p w:rsidR="009D2CAE" w:rsidRPr="007C0CDA" w:rsidRDefault="009D2CAE" w:rsidP="009C3CDB">
            <w:pPr>
              <w:jc w:val="center"/>
              <w:rPr>
                <w:rFonts w:ascii="Arial" w:hAnsi="Arial" w:cs="Arial"/>
                <w:color w:val="000000"/>
                <w:sz w:val="18"/>
                <w:szCs w:val="22"/>
              </w:rPr>
            </w:pPr>
            <w:r w:rsidRPr="007C0CDA">
              <w:rPr>
                <w:rFonts w:ascii="Arial" w:hAnsi="Arial" w:cs="Arial"/>
                <w:color w:val="000000"/>
                <w:sz w:val="18"/>
                <w:szCs w:val="22"/>
              </w:rPr>
              <w:t>70%</w:t>
            </w:r>
          </w:p>
        </w:tc>
        <w:tc>
          <w:tcPr>
            <w:tcW w:w="1660" w:type="dxa"/>
            <w:tcBorders>
              <w:top w:val="nil"/>
              <w:left w:val="nil"/>
              <w:bottom w:val="single" w:sz="4" w:space="0" w:color="auto"/>
              <w:right w:val="single" w:sz="4" w:space="0" w:color="auto"/>
            </w:tcBorders>
            <w:noWrap/>
            <w:vAlign w:val="center"/>
          </w:tcPr>
          <w:p w:rsidR="009D2CAE" w:rsidRPr="007C0CDA" w:rsidRDefault="009D2CAE" w:rsidP="009C3CDB">
            <w:pPr>
              <w:jc w:val="left"/>
              <w:rPr>
                <w:rFonts w:ascii="Arial" w:hAnsi="Arial" w:cs="Arial"/>
                <w:color w:val="000000"/>
                <w:sz w:val="18"/>
                <w:szCs w:val="22"/>
              </w:rPr>
            </w:pPr>
            <w:r w:rsidRPr="007C0CDA">
              <w:rPr>
                <w:rFonts w:ascii="Arial" w:hAnsi="Arial" w:cs="Arial"/>
                <w:color w:val="000000"/>
                <w:sz w:val="18"/>
                <w:szCs w:val="22"/>
              </w:rPr>
              <w:t>Přidaná hodnota</w:t>
            </w:r>
          </w:p>
        </w:tc>
        <w:tc>
          <w:tcPr>
            <w:tcW w:w="1299" w:type="dxa"/>
            <w:tcBorders>
              <w:top w:val="nil"/>
              <w:left w:val="nil"/>
              <w:bottom w:val="single" w:sz="4" w:space="0" w:color="auto"/>
              <w:right w:val="single" w:sz="4" w:space="0" w:color="auto"/>
            </w:tcBorders>
            <w:noWrap/>
            <w:vAlign w:val="center"/>
          </w:tcPr>
          <w:p w:rsidR="009D2CAE" w:rsidRPr="007C0CDA" w:rsidRDefault="009D2CAE" w:rsidP="009C3CDB">
            <w:pPr>
              <w:jc w:val="center"/>
              <w:rPr>
                <w:rFonts w:ascii="Arial" w:hAnsi="Arial" w:cs="Arial"/>
                <w:color w:val="000000"/>
                <w:sz w:val="18"/>
                <w:szCs w:val="22"/>
              </w:rPr>
            </w:pPr>
            <w:r w:rsidRPr="007C0CDA">
              <w:rPr>
                <w:rFonts w:ascii="Arial" w:hAnsi="Arial" w:cs="Arial"/>
                <w:color w:val="000000"/>
                <w:sz w:val="18"/>
                <w:szCs w:val="22"/>
              </w:rPr>
              <w:t>5,56</w:t>
            </w:r>
          </w:p>
        </w:tc>
      </w:tr>
    </w:tbl>
    <w:p w:rsidR="009D2CAE" w:rsidRPr="007C0CDA" w:rsidRDefault="009D2CAE" w:rsidP="00CE3165">
      <w:pPr>
        <w:rPr>
          <w:color w:val="FF0000"/>
        </w:rPr>
      </w:pPr>
    </w:p>
    <w:p w:rsidR="009D2CAE" w:rsidRPr="007C0CDA" w:rsidRDefault="009D2CAE" w:rsidP="00CE3165">
      <w:pPr>
        <w:rPr>
          <w:color w:val="FF0000"/>
        </w:rPr>
      </w:pPr>
    </w:p>
    <w:p w:rsidR="009D2CAE" w:rsidRPr="007C0CDA" w:rsidRDefault="009D2CAE" w:rsidP="00CE3165">
      <w:r w:rsidRPr="007C0CDA">
        <w:t>Finanční nástroj by měl tímto způsobem pomoci podpořit více projektů než v případě čistých dotací a především aktivovat v</w:t>
      </w:r>
      <w:r w:rsidR="00066384">
        <w:t>e</w:t>
      </w:r>
      <w:r w:rsidRPr="007C0CDA">
        <w:t xml:space="preserve"> větší míře soukromý kapitál na financování vědy, výzkumu i inovací v České republice.</w:t>
      </w:r>
    </w:p>
    <w:p w:rsidR="009D2CAE" w:rsidRPr="007C0CDA" w:rsidRDefault="009D2CAE" w:rsidP="00CE3165"/>
    <w:p w:rsidR="009D2CAE" w:rsidRPr="007C0CDA" w:rsidRDefault="009D2CAE" w:rsidP="00CE3165"/>
    <w:p w:rsidR="009D2CAE" w:rsidRPr="007C0CDA" w:rsidRDefault="009D2CAE" w:rsidP="002433DA">
      <w:pPr>
        <w:pStyle w:val="Nadpis2"/>
      </w:pPr>
      <w:bookmarkStart w:id="647" w:name="_Toc416447953"/>
      <w:r w:rsidRPr="007C0CDA">
        <w:lastRenderedPageBreak/>
        <w:t>SC 1.2</w:t>
      </w:r>
      <w:bookmarkEnd w:id="647"/>
    </w:p>
    <w:p w:rsidR="009D2CAE" w:rsidRPr="007C0CDA" w:rsidRDefault="009D2CAE" w:rsidP="002433DA">
      <w:pPr>
        <w:pStyle w:val="Nadpis3"/>
      </w:pPr>
      <w:bookmarkStart w:id="648" w:name="_Toc416447954"/>
      <w:r w:rsidRPr="007C0CDA">
        <w:t>Odůvodnění volby oblasti podpory a návrhu nástroje</w:t>
      </w:r>
      <w:bookmarkEnd w:id="648"/>
    </w:p>
    <w:p w:rsidR="009D2CAE" w:rsidRPr="007C0CDA" w:rsidRDefault="009D2CAE" w:rsidP="00483DA7">
      <w:r w:rsidRPr="007C0CDA">
        <w:t>Zainteresované subjekty napříč obory a potenciálními skupinami příjemců potvrzují, že současná koncepce finanční podpory vědy a výzkumu nedosahuje požadovaných výsledků. Podpora je v současnosti na grantovém principu rozdělována mezi univerzity a jiné vědecko-výzkumné instituce bez dostatečné vazby na dosažení hmatatelných a komerčně využitelných  výsledků.</w:t>
      </w:r>
      <w:r w:rsidR="00DD74F1">
        <w:t xml:space="preserve"> </w:t>
      </w:r>
      <w:r w:rsidRPr="007C0CDA">
        <w:t>Monitoring výsledků výzkumu a vývoje je nastaven zejména na ukazatele, jako je například počet patentů a počet článků v impaktovaných periodikách, nikoliv finanční kritéria. Patentové žádosti jsou podle vyjádření oslovených expertů často předčasné nebo špatně připravené, avšak stávající systém motivuje i takové žádosti podávat. Efektivita vynaložených prostředků by však neměla být měřena počtem patentů, ale peněžní či jinou hodnotou, která byla díky realizaci výzkumného záměru vytvořena.</w:t>
      </w:r>
      <w:r w:rsidR="00DD74F1">
        <w:t xml:space="preserve"> Stávající alokace na komercionalizační aktivity je taktéž nedostatečná.</w:t>
      </w:r>
    </w:p>
    <w:p w:rsidR="009D2CAE" w:rsidRPr="007C0CDA" w:rsidRDefault="009D2CAE" w:rsidP="00483DA7"/>
    <w:p w:rsidR="009D2CAE" w:rsidRPr="007C0CDA" w:rsidRDefault="009D2CAE" w:rsidP="00483DA7">
      <w:r w:rsidRPr="007C0CDA">
        <w:t>Současný systém financuje i neperspektivní projekty, zatímco zároveň existují potenciálně ziskové excelentní projekty, kterým se nedostává dostatečné prioritní podpory. Nejhmatatelnější je problém ve fázi Proof-of-concept, kdy se perspektivní patenty či jiné výsledky VaV ztrácí v množství podaných patentů a není k dispozici systémové opatření na jejich prioritní a urychlené zavedení do praxe.Nejsou k dispozici zejména prostředky pro financování poslední fáze jejich přerodu v komercializovaný záměr „in revenue“. Selhání má tedy nejen finanční, ale též systémově organizační povahu.</w:t>
      </w:r>
    </w:p>
    <w:p w:rsidR="009D2CAE" w:rsidRPr="007C0CDA" w:rsidRDefault="009D2CAE" w:rsidP="00483DA7"/>
    <w:p w:rsidR="009D2CAE" w:rsidRPr="007C0CDA" w:rsidRDefault="009D2CAE" w:rsidP="00483DA7">
      <w:r w:rsidRPr="007C0CDA">
        <w:t>Financování fáze Proof-of concept není bez účasti veřejných prostředků prakticky možné vzhledem ke špatné uchopitelnosti projektu či za ním stojící struktury a z toho vyplývajícího vysokého rizika, a to zejména v současné situaci, kdy v České republice navzdory řadě pozitivních změn (např. podpora pre-seed aktivit z OP VaVpI, program Gama TA ČR, fungování center transferu technologií) stále přetrvává pomyslná propast mezi vědecko-výzkumnými institucemi a aplikační sférou.Výsledky VaV mají vysoký, avšak nejistý ziskový potenciál – řada projektů nedosáhne fáze, kdy by bylo výhodné dále pokračovat ke komercionalizaci, řada je v důsledku neúspěšná, pouze menší část těchto projektů je úspěšná a zisková. Sledovaná oblast proof-of-concept je kritickou fází přesunu vědeckého projektu z akademické či výzkumné instituce do tržního prostředí, kdy v řadě odvětví (např. biochemie a další) je tato fáze je příliš dlouhá a tím i riziková pro běžné investory a v řadě vyspělých zemí je proto řešena zapojením veřejné intervence. Optimální variantou je spuštění Pre-seed fondu ve formě finančního nástroje, který bude poskytovat podporu formou kapitálových vstupů.</w:t>
      </w:r>
    </w:p>
    <w:p w:rsidR="009D2CAE" w:rsidRPr="007C0CDA" w:rsidRDefault="009D2CAE" w:rsidP="00483DA7"/>
    <w:p w:rsidR="009D2CAE" w:rsidRPr="007C0CDA" w:rsidRDefault="009D2CAE" w:rsidP="00483DA7">
      <w:r w:rsidRPr="007C0CDA">
        <w:t>Perspektivní výzkumné záměry budou formou nepeněžitého vkladu vyčleněny z</w:t>
      </w:r>
      <w:r w:rsidR="00DD74F1">
        <w:t xml:space="preserve"> veřejné</w:t>
      </w:r>
      <w:r w:rsidRPr="007C0CDA">
        <w:t> výzkumné organizace</w:t>
      </w:r>
      <w:r w:rsidR="00DD74F1">
        <w:t>, vysoké školy</w:t>
      </w:r>
      <w:r w:rsidRPr="007C0CDA">
        <w:t xml:space="preserve"> do právnické osoby pod ni spadající či do oborově specializovaného fondu spravovaného přímo pod/v rámci Pre-seed Fondu MPO, kam následně budou investovány prostředky z FN. Prostřednictvím minoritního podílu v této entitě tak bude mít FN vlastnický podíl na každém projektu, který bude do entity vyčleněn, a z toho vyplývající nárok na malou část zisku v případě ziskového exitu jakéhokoli projektu pro další fáze uplatnění na trhu (např. spin-off odkoupený investory, licence strategickému investorovi z výrobního odvětví atd.). Rozhodující část zisku musí zůstat jako motivační prvek nositelům projektu, nikoliv státu. Státní fond však prostřednictvím minoritního podílu na ziskových projektech získává zpět prostředky a může na revolvingovém principu v dalším kole podpořit nové projekty (takto funguje podpora pre-seed fáze např. v Izraeli). Je dále třeba se s posunem projektů do další fáze neorientovat pouze na český trh, ale být v tomto smyslu otevření i zahraničním investorům, neboť výsledky výzkumu a vývoje jsou často využitelné globálně. FN MPO bude vždy disponovat pouze minoritním podílem zajišťujícím podíl na kontrole řízení entity a zprostředkovaně i projektů. Výběr projektů však musí provést zejména instituce, která je vytváří, tedy konečný příjemce (univerzita, v.v.i. apod.). Kapitálový vstup tak lze definovat jako </w:t>
      </w:r>
      <w:r w:rsidRPr="007C0CDA">
        <w:lastRenderedPageBreak/>
        <w:t>nejvhodnější typ finančního nástroje vzhledem k nevyzrálosti projektů a nejistotě spojené s jejich budoucími výsledky.</w:t>
      </w:r>
    </w:p>
    <w:p w:rsidR="009D2CAE" w:rsidRPr="007C0CDA" w:rsidRDefault="009D2CAE" w:rsidP="00483DA7"/>
    <w:p w:rsidR="009D2CAE" w:rsidRPr="00854519" w:rsidRDefault="009D2CAE" w:rsidP="002433DA">
      <w:r w:rsidRPr="00B675D6">
        <w:t>Pre-seed finanční nástroj OP PIK je v</w:t>
      </w:r>
      <w:r w:rsidRPr="00854519">
        <w:t> </w:t>
      </w:r>
      <w:r w:rsidRPr="00172EF4">
        <w:t>první pilotní fázi projektován jako podp</w:t>
      </w:r>
      <w:r w:rsidRPr="004153D2">
        <w:t>ora pro prioritní projekty excelentních pracovišť výzkumu a vývoje v</w:t>
      </w:r>
      <w:r w:rsidRPr="0038688B">
        <w:t> </w:t>
      </w:r>
      <w:r w:rsidRPr="00EB326E">
        <w:t>České republice (cca 5-10), který usnadní a zrychlí financování projektů s </w:t>
      </w:r>
      <w:r w:rsidRPr="00D51B9B">
        <w:t>nejvyšší pravděpodobností uplatnění na trhu. Fondovým financováním dojde k </w:t>
      </w:r>
      <w:r w:rsidRPr="00197F96">
        <w:t xml:space="preserve">překonání současných překážek, jako je např. zdlouhavá příprava, hodnocení a </w:t>
      </w:r>
      <w:r w:rsidRPr="007C2066">
        <w:t>proplácení grantu na komercionalizaci. V</w:t>
      </w:r>
      <w:r w:rsidRPr="007B2DEF">
        <w:t> </w:t>
      </w:r>
      <w:r w:rsidRPr="002F7B85">
        <w:t>pre-seed fondu budou prostředky k</w:t>
      </w:r>
      <w:r w:rsidRPr="002433DA">
        <w:t> dispozici průběžně dle potřeby projektu. Fondové financování může dále usnadnit přístup investorů a urychlit tak samotnou komercializaci (zejména např. v případě odvětvového „zabalíčkování“ projektů). V další fázi, v případě jeho úspěchu, může dojít k rozšíření finančního nástroje pre-seed i na další pracoviště. Jedním z očekávaných velmi důležitých vedlejších produktů této podpory je zkvalitnění a zprůchodnění systému komercializace na univerzitách a vědecko výzkumných institucích.</w:t>
      </w:r>
    </w:p>
    <w:p w:rsidR="009D2CAE" w:rsidRPr="00172EF4" w:rsidRDefault="009D2CAE" w:rsidP="002433DA"/>
    <w:p w:rsidR="009D2CAE" w:rsidRPr="00183F1E" w:rsidRDefault="009D2CAE" w:rsidP="002433DA">
      <w:pPr>
        <w:rPr>
          <w:bCs/>
        </w:rPr>
      </w:pPr>
      <w:r w:rsidRPr="0038688B">
        <w:t>Schéma bude případně dále upraveno tak, aby konvenovalo zákon</w:t>
      </w:r>
      <w:r w:rsidRPr="00EB326E">
        <w:t>u o podpoře</w:t>
      </w:r>
      <w:r w:rsidRPr="00D51B9B">
        <w:t xml:space="preserve"> VaVaI nebo zákon</w:t>
      </w:r>
      <w:r w:rsidRPr="00197F96">
        <w:t>u</w:t>
      </w:r>
      <w:r w:rsidRPr="007C2066">
        <w:t xml:space="preserve"> o vysokých školách</w:t>
      </w:r>
      <w:r w:rsidRPr="00183F1E">
        <w:t>.</w:t>
      </w:r>
    </w:p>
    <w:p w:rsidR="009D2CAE" w:rsidRPr="007C0CDA" w:rsidRDefault="009D2CAE" w:rsidP="002433DA">
      <w:pPr>
        <w:pStyle w:val="Nadpis3"/>
      </w:pPr>
      <w:bookmarkStart w:id="649" w:name="_Toc416447955"/>
      <w:r w:rsidRPr="007C0CDA">
        <w:t>Schéma fungování navrhovaného finančního nástroje</w:t>
      </w:r>
      <w:bookmarkEnd w:id="649"/>
    </w:p>
    <w:p w:rsidR="009D2CAE" w:rsidRPr="007C0CDA" w:rsidRDefault="009D2CAE" w:rsidP="00483DA7">
      <w:r w:rsidRPr="007C0CDA">
        <w:t>Pro sledovanou oblast byly navrženy dva základní modely finančního nástroje kapitálového vstupu – na bázi centralizované a decentralizované. Obě varianty jsou dle závěrů předběžného posouzení možné k použití Řídícím orgánem OP PIK. O volbě konkrétní implementační varianty bude rozhodnuto na základě detailní analýzy souvisejících procesů, která jde již nad rámec požadavků předběžného posouzení FN.</w:t>
      </w:r>
    </w:p>
    <w:p w:rsidR="009D2CAE" w:rsidRPr="007C0CDA" w:rsidRDefault="009D2CAE" w:rsidP="00483DA7"/>
    <w:p w:rsidR="009D2CAE" w:rsidRPr="007C0CDA" w:rsidRDefault="002D1138" w:rsidP="00483DA7">
      <w:pPr>
        <w:jc w:val="center"/>
      </w:pPr>
      <w:r>
        <w:rPr>
          <w:noProof/>
        </w:rPr>
        <w:drawing>
          <wp:inline distT="0" distB="0" distL="0" distR="0" wp14:anchorId="0BDF08F6" wp14:editId="06676A29">
            <wp:extent cx="4886325" cy="3867150"/>
            <wp:effectExtent l="0" t="0" r="9525"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86325" cy="3867150"/>
                    </a:xfrm>
                    <a:prstGeom prst="rect">
                      <a:avLst/>
                    </a:prstGeom>
                    <a:noFill/>
                    <a:ln>
                      <a:noFill/>
                    </a:ln>
                  </pic:spPr>
                </pic:pic>
              </a:graphicData>
            </a:graphic>
          </wp:inline>
        </w:drawing>
      </w:r>
    </w:p>
    <w:p w:rsidR="009D2CAE" w:rsidRPr="007C0CDA" w:rsidRDefault="009D2CAE" w:rsidP="00483DA7"/>
    <w:p w:rsidR="009D2CAE" w:rsidRPr="007C0CDA" w:rsidRDefault="009D2CAE" w:rsidP="00483DA7">
      <w:pPr>
        <w:pStyle w:val="Titulek"/>
      </w:pPr>
      <w:r w:rsidRPr="007C0CDA">
        <w:t xml:space="preserve">Obrázek </w:t>
      </w:r>
      <w:r w:rsidRPr="00854519">
        <w:fldChar w:fldCharType="begin"/>
      </w:r>
      <w:r w:rsidRPr="007C0CDA">
        <w:instrText xml:space="preserve"> SEQ Obrázek \* ARABIC </w:instrText>
      </w:r>
      <w:r w:rsidRPr="002433DA">
        <w:fldChar w:fldCharType="separate"/>
      </w:r>
      <w:r w:rsidRPr="007C0CDA">
        <w:rPr>
          <w:noProof/>
        </w:rPr>
        <w:t>2</w:t>
      </w:r>
      <w:r w:rsidRPr="00854519">
        <w:fldChar w:fldCharType="end"/>
      </w:r>
      <w:r w:rsidRPr="007C0CDA">
        <w:t>: Rámcové schéma návrhu decentralizovaného modelu Pre-seed fondu</w:t>
      </w:r>
    </w:p>
    <w:p w:rsidR="009D2CAE" w:rsidRPr="007C0CDA" w:rsidRDefault="009D2CAE" w:rsidP="00483DA7"/>
    <w:p w:rsidR="009D2CAE" w:rsidRPr="007C0CDA" w:rsidRDefault="002D1138" w:rsidP="00483DA7">
      <w:r>
        <w:rPr>
          <w:noProof/>
        </w:rPr>
        <w:lastRenderedPageBreak/>
        <w:drawing>
          <wp:inline distT="0" distB="0" distL="0" distR="0" wp14:anchorId="7BDB7EE6" wp14:editId="2EA02FE6">
            <wp:extent cx="5743575" cy="4171950"/>
            <wp:effectExtent l="0" t="0" r="952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3575" cy="4171950"/>
                    </a:xfrm>
                    <a:prstGeom prst="rect">
                      <a:avLst/>
                    </a:prstGeom>
                    <a:noFill/>
                    <a:ln>
                      <a:noFill/>
                    </a:ln>
                  </pic:spPr>
                </pic:pic>
              </a:graphicData>
            </a:graphic>
          </wp:inline>
        </w:drawing>
      </w:r>
    </w:p>
    <w:p w:rsidR="009D2CAE" w:rsidRPr="007C0CDA" w:rsidRDefault="009D2CAE" w:rsidP="00483DA7">
      <w:pPr>
        <w:pStyle w:val="Titulek"/>
      </w:pPr>
      <w:r w:rsidRPr="007C0CDA">
        <w:t xml:space="preserve">Obrázek </w:t>
      </w:r>
      <w:r w:rsidRPr="00854519">
        <w:fldChar w:fldCharType="begin"/>
      </w:r>
      <w:r w:rsidRPr="007C0CDA">
        <w:instrText xml:space="preserve"> SEQ Obrázek \* ARABIC </w:instrText>
      </w:r>
      <w:r w:rsidRPr="002433DA">
        <w:fldChar w:fldCharType="separate"/>
      </w:r>
      <w:r w:rsidRPr="007C0CDA">
        <w:rPr>
          <w:noProof/>
        </w:rPr>
        <w:t>3</w:t>
      </w:r>
      <w:r w:rsidRPr="00854519">
        <w:fldChar w:fldCharType="end"/>
      </w:r>
      <w:r w:rsidRPr="007C0CDA">
        <w:t>: Rámcové schéma návrhu centralizovaného modelu Pre-seed fondu</w:t>
      </w:r>
    </w:p>
    <w:p w:rsidR="009D2CAE" w:rsidRPr="007C0CDA" w:rsidRDefault="009D2CAE"/>
    <w:p w:rsidR="009D2CAE" w:rsidRPr="007C0CDA" w:rsidRDefault="009D2CAE" w:rsidP="00F008F8">
      <w:pPr>
        <w:pStyle w:val="Nadpis3"/>
      </w:pPr>
      <w:bookmarkStart w:id="650" w:name="_Toc416447956"/>
      <w:r w:rsidRPr="007C0CDA">
        <w:t>Základní parametry finančního nástroje</w:t>
      </w:r>
      <w:bookmarkEnd w:id="650"/>
    </w:p>
    <w:tbl>
      <w:tblPr>
        <w:tblW w:w="0" w:type="auto"/>
        <w:tblBorders>
          <w:top w:val="single" w:sz="4" w:space="0" w:color="92D400"/>
          <w:bottom w:val="single" w:sz="4" w:space="0" w:color="92D400"/>
          <w:insideH w:val="single" w:sz="4" w:space="0" w:color="92D400"/>
        </w:tblBorders>
        <w:tblCellMar>
          <w:top w:w="28" w:type="dxa"/>
          <w:left w:w="28" w:type="dxa"/>
          <w:bottom w:w="28" w:type="dxa"/>
          <w:right w:w="28" w:type="dxa"/>
        </w:tblCellMar>
        <w:tblLook w:val="00A0" w:firstRow="1" w:lastRow="0" w:firstColumn="1" w:lastColumn="0" w:noHBand="0" w:noVBand="0"/>
      </w:tblPr>
      <w:tblGrid>
        <w:gridCol w:w="2282"/>
        <w:gridCol w:w="6788"/>
      </w:tblGrid>
      <w:tr w:rsidR="009D2CAE" w:rsidRPr="007C0CDA" w:rsidTr="00A84116">
        <w:tc>
          <w:tcPr>
            <w:tcW w:w="2282" w:type="dxa"/>
            <w:shd w:val="clear" w:color="auto" w:fill="ECFFC3"/>
          </w:tcPr>
          <w:p w:rsidR="009D2CAE" w:rsidRPr="007C0CDA" w:rsidRDefault="009D2CAE" w:rsidP="00A84116">
            <w:pPr>
              <w:rPr>
                <w:b/>
              </w:rPr>
            </w:pPr>
          </w:p>
        </w:tc>
        <w:tc>
          <w:tcPr>
            <w:tcW w:w="6788" w:type="dxa"/>
            <w:shd w:val="clear" w:color="auto" w:fill="ECFFC3"/>
          </w:tcPr>
          <w:p w:rsidR="009D2CAE" w:rsidRPr="007C0CDA" w:rsidRDefault="009D2CAE" w:rsidP="00A84116">
            <w:pPr>
              <w:ind w:left="38"/>
              <w:rPr>
                <w:b/>
              </w:rPr>
            </w:pPr>
          </w:p>
        </w:tc>
      </w:tr>
      <w:tr w:rsidR="009D2CAE" w:rsidRPr="007C0CDA" w:rsidTr="00A84116">
        <w:tc>
          <w:tcPr>
            <w:tcW w:w="2282" w:type="dxa"/>
            <w:shd w:val="clear" w:color="auto" w:fill="92D400"/>
            <w:noWrap/>
          </w:tcPr>
          <w:p w:rsidR="009D2CAE" w:rsidRPr="007C0CDA" w:rsidRDefault="009D2CAE" w:rsidP="00A84116">
            <w:pPr>
              <w:jc w:val="left"/>
              <w:rPr>
                <w:b/>
                <w:color w:val="FFFFFF"/>
              </w:rPr>
            </w:pPr>
            <w:r w:rsidRPr="007C0CDA">
              <w:rPr>
                <w:b/>
                <w:color w:val="FFFFFF"/>
              </w:rPr>
              <w:t>Cíle finančního nástroje</w:t>
            </w:r>
          </w:p>
        </w:tc>
        <w:tc>
          <w:tcPr>
            <w:tcW w:w="6788" w:type="dxa"/>
            <w:shd w:val="clear" w:color="auto" w:fill="FFFFFF"/>
            <w:noWrap/>
          </w:tcPr>
          <w:p w:rsidR="009D2CAE" w:rsidRPr="007C0CDA" w:rsidRDefault="009D2CAE" w:rsidP="00A84116">
            <w:pPr>
              <w:rPr>
                <w:b/>
              </w:rPr>
            </w:pPr>
            <w:r w:rsidRPr="007C0CDA">
              <w:t xml:space="preserve">Finanční nástroj si klade za cíl kapitálově vybavit majitele výsledků výzkumu a vývoje, aby tyto byli schopni plně komercializovat. Investovaný kapitál tedy bude sloužit k financování fáze </w:t>
            </w:r>
            <w:r w:rsidRPr="007C0CDA">
              <w:rPr>
                <w:b/>
              </w:rPr>
              <w:t xml:space="preserve">Proof-of-Concept. </w:t>
            </w:r>
          </w:p>
          <w:p w:rsidR="009D2CAE" w:rsidRPr="007C0CDA" w:rsidRDefault="009D2CAE" w:rsidP="00A84116">
            <w:pPr>
              <w:rPr>
                <w:b/>
              </w:rPr>
            </w:pPr>
          </w:p>
          <w:p w:rsidR="009D2CAE" w:rsidRPr="007C0CDA" w:rsidRDefault="009D2CAE" w:rsidP="00A84116">
            <w:r w:rsidRPr="007C0CDA">
              <w:t xml:space="preserve">Kapitálová forma podpory umožní financování perspektivních výsledků VaV, přičemž tato podpora nebude poskytována zcela nenávratně, ale prostředky se budou do nástroje vracet v případě úspěšného rozvoje a následného exitu projektu v důsledku (malého) podílu FN na budoucích výnosech projektů. Finanční nástroj bude též prostřednictvím minority kontrolovat (nikoliv přímo řídit) vnitřní procesy a další směřování projektu. Nabídka veřejného kapitálového financování nebude vytlačovat soukromý bankovní ani rizikový kapitál, neboť pro něj z důvodu rizika tento segment trhu není atraktivní. </w:t>
            </w:r>
          </w:p>
        </w:tc>
      </w:tr>
      <w:tr w:rsidR="009D2CAE" w:rsidRPr="007C0CDA" w:rsidTr="00A84116">
        <w:tc>
          <w:tcPr>
            <w:tcW w:w="2282" w:type="dxa"/>
            <w:shd w:val="clear" w:color="auto" w:fill="92D400"/>
            <w:noWrap/>
          </w:tcPr>
          <w:p w:rsidR="009D2CAE" w:rsidRPr="007C0CDA" w:rsidRDefault="009D2CAE" w:rsidP="00A84116">
            <w:pPr>
              <w:jc w:val="left"/>
              <w:rPr>
                <w:b/>
                <w:color w:val="FFFFFF"/>
              </w:rPr>
            </w:pPr>
            <w:r w:rsidRPr="007C0CDA">
              <w:rPr>
                <w:b/>
                <w:color w:val="FFFFFF"/>
              </w:rPr>
              <w:t>Definice a kritéria způsobilých projektů</w:t>
            </w:r>
          </w:p>
        </w:tc>
        <w:tc>
          <w:tcPr>
            <w:tcW w:w="6788" w:type="dxa"/>
            <w:shd w:val="clear" w:color="auto" w:fill="FFFFFF"/>
            <w:noWrap/>
          </w:tcPr>
          <w:p w:rsidR="009D2CAE" w:rsidRPr="007C0CDA" w:rsidRDefault="009D2CAE" w:rsidP="002433DA">
            <w:r w:rsidRPr="007C0CDA">
              <w:t xml:space="preserve">Příjemci podpory budou nositelé výsledků výzkumu a vývoje, nejčastěji tedy entity vlastněné vysokými školami a jinými </w:t>
            </w:r>
            <w:r w:rsidR="00DD74F1">
              <w:t xml:space="preserve">veřejnými </w:t>
            </w:r>
            <w:r w:rsidRPr="007C0CDA">
              <w:t xml:space="preserve">výzkumnými </w:t>
            </w:r>
            <w:r w:rsidR="00DD74F1">
              <w:t>organizacemi</w:t>
            </w:r>
            <w:r w:rsidRPr="007C0CDA">
              <w:t xml:space="preserve">. Příjemcem podpory nemůže být škola či jiná instituce samotná. </w:t>
            </w:r>
            <w:bookmarkStart w:id="651" w:name="_GoBack"/>
            <w:bookmarkEnd w:id="651"/>
          </w:p>
        </w:tc>
      </w:tr>
      <w:tr w:rsidR="009D2CAE" w:rsidRPr="007C0CDA" w:rsidTr="00A84116">
        <w:tc>
          <w:tcPr>
            <w:tcW w:w="2282" w:type="dxa"/>
            <w:shd w:val="clear" w:color="auto" w:fill="92D400"/>
            <w:noWrap/>
          </w:tcPr>
          <w:p w:rsidR="009D2CAE" w:rsidRPr="007C0CDA" w:rsidRDefault="009D2CAE" w:rsidP="00A84116">
            <w:pPr>
              <w:jc w:val="left"/>
              <w:rPr>
                <w:b/>
                <w:color w:val="FFFFFF"/>
              </w:rPr>
            </w:pPr>
            <w:r w:rsidRPr="007C0CDA">
              <w:rPr>
                <w:b/>
                <w:color w:val="FFFFFF"/>
              </w:rPr>
              <w:lastRenderedPageBreak/>
              <w:t>Forma podpory</w:t>
            </w:r>
          </w:p>
        </w:tc>
        <w:tc>
          <w:tcPr>
            <w:tcW w:w="6788" w:type="dxa"/>
            <w:shd w:val="clear" w:color="auto" w:fill="FFFFFF"/>
            <w:noWrap/>
          </w:tcPr>
          <w:p w:rsidR="009D2CAE" w:rsidRPr="007C0CDA" w:rsidRDefault="009D2CAE" w:rsidP="00A84116">
            <w:pPr>
              <w:rPr>
                <w:b/>
              </w:rPr>
            </w:pPr>
            <w:r w:rsidRPr="007C0CDA">
              <w:rPr>
                <w:b/>
              </w:rPr>
              <w:t>Účelově vázaný kapitálový vstup Fondu.</w:t>
            </w:r>
          </w:p>
          <w:p w:rsidR="009D2CAE" w:rsidRPr="007C0CDA" w:rsidRDefault="009D2CAE" w:rsidP="00A84116">
            <w:r w:rsidRPr="007C0CDA">
              <w:t>Možnost zapojení soukromých prostředků na úrovni Fondu (na principu kolektivního investování)</w:t>
            </w:r>
            <w:r w:rsidRPr="007C0CDA">
              <w:rPr>
                <w:vertAlign w:val="superscript"/>
              </w:rPr>
              <w:footnoteReference w:id="34"/>
            </w:r>
            <w:r w:rsidRPr="007C0CDA">
              <w:t xml:space="preserve"> se v současnosti nejeví jako reálná. V  případě dostatečného zájmu však zapojení soukromých investorů nic nebrání. Možnost zapojení soukromých prostředků na úrovni projektu – možnost dodatečného účelově vázaného vstupu soukromého investora – je nepravděpodobná, ale možná. Konzervativnější je odhadovat zapojení soukromého kapitálu až ve fázi prodeje projektu z univerzitní (či jiné institucionální) entity, kdy nemusí jít ze strany finančního nástroje nutně o exit, ale též o souhlas se vstupem spoluinvestora.</w:t>
            </w:r>
          </w:p>
          <w:p w:rsidR="009D2CAE" w:rsidRPr="007C0CDA" w:rsidRDefault="009D2CAE" w:rsidP="00A84116">
            <w:r w:rsidRPr="007C0CDA">
              <w:rPr>
                <w:b/>
              </w:rPr>
              <w:t>Z fondu bude možné přispívat na úhradu nákladů na přípravu projektů na nabídku na trhu a vstup investora.</w:t>
            </w:r>
          </w:p>
        </w:tc>
      </w:tr>
      <w:tr w:rsidR="009D2CAE" w:rsidRPr="007C0CDA" w:rsidTr="00A84116">
        <w:tc>
          <w:tcPr>
            <w:tcW w:w="2282" w:type="dxa"/>
            <w:shd w:val="clear" w:color="auto" w:fill="92D400"/>
            <w:noWrap/>
          </w:tcPr>
          <w:p w:rsidR="009D2CAE" w:rsidRPr="007C0CDA" w:rsidRDefault="009D2CAE" w:rsidP="00A84116">
            <w:pPr>
              <w:jc w:val="left"/>
              <w:rPr>
                <w:b/>
                <w:color w:val="FFFFFF"/>
              </w:rPr>
            </w:pPr>
            <w:r w:rsidRPr="007C0CDA">
              <w:rPr>
                <w:b/>
                <w:color w:val="FFFFFF"/>
              </w:rPr>
              <w:t>Základní parametry poskytované podpory</w:t>
            </w:r>
          </w:p>
        </w:tc>
        <w:tc>
          <w:tcPr>
            <w:tcW w:w="6788" w:type="dxa"/>
            <w:shd w:val="clear" w:color="auto" w:fill="FFFFFF"/>
            <w:noWrap/>
          </w:tcPr>
          <w:p w:rsidR="009D2CAE" w:rsidRPr="007C0CDA" w:rsidRDefault="009D2CAE" w:rsidP="00A84116">
            <w:r w:rsidRPr="007C0CDA">
              <w:t>Poskytovaný kapitálový vstup do entity bude mít následující parametry:</w:t>
            </w:r>
          </w:p>
          <w:p w:rsidR="009D2CAE" w:rsidRPr="007C0CDA" w:rsidRDefault="009D2CAE" w:rsidP="00A84116">
            <w:pPr>
              <w:pStyle w:val="Odstavecseseznamem"/>
              <w:numPr>
                <w:ilvl w:val="0"/>
                <w:numId w:val="35"/>
              </w:numPr>
              <w:overflowPunct/>
              <w:autoSpaceDE/>
              <w:autoSpaceDN/>
              <w:adjustRightInd/>
              <w:ind w:left="412" w:hanging="141"/>
              <w:textAlignment w:val="auto"/>
            </w:pPr>
            <w:r w:rsidRPr="007C0CDA">
              <w:t>Výše investice bude odpovídat až 100 % způsobilých nákladů zamýšleného projektu;</w:t>
            </w:r>
          </w:p>
          <w:p w:rsidR="009D2CAE" w:rsidRPr="007C0CDA" w:rsidRDefault="009D2CAE" w:rsidP="00A84116">
            <w:pPr>
              <w:pStyle w:val="Odstavecseseznamem"/>
              <w:numPr>
                <w:ilvl w:val="0"/>
                <w:numId w:val="35"/>
              </w:numPr>
              <w:overflowPunct/>
              <w:autoSpaceDE/>
              <w:autoSpaceDN/>
              <w:adjustRightInd/>
              <w:ind w:left="412" w:hanging="141"/>
              <w:textAlignment w:val="auto"/>
            </w:pPr>
            <w:r w:rsidRPr="007C0CDA">
              <w:t xml:space="preserve">účast Fondu na projektu skrze majetkový podíl v entitě není časově omezena; </w:t>
            </w:r>
          </w:p>
          <w:p w:rsidR="009D2CAE" w:rsidRPr="007C0CDA" w:rsidRDefault="009D2CAE" w:rsidP="00A84116">
            <w:pPr>
              <w:pStyle w:val="Odstavecseseznamem"/>
              <w:numPr>
                <w:ilvl w:val="0"/>
                <w:numId w:val="35"/>
              </w:numPr>
              <w:overflowPunct/>
              <w:autoSpaceDE/>
              <w:autoSpaceDN/>
              <w:adjustRightInd/>
              <w:ind w:left="412" w:hanging="141"/>
              <w:textAlignment w:val="auto"/>
            </w:pPr>
            <w:r w:rsidRPr="007C0CDA">
              <w:t>Fond, zpravidla jako minoritní akcionář, má nárok na výplatu podílu na zisku;</w:t>
            </w:r>
          </w:p>
          <w:p w:rsidR="009D2CAE" w:rsidRPr="007C0CDA" w:rsidRDefault="009D2CAE" w:rsidP="00A84116">
            <w:pPr>
              <w:pStyle w:val="Odstavecseseznamem"/>
              <w:numPr>
                <w:ilvl w:val="0"/>
                <w:numId w:val="35"/>
              </w:numPr>
              <w:overflowPunct/>
              <w:autoSpaceDE/>
              <w:autoSpaceDN/>
              <w:adjustRightInd/>
              <w:ind w:left="412" w:hanging="141"/>
              <w:textAlignment w:val="auto"/>
            </w:pPr>
            <w:r w:rsidRPr="007C0CDA">
              <w:t>Poskytnuté prostředky jsou účelově vázané na krytí výše vymezených způsobilých investičních výdajů na komercializaci výsledků VaV;</w:t>
            </w:r>
          </w:p>
          <w:p w:rsidR="009D2CAE" w:rsidRPr="007C0CDA" w:rsidRDefault="009D2CAE" w:rsidP="00A84116">
            <w:pPr>
              <w:pStyle w:val="Odstavecseseznamem"/>
              <w:numPr>
                <w:ilvl w:val="0"/>
                <w:numId w:val="35"/>
              </w:numPr>
              <w:overflowPunct/>
              <w:autoSpaceDE/>
              <w:autoSpaceDN/>
              <w:adjustRightInd/>
              <w:ind w:left="412" w:hanging="141"/>
              <w:textAlignment w:val="auto"/>
            </w:pPr>
            <w:r w:rsidRPr="007C0CDA">
              <w:t>možná účast soukromých investorů a to jak na úrovni Fondu, tak po vyčlenění z entity i na úrovni projektu;</w:t>
            </w:r>
          </w:p>
          <w:p w:rsidR="009D2CAE" w:rsidRPr="007C0CDA" w:rsidRDefault="009D2CAE" w:rsidP="00A84116">
            <w:pPr>
              <w:pStyle w:val="Odstavecseseznamem"/>
              <w:numPr>
                <w:ilvl w:val="0"/>
                <w:numId w:val="35"/>
              </w:numPr>
              <w:overflowPunct/>
              <w:autoSpaceDE/>
              <w:autoSpaceDN/>
              <w:adjustRightInd/>
              <w:ind w:left="412" w:hanging="141"/>
              <w:textAlignment w:val="auto"/>
            </w:pPr>
            <w:r w:rsidRPr="007C0CDA">
              <w:t>Řízení společnosti zůstává v rukou konečného příjemce, finanční nástroj disponuje minoritou;</w:t>
            </w:r>
          </w:p>
          <w:p w:rsidR="009D2CAE" w:rsidRPr="007C0CDA" w:rsidRDefault="009D2CAE" w:rsidP="00A84116">
            <w:pPr>
              <w:pStyle w:val="Odstavecseseznamem"/>
              <w:numPr>
                <w:ilvl w:val="0"/>
                <w:numId w:val="35"/>
              </w:numPr>
              <w:overflowPunct/>
              <w:autoSpaceDE/>
              <w:autoSpaceDN/>
              <w:adjustRightInd/>
              <w:ind w:left="412" w:hanging="141"/>
              <w:textAlignment w:val="auto"/>
            </w:pPr>
            <w:r w:rsidRPr="007C0CDA">
              <w:t>Způsob prodeje z entity vyděleného projektu: Kapitálový vstup Fondu bude vykoupen zpět spoluinvestory buď přednostně ve zkrácené době za využití např. opčního práva, případně může být postupně vykupován dle předem sjednaných pravidel, nebo bude prodej podílu realizován po uplynutí sjednané doby pro přednostní výkup na volném trhu.</w:t>
            </w:r>
          </w:p>
        </w:tc>
      </w:tr>
      <w:tr w:rsidR="009D2CAE" w:rsidRPr="007C0CDA" w:rsidTr="00A84116">
        <w:tc>
          <w:tcPr>
            <w:tcW w:w="2282" w:type="dxa"/>
            <w:shd w:val="clear" w:color="auto" w:fill="92D400"/>
            <w:noWrap/>
          </w:tcPr>
          <w:p w:rsidR="009D2CAE" w:rsidRPr="007C0CDA" w:rsidRDefault="009D2CAE" w:rsidP="00A84116">
            <w:pPr>
              <w:jc w:val="left"/>
              <w:rPr>
                <w:b/>
                <w:color w:val="FFFFFF"/>
              </w:rPr>
            </w:pPr>
            <w:r w:rsidRPr="007C0CDA">
              <w:rPr>
                <w:b/>
                <w:color w:val="FFFFFF"/>
              </w:rPr>
              <w:t>Kroky vedoucí k zapojení potenciálních spoluinvestorů</w:t>
            </w:r>
          </w:p>
        </w:tc>
        <w:tc>
          <w:tcPr>
            <w:tcW w:w="6788" w:type="dxa"/>
            <w:shd w:val="clear" w:color="auto" w:fill="FFFFFF"/>
            <w:noWrap/>
          </w:tcPr>
          <w:p w:rsidR="009D2CAE" w:rsidRPr="007C0CDA" w:rsidRDefault="009D2CAE" w:rsidP="00A84116">
            <w:pPr>
              <w:contextualSpacing/>
            </w:pPr>
            <w:r w:rsidRPr="007C0CDA">
              <w:t>Výzkumné organizace vyčlení do společné entity duševní vlastnictví ve formě nepeněžitého vkladu do základního kapitálu. Finanční nástroj umožňuje i kapitálovou účast peněžitým vkladem, avšak primárně není kvůli míře rizika očekávána.</w:t>
            </w:r>
          </w:p>
        </w:tc>
      </w:tr>
      <w:tr w:rsidR="009D2CAE" w:rsidRPr="007C0CDA" w:rsidTr="00A84116">
        <w:tc>
          <w:tcPr>
            <w:tcW w:w="2282" w:type="dxa"/>
            <w:shd w:val="clear" w:color="auto" w:fill="92D400"/>
            <w:noWrap/>
          </w:tcPr>
          <w:p w:rsidR="009D2CAE" w:rsidRPr="007C0CDA" w:rsidRDefault="009D2CAE" w:rsidP="00A84116">
            <w:pPr>
              <w:jc w:val="left"/>
              <w:rPr>
                <w:b/>
                <w:color w:val="FFFFFF"/>
              </w:rPr>
            </w:pPr>
            <w:r w:rsidRPr="007C0CDA">
              <w:rPr>
                <w:b/>
                <w:color w:val="FFFFFF"/>
              </w:rPr>
              <w:t>Očekávaná alokace</w:t>
            </w:r>
          </w:p>
        </w:tc>
        <w:tc>
          <w:tcPr>
            <w:tcW w:w="6788" w:type="dxa"/>
            <w:shd w:val="clear" w:color="auto" w:fill="FFFFFF"/>
            <w:noWrap/>
          </w:tcPr>
          <w:p w:rsidR="009D2CAE" w:rsidRPr="007C0CDA" w:rsidRDefault="009D2CAE" w:rsidP="00A84116">
            <w:r w:rsidRPr="007C0CDA">
              <w:t>Deloitte Advisory doporučuje kapitálový finanční nástroj využít až 100 % alokace podporovaných aktivit Proof-of-Concept specifického cíle 1.2.</w:t>
            </w:r>
          </w:p>
        </w:tc>
      </w:tr>
    </w:tbl>
    <w:p w:rsidR="009D2CAE" w:rsidRPr="002433DA" w:rsidRDefault="009D2CAE" w:rsidP="002433DA">
      <w:pPr>
        <w:rPr>
          <w:b/>
        </w:rPr>
      </w:pPr>
    </w:p>
    <w:p w:rsidR="009D2CAE" w:rsidRPr="007C0CDA" w:rsidRDefault="009D2CAE" w:rsidP="00F008F8">
      <w:pPr>
        <w:pStyle w:val="Nadpis3"/>
      </w:pPr>
      <w:bookmarkStart w:id="652" w:name="_Toc416447957"/>
      <w:r w:rsidRPr="007C0CDA">
        <w:t>Posouzení zkušeností získaných v minulosti</w:t>
      </w:r>
      <w:bookmarkEnd w:id="652"/>
    </w:p>
    <w:p w:rsidR="009D2CAE" w:rsidRPr="007C0CDA" w:rsidRDefault="009D2CAE" w:rsidP="00483DA7">
      <w:r w:rsidRPr="007C0CDA">
        <w:t>Sledovaná oblast podpory specifického cíle 1.2 OP PIK, zaměřená na aktivity vedoucí ke komercializaci výsledků výzkumu pomocí aktivit ověření proveditelnosti („proof – of – concept“), byla v programovém období 2007-2013 podporovaná skrze OP VaVpI, a to dotační podporou. Obdobně je možné na sledované aktivity získat dotační podporu z programu GAMA, spravované Technologickou agenturou ČR.</w:t>
      </w:r>
    </w:p>
    <w:p w:rsidR="009D2CAE" w:rsidRPr="007C0CDA" w:rsidRDefault="009D2CAE" w:rsidP="00483DA7"/>
    <w:p w:rsidR="009D2CAE" w:rsidRPr="007C0CDA" w:rsidRDefault="009D2CAE" w:rsidP="00483DA7">
      <w:r w:rsidRPr="007C0CDA">
        <w:lastRenderedPageBreak/>
        <w:t xml:space="preserve">Podpora v této oblasti úzce navazuje na podporu směřovanou do českého výzkumu a vývoje z veřejných zdrojů obecně, má zabezpečovat další využití z VaV vznikajících inovací v praktickém životě, v tržním prostředí. </w:t>
      </w:r>
    </w:p>
    <w:p w:rsidR="009D2CAE" w:rsidRPr="007C0CDA" w:rsidRDefault="009D2CAE" w:rsidP="00483DA7"/>
    <w:p w:rsidR="009D2CAE" w:rsidRPr="007C0CDA" w:rsidRDefault="009D2CAE" w:rsidP="00483DA7">
      <w:r w:rsidRPr="007C0CDA">
        <w:t>V minulosti byl v rámci SC 3.1 OP VaVpI registrován více než dvojnásobný převis poptávky po zdrojích v poměru k dostupné alokaci.</w:t>
      </w:r>
      <w:r w:rsidRPr="007C0CDA">
        <w:rPr>
          <w:rStyle w:val="Znakapoznpodarou"/>
        </w:rPr>
        <w:footnoteReference w:id="35"/>
      </w:r>
      <w:r w:rsidRPr="007C0CDA">
        <w:t xml:space="preserve"> Co se týče problematiky komercionalizace výsledků výzkumu a vývoje v současné době potřebuje v ČR veřejnou podporu, protože subjekty finančního sektoru v tržním prostředí v současném systémovém nastavení nemohou/neumějí/nejsou ochotné dané projekty financovat za tržních podmínek. V řadě tržních ekonomik je daná oblast státem podporována velmi okrajově, kdy projekty Proof-of-concept získávají tržní financování rizikovým kapitálem – aby byla ČR schopna se do tohoto stádia dostat, musí dle názoru Deloitte Advisory proběhnout podstatná systémová změna, kterou je vhodné odstartovat právě změnou v podstatně alokování dostupných evropských zdrojů v této oblasti. Deloitte Advisory navrhuje po vzoru příkladů dobré zahraniční praxe opustit model dotační podpory a zavést rozdělování podpory zohledňující reálnou hodnotu výsledků VaV, a to skrze zřízení tzv. Pre-Seed fondu, který by rozděloval zdroje formou kapitálových vstupů do nově zřízených entit po boku výzkumných organizací (případně alternativně jednu centrální entitu) – tyto by pak měly malý podíl z budoucích royalties a spin-off společností,.</w:t>
      </w:r>
    </w:p>
    <w:p w:rsidR="009D2CAE" w:rsidRPr="007C0CDA" w:rsidRDefault="009D2CAE" w:rsidP="00483DA7"/>
    <w:p w:rsidR="009D2CAE" w:rsidRPr="007C0CDA" w:rsidRDefault="009D2CAE" w:rsidP="00483DA7">
      <w:r w:rsidRPr="007C0CDA">
        <w:t>V současnosti se výsledky výzkumu a vývoje z vysokých škol a v.v.i. jen velmi složitě dostávají do fáze komerčně fungujících podniků. Jednou z  ilustrací tohoto problému je i závěr dotazníkového šetření realizovaného MPO a konkrétní otázka, viz graf níže.</w:t>
      </w:r>
    </w:p>
    <w:p w:rsidR="009D2CAE" w:rsidRPr="007C0CDA" w:rsidRDefault="009D2CAE" w:rsidP="00483DA7"/>
    <w:p w:rsidR="009D2CAE" w:rsidRPr="007C0CDA" w:rsidRDefault="002D1138" w:rsidP="00483DA7">
      <w:pPr>
        <w:keepNext/>
        <w:jc w:val="center"/>
      </w:pPr>
      <w:r>
        <w:rPr>
          <w:noProof/>
        </w:rPr>
        <w:drawing>
          <wp:inline distT="0" distB="0" distL="0" distR="0" wp14:anchorId="0D5B5A1D" wp14:editId="049CC01D">
            <wp:extent cx="3971925" cy="2124075"/>
            <wp:effectExtent l="19050" t="19050" r="28575" b="28575"/>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71925" cy="2124075"/>
                    </a:xfrm>
                    <a:prstGeom prst="rect">
                      <a:avLst/>
                    </a:prstGeom>
                    <a:noFill/>
                    <a:ln w="6350" cmpd="sng">
                      <a:solidFill>
                        <a:srgbClr val="000000"/>
                      </a:solidFill>
                      <a:miter lim="800000"/>
                      <a:headEnd/>
                      <a:tailEnd/>
                    </a:ln>
                    <a:effectLst/>
                  </pic:spPr>
                </pic:pic>
              </a:graphicData>
            </a:graphic>
          </wp:inline>
        </w:drawing>
      </w:r>
    </w:p>
    <w:p w:rsidR="009D2CAE" w:rsidRPr="007C0CDA" w:rsidRDefault="009D2CAE" w:rsidP="00483DA7">
      <w:pPr>
        <w:pStyle w:val="Titulek"/>
        <w:jc w:val="center"/>
      </w:pPr>
      <w:r w:rsidRPr="007C0CDA">
        <w:t xml:space="preserve">Graf </w:t>
      </w:r>
      <w:r w:rsidRPr="00854519">
        <w:fldChar w:fldCharType="begin"/>
      </w:r>
      <w:r w:rsidRPr="007C0CDA">
        <w:instrText xml:space="preserve"> SEQ Graf \* ARABIC </w:instrText>
      </w:r>
      <w:r w:rsidRPr="002433DA">
        <w:fldChar w:fldCharType="separate"/>
      </w:r>
      <w:r w:rsidRPr="007C0CDA">
        <w:rPr>
          <w:noProof/>
        </w:rPr>
        <w:t>13</w:t>
      </w:r>
      <w:r w:rsidRPr="00854519">
        <w:fldChar w:fldCharType="end"/>
      </w:r>
      <w:r w:rsidRPr="007C0CDA">
        <w:t xml:space="preserve"> - Odpovědi na otázku, jaká je výše ročního příjmu dotazovaných výzkumných institucí ze smluvního výzkumu; Zdroj: Dotazníkové šetření MPO 2014</w:t>
      </w:r>
    </w:p>
    <w:p w:rsidR="009D2CAE" w:rsidRPr="007C0CDA" w:rsidRDefault="009D2CAE" w:rsidP="00483DA7"/>
    <w:p w:rsidR="009D2CAE" w:rsidRPr="007C0CDA" w:rsidRDefault="009D2CAE" w:rsidP="00483DA7"/>
    <w:p w:rsidR="009D2CAE" w:rsidRPr="007C0CDA" w:rsidRDefault="009D2CAE" w:rsidP="00483DA7">
      <w:r w:rsidRPr="007C0CDA">
        <w:t>Pro aktivity proof-of-concept i pre-seed existuje v zahraničí řada schémat a forem podpory. Je zřejmé, že pro tuto oblast je důležitá kombinace různých forem podpory, zajištění kvalitních a kvalifikovaných investorů, kteří jsou schopni projekty hodnotit a také provázání na další financování, které umožní projektům plynule přecházet do dalších fází.</w:t>
      </w:r>
    </w:p>
    <w:p w:rsidR="009D2CAE" w:rsidRPr="007C0CDA" w:rsidRDefault="009D2CAE" w:rsidP="00483DA7"/>
    <w:tbl>
      <w:tblPr>
        <w:tblpPr w:leftFromText="141" w:rightFromText="141" w:vertAnchor="text" w:tblpY="1"/>
        <w:tblOverlap w:val="never"/>
        <w:tblW w:w="8800" w:type="dxa"/>
        <w:tblBorders>
          <w:top w:val="single" w:sz="4" w:space="0" w:color="92D400"/>
          <w:bottom w:val="single" w:sz="4" w:space="0" w:color="92D400"/>
          <w:insideH w:val="single" w:sz="4" w:space="0" w:color="92D400"/>
        </w:tblBorders>
        <w:tblLayout w:type="fixed"/>
        <w:tblCellMar>
          <w:top w:w="28" w:type="dxa"/>
          <w:left w:w="28" w:type="dxa"/>
          <w:bottom w:w="28" w:type="dxa"/>
          <w:right w:w="28" w:type="dxa"/>
        </w:tblCellMar>
        <w:tblLook w:val="00A0" w:firstRow="1" w:lastRow="0" w:firstColumn="1" w:lastColumn="0" w:noHBand="0" w:noVBand="0"/>
      </w:tblPr>
      <w:tblGrid>
        <w:gridCol w:w="2000"/>
        <w:gridCol w:w="6800"/>
      </w:tblGrid>
      <w:tr w:rsidR="009D2CAE" w:rsidRPr="007C0CDA" w:rsidTr="00A84116">
        <w:trPr>
          <w:trHeight w:val="482"/>
        </w:trPr>
        <w:tc>
          <w:tcPr>
            <w:tcW w:w="2000" w:type="dxa"/>
            <w:shd w:val="clear" w:color="auto" w:fill="92D400"/>
            <w:noWrap/>
          </w:tcPr>
          <w:p w:rsidR="009D2CAE" w:rsidRPr="007C0CDA" w:rsidRDefault="009D2CAE" w:rsidP="00A84116">
            <w:pPr>
              <w:jc w:val="left"/>
              <w:rPr>
                <w:b/>
                <w:color w:val="FFFFFF"/>
              </w:rPr>
            </w:pPr>
            <w:r w:rsidRPr="007C0CDA">
              <w:rPr>
                <w:b/>
                <w:color w:val="FFFFFF"/>
              </w:rPr>
              <w:t>BRIdge VC (Polsko)</w:t>
            </w:r>
          </w:p>
        </w:tc>
        <w:tc>
          <w:tcPr>
            <w:tcW w:w="6800" w:type="dxa"/>
            <w:shd w:val="clear" w:color="auto" w:fill="FFFFFF"/>
            <w:noWrap/>
          </w:tcPr>
          <w:p w:rsidR="009D2CAE" w:rsidRPr="007C0CDA" w:rsidRDefault="009D2CAE" w:rsidP="00A84116">
            <w:pPr>
              <w:jc w:val="left"/>
              <w:rPr>
                <w:color w:val="000000"/>
                <w:szCs w:val="19"/>
              </w:rPr>
            </w:pPr>
            <w:r w:rsidRPr="007C0CDA">
              <w:rPr>
                <w:color w:val="000000"/>
                <w:szCs w:val="19"/>
              </w:rPr>
              <w:t>V rámci programu jsou propojeny společné investice veřejných a soukromých prostředků do technologických projektů založených na výsledcích VaV. Program je spravovaný agenturou National Centre for Research and Development (NCRD).</w:t>
            </w:r>
          </w:p>
          <w:p w:rsidR="009D2CAE" w:rsidRPr="007C0CDA" w:rsidRDefault="009D2CAE" w:rsidP="00A84116">
            <w:pPr>
              <w:jc w:val="left"/>
              <w:rPr>
                <w:color w:val="000000"/>
                <w:szCs w:val="19"/>
              </w:rPr>
            </w:pPr>
          </w:p>
          <w:p w:rsidR="009D2CAE" w:rsidRPr="007C0CDA" w:rsidRDefault="009D2CAE" w:rsidP="00A84116">
            <w:pPr>
              <w:jc w:val="left"/>
              <w:rPr>
                <w:color w:val="000000"/>
                <w:szCs w:val="19"/>
              </w:rPr>
            </w:pPr>
            <w:r w:rsidRPr="007C0CDA">
              <w:rPr>
                <w:color w:val="000000"/>
                <w:szCs w:val="19"/>
              </w:rPr>
              <w:t>NCRD přizvalo k realizaci fondy rizikového kapitálu, které se připojí k vytvoření „vehicles“ (celkem byly vytvořeny 3 tyto nástroje) a budou spolufinancovat vybrané projekty, a dále poradenské společnosti, které zajistí poradenské a coaching služby.</w:t>
            </w:r>
          </w:p>
          <w:p w:rsidR="009D2CAE" w:rsidRPr="007C0CDA" w:rsidRDefault="009D2CAE" w:rsidP="00A84116">
            <w:pPr>
              <w:jc w:val="left"/>
              <w:rPr>
                <w:color w:val="000000"/>
                <w:szCs w:val="19"/>
              </w:rPr>
            </w:pPr>
            <w:r w:rsidRPr="007C0CDA">
              <w:rPr>
                <w:color w:val="000000"/>
                <w:szCs w:val="19"/>
              </w:rPr>
              <w:t>Projekty jsou financovány ve třech fázích:</w:t>
            </w:r>
          </w:p>
          <w:p w:rsidR="009D2CAE" w:rsidRPr="007C0CDA" w:rsidRDefault="009D2CAE" w:rsidP="00A84116">
            <w:pPr>
              <w:numPr>
                <w:ilvl w:val="0"/>
                <w:numId w:val="41"/>
              </w:numPr>
              <w:overflowPunct/>
              <w:autoSpaceDE/>
              <w:autoSpaceDN/>
              <w:adjustRightInd/>
              <w:jc w:val="left"/>
              <w:textAlignment w:val="auto"/>
              <w:rPr>
                <w:b/>
                <w:bCs/>
                <w:color w:val="000000"/>
                <w:sz w:val="32"/>
                <w:szCs w:val="19"/>
              </w:rPr>
            </w:pPr>
            <w:r w:rsidRPr="007C0CDA">
              <w:rPr>
                <w:color w:val="000000"/>
                <w:szCs w:val="19"/>
              </w:rPr>
              <w:t>pre-incubation stage – 80 % nenávratné podpory, 20 % rizikového financování</w:t>
            </w:r>
          </w:p>
          <w:p w:rsidR="009D2CAE" w:rsidRPr="007C0CDA" w:rsidRDefault="009D2CAE" w:rsidP="00A84116">
            <w:pPr>
              <w:numPr>
                <w:ilvl w:val="0"/>
                <w:numId w:val="41"/>
              </w:numPr>
              <w:overflowPunct/>
              <w:autoSpaceDE/>
              <w:autoSpaceDN/>
              <w:adjustRightInd/>
              <w:jc w:val="left"/>
              <w:textAlignment w:val="auto"/>
              <w:rPr>
                <w:b/>
                <w:bCs/>
                <w:color w:val="000000"/>
                <w:sz w:val="32"/>
                <w:szCs w:val="19"/>
              </w:rPr>
            </w:pPr>
            <w:r w:rsidRPr="007C0CDA">
              <w:rPr>
                <w:color w:val="000000"/>
                <w:szCs w:val="19"/>
              </w:rPr>
              <w:t>incubation stage– 70 % nenávratné podpory, 30 % rizikového financování</w:t>
            </w:r>
          </w:p>
          <w:p w:rsidR="009D2CAE" w:rsidRPr="007C0CDA" w:rsidRDefault="009D2CAE" w:rsidP="00A84116">
            <w:pPr>
              <w:numPr>
                <w:ilvl w:val="0"/>
                <w:numId w:val="41"/>
              </w:numPr>
              <w:overflowPunct/>
              <w:autoSpaceDE/>
              <w:autoSpaceDN/>
              <w:adjustRightInd/>
              <w:jc w:val="left"/>
              <w:textAlignment w:val="auto"/>
              <w:rPr>
                <w:b/>
                <w:bCs/>
                <w:color w:val="000000"/>
                <w:sz w:val="32"/>
                <w:szCs w:val="19"/>
              </w:rPr>
            </w:pPr>
            <w:r w:rsidRPr="007C0CDA">
              <w:rPr>
                <w:color w:val="000000"/>
                <w:szCs w:val="19"/>
              </w:rPr>
              <w:t>post-incubation/ acceleration stage– 50 % nenávratné podpory, 50 % rizikového financování</w:t>
            </w:r>
          </w:p>
          <w:p w:rsidR="009D2CAE" w:rsidRPr="007C0CDA" w:rsidRDefault="009D2CAE" w:rsidP="00A84116">
            <w:pPr>
              <w:ind w:left="720"/>
              <w:jc w:val="left"/>
              <w:rPr>
                <w:color w:val="000000"/>
                <w:szCs w:val="19"/>
              </w:rPr>
            </w:pPr>
          </w:p>
          <w:p w:rsidR="009D2CAE" w:rsidRPr="007C0CDA" w:rsidRDefault="009D2CAE" w:rsidP="00A84116">
            <w:pPr>
              <w:jc w:val="left"/>
              <w:rPr>
                <w:color w:val="000000"/>
                <w:szCs w:val="19"/>
              </w:rPr>
            </w:pPr>
            <w:r w:rsidRPr="007C0CDA">
              <w:rPr>
                <w:color w:val="000000"/>
                <w:szCs w:val="19"/>
              </w:rPr>
              <w:t xml:space="preserve">Kromě finančních prostředků jsou podpořeným projektům nabídnuty poradenské služby zahrnující základní poradenství v oblasti podnikání a specializované služby, jako due diligence analýzy. </w:t>
            </w:r>
          </w:p>
          <w:p w:rsidR="009D2CAE" w:rsidRPr="007C0CDA" w:rsidRDefault="009D2CAE" w:rsidP="00A84116">
            <w:pPr>
              <w:jc w:val="left"/>
              <w:rPr>
                <w:color w:val="000000"/>
                <w:szCs w:val="19"/>
              </w:rPr>
            </w:pPr>
          </w:p>
          <w:p w:rsidR="009D2CAE" w:rsidRPr="007C0CDA" w:rsidRDefault="009D2CAE" w:rsidP="00A84116">
            <w:pPr>
              <w:jc w:val="left"/>
              <w:rPr>
                <w:rFonts w:cs="Calibri"/>
                <w:color w:val="000000"/>
              </w:rPr>
            </w:pPr>
            <w:r w:rsidRPr="007C0CDA">
              <w:rPr>
                <w:color w:val="000000"/>
                <w:szCs w:val="19"/>
              </w:rPr>
              <w:t>Pokud projekt podpořený prostřednictvím poradenských služeb vytvoří v důsledku komercializace příjem na úroveň nejméně čtyřikrát vyšší než 25% hodnoty poradenských služeb poskytovaných NCRD, musí následně uhradit NCRD částku, která se rovná hodnotě alespoň 25% nákladů na služby přijaté od NCRD v rámci této komponenty.</w:t>
            </w:r>
          </w:p>
        </w:tc>
      </w:tr>
      <w:tr w:rsidR="009D2CAE" w:rsidRPr="007C0CDA" w:rsidTr="00A84116">
        <w:trPr>
          <w:trHeight w:val="1260"/>
        </w:trPr>
        <w:tc>
          <w:tcPr>
            <w:tcW w:w="2000" w:type="dxa"/>
            <w:shd w:val="clear" w:color="auto" w:fill="92D400"/>
            <w:noWrap/>
          </w:tcPr>
          <w:p w:rsidR="009D2CAE" w:rsidRPr="007C0CDA" w:rsidRDefault="009D2CAE" w:rsidP="00A84116">
            <w:pPr>
              <w:jc w:val="left"/>
              <w:rPr>
                <w:b/>
                <w:color w:val="FFFFFF"/>
              </w:rPr>
            </w:pPr>
            <w:r w:rsidRPr="007C0CDA">
              <w:rPr>
                <w:b/>
                <w:color w:val="FFFFFF"/>
              </w:rPr>
              <w:lastRenderedPageBreak/>
              <w:t>IP Group, Fusion IP(Velká Británie)</w:t>
            </w:r>
          </w:p>
        </w:tc>
        <w:tc>
          <w:tcPr>
            <w:tcW w:w="6800" w:type="dxa"/>
            <w:shd w:val="clear" w:color="auto" w:fill="FFFFFF"/>
            <w:noWrap/>
          </w:tcPr>
          <w:p w:rsidR="009D2CAE" w:rsidRPr="007C0CDA" w:rsidRDefault="009D2CAE" w:rsidP="00A84116">
            <w:pPr>
              <w:jc w:val="left"/>
              <w:rPr>
                <w:color w:val="000000"/>
              </w:rPr>
            </w:pPr>
            <w:r w:rsidRPr="007C0CDA">
              <w:rPr>
                <w:color w:val="000000"/>
              </w:rPr>
              <w:t xml:space="preserve">Jedná se o společnosti (firmy) zaměřené na podporu komercializace. Společnosti jsou úzce provázány na univerzity (mají smlouvy s celkem 14 významnými britskými univerzitami). Jejich cílem je zajištění komercializace výsledků jejich VaV prostřednictvím poskytování potřebného kapitálu a poradenství zainvestovaným společnostem. </w:t>
            </w:r>
          </w:p>
          <w:p w:rsidR="009D2CAE" w:rsidRPr="007C0CDA" w:rsidRDefault="009D2CAE" w:rsidP="00A84116">
            <w:pPr>
              <w:jc w:val="left"/>
              <w:rPr>
                <w:color w:val="000000"/>
              </w:rPr>
            </w:pPr>
          </w:p>
          <w:p w:rsidR="009D2CAE" w:rsidRPr="007C0CDA" w:rsidRDefault="009D2CAE" w:rsidP="00A84116">
            <w:pPr>
              <w:jc w:val="left"/>
              <w:rPr>
                <w:color w:val="000000"/>
              </w:rPr>
            </w:pPr>
            <w:r w:rsidRPr="007C0CDA">
              <w:rPr>
                <w:color w:val="000000"/>
              </w:rPr>
              <w:t xml:space="preserve">Potřebný a dostatečný dealflow je zajištěn díky exkluzivní spolupráci s danými univerzitami. Tým společností pracuje v úzkém kontaktu s partnery na univerzitách s cílem identifikovat slibný výzkum. Pro identifikované slibné případy jsou dále vytvářeny a rozvíjeny business (obchodní) modely, jsou vyhodnocovány a testovány a na základě toho je rozhodováno, zda a jak s nimi pokračovat dále. </w:t>
            </w:r>
          </w:p>
          <w:p w:rsidR="009D2CAE" w:rsidRPr="007C0CDA" w:rsidRDefault="009D2CAE" w:rsidP="00A84116">
            <w:pPr>
              <w:jc w:val="left"/>
              <w:rPr>
                <w:color w:val="000000"/>
              </w:rPr>
            </w:pPr>
          </w:p>
          <w:p w:rsidR="009D2CAE" w:rsidRPr="007C0CDA" w:rsidRDefault="009D2CAE" w:rsidP="00A84116">
            <w:pPr>
              <w:jc w:val="left"/>
              <w:rPr>
                <w:color w:val="000000"/>
              </w:rPr>
            </w:pPr>
            <w:r w:rsidRPr="007C0CDA">
              <w:rPr>
                <w:color w:val="000000"/>
              </w:rPr>
              <w:t>V momentě, kdy projekt dospěje do fáze komercializace, je zajištěno potřebné financování pro založení společnosti a pokračování komercializace. Díky široké struktuře portfolia a úzké spolupráci s výzkumnými týmy (poradenství) se výrazně snížilo riziko neúspěchu.</w:t>
            </w:r>
          </w:p>
        </w:tc>
      </w:tr>
      <w:tr w:rsidR="009D2CAE" w:rsidRPr="007C0CDA" w:rsidTr="00A84116">
        <w:trPr>
          <w:trHeight w:val="315"/>
        </w:trPr>
        <w:tc>
          <w:tcPr>
            <w:tcW w:w="2000" w:type="dxa"/>
            <w:shd w:val="clear" w:color="auto" w:fill="92D400"/>
            <w:noWrap/>
          </w:tcPr>
          <w:p w:rsidR="009D2CAE" w:rsidRPr="007C0CDA" w:rsidRDefault="009D2CAE" w:rsidP="00A84116">
            <w:pPr>
              <w:jc w:val="left"/>
              <w:rPr>
                <w:b/>
                <w:color w:val="000000"/>
              </w:rPr>
            </w:pPr>
            <w:r w:rsidRPr="007C0CDA">
              <w:rPr>
                <w:b/>
                <w:color w:val="FFFFFF"/>
              </w:rPr>
              <w:t>Technology enterprise commercialisation scheme (Singapore)</w:t>
            </w:r>
          </w:p>
        </w:tc>
        <w:tc>
          <w:tcPr>
            <w:tcW w:w="6800" w:type="dxa"/>
            <w:shd w:val="clear" w:color="auto" w:fill="FFFFFF"/>
            <w:noWrap/>
          </w:tcPr>
          <w:p w:rsidR="009D2CAE" w:rsidRPr="007C0CDA" w:rsidRDefault="009D2CAE" w:rsidP="00A84116">
            <w:r w:rsidRPr="007C0CDA">
              <w:t xml:space="preserve">Podpora je zaměřena na dva typy projektů: </w:t>
            </w:r>
          </w:p>
          <w:p w:rsidR="009D2CAE" w:rsidRPr="007C0CDA" w:rsidRDefault="009D2CAE" w:rsidP="00A84116">
            <w:pPr>
              <w:numPr>
                <w:ilvl w:val="0"/>
                <w:numId w:val="42"/>
              </w:numPr>
              <w:overflowPunct/>
              <w:autoSpaceDE/>
              <w:autoSpaceDN/>
              <w:adjustRightInd/>
              <w:textAlignment w:val="auto"/>
              <w:rPr>
                <w:b/>
                <w:bCs/>
                <w:color w:val="1F497D"/>
                <w:sz w:val="32"/>
              </w:rPr>
            </w:pPr>
            <w:r w:rsidRPr="007C0CDA">
              <w:t>Proof-Of-Concept: technická životaschopnost nápadu musí být ještě prokázána, projekty jsou podporovány do výše 100 % nákladů prostřednictvím dotace.</w:t>
            </w:r>
          </w:p>
          <w:p w:rsidR="009D2CAE" w:rsidRPr="007C0CDA" w:rsidRDefault="009D2CAE" w:rsidP="00A84116">
            <w:pPr>
              <w:numPr>
                <w:ilvl w:val="0"/>
                <w:numId w:val="42"/>
              </w:numPr>
              <w:overflowPunct/>
              <w:autoSpaceDE/>
              <w:autoSpaceDN/>
              <w:adjustRightInd/>
              <w:textAlignment w:val="auto"/>
              <w:rPr>
                <w:b/>
                <w:bCs/>
                <w:color w:val="1F497D"/>
                <w:sz w:val="32"/>
              </w:rPr>
            </w:pPr>
            <w:r w:rsidRPr="007C0CDA">
              <w:t>Proof-Of-Value: PoC fáze je realizována, komerční hodnota daného nápadu / řešení musí být ověřena, nicméně předběžný zájem ze strany komerčního partnera by měl být prokázán. Projekty jsou financovány do výše pouze 85 % nákladů.</w:t>
            </w:r>
          </w:p>
          <w:p w:rsidR="009D2CAE" w:rsidRPr="007C0CDA" w:rsidRDefault="009D2CAE" w:rsidP="00A84116"/>
          <w:p w:rsidR="009D2CAE" w:rsidRPr="007C0CDA" w:rsidRDefault="009D2CAE" w:rsidP="00A84116">
            <w:r w:rsidRPr="007C0CDA">
              <w:t xml:space="preserve">Projekty mohou být podávány v průběhu celého roku. Návrhy se </w:t>
            </w:r>
            <w:r w:rsidRPr="007C0CDA">
              <w:lastRenderedPageBreak/>
              <w:t>přezkoumávají každé dva měsíce nebo dříve. Každý návrh projektu musí projít skrze třístupňový hodnotící proces s přísnými kritérii – vyhodnocení způsobilosti – vyhodnocení technických a obchodních aspektů – prezentace na panelu.</w:t>
            </w:r>
          </w:p>
        </w:tc>
      </w:tr>
    </w:tbl>
    <w:p w:rsidR="009D2CAE" w:rsidRPr="007C0CDA" w:rsidRDefault="009D2CAE" w:rsidP="00483DA7">
      <w:pPr>
        <w:pStyle w:val="Titulek"/>
      </w:pPr>
      <w:r w:rsidRPr="007C0CDA">
        <w:lastRenderedPageBreak/>
        <w:t xml:space="preserve">Tabulka </w:t>
      </w:r>
      <w:r w:rsidRPr="00854519">
        <w:fldChar w:fldCharType="begin"/>
      </w:r>
      <w:r w:rsidRPr="007C0CDA">
        <w:instrText xml:space="preserve"> SEQ Tabulka \* ARABIC </w:instrText>
      </w:r>
      <w:r w:rsidRPr="002433DA">
        <w:fldChar w:fldCharType="separate"/>
      </w:r>
      <w:r w:rsidRPr="007C0CDA">
        <w:rPr>
          <w:noProof/>
        </w:rPr>
        <w:t>9</w:t>
      </w:r>
      <w:r w:rsidRPr="00854519">
        <w:fldChar w:fldCharType="end"/>
      </w:r>
      <w:r w:rsidRPr="007C0CDA">
        <w:rPr>
          <w:noProof/>
        </w:rPr>
        <w:t>:</w:t>
      </w:r>
      <w:r w:rsidRPr="007C0CDA">
        <w:t xml:space="preserve"> Příklady zahraničních schémat podpory pro aktivity Proof-Of-Concept</w:t>
      </w:r>
    </w:p>
    <w:p w:rsidR="009D2CAE" w:rsidRPr="002433DA" w:rsidRDefault="009D2CAE" w:rsidP="002433DA">
      <w:pPr>
        <w:rPr>
          <w:b/>
        </w:rPr>
      </w:pPr>
    </w:p>
    <w:p w:rsidR="009D2CAE" w:rsidRPr="007C0CDA" w:rsidRDefault="009D2CAE" w:rsidP="00433BD7">
      <w:pPr>
        <w:pStyle w:val="Nadpis3"/>
      </w:pPr>
      <w:bookmarkStart w:id="653" w:name="_Toc416447958"/>
      <w:r w:rsidRPr="007C0CDA">
        <w:t>Očekávané výsledky finančního nástroje</w:t>
      </w:r>
      <w:bookmarkEnd w:id="653"/>
    </w:p>
    <w:p w:rsidR="009D2CAE" w:rsidRPr="007C0CDA" w:rsidRDefault="009D2CAE" w:rsidP="00483DA7">
      <w:r w:rsidRPr="007C0CDA">
        <w:t>Modelování výsledků nástroje Proof-of-concept je vzhledem k chybějícím zkušenostem pouze velmi přibližné, je vycházeno z modelu rizikového kapitálu fáze seed a typické velikosti projektů v programu TAČR GAMA. Očekává se, že správně nastaveným nástrojem bude možné při plném využití alokace programu podpořit až 129 projektů ve fázi pre-seed., z nichž se část prostředků v případě úspěchu do fondu vrátí i po konci programovacího období. Doba obrátky a míra revolvingu budou záviset na konkrétním nastavení investiční strategie, kvalitě vybraných projektů a dalších faktorech. Výraznou roli v úspěšnosti nástroje bude hrát i implementace nástroje rizikového kapitálu v SC 2.1.</w:t>
      </w:r>
    </w:p>
    <w:p w:rsidR="009D2CAE" w:rsidRPr="007C0CDA" w:rsidRDefault="009D2CAE" w:rsidP="00483DA7"/>
    <w:tbl>
      <w:tblPr>
        <w:tblW w:w="7080" w:type="dxa"/>
        <w:tblInd w:w="55" w:type="dxa"/>
        <w:tblCellMar>
          <w:left w:w="70" w:type="dxa"/>
          <w:right w:w="70" w:type="dxa"/>
        </w:tblCellMar>
        <w:tblLook w:val="00A0" w:firstRow="1" w:lastRow="0" w:firstColumn="1" w:lastColumn="0" w:noHBand="0" w:noVBand="0"/>
      </w:tblPr>
      <w:tblGrid>
        <w:gridCol w:w="2040"/>
        <w:gridCol w:w="3280"/>
        <w:gridCol w:w="1760"/>
      </w:tblGrid>
      <w:tr w:rsidR="009D2CAE" w:rsidRPr="007C0CDA" w:rsidTr="00A84116">
        <w:trPr>
          <w:trHeight w:val="315"/>
        </w:trPr>
        <w:tc>
          <w:tcPr>
            <w:tcW w:w="2040" w:type="dxa"/>
            <w:tcBorders>
              <w:top w:val="single" w:sz="8" w:space="0" w:color="auto"/>
              <w:left w:val="single" w:sz="8" w:space="0" w:color="auto"/>
              <w:bottom w:val="single" w:sz="8" w:space="0" w:color="auto"/>
              <w:right w:val="nil"/>
            </w:tcBorders>
            <w:noWrap/>
            <w:vAlign w:val="bottom"/>
          </w:tcPr>
          <w:p w:rsidR="009D2CAE" w:rsidRPr="007C0CDA" w:rsidRDefault="009D2CAE" w:rsidP="00A84116">
            <w:pPr>
              <w:jc w:val="center"/>
              <w:rPr>
                <w:rFonts w:cs="Calibri"/>
                <w:b/>
                <w:bCs/>
                <w:color w:val="000000"/>
                <w:szCs w:val="22"/>
              </w:rPr>
            </w:pPr>
            <w:r w:rsidRPr="007C0CDA">
              <w:rPr>
                <w:rFonts w:cs="Calibri"/>
                <w:b/>
                <w:bCs/>
                <w:color w:val="000000"/>
                <w:szCs w:val="22"/>
              </w:rPr>
              <w:t>FINANČNÍ NÁSTROJ</w:t>
            </w:r>
          </w:p>
        </w:tc>
        <w:tc>
          <w:tcPr>
            <w:tcW w:w="3280" w:type="dxa"/>
            <w:tcBorders>
              <w:top w:val="single" w:sz="8" w:space="0" w:color="auto"/>
              <w:left w:val="nil"/>
              <w:bottom w:val="single" w:sz="8" w:space="0" w:color="auto"/>
              <w:right w:val="single" w:sz="8" w:space="0" w:color="auto"/>
            </w:tcBorders>
            <w:shd w:val="clear" w:color="000000" w:fill="538DD5"/>
            <w:vAlign w:val="bottom"/>
          </w:tcPr>
          <w:p w:rsidR="009D2CAE" w:rsidRPr="007C0CDA" w:rsidRDefault="009D2CAE" w:rsidP="00A84116">
            <w:pPr>
              <w:jc w:val="center"/>
              <w:rPr>
                <w:rFonts w:cs="Calibri"/>
                <w:b/>
                <w:bCs/>
                <w:color w:val="FFFFFF"/>
                <w:szCs w:val="22"/>
              </w:rPr>
            </w:pPr>
            <w:r w:rsidRPr="007C0CDA">
              <w:rPr>
                <w:rFonts w:cs="Calibri"/>
                <w:b/>
                <w:bCs/>
                <w:color w:val="FFFFFF"/>
                <w:szCs w:val="22"/>
              </w:rPr>
              <w:t>Typ nástroje</w:t>
            </w:r>
          </w:p>
        </w:tc>
        <w:tc>
          <w:tcPr>
            <w:tcW w:w="1760" w:type="dxa"/>
            <w:tcBorders>
              <w:top w:val="single" w:sz="8" w:space="0" w:color="auto"/>
              <w:left w:val="nil"/>
              <w:bottom w:val="single" w:sz="8" w:space="0" w:color="auto"/>
              <w:right w:val="single" w:sz="8" w:space="0" w:color="auto"/>
            </w:tcBorders>
            <w:noWrap/>
            <w:vAlign w:val="bottom"/>
          </w:tcPr>
          <w:p w:rsidR="009D2CAE" w:rsidRPr="007C0CDA" w:rsidRDefault="009D2CAE" w:rsidP="00A84116">
            <w:pPr>
              <w:jc w:val="left"/>
              <w:rPr>
                <w:rFonts w:cs="Calibri"/>
                <w:b/>
                <w:bCs/>
                <w:color w:val="000000"/>
                <w:szCs w:val="22"/>
              </w:rPr>
            </w:pPr>
            <w:r w:rsidRPr="007C0CDA">
              <w:rPr>
                <w:rFonts w:cs="Calibri"/>
                <w:b/>
                <w:bCs/>
                <w:color w:val="000000"/>
                <w:szCs w:val="22"/>
              </w:rPr>
              <w:t>Proof-of-concept</w:t>
            </w:r>
          </w:p>
        </w:tc>
      </w:tr>
      <w:tr w:rsidR="009D2CAE" w:rsidRPr="007C0CDA" w:rsidTr="00A84116">
        <w:trPr>
          <w:trHeight w:val="315"/>
        </w:trPr>
        <w:tc>
          <w:tcPr>
            <w:tcW w:w="2040" w:type="dxa"/>
            <w:tcBorders>
              <w:top w:val="nil"/>
              <w:left w:val="single" w:sz="8" w:space="0" w:color="auto"/>
              <w:bottom w:val="nil"/>
              <w:right w:val="nil"/>
            </w:tcBorders>
            <w:noWrap/>
            <w:vAlign w:val="bottom"/>
          </w:tcPr>
          <w:p w:rsidR="009D2CAE" w:rsidRPr="007C0CDA" w:rsidRDefault="009D2CAE" w:rsidP="00A84116">
            <w:pPr>
              <w:jc w:val="center"/>
              <w:rPr>
                <w:rFonts w:cs="Calibri"/>
                <w:b/>
                <w:bCs/>
                <w:color w:val="000000"/>
                <w:szCs w:val="22"/>
              </w:rPr>
            </w:pPr>
            <w:r w:rsidRPr="007C0CDA">
              <w:rPr>
                <w:rFonts w:cs="Calibri"/>
                <w:b/>
                <w:bCs/>
                <w:color w:val="000000"/>
                <w:szCs w:val="22"/>
              </w:rPr>
              <w:t>ALOKACE</w:t>
            </w:r>
          </w:p>
        </w:tc>
        <w:tc>
          <w:tcPr>
            <w:tcW w:w="3280" w:type="dxa"/>
            <w:tcBorders>
              <w:top w:val="nil"/>
              <w:left w:val="nil"/>
              <w:bottom w:val="nil"/>
              <w:right w:val="single" w:sz="8" w:space="0" w:color="auto"/>
            </w:tcBorders>
            <w:shd w:val="clear" w:color="000000" w:fill="000000"/>
            <w:vAlign w:val="bottom"/>
          </w:tcPr>
          <w:p w:rsidR="009D2CAE" w:rsidRPr="007C0CDA" w:rsidRDefault="009D2CAE" w:rsidP="00A84116">
            <w:pPr>
              <w:jc w:val="center"/>
              <w:rPr>
                <w:rFonts w:cs="Calibri"/>
                <w:b/>
                <w:bCs/>
                <w:color w:val="FFFFFF"/>
                <w:szCs w:val="22"/>
              </w:rPr>
            </w:pPr>
            <w:r w:rsidRPr="007C0CDA">
              <w:rPr>
                <w:rFonts w:cs="Calibri"/>
                <w:b/>
                <w:bCs/>
                <w:color w:val="FFFFFF"/>
                <w:szCs w:val="22"/>
              </w:rPr>
              <w:t>Alokace FN (mil. CZK)</w:t>
            </w:r>
          </w:p>
        </w:tc>
        <w:tc>
          <w:tcPr>
            <w:tcW w:w="1760" w:type="dxa"/>
            <w:tcBorders>
              <w:top w:val="single" w:sz="8" w:space="0" w:color="auto"/>
              <w:left w:val="nil"/>
              <w:bottom w:val="single" w:sz="8" w:space="0" w:color="BFBFBF"/>
              <w:right w:val="single" w:sz="8" w:space="0" w:color="auto"/>
            </w:tcBorders>
            <w:noWrap/>
            <w:vAlign w:val="center"/>
          </w:tcPr>
          <w:p w:rsidR="009D2CAE" w:rsidRPr="007C0CDA" w:rsidRDefault="009D2CAE" w:rsidP="00A84116">
            <w:pPr>
              <w:jc w:val="right"/>
              <w:rPr>
                <w:color w:val="000000"/>
                <w:sz w:val="18"/>
                <w:szCs w:val="18"/>
              </w:rPr>
            </w:pPr>
            <w:r w:rsidRPr="007C0CDA">
              <w:t>1 160</w:t>
            </w:r>
          </w:p>
        </w:tc>
      </w:tr>
      <w:tr w:rsidR="009D2CAE" w:rsidRPr="007C0CDA" w:rsidTr="00A84116">
        <w:trPr>
          <w:trHeight w:val="525"/>
        </w:trPr>
        <w:tc>
          <w:tcPr>
            <w:tcW w:w="2040" w:type="dxa"/>
            <w:vMerge w:val="restart"/>
            <w:tcBorders>
              <w:top w:val="nil"/>
              <w:left w:val="single" w:sz="8" w:space="0" w:color="auto"/>
              <w:bottom w:val="single" w:sz="8" w:space="0" w:color="BFBFBF"/>
              <w:right w:val="nil"/>
            </w:tcBorders>
            <w:noWrap/>
            <w:vAlign w:val="center"/>
          </w:tcPr>
          <w:p w:rsidR="009D2CAE" w:rsidRPr="007C0CDA" w:rsidRDefault="009D2CAE" w:rsidP="00A84116">
            <w:pPr>
              <w:jc w:val="center"/>
              <w:rPr>
                <w:rFonts w:cs="Calibri"/>
                <w:b/>
                <w:bCs/>
                <w:color w:val="000000"/>
                <w:szCs w:val="22"/>
              </w:rPr>
            </w:pPr>
            <w:r w:rsidRPr="007C0CDA">
              <w:rPr>
                <w:rFonts w:cs="Calibri"/>
                <w:b/>
                <w:bCs/>
                <w:color w:val="000000"/>
                <w:szCs w:val="22"/>
              </w:rPr>
              <w:t>ČERPÁNÍ ALOKACE</w:t>
            </w:r>
          </w:p>
        </w:tc>
        <w:tc>
          <w:tcPr>
            <w:tcW w:w="3280" w:type="dxa"/>
            <w:tcBorders>
              <w:top w:val="nil"/>
              <w:left w:val="nil"/>
              <w:bottom w:val="single" w:sz="8" w:space="0" w:color="auto"/>
              <w:right w:val="single" w:sz="8" w:space="0" w:color="auto"/>
            </w:tcBorders>
            <w:shd w:val="clear" w:color="000000" w:fill="538DD5"/>
            <w:vAlign w:val="center"/>
          </w:tcPr>
          <w:p w:rsidR="009D2CAE" w:rsidRPr="007C0CDA" w:rsidRDefault="009D2CAE" w:rsidP="00A84116">
            <w:pPr>
              <w:jc w:val="center"/>
              <w:rPr>
                <w:rFonts w:cs="Calibri"/>
                <w:b/>
                <w:bCs/>
                <w:color w:val="FFFFFF"/>
                <w:sz w:val="20"/>
              </w:rPr>
            </w:pPr>
            <w:r w:rsidRPr="007C0CDA">
              <w:rPr>
                <w:rFonts w:cs="Calibri"/>
                <w:b/>
                <w:bCs/>
                <w:color w:val="FFFFFF"/>
                <w:sz w:val="20"/>
              </w:rPr>
              <w:t>Veřejné zdroje FN po odečtení MCF  (mil. CZK)</w:t>
            </w:r>
          </w:p>
        </w:tc>
        <w:tc>
          <w:tcPr>
            <w:tcW w:w="1760" w:type="dxa"/>
            <w:tcBorders>
              <w:top w:val="nil"/>
              <w:left w:val="nil"/>
              <w:bottom w:val="nil"/>
              <w:right w:val="single" w:sz="8" w:space="0" w:color="auto"/>
            </w:tcBorders>
            <w:noWrap/>
            <w:vAlign w:val="center"/>
          </w:tcPr>
          <w:p w:rsidR="009D2CAE" w:rsidRPr="007C0CDA" w:rsidRDefault="009D2CAE" w:rsidP="00A84116">
            <w:pPr>
              <w:jc w:val="right"/>
            </w:pPr>
            <w:r w:rsidRPr="007C0CDA">
              <w:t>920</w:t>
            </w:r>
          </w:p>
        </w:tc>
      </w:tr>
      <w:tr w:rsidR="009D2CAE" w:rsidRPr="007C0CDA" w:rsidTr="00A84116">
        <w:trPr>
          <w:trHeight w:val="525"/>
        </w:trPr>
        <w:tc>
          <w:tcPr>
            <w:tcW w:w="2040" w:type="dxa"/>
            <w:vMerge/>
            <w:tcBorders>
              <w:top w:val="nil"/>
              <w:left w:val="single" w:sz="8" w:space="0" w:color="auto"/>
              <w:bottom w:val="single" w:sz="8" w:space="0" w:color="BFBFBF"/>
              <w:right w:val="nil"/>
            </w:tcBorders>
            <w:vAlign w:val="center"/>
          </w:tcPr>
          <w:p w:rsidR="009D2CAE" w:rsidRPr="007C0CDA" w:rsidRDefault="009D2CAE" w:rsidP="00A84116">
            <w:pPr>
              <w:jc w:val="left"/>
              <w:rPr>
                <w:rFonts w:cs="Calibri"/>
                <w:b/>
                <w:bCs/>
                <w:color w:val="000000"/>
                <w:szCs w:val="22"/>
              </w:rPr>
            </w:pPr>
          </w:p>
        </w:tc>
        <w:tc>
          <w:tcPr>
            <w:tcW w:w="3280" w:type="dxa"/>
            <w:tcBorders>
              <w:top w:val="nil"/>
              <w:left w:val="nil"/>
              <w:bottom w:val="single" w:sz="8" w:space="0" w:color="auto"/>
              <w:right w:val="single" w:sz="8" w:space="0" w:color="auto"/>
            </w:tcBorders>
            <w:shd w:val="clear" w:color="000000" w:fill="538DD5"/>
            <w:vAlign w:val="center"/>
          </w:tcPr>
          <w:p w:rsidR="009D2CAE" w:rsidRPr="007C0CDA" w:rsidRDefault="009D2CAE" w:rsidP="00A84116">
            <w:pPr>
              <w:jc w:val="center"/>
              <w:rPr>
                <w:rFonts w:cs="Calibri"/>
                <w:b/>
                <w:bCs/>
                <w:color w:val="FFFFFF"/>
                <w:sz w:val="20"/>
              </w:rPr>
            </w:pPr>
            <w:r w:rsidRPr="007C0CDA">
              <w:rPr>
                <w:rFonts w:cs="Calibri"/>
                <w:b/>
                <w:bCs/>
                <w:color w:val="FFFFFF"/>
                <w:sz w:val="20"/>
              </w:rPr>
              <w:t>Pákový efekt na projektech konečných příjemců</w:t>
            </w:r>
          </w:p>
        </w:tc>
        <w:tc>
          <w:tcPr>
            <w:tcW w:w="1760" w:type="dxa"/>
            <w:tcBorders>
              <w:top w:val="nil"/>
              <w:left w:val="nil"/>
              <w:bottom w:val="nil"/>
              <w:right w:val="single" w:sz="8" w:space="0" w:color="auto"/>
            </w:tcBorders>
            <w:noWrap/>
            <w:vAlign w:val="bottom"/>
          </w:tcPr>
          <w:p w:rsidR="009D2CAE" w:rsidRPr="007C0CDA" w:rsidRDefault="009D2CAE" w:rsidP="00A84116">
            <w:pPr>
              <w:jc w:val="right"/>
              <w:rPr>
                <w:rFonts w:cs="Calibri"/>
                <w:szCs w:val="22"/>
              </w:rPr>
            </w:pPr>
            <w:r w:rsidRPr="007C0CDA">
              <w:rPr>
                <w:rFonts w:cs="Calibri"/>
                <w:color w:val="000000"/>
                <w:szCs w:val="22"/>
              </w:rPr>
              <w:t>1,5</w:t>
            </w:r>
          </w:p>
        </w:tc>
      </w:tr>
      <w:tr w:rsidR="009D2CAE" w:rsidRPr="007C0CDA" w:rsidTr="00A84116">
        <w:trPr>
          <w:trHeight w:val="525"/>
        </w:trPr>
        <w:tc>
          <w:tcPr>
            <w:tcW w:w="2040" w:type="dxa"/>
            <w:vMerge/>
            <w:tcBorders>
              <w:top w:val="nil"/>
              <w:left w:val="single" w:sz="8" w:space="0" w:color="auto"/>
              <w:bottom w:val="single" w:sz="8" w:space="0" w:color="BFBFBF"/>
              <w:right w:val="nil"/>
            </w:tcBorders>
            <w:vAlign w:val="center"/>
          </w:tcPr>
          <w:p w:rsidR="009D2CAE" w:rsidRPr="007C0CDA" w:rsidRDefault="009D2CAE" w:rsidP="00A84116">
            <w:pPr>
              <w:jc w:val="left"/>
              <w:rPr>
                <w:rFonts w:cs="Calibri"/>
                <w:b/>
                <w:bCs/>
                <w:color w:val="000000"/>
                <w:szCs w:val="22"/>
              </w:rPr>
            </w:pPr>
          </w:p>
        </w:tc>
        <w:tc>
          <w:tcPr>
            <w:tcW w:w="3280" w:type="dxa"/>
            <w:tcBorders>
              <w:top w:val="nil"/>
              <w:left w:val="nil"/>
              <w:bottom w:val="single" w:sz="8" w:space="0" w:color="auto"/>
              <w:right w:val="single" w:sz="8" w:space="0" w:color="auto"/>
            </w:tcBorders>
            <w:shd w:val="clear" w:color="000000" w:fill="538DD5"/>
            <w:vAlign w:val="center"/>
          </w:tcPr>
          <w:p w:rsidR="009D2CAE" w:rsidRPr="007C0CDA" w:rsidRDefault="009D2CAE" w:rsidP="00A84116">
            <w:pPr>
              <w:jc w:val="center"/>
              <w:rPr>
                <w:rFonts w:cs="Calibri"/>
                <w:b/>
                <w:bCs/>
                <w:color w:val="FFFFFF"/>
                <w:sz w:val="20"/>
              </w:rPr>
            </w:pPr>
            <w:r w:rsidRPr="007C0CDA">
              <w:rPr>
                <w:rFonts w:cs="Calibri"/>
                <w:b/>
                <w:bCs/>
                <w:color w:val="FFFFFF"/>
                <w:sz w:val="20"/>
              </w:rPr>
              <w:t>Celkové návratné zdroje na projekty konečných příjemců  (mil. CZK)</w:t>
            </w:r>
          </w:p>
        </w:tc>
        <w:tc>
          <w:tcPr>
            <w:tcW w:w="1760" w:type="dxa"/>
            <w:tcBorders>
              <w:top w:val="nil"/>
              <w:left w:val="nil"/>
              <w:bottom w:val="nil"/>
              <w:right w:val="single" w:sz="8" w:space="0" w:color="auto"/>
            </w:tcBorders>
            <w:noWrap/>
            <w:vAlign w:val="bottom"/>
          </w:tcPr>
          <w:p w:rsidR="009D2CAE" w:rsidRPr="007C0CDA" w:rsidRDefault="009D2CAE" w:rsidP="00A84116">
            <w:pPr>
              <w:jc w:val="right"/>
              <w:rPr>
                <w:rFonts w:cs="Calibri"/>
                <w:color w:val="000000"/>
                <w:szCs w:val="22"/>
              </w:rPr>
            </w:pPr>
            <w:r w:rsidRPr="007C0CDA">
              <w:t>1 400</w:t>
            </w:r>
          </w:p>
        </w:tc>
      </w:tr>
      <w:tr w:rsidR="009D2CAE" w:rsidRPr="007C0CDA" w:rsidTr="00A84116">
        <w:trPr>
          <w:trHeight w:val="525"/>
        </w:trPr>
        <w:tc>
          <w:tcPr>
            <w:tcW w:w="2040" w:type="dxa"/>
            <w:vMerge/>
            <w:tcBorders>
              <w:top w:val="nil"/>
              <w:left w:val="single" w:sz="8" w:space="0" w:color="auto"/>
              <w:bottom w:val="single" w:sz="8" w:space="0" w:color="BFBFBF"/>
              <w:right w:val="nil"/>
            </w:tcBorders>
            <w:vAlign w:val="center"/>
          </w:tcPr>
          <w:p w:rsidR="009D2CAE" w:rsidRPr="007C0CDA" w:rsidRDefault="009D2CAE" w:rsidP="00A84116">
            <w:pPr>
              <w:jc w:val="left"/>
              <w:rPr>
                <w:rFonts w:cs="Calibri"/>
                <w:b/>
                <w:bCs/>
                <w:color w:val="000000"/>
                <w:szCs w:val="22"/>
              </w:rPr>
            </w:pPr>
          </w:p>
        </w:tc>
        <w:tc>
          <w:tcPr>
            <w:tcW w:w="3280" w:type="dxa"/>
            <w:tcBorders>
              <w:top w:val="nil"/>
              <w:left w:val="nil"/>
              <w:bottom w:val="single" w:sz="8" w:space="0" w:color="auto"/>
              <w:right w:val="single" w:sz="8" w:space="0" w:color="auto"/>
            </w:tcBorders>
            <w:shd w:val="clear" w:color="000000" w:fill="538DD5"/>
            <w:vAlign w:val="center"/>
          </w:tcPr>
          <w:p w:rsidR="009D2CAE" w:rsidRPr="007C0CDA" w:rsidRDefault="009D2CAE" w:rsidP="00A84116">
            <w:pPr>
              <w:jc w:val="center"/>
              <w:rPr>
                <w:rFonts w:cs="Calibri"/>
                <w:b/>
                <w:bCs/>
                <w:color w:val="FFFFFF"/>
                <w:sz w:val="20"/>
              </w:rPr>
            </w:pPr>
            <w:r w:rsidRPr="007C0CDA">
              <w:rPr>
                <w:rFonts w:cs="Calibri"/>
                <w:b/>
                <w:bCs/>
                <w:color w:val="FFFFFF"/>
                <w:sz w:val="20"/>
              </w:rPr>
              <w:t>Průměrná výše úvěru/investice konečného příjemce  (mil. CZK)</w:t>
            </w:r>
          </w:p>
        </w:tc>
        <w:tc>
          <w:tcPr>
            <w:tcW w:w="1760" w:type="dxa"/>
            <w:tcBorders>
              <w:top w:val="nil"/>
              <w:left w:val="nil"/>
              <w:bottom w:val="single" w:sz="8" w:space="0" w:color="auto"/>
              <w:right w:val="single" w:sz="8" w:space="0" w:color="auto"/>
            </w:tcBorders>
            <w:noWrap/>
            <w:vAlign w:val="bottom"/>
          </w:tcPr>
          <w:p w:rsidR="009D2CAE" w:rsidRPr="007C0CDA" w:rsidRDefault="009D2CAE" w:rsidP="00A84116">
            <w:pPr>
              <w:jc w:val="right"/>
            </w:pPr>
            <w:r w:rsidRPr="007C0CDA">
              <w:t>20</w:t>
            </w:r>
          </w:p>
        </w:tc>
      </w:tr>
      <w:tr w:rsidR="009D2CAE" w:rsidRPr="007C0CDA" w:rsidTr="00A84116">
        <w:trPr>
          <w:trHeight w:val="420"/>
        </w:trPr>
        <w:tc>
          <w:tcPr>
            <w:tcW w:w="2040" w:type="dxa"/>
            <w:vMerge/>
            <w:tcBorders>
              <w:top w:val="nil"/>
              <w:left w:val="single" w:sz="8" w:space="0" w:color="auto"/>
              <w:bottom w:val="single" w:sz="8" w:space="0" w:color="BFBFBF"/>
              <w:right w:val="nil"/>
            </w:tcBorders>
            <w:vAlign w:val="center"/>
          </w:tcPr>
          <w:p w:rsidR="009D2CAE" w:rsidRPr="007C0CDA" w:rsidRDefault="009D2CAE" w:rsidP="00A84116">
            <w:pPr>
              <w:jc w:val="left"/>
              <w:rPr>
                <w:rFonts w:cs="Calibri"/>
                <w:b/>
                <w:bCs/>
                <w:color w:val="000000"/>
                <w:szCs w:val="22"/>
              </w:rPr>
            </w:pPr>
          </w:p>
        </w:tc>
        <w:tc>
          <w:tcPr>
            <w:tcW w:w="3280" w:type="dxa"/>
            <w:tcBorders>
              <w:top w:val="nil"/>
              <w:left w:val="nil"/>
              <w:bottom w:val="single" w:sz="8" w:space="0" w:color="auto"/>
              <w:right w:val="single" w:sz="8" w:space="0" w:color="auto"/>
            </w:tcBorders>
            <w:shd w:val="clear" w:color="000000" w:fill="538DD5"/>
            <w:vAlign w:val="center"/>
          </w:tcPr>
          <w:p w:rsidR="009D2CAE" w:rsidRPr="007C0CDA" w:rsidRDefault="009D2CAE" w:rsidP="00A84116">
            <w:pPr>
              <w:jc w:val="center"/>
              <w:rPr>
                <w:rFonts w:cs="Calibri"/>
                <w:b/>
                <w:bCs/>
                <w:color w:val="FFFFFF"/>
                <w:sz w:val="20"/>
              </w:rPr>
            </w:pPr>
            <w:r w:rsidRPr="007C0CDA">
              <w:rPr>
                <w:rFonts w:cs="Calibri"/>
                <w:b/>
                <w:bCs/>
                <w:color w:val="FFFFFF"/>
                <w:sz w:val="20"/>
              </w:rPr>
              <w:t>Počet projektů konečných příjemců</w:t>
            </w:r>
          </w:p>
        </w:tc>
        <w:tc>
          <w:tcPr>
            <w:tcW w:w="1760" w:type="dxa"/>
            <w:tcBorders>
              <w:top w:val="nil"/>
              <w:left w:val="nil"/>
              <w:bottom w:val="single" w:sz="8" w:space="0" w:color="BFBFBF"/>
              <w:right w:val="single" w:sz="8" w:space="0" w:color="auto"/>
            </w:tcBorders>
            <w:noWrap/>
            <w:vAlign w:val="bottom"/>
          </w:tcPr>
          <w:p w:rsidR="009D2CAE" w:rsidRPr="007C0CDA" w:rsidRDefault="009D2CAE" w:rsidP="00A84116">
            <w:pPr>
              <w:jc w:val="right"/>
            </w:pPr>
            <w:r w:rsidRPr="007C0CDA">
              <w:t>69</w:t>
            </w:r>
          </w:p>
        </w:tc>
      </w:tr>
      <w:tr w:rsidR="009D2CAE" w:rsidRPr="007C0CDA" w:rsidTr="00A84116">
        <w:trPr>
          <w:trHeight w:val="525"/>
        </w:trPr>
        <w:tc>
          <w:tcPr>
            <w:tcW w:w="2040" w:type="dxa"/>
            <w:vMerge w:val="restart"/>
            <w:tcBorders>
              <w:top w:val="nil"/>
              <w:left w:val="single" w:sz="8" w:space="0" w:color="auto"/>
              <w:bottom w:val="nil"/>
              <w:right w:val="nil"/>
            </w:tcBorders>
            <w:vAlign w:val="center"/>
          </w:tcPr>
          <w:p w:rsidR="009D2CAE" w:rsidRPr="007C0CDA" w:rsidRDefault="009D2CAE" w:rsidP="00A84116">
            <w:pPr>
              <w:jc w:val="center"/>
              <w:rPr>
                <w:b/>
                <w:bCs/>
                <w:color w:val="000000"/>
                <w:sz w:val="18"/>
                <w:szCs w:val="18"/>
              </w:rPr>
            </w:pPr>
            <w:r w:rsidRPr="007C0CDA">
              <w:rPr>
                <w:b/>
                <w:bCs/>
                <w:color w:val="000000"/>
                <w:sz w:val="18"/>
                <w:szCs w:val="18"/>
              </w:rPr>
              <w:t>OBRÁTKA</w:t>
            </w:r>
          </w:p>
        </w:tc>
        <w:tc>
          <w:tcPr>
            <w:tcW w:w="3280" w:type="dxa"/>
            <w:tcBorders>
              <w:top w:val="nil"/>
              <w:left w:val="nil"/>
              <w:bottom w:val="single" w:sz="8" w:space="0" w:color="auto"/>
              <w:right w:val="single" w:sz="8" w:space="0" w:color="auto"/>
            </w:tcBorders>
            <w:shd w:val="clear" w:color="000000" w:fill="000000"/>
            <w:vAlign w:val="center"/>
          </w:tcPr>
          <w:p w:rsidR="009D2CAE" w:rsidRPr="007C0CDA" w:rsidRDefault="009D2CAE" w:rsidP="00A84116">
            <w:pPr>
              <w:jc w:val="center"/>
              <w:rPr>
                <w:rFonts w:cs="Calibri"/>
                <w:b/>
                <w:bCs/>
                <w:color w:val="FFFFFF"/>
                <w:sz w:val="20"/>
              </w:rPr>
            </w:pPr>
            <w:r w:rsidRPr="007C0CDA">
              <w:rPr>
                <w:rFonts w:cs="Calibri"/>
                <w:b/>
                <w:bCs/>
                <w:color w:val="FFFFFF"/>
                <w:sz w:val="20"/>
              </w:rPr>
              <w:t>Veřejné zdroje FN po odečtení MCF, ztrát a grantů  (mil. CZK)</w:t>
            </w:r>
          </w:p>
        </w:tc>
        <w:tc>
          <w:tcPr>
            <w:tcW w:w="1760" w:type="dxa"/>
            <w:tcBorders>
              <w:top w:val="nil"/>
              <w:left w:val="nil"/>
              <w:bottom w:val="single" w:sz="8" w:space="0" w:color="BFBFBF"/>
              <w:right w:val="single" w:sz="8" w:space="0" w:color="auto"/>
            </w:tcBorders>
            <w:noWrap/>
            <w:vAlign w:val="center"/>
          </w:tcPr>
          <w:p w:rsidR="009D2CAE" w:rsidRPr="007C0CDA" w:rsidRDefault="009D2CAE" w:rsidP="00A84116">
            <w:pPr>
              <w:jc w:val="right"/>
              <w:rPr>
                <w:sz w:val="18"/>
                <w:szCs w:val="18"/>
              </w:rPr>
            </w:pPr>
            <w:r w:rsidRPr="007C0CDA">
              <w:t>360</w:t>
            </w:r>
          </w:p>
        </w:tc>
      </w:tr>
      <w:tr w:rsidR="009D2CAE" w:rsidRPr="007C0CDA" w:rsidTr="00A84116">
        <w:trPr>
          <w:trHeight w:val="525"/>
        </w:trPr>
        <w:tc>
          <w:tcPr>
            <w:tcW w:w="2040" w:type="dxa"/>
            <w:vMerge/>
            <w:tcBorders>
              <w:top w:val="nil"/>
              <w:left w:val="single" w:sz="8" w:space="0" w:color="auto"/>
              <w:bottom w:val="nil"/>
              <w:right w:val="nil"/>
            </w:tcBorders>
            <w:vAlign w:val="center"/>
          </w:tcPr>
          <w:p w:rsidR="009D2CAE" w:rsidRPr="007C0CDA" w:rsidRDefault="009D2CAE" w:rsidP="00A84116">
            <w:pPr>
              <w:jc w:val="left"/>
              <w:rPr>
                <w:b/>
                <w:bCs/>
                <w:color w:val="000000"/>
                <w:sz w:val="18"/>
                <w:szCs w:val="18"/>
              </w:rPr>
            </w:pPr>
          </w:p>
        </w:tc>
        <w:tc>
          <w:tcPr>
            <w:tcW w:w="3280" w:type="dxa"/>
            <w:tcBorders>
              <w:top w:val="nil"/>
              <w:left w:val="nil"/>
              <w:bottom w:val="single" w:sz="8" w:space="0" w:color="auto"/>
              <w:right w:val="single" w:sz="8" w:space="0" w:color="auto"/>
            </w:tcBorders>
            <w:shd w:val="clear" w:color="000000" w:fill="000000"/>
            <w:vAlign w:val="center"/>
          </w:tcPr>
          <w:p w:rsidR="009D2CAE" w:rsidRPr="007C0CDA" w:rsidRDefault="009D2CAE" w:rsidP="00A84116">
            <w:pPr>
              <w:jc w:val="center"/>
              <w:rPr>
                <w:rFonts w:cs="Calibri"/>
                <w:b/>
                <w:bCs/>
                <w:color w:val="FFFFFF"/>
                <w:sz w:val="20"/>
              </w:rPr>
            </w:pPr>
            <w:r w:rsidRPr="007C0CDA">
              <w:rPr>
                <w:rFonts w:cs="Calibri"/>
                <w:b/>
                <w:bCs/>
                <w:color w:val="FFFFFF"/>
                <w:sz w:val="20"/>
              </w:rPr>
              <w:t>Pákový efekt na projektech konečných příjemců</w:t>
            </w:r>
          </w:p>
        </w:tc>
        <w:tc>
          <w:tcPr>
            <w:tcW w:w="1760" w:type="dxa"/>
            <w:tcBorders>
              <w:top w:val="nil"/>
              <w:left w:val="nil"/>
              <w:bottom w:val="nil"/>
              <w:right w:val="single" w:sz="8" w:space="0" w:color="auto"/>
            </w:tcBorders>
            <w:noWrap/>
            <w:vAlign w:val="center"/>
          </w:tcPr>
          <w:p w:rsidR="009D2CAE" w:rsidRPr="007C0CDA" w:rsidRDefault="009D2CAE" w:rsidP="00A84116">
            <w:pPr>
              <w:jc w:val="right"/>
            </w:pPr>
            <w:r w:rsidRPr="007C0CDA">
              <w:t>1,5</w:t>
            </w:r>
          </w:p>
        </w:tc>
      </w:tr>
      <w:tr w:rsidR="009D2CAE" w:rsidRPr="007C0CDA" w:rsidTr="00A84116">
        <w:trPr>
          <w:trHeight w:val="525"/>
        </w:trPr>
        <w:tc>
          <w:tcPr>
            <w:tcW w:w="2040" w:type="dxa"/>
            <w:vMerge/>
            <w:tcBorders>
              <w:top w:val="nil"/>
              <w:left w:val="single" w:sz="8" w:space="0" w:color="auto"/>
              <w:bottom w:val="nil"/>
              <w:right w:val="nil"/>
            </w:tcBorders>
            <w:vAlign w:val="center"/>
          </w:tcPr>
          <w:p w:rsidR="009D2CAE" w:rsidRPr="007C0CDA" w:rsidRDefault="009D2CAE" w:rsidP="00A84116">
            <w:pPr>
              <w:jc w:val="left"/>
              <w:rPr>
                <w:b/>
                <w:bCs/>
                <w:color w:val="000000"/>
                <w:sz w:val="18"/>
                <w:szCs w:val="18"/>
              </w:rPr>
            </w:pPr>
          </w:p>
        </w:tc>
        <w:tc>
          <w:tcPr>
            <w:tcW w:w="3280" w:type="dxa"/>
            <w:tcBorders>
              <w:top w:val="nil"/>
              <w:left w:val="nil"/>
              <w:bottom w:val="single" w:sz="8" w:space="0" w:color="auto"/>
              <w:right w:val="single" w:sz="8" w:space="0" w:color="auto"/>
            </w:tcBorders>
            <w:shd w:val="clear" w:color="000000" w:fill="000000"/>
            <w:vAlign w:val="center"/>
          </w:tcPr>
          <w:p w:rsidR="009D2CAE" w:rsidRPr="007C0CDA" w:rsidRDefault="009D2CAE" w:rsidP="00A84116">
            <w:pPr>
              <w:jc w:val="center"/>
              <w:rPr>
                <w:rFonts w:cs="Calibri"/>
                <w:b/>
                <w:bCs/>
                <w:color w:val="FFFFFF"/>
                <w:sz w:val="20"/>
              </w:rPr>
            </w:pPr>
            <w:r w:rsidRPr="007C0CDA">
              <w:rPr>
                <w:rFonts w:cs="Calibri"/>
                <w:b/>
                <w:bCs/>
                <w:color w:val="FFFFFF"/>
                <w:sz w:val="20"/>
              </w:rPr>
              <w:t>Celkové návratné zdroje na projekty konečných příjemců  (mil. CZK)</w:t>
            </w:r>
          </w:p>
        </w:tc>
        <w:tc>
          <w:tcPr>
            <w:tcW w:w="1760" w:type="dxa"/>
            <w:tcBorders>
              <w:top w:val="nil"/>
              <w:left w:val="nil"/>
              <w:bottom w:val="nil"/>
              <w:right w:val="single" w:sz="8" w:space="0" w:color="auto"/>
            </w:tcBorders>
            <w:noWrap/>
            <w:vAlign w:val="bottom"/>
          </w:tcPr>
          <w:p w:rsidR="009D2CAE" w:rsidRPr="007C0CDA" w:rsidRDefault="009D2CAE" w:rsidP="00A84116">
            <w:pPr>
              <w:jc w:val="right"/>
            </w:pPr>
            <w:r w:rsidRPr="007C0CDA">
              <w:t>530</w:t>
            </w:r>
          </w:p>
        </w:tc>
      </w:tr>
      <w:tr w:rsidR="009D2CAE" w:rsidRPr="007C0CDA" w:rsidTr="00A84116">
        <w:trPr>
          <w:trHeight w:val="525"/>
        </w:trPr>
        <w:tc>
          <w:tcPr>
            <w:tcW w:w="2040" w:type="dxa"/>
            <w:vMerge/>
            <w:tcBorders>
              <w:top w:val="nil"/>
              <w:left w:val="single" w:sz="8" w:space="0" w:color="auto"/>
              <w:bottom w:val="nil"/>
              <w:right w:val="nil"/>
            </w:tcBorders>
            <w:vAlign w:val="center"/>
          </w:tcPr>
          <w:p w:rsidR="009D2CAE" w:rsidRPr="007C0CDA" w:rsidRDefault="009D2CAE" w:rsidP="00A84116">
            <w:pPr>
              <w:jc w:val="left"/>
              <w:rPr>
                <w:b/>
                <w:bCs/>
                <w:color w:val="000000"/>
                <w:sz w:val="18"/>
                <w:szCs w:val="18"/>
              </w:rPr>
            </w:pPr>
          </w:p>
        </w:tc>
        <w:tc>
          <w:tcPr>
            <w:tcW w:w="3280" w:type="dxa"/>
            <w:tcBorders>
              <w:top w:val="nil"/>
              <w:left w:val="nil"/>
              <w:bottom w:val="single" w:sz="8" w:space="0" w:color="auto"/>
              <w:right w:val="single" w:sz="8" w:space="0" w:color="auto"/>
            </w:tcBorders>
            <w:shd w:val="clear" w:color="000000" w:fill="000000"/>
            <w:vAlign w:val="center"/>
          </w:tcPr>
          <w:p w:rsidR="009D2CAE" w:rsidRPr="007C0CDA" w:rsidRDefault="009D2CAE" w:rsidP="00A84116">
            <w:pPr>
              <w:jc w:val="center"/>
              <w:rPr>
                <w:rFonts w:cs="Calibri"/>
                <w:b/>
                <w:bCs/>
                <w:color w:val="FFFFFF"/>
                <w:sz w:val="20"/>
              </w:rPr>
            </w:pPr>
            <w:r w:rsidRPr="007C0CDA">
              <w:rPr>
                <w:rFonts w:cs="Calibri"/>
                <w:b/>
                <w:bCs/>
                <w:color w:val="FFFFFF"/>
                <w:sz w:val="20"/>
              </w:rPr>
              <w:t>Průměrná výše úvěru/ investice konečného příjemce  (mil. CZK)</w:t>
            </w:r>
          </w:p>
        </w:tc>
        <w:tc>
          <w:tcPr>
            <w:tcW w:w="1760" w:type="dxa"/>
            <w:tcBorders>
              <w:top w:val="nil"/>
              <w:left w:val="nil"/>
              <w:bottom w:val="single" w:sz="8" w:space="0" w:color="auto"/>
              <w:right w:val="single" w:sz="8" w:space="0" w:color="auto"/>
            </w:tcBorders>
            <w:noWrap/>
            <w:vAlign w:val="bottom"/>
          </w:tcPr>
          <w:p w:rsidR="009D2CAE" w:rsidRPr="007C0CDA" w:rsidRDefault="009D2CAE" w:rsidP="00A84116">
            <w:pPr>
              <w:jc w:val="right"/>
            </w:pPr>
            <w:r w:rsidRPr="007C0CDA">
              <w:t>20</w:t>
            </w:r>
          </w:p>
        </w:tc>
      </w:tr>
      <w:tr w:rsidR="009D2CAE" w:rsidRPr="007C0CDA" w:rsidTr="00A84116">
        <w:trPr>
          <w:trHeight w:val="315"/>
        </w:trPr>
        <w:tc>
          <w:tcPr>
            <w:tcW w:w="2040" w:type="dxa"/>
            <w:vMerge/>
            <w:tcBorders>
              <w:top w:val="nil"/>
              <w:left w:val="single" w:sz="8" w:space="0" w:color="auto"/>
              <w:bottom w:val="nil"/>
              <w:right w:val="nil"/>
            </w:tcBorders>
            <w:vAlign w:val="center"/>
          </w:tcPr>
          <w:p w:rsidR="009D2CAE" w:rsidRPr="007C0CDA" w:rsidRDefault="009D2CAE" w:rsidP="00A84116">
            <w:pPr>
              <w:jc w:val="left"/>
              <w:rPr>
                <w:b/>
                <w:bCs/>
                <w:color w:val="000000"/>
                <w:sz w:val="18"/>
                <w:szCs w:val="18"/>
              </w:rPr>
            </w:pPr>
          </w:p>
        </w:tc>
        <w:tc>
          <w:tcPr>
            <w:tcW w:w="3280" w:type="dxa"/>
            <w:tcBorders>
              <w:top w:val="nil"/>
              <w:left w:val="nil"/>
              <w:bottom w:val="single" w:sz="8" w:space="0" w:color="auto"/>
              <w:right w:val="single" w:sz="8" w:space="0" w:color="auto"/>
            </w:tcBorders>
            <w:shd w:val="clear" w:color="000000" w:fill="000000"/>
            <w:vAlign w:val="center"/>
          </w:tcPr>
          <w:p w:rsidR="009D2CAE" w:rsidRPr="007C0CDA" w:rsidRDefault="009D2CAE" w:rsidP="00A84116">
            <w:pPr>
              <w:jc w:val="center"/>
              <w:rPr>
                <w:rFonts w:cs="Calibri"/>
                <w:b/>
                <w:bCs/>
                <w:color w:val="FFFFFF"/>
                <w:sz w:val="20"/>
              </w:rPr>
            </w:pPr>
            <w:r w:rsidRPr="007C0CDA">
              <w:rPr>
                <w:rFonts w:cs="Calibri"/>
                <w:b/>
                <w:bCs/>
                <w:color w:val="FFFFFF"/>
                <w:sz w:val="20"/>
              </w:rPr>
              <w:t>Počet projektů konečných příjemců</w:t>
            </w:r>
          </w:p>
        </w:tc>
        <w:tc>
          <w:tcPr>
            <w:tcW w:w="1760" w:type="dxa"/>
            <w:tcBorders>
              <w:top w:val="nil"/>
              <w:left w:val="nil"/>
              <w:bottom w:val="nil"/>
              <w:right w:val="single" w:sz="8" w:space="0" w:color="auto"/>
            </w:tcBorders>
            <w:noWrap/>
            <w:vAlign w:val="bottom"/>
          </w:tcPr>
          <w:p w:rsidR="009D2CAE" w:rsidRPr="007C0CDA" w:rsidRDefault="009D2CAE" w:rsidP="00A84116">
            <w:pPr>
              <w:jc w:val="right"/>
            </w:pPr>
            <w:r w:rsidRPr="007C0CDA">
              <w:t>27</w:t>
            </w:r>
          </w:p>
        </w:tc>
      </w:tr>
      <w:tr w:rsidR="009D2CAE" w:rsidRPr="007C0CDA" w:rsidTr="00A84116">
        <w:trPr>
          <w:trHeight w:val="525"/>
        </w:trPr>
        <w:tc>
          <w:tcPr>
            <w:tcW w:w="2040" w:type="dxa"/>
            <w:vMerge w:val="restart"/>
            <w:tcBorders>
              <w:top w:val="nil"/>
              <w:left w:val="single" w:sz="8" w:space="0" w:color="auto"/>
              <w:bottom w:val="single" w:sz="8" w:space="0" w:color="000000"/>
              <w:right w:val="nil"/>
            </w:tcBorders>
            <w:noWrap/>
            <w:vAlign w:val="center"/>
          </w:tcPr>
          <w:p w:rsidR="009D2CAE" w:rsidRPr="007C0CDA" w:rsidRDefault="009D2CAE" w:rsidP="00A84116">
            <w:pPr>
              <w:jc w:val="center"/>
              <w:rPr>
                <w:rFonts w:cs="Calibri"/>
                <w:b/>
                <w:bCs/>
                <w:color w:val="000000"/>
                <w:szCs w:val="22"/>
              </w:rPr>
            </w:pPr>
            <w:r w:rsidRPr="007C0CDA">
              <w:rPr>
                <w:rFonts w:cs="Calibri"/>
                <w:b/>
                <w:bCs/>
                <w:color w:val="000000"/>
                <w:szCs w:val="22"/>
              </w:rPr>
              <w:t>CELKEM 2015-2023</w:t>
            </w:r>
          </w:p>
        </w:tc>
        <w:tc>
          <w:tcPr>
            <w:tcW w:w="3280" w:type="dxa"/>
            <w:tcBorders>
              <w:top w:val="nil"/>
              <w:left w:val="nil"/>
              <w:bottom w:val="single" w:sz="8" w:space="0" w:color="auto"/>
              <w:right w:val="single" w:sz="8" w:space="0" w:color="auto"/>
            </w:tcBorders>
            <w:shd w:val="clear" w:color="000000" w:fill="538DD5"/>
            <w:vAlign w:val="center"/>
          </w:tcPr>
          <w:p w:rsidR="009D2CAE" w:rsidRPr="007C0CDA" w:rsidRDefault="009D2CAE" w:rsidP="00A84116">
            <w:pPr>
              <w:jc w:val="center"/>
              <w:rPr>
                <w:rFonts w:cs="Calibri"/>
                <w:b/>
                <w:bCs/>
                <w:color w:val="FFFFFF"/>
                <w:sz w:val="20"/>
              </w:rPr>
            </w:pPr>
            <w:r w:rsidRPr="007C0CDA">
              <w:rPr>
                <w:rFonts w:cs="Calibri"/>
                <w:b/>
                <w:bCs/>
                <w:color w:val="FFFFFF"/>
                <w:sz w:val="20"/>
              </w:rPr>
              <w:t>Celkové návratné zdroje na projekty konečných příjemců  (mil. CZK)</w:t>
            </w:r>
          </w:p>
        </w:tc>
        <w:tc>
          <w:tcPr>
            <w:tcW w:w="1760" w:type="dxa"/>
            <w:tcBorders>
              <w:top w:val="nil"/>
              <w:left w:val="nil"/>
              <w:bottom w:val="nil"/>
              <w:right w:val="single" w:sz="8" w:space="0" w:color="auto"/>
            </w:tcBorders>
            <w:noWrap/>
            <w:vAlign w:val="bottom"/>
          </w:tcPr>
          <w:p w:rsidR="009D2CAE" w:rsidRPr="007C0CDA" w:rsidRDefault="009D2CAE" w:rsidP="00A84116">
            <w:pPr>
              <w:jc w:val="right"/>
            </w:pPr>
            <w:r w:rsidRPr="007C0CDA">
              <w:t>1 900</w:t>
            </w:r>
          </w:p>
        </w:tc>
      </w:tr>
      <w:tr w:rsidR="009D2CAE" w:rsidRPr="007C0CDA" w:rsidTr="00A84116">
        <w:trPr>
          <w:trHeight w:val="315"/>
        </w:trPr>
        <w:tc>
          <w:tcPr>
            <w:tcW w:w="2040" w:type="dxa"/>
            <w:vMerge/>
            <w:tcBorders>
              <w:top w:val="nil"/>
              <w:left w:val="single" w:sz="8" w:space="0" w:color="auto"/>
              <w:bottom w:val="single" w:sz="8" w:space="0" w:color="000000"/>
              <w:right w:val="nil"/>
            </w:tcBorders>
            <w:vAlign w:val="center"/>
          </w:tcPr>
          <w:p w:rsidR="009D2CAE" w:rsidRPr="007C0CDA" w:rsidRDefault="009D2CAE" w:rsidP="00A84116">
            <w:pPr>
              <w:jc w:val="left"/>
              <w:rPr>
                <w:rFonts w:cs="Calibri"/>
                <w:b/>
                <w:bCs/>
                <w:color w:val="000000"/>
                <w:szCs w:val="22"/>
              </w:rPr>
            </w:pPr>
          </w:p>
        </w:tc>
        <w:tc>
          <w:tcPr>
            <w:tcW w:w="3280" w:type="dxa"/>
            <w:tcBorders>
              <w:top w:val="nil"/>
              <w:left w:val="nil"/>
              <w:bottom w:val="single" w:sz="8" w:space="0" w:color="auto"/>
              <w:right w:val="single" w:sz="8" w:space="0" w:color="auto"/>
            </w:tcBorders>
            <w:shd w:val="clear" w:color="000000" w:fill="538DD5"/>
            <w:vAlign w:val="center"/>
          </w:tcPr>
          <w:p w:rsidR="009D2CAE" w:rsidRPr="007C0CDA" w:rsidRDefault="009D2CAE" w:rsidP="00A84116">
            <w:pPr>
              <w:jc w:val="center"/>
              <w:rPr>
                <w:rFonts w:cs="Calibri"/>
                <w:b/>
                <w:bCs/>
                <w:color w:val="FFFFFF"/>
                <w:sz w:val="20"/>
              </w:rPr>
            </w:pPr>
            <w:r w:rsidRPr="007C0CDA">
              <w:rPr>
                <w:rFonts w:cs="Calibri"/>
                <w:b/>
                <w:bCs/>
                <w:color w:val="FFFFFF"/>
                <w:sz w:val="20"/>
              </w:rPr>
              <w:t>Celkové soukromé zdroje  (mil. CZK)</w:t>
            </w:r>
          </w:p>
        </w:tc>
        <w:tc>
          <w:tcPr>
            <w:tcW w:w="1760" w:type="dxa"/>
            <w:tcBorders>
              <w:top w:val="nil"/>
              <w:left w:val="nil"/>
              <w:bottom w:val="single" w:sz="8" w:space="0" w:color="auto"/>
              <w:right w:val="single" w:sz="8" w:space="0" w:color="auto"/>
            </w:tcBorders>
            <w:noWrap/>
            <w:vAlign w:val="bottom"/>
          </w:tcPr>
          <w:p w:rsidR="009D2CAE" w:rsidRPr="007C0CDA" w:rsidRDefault="009D2CAE" w:rsidP="00A84116">
            <w:pPr>
              <w:jc w:val="right"/>
            </w:pPr>
            <w:r w:rsidRPr="007C0CDA">
              <w:t>640</w:t>
            </w:r>
          </w:p>
        </w:tc>
      </w:tr>
      <w:tr w:rsidR="009D2CAE" w:rsidRPr="007C0CDA" w:rsidTr="00A84116">
        <w:trPr>
          <w:trHeight w:val="315"/>
        </w:trPr>
        <w:tc>
          <w:tcPr>
            <w:tcW w:w="2040" w:type="dxa"/>
            <w:vMerge/>
            <w:tcBorders>
              <w:top w:val="nil"/>
              <w:left w:val="single" w:sz="8" w:space="0" w:color="auto"/>
              <w:bottom w:val="single" w:sz="8" w:space="0" w:color="000000"/>
              <w:right w:val="nil"/>
            </w:tcBorders>
            <w:vAlign w:val="center"/>
          </w:tcPr>
          <w:p w:rsidR="009D2CAE" w:rsidRPr="007C0CDA" w:rsidRDefault="009D2CAE" w:rsidP="00A84116">
            <w:pPr>
              <w:jc w:val="left"/>
              <w:rPr>
                <w:rFonts w:cs="Calibri"/>
                <w:b/>
                <w:bCs/>
                <w:color w:val="000000"/>
                <w:szCs w:val="22"/>
              </w:rPr>
            </w:pPr>
          </w:p>
        </w:tc>
        <w:tc>
          <w:tcPr>
            <w:tcW w:w="3280" w:type="dxa"/>
            <w:tcBorders>
              <w:top w:val="nil"/>
              <w:left w:val="nil"/>
              <w:bottom w:val="single" w:sz="8" w:space="0" w:color="auto"/>
              <w:right w:val="single" w:sz="8" w:space="0" w:color="auto"/>
            </w:tcBorders>
            <w:shd w:val="clear" w:color="000000" w:fill="538DD5"/>
            <w:vAlign w:val="center"/>
          </w:tcPr>
          <w:p w:rsidR="009D2CAE" w:rsidRPr="007C0CDA" w:rsidRDefault="009D2CAE" w:rsidP="00A84116">
            <w:pPr>
              <w:jc w:val="center"/>
              <w:rPr>
                <w:rFonts w:cs="Calibri"/>
                <w:b/>
                <w:bCs/>
                <w:color w:val="FFFFFF"/>
                <w:sz w:val="20"/>
              </w:rPr>
            </w:pPr>
            <w:r w:rsidRPr="007C0CDA">
              <w:rPr>
                <w:rFonts w:cs="Calibri"/>
                <w:b/>
                <w:bCs/>
                <w:color w:val="FFFFFF"/>
                <w:sz w:val="20"/>
              </w:rPr>
              <w:t>Počet projektů konečných příjemců</w:t>
            </w:r>
          </w:p>
        </w:tc>
        <w:tc>
          <w:tcPr>
            <w:tcW w:w="1760" w:type="dxa"/>
            <w:tcBorders>
              <w:top w:val="nil"/>
              <w:left w:val="nil"/>
              <w:bottom w:val="single" w:sz="8" w:space="0" w:color="auto"/>
              <w:right w:val="single" w:sz="8" w:space="0" w:color="auto"/>
            </w:tcBorders>
            <w:noWrap/>
            <w:vAlign w:val="bottom"/>
          </w:tcPr>
          <w:p w:rsidR="009D2CAE" w:rsidRPr="007C0CDA" w:rsidRDefault="009D2CAE" w:rsidP="00A84116">
            <w:pPr>
              <w:jc w:val="right"/>
            </w:pPr>
            <w:r w:rsidRPr="007C0CDA">
              <w:t>96</w:t>
            </w:r>
          </w:p>
        </w:tc>
      </w:tr>
    </w:tbl>
    <w:p w:rsidR="009D2CAE" w:rsidRPr="007C0CDA" w:rsidRDefault="009D2CAE" w:rsidP="00483DA7"/>
    <w:p w:rsidR="009D2CAE" w:rsidRPr="007C0CDA" w:rsidRDefault="009D2CAE" w:rsidP="00483DA7">
      <w:pPr>
        <w:pStyle w:val="Titulek"/>
      </w:pPr>
      <w:r w:rsidRPr="007C0CDA">
        <w:t>Tabulka 3: Modelový příklad očekávaných výsledků finančního nástroje v SC 1.2 do roku 2023, příklad využití 100 % alokace programu podpory Proof of Concept prostřednictvím kapitálového finančního nástroje (zdroj: MPO)</w:t>
      </w:r>
    </w:p>
    <w:p w:rsidR="009D2CAE" w:rsidRPr="007C0CDA" w:rsidRDefault="009D2CAE" w:rsidP="00483DA7"/>
    <w:p w:rsidR="009D2CAE" w:rsidRPr="007C0CDA" w:rsidRDefault="009D2CAE" w:rsidP="00483DA7">
      <w:r w:rsidRPr="007C0CDA">
        <w:t xml:space="preserve">Očekávanými výsledky využití kapitálového nástroje v programu Proof-of-concept je krom přímých kvantifikovaných ukazatelů především zlepšení prostředí na veřejných výzkumných organizacích vůči komercionalizačním aktivitám. Nástroj má přispět ke větší motivaci VaV pracovišť ke zhodnocování svých výsledků a podpořit profesionalizaci v této oblasti. Výzkumné organizace by z něj měly </w:t>
      </w:r>
      <w:r w:rsidRPr="007C0CDA">
        <w:lastRenderedPageBreak/>
        <w:t>profitovat formou finančního profitu, navázáním spolupráce se soukromými investory, zvýšením smluvního výzkumu i prestiží v případě úspěchu některého z projektů.</w:t>
      </w:r>
    </w:p>
    <w:p w:rsidR="009D2CAE" w:rsidRPr="002433DA" w:rsidRDefault="009D2CAE" w:rsidP="002433DA">
      <w:pPr>
        <w:rPr>
          <w:b/>
        </w:rPr>
      </w:pPr>
    </w:p>
    <w:p w:rsidR="009D2CAE" w:rsidRPr="007C0CDA" w:rsidRDefault="009D2CAE" w:rsidP="00433BD7">
      <w:pPr>
        <w:pStyle w:val="Nadpis2"/>
      </w:pPr>
      <w:bookmarkStart w:id="654" w:name="_Toc416447959"/>
      <w:r w:rsidRPr="007C0CDA">
        <w:t>SC 2.1</w:t>
      </w:r>
      <w:bookmarkEnd w:id="654"/>
    </w:p>
    <w:p w:rsidR="009D2CAE" w:rsidRPr="007C0CDA" w:rsidRDefault="009D2CAE" w:rsidP="00483DA7">
      <w:pPr>
        <w:pStyle w:val="Nadpis3"/>
      </w:pPr>
      <w:bookmarkStart w:id="655" w:name="_Toc416447960"/>
      <w:r w:rsidRPr="007C0CDA">
        <w:t>Odůvodnění volby oblasti podpory a návrhu nástroje</w:t>
      </w:r>
      <w:bookmarkEnd w:id="655"/>
    </w:p>
    <w:p w:rsidR="009D2CAE" w:rsidRPr="007C0CDA" w:rsidRDefault="009D2CAE" w:rsidP="00CE3165">
      <w:r w:rsidRPr="007C0CDA">
        <w:t xml:space="preserve">Investice do zakládání a rozvoje MSP jsou spojeny s vysokým rizikem, ale zároveň vykazují dostatečně velký ziskový potenciál. MSP tak v některých případech nejsou schopny získat potřebné financování. Vzhledem k rizikovému profilu je od nich v případě žádosti o bankovní úvěr požadováno značné zajištění, které nejsou schopny poskytnout. </w:t>
      </w:r>
    </w:p>
    <w:p w:rsidR="009D2CAE" w:rsidRPr="007C0CDA" w:rsidRDefault="009D2CAE" w:rsidP="00CE3165"/>
    <w:p w:rsidR="009D2CAE" w:rsidRPr="007C0CDA" w:rsidRDefault="009D2CAE" w:rsidP="00CE3165">
      <w:r w:rsidRPr="007C0CDA">
        <w:t>Klíčová je v tomto ohledu životní fáze firmy. Zavedené MSP oproti novým společnostem disponují kumulovanými zisky, historií, případně dlouhodobým majetkem, což výrazně zvyšuje jejich šanci získat dluhové financování.</w:t>
      </w:r>
    </w:p>
    <w:p w:rsidR="009D2CAE" w:rsidRPr="007C0CDA" w:rsidRDefault="009D2CAE" w:rsidP="00CE3165"/>
    <w:p w:rsidR="009D2CAE" w:rsidRPr="007C0CDA" w:rsidRDefault="009D2CAE" w:rsidP="00CE3165">
      <w:r w:rsidRPr="007C0CDA">
        <w:t>Rizikový kapitál je v ČR dostupný, ale poměrně drahý a není typicky poskytován prostřednictvím fondů, ale na bázi dohod s business angels. Startupy navíc často neumí svůj záměr správně prezentovat či se příliš zaměřují pouze na technickou složku záměru a podceňují jeho ekonomickou přípravu, čímž se pro investory stává projekt příliš rizikovým a neatraktivním. Toto opět platí zejména o nových záměrech a firmách. Manažeři zavedených MSP mohou poukázat na úspěšnou historii hospodaření podniku, která dokazuje jejich řídící schopnost a snižuje v očích investice management risk projektu.</w:t>
      </w:r>
    </w:p>
    <w:p w:rsidR="009D2CAE" w:rsidRPr="007C0CDA" w:rsidRDefault="009D2CAE" w:rsidP="00CE3165"/>
    <w:p w:rsidR="009D2CAE" w:rsidRPr="007C0CDA" w:rsidRDefault="009D2CAE" w:rsidP="00CE3165">
      <w:r w:rsidRPr="007C0CDA">
        <w:t>I v České republice se dále začíná využívat také equity crowdfunding jako způsob financování počáteční fáze podnikání.</w:t>
      </w:r>
    </w:p>
    <w:p w:rsidR="009D2CAE" w:rsidRPr="007C0CDA" w:rsidRDefault="009D2CAE" w:rsidP="00CE3165"/>
    <w:p w:rsidR="009D2CAE" w:rsidRPr="007C0CDA" w:rsidRDefault="009D2CAE" w:rsidP="00CE3165">
      <w:r w:rsidRPr="007C0CDA">
        <w:t>Výše popsané tržní selhání považujeme vzhledem k ziskovému potenciálu inovativních MSP za vhodné řešit využitím finančních nástrojů. S ohledem na odlišné potřeby firem v závislosti na jejich životním cyklu je nutné nabídnout diferencované finanční nástroje, které budou těmto potřebám do co největší míry odpovídat.</w:t>
      </w:r>
    </w:p>
    <w:p w:rsidR="009D2CAE" w:rsidRPr="007C0CDA" w:rsidRDefault="009D2CAE" w:rsidP="00CE3165"/>
    <w:p w:rsidR="009D2CAE" w:rsidRPr="007C0CDA" w:rsidRDefault="009D2CAE" w:rsidP="00CE3165">
      <w:r w:rsidRPr="007C0CDA">
        <w:rPr>
          <w:b/>
        </w:rPr>
        <w:t>Cílem je nalézt řešení, které doručí přijatelným způsobem podporu konečnému příjemci a umožní více zvýhodnit projekty, které lépe přispějí k naplnění cílů operačního programu.</w:t>
      </w:r>
    </w:p>
    <w:p w:rsidR="009D2CAE" w:rsidRPr="007C0CDA" w:rsidRDefault="009D2CAE" w:rsidP="00CE3165"/>
    <w:p w:rsidR="009D2CAE" w:rsidRPr="007C0CDA" w:rsidRDefault="009D2CAE" w:rsidP="00CE3165">
      <w:pPr>
        <w:rPr>
          <w:b/>
        </w:rPr>
      </w:pPr>
      <w:r w:rsidRPr="007C0CDA">
        <w:rPr>
          <w:b/>
        </w:rPr>
        <w:t>Národní inovační fond</w:t>
      </w:r>
    </w:p>
    <w:p w:rsidR="009D2CAE" w:rsidRPr="007C0CDA" w:rsidRDefault="009D2CAE" w:rsidP="00CE3165">
      <w:r w:rsidRPr="007C0CDA">
        <w:t xml:space="preserve">Prvotní a časnou rozvojovou fázi MSP není vhodné financovat dluhově. Příliš velký podíl dluhu na zdrojích společnosti značně ztěžuje její pozici pro budoucí vyjednávání v dalších kolech financování. Spolu s nejistým, avšak ziskovým potenciálem společností výše uvedené vede k přesvědčení, že nejvhodnější formou veřejné podpory zakládání a rozvoje MSP jsou v případě inovativních startupů investice do jejich základního kapitálu realizované prostřednictvím kapitálového finančního nástroje, tzv. Národního inovačního fondu (NIF). </w:t>
      </w:r>
    </w:p>
    <w:p w:rsidR="009D2CAE" w:rsidRPr="007C0CDA" w:rsidRDefault="009D2CAE" w:rsidP="00CE3165"/>
    <w:p w:rsidR="009D2CAE" w:rsidRPr="007C0CDA" w:rsidRDefault="009D2CAE" w:rsidP="00CE3165">
      <w:r w:rsidRPr="007C0CDA">
        <w:rPr>
          <w:b/>
        </w:rPr>
        <w:t>Národní inovační fond investuje prostředky do fondů rizikového kapitálu</w:t>
      </w:r>
      <w:r w:rsidRPr="007C0CDA">
        <w:t xml:space="preserve"> s investiční strategií, která je zaměřena a pokud manažeři těchto fondů splní stanovené požadavky na zkušenosti a kredibilitu v oblasti investování rizikového kapitálu, stejně jako zajištění závazků soukromých investorů, neboť due diligence NIF provádí na úrovni fondů, do kterých investuje. NIF investuje typicky jako limited partner se specifickými požadavky na investiční strategii s ohledem na cíle operačního programu (malé a střední podniky vyvíjející hospodářskou činnost v České republice atd.). Schéma by mělo umožnit také podporu na scouting costs.</w:t>
      </w:r>
    </w:p>
    <w:p w:rsidR="009D2CAE" w:rsidRPr="007C0CDA" w:rsidRDefault="009D2CAE" w:rsidP="00CE3165"/>
    <w:p w:rsidR="009D2CAE" w:rsidRPr="007C0CDA" w:rsidRDefault="009D2CAE" w:rsidP="00CE3165">
      <w:r w:rsidRPr="007C0CDA">
        <w:rPr>
          <w:b/>
        </w:rPr>
        <w:lastRenderedPageBreak/>
        <w:t>NIF by měl mít též možnost přímo koinvestovat na konkrétní projekty</w:t>
      </w:r>
      <w:r w:rsidRPr="007C0CDA">
        <w:t>, avšak v tom případě musí ze strany NIF proběhnout due diligence koinvestora, typicky business angela (např. EIF takto postupuje v případě European Angels Fund). Koinvestice NIF může dále pomoci rozvinout např. vhodný program vzdělávání business angels.</w:t>
      </w:r>
    </w:p>
    <w:p w:rsidR="009D2CAE" w:rsidRPr="007C0CDA" w:rsidRDefault="009D2CAE" w:rsidP="00CE3165"/>
    <w:p w:rsidR="009D2CAE" w:rsidRPr="007C0CDA" w:rsidRDefault="009D2CAE" w:rsidP="00CE3165">
      <w:r w:rsidRPr="007C0CDA">
        <w:t>Pro úspěch projektu NIF je klíčový výběr jeho managementu, který musí být profesionální a nezávislý, jinak fond nezíská potřebnou kredibilitu, jak rovněž ukazují zahraniční zkušenosti. Pro výběr managementu je možné využít např. výběrová řízení nebo využít možnosti přímého zadání Evropskému investičnímu fondu.</w:t>
      </w:r>
    </w:p>
    <w:p w:rsidR="009D2CAE" w:rsidRPr="007C0CDA" w:rsidRDefault="009D2CAE" w:rsidP="00CE3165"/>
    <w:p w:rsidR="009D2CAE" w:rsidRPr="007C0CDA" w:rsidRDefault="009D2CAE" w:rsidP="00CE3165">
      <w:r w:rsidRPr="007C0CDA">
        <w:t xml:space="preserve">Jedním z klíčových prvků investiční strategie NIF je také zahrnutí projektů startupů usazených na území hlavního města Prahy, neboť v případě regionálního omezení fondu by se v návaznosti na zjištěné reakce strany nabídky během rozhovorů k první části předběžného posouzení nejednalo o funkční schéma. Je proto nutné pracovat na </w:t>
      </w:r>
      <w:r w:rsidRPr="007C0CDA">
        <w:rPr>
          <w:b/>
        </w:rPr>
        <w:t>zajištění komplementarity s OP PPR.</w:t>
      </w:r>
    </w:p>
    <w:p w:rsidR="009D2CAE" w:rsidRPr="007C0CDA" w:rsidRDefault="009D2CAE" w:rsidP="00CE3165"/>
    <w:p w:rsidR="009D2CAE" w:rsidRPr="007C0CDA" w:rsidRDefault="009D2CAE" w:rsidP="00CE3165">
      <w:r w:rsidRPr="007C0CDA">
        <w:t>Dále je třeba zdůraznit potřebu širší podpory vytváření startupového prostředí v České republice. Důležitá je podpora zlepšení kvality startupových projektů (koučink a další poradenské služby) a další aktivity včetně rané internacionalizace (např. výjezdy do zahraničních inkubátorů spojené s bootcampy) zajišťované zejména agenturou CzechInvest. K této podpoře by měly mít přístup zejména projekty zvažované k zainvestování NIF, ať už přímo, nebo prostřednictvím dalších fondů, a to např. prostřednictvím zjednodušených žádostí o tuto doplňkovou podporu. Doplňkově je možné podpořit též exity a to např. ve formě úhrady nákladů na IPO na alternativních investičních platformách.</w:t>
      </w:r>
    </w:p>
    <w:p w:rsidR="009D2CAE" w:rsidRPr="007C0CDA" w:rsidRDefault="009D2CAE" w:rsidP="00CE3165"/>
    <w:p w:rsidR="009D2CAE" w:rsidRPr="007C0CDA" w:rsidRDefault="009D2CAE" w:rsidP="00CE3165">
      <w:pPr>
        <w:rPr>
          <w:b/>
        </w:rPr>
      </w:pPr>
      <w:r w:rsidRPr="007C0CDA">
        <w:rPr>
          <w:b/>
        </w:rPr>
        <w:t>Úvěrový a záruční nástroj</w:t>
      </w:r>
    </w:p>
    <w:p w:rsidR="009D2CAE" w:rsidRPr="007C0CDA" w:rsidRDefault="009D2CAE" w:rsidP="00CE3165">
      <w:r w:rsidRPr="007C0CDA">
        <w:t>Na podniky hledající financování rozšiřovacích investic nahlížejí banky mnohem méně kriticky, neboť vzhledem ke skutečnostem uvedeným v odstavcích výše neztělesňují pro banku tak vysoké riziko. I přes to je velká část žadatelů o dluhové financování po analýze vyhodnocena jako příliš riziková a na požadované financování za tržních podmínek nedosáhne, případně je bankou požadovaná riziková přirážka natolik vysoká, že nepodporuje smysluplnost celé rozšiřovací investice, nebo vyvolává pochybnosti o schopnosti podniku včasně hradit úrokové náklady. Vlastníci zavedených podniků hledají investiční prostředky, ale zřídka jsou zároveň ochotni ředit svůj vlastnický podíl, a raději od realizace investice upustí, než aby ji financovali ze zdrojů, které by do společnosti přinesl nový investor.</w:t>
      </w:r>
    </w:p>
    <w:p w:rsidR="009D2CAE" w:rsidRPr="007C0CDA" w:rsidRDefault="009D2CAE" w:rsidP="00CE3165"/>
    <w:p w:rsidR="009D2CAE" w:rsidRPr="007C0CDA" w:rsidRDefault="009D2CAE" w:rsidP="00CE3165">
      <w:r w:rsidRPr="007C0CDA">
        <w:t xml:space="preserve">V tomto případě navrhujeme využití zejména úvěrových a záručních nástrojů, které prostřednictvím významného snížení rizikové expozice spolufinancujícího subjektu zpřístupňují žadatelům úvěry a snižují úrokovou sazbu, za kterou jsou úvěry poskytovány. </w:t>
      </w:r>
    </w:p>
    <w:p w:rsidR="009D2CAE" w:rsidRPr="007C0CDA" w:rsidRDefault="009D2CAE" w:rsidP="00CE3165"/>
    <w:p w:rsidR="009D2CAE" w:rsidRPr="007C0CDA" w:rsidRDefault="009D2CAE" w:rsidP="00CE3165">
      <w:r w:rsidRPr="007C0CDA">
        <w:t>V případě záruk bude finanční nástroj záruku poskytovat přímo spolufinancující bance, stejně tak peněžní prostředky k úvěrování bude finanční nástroj převádět spolufinancující bance, která bude následně odpovědná za distribuci peněz a administraci jednotlivých úvěrových případů.</w:t>
      </w:r>
    </w:p>
    <w:p w:rsidR="009D2CAE" w:rsidRPr="007C0CDA" w:rsidRDefault="009D2CAE" w:rsidP="00CE3165"/>
    <w:p w:rsidR="009D2CAE" w:rsidRPr="007C0CDA" w:rsidRDefault="009D2CAE" w:rsidP="00CE3165">
      <w:r w:rsidRPr="007C0CDA">
        <w:t>V případě úvěrů je diskutováno několik možných řešení zajištění finanční páky zapojením prostředků soukromých bank:</w:t>
      </w:r>
    </w:p>
    <w:p w:rsidR="009D2CAE" w:rsidRPr="007C0CDA" w:rsidRDefault="009D2CAE" w:rsidP="002433DA">
      <w:pPr>
        <w:numPr>
          <w:ilvl w:val="0"/>
          <w:numId w:val="50"/>
        </w:numPr>
      </w:pPr>
      <w:r w:rsidRPr="007C0CDA">
        <w:t>paralelní poskytnutí zvýhodněného a komerčního úvěru,</w:t>
      </w:r>
    </w:p>
    <w:p w:rsidR="009D2CAE" w:rsidRPr="007C0CDA" w:rsidRDefault="009D2CAE" w:rsidP="002433DA">
      <w:pPr>
        <w:numPr>
          <w:ilvl w:val="0"/>
          <w:numId w:val="50"/>
        </w:numPr>
      </w:pPr>
      <w:r w:rsidRPr="007C0CDA">
        <w:t>syndikované úvěry,</w:t>
      </w:r>
    </w:p>
    <w:p w:rsidR="009D2CAE" w:rsidRPr="007C0CDA" w:rsidRDefault="009D2CAE" w:rsidP="002433DA">
      <w:pPr>
        <w:numPr>
          <w:ilvl w:val="0"/>
          <w:numId w:val="50"/>
        </w:numPr>
      </w:pPr>
      <w:r w:rsidRPr="007C0CDA">
        <w:t>kombinace úvěru a dotace,</w:t>
      </w:r>
    </w:p>
    <w:p w:rsidR="009D2CAE" w:rsidRPr="007C0CDA" w:rsidRDefault="009D2CAE" w:rsidP="002433DA">
      <w:pPr>
        <w:numPr>
          <w:ilvl w:val="0"/>
          <w:numId w:val="50"/>
        </w:numPr>
      </w:pPr>
      <w:r w:rsidRPr="007C0CDA">
        <w:t>paralelní poskytnutí zvýhodněného podřízeného úvěru a komerčního úvěru,</w:t>
      </w:r>
    </w:p>
    <w:p w:rsidR="009D2CAE" w:rsidRPr="007C0CDA" w:rsidRDefault="009D2CAE" w:rsidP="002433DA">
      <w:pPr>
        <w:numPr>
          <w:ilvl w:val="0"/>
          <w:numId w:val="50"/>
        </w:numPr>
      </w:pPr>
      <w:r w:rsidRPr="007C0CDA">
        <w:t>paralelní poskytnutí zvýhodněného úvěru s prvky podřízenosti (např. sekundární zástavní právo) a komerčního úvěru,</w:t>
      </w:r>
    </w:p>
    <w:p w:rsidR="009D2CAE" w:rsidRPr="007C0CDA" w:rsidRDefault="009D2CAE" w:rsidP="002433DA">
      <w:pPr>
        <w:numPr>
          <w:ilvl w:val="0"/>
          <w:numId w:val="50"/>
        </w:numPr>
      </w:pPr>
      <w:r w:rsidRPr="007C0CDA">
        <w:lastRenderedPageBreak/>
        <w:t>kombinace výše uvedených mechanismů s finančním příspěvkem na úhradu úroků a finančním příspěvkem na technickou přípravu projektu.</w:t>
      </w:r>
    </w:p>
    <w:p w:rsidR="009D2CAE" w:rsidRPr="007C0CDA" w:rsidRDefault="009D2CAE" w:rsidP="00CE3165"/>
    <w:p w:rsidR="009D2CAE" w:rsidRPr="007C0CDA" w:rsidRDefault="009D2CAE" w:rsidP="00CE3165">
      <w:r w:rsidRPr="007C0CDA">
        <w:t>Varianta úvěrového fondu fondů není výše uvedena s ohledem na závěry rozhovorů se zástupci strany nabídky, které ukázaly, že toto řešení by pravděpodobně v podmínkách českého finančního trhu vedlo mj. k přenesení části administrativních nákladů na konečné příjemce.</w:t>
      </w:r>
    </w:p>
    <w:p w:rsidR="009D2CAE" w:rsidRPr="007C0CDA" w:rsidRDefault="009D2CAE" w:rsidP="00CE3165"/>
    <w:p w:rsidR="009D2CAE" w:rsidRPr="007C0CDA" w:rsidRDefault="009D2CAE" w:rsidP="00CE3165">
      <w:r w:rsidRPr="007C0CDA">
        <w:t xml:space="preserve">Dále v textu je pro ilustraci uváděna varianta kombinace zvýhodněného úvěru s finančním příspěvkem na úhradu úroků, případně též s finančním příspěvkem na technickou přípravu projektu. </w:t>
      </w:r>
    </w:p>
    <w:p w:rsidR="009D2CAE" w:rsidRPr="007C0CDA" w:rsidRDefault="009D2CAE" w:rsidP="00CE3165"/>
    <w:p w:rsidR="009D2CAE" w:rsidRPr="007C0CDA" w:rsidRDefault="009D2CAE" w:rsidP="00CE3165">
      <w:r w:rsidRPr="007C0CDA">
        <w:rPr>
          <w:b/>
        </w:rPr>
        <w:t>Opakujeme, že cílem je nalézt řešení, které doručí přijatelným způsobem podporu konečnému příjemci a umožní více zvýhodnit projekty, které lépe přispějí k naplnění cílů operačního programu. Procentní výše finančního příspěvku na úhradu úroků bude odstupňována podle skutečných výsledků projektu po jeho dokončení.</w:t>
      </w:r>
    </w:p>
    <w:p w:rsidR="009D2CAE" w:rsidRPr="007C0CDA" w:rsidRDefault="009D2CAE" w:rsidP="00CE3165"/>
    <w:p w:rsidR="009D2CAE" w:rsidRPr="007C0CDA" w:rsidRDefault="009D2CAE" w:rsidP="002433DA">
      <w:pPr>
        <w:pStyle w:val="Nadpis3"/>
      </w:pPr>
      <w:bookmarkStart w:id="656" w:name="_Toc416383975"/>
      <w:bookmarkStart w:id="657" w:name="_Toc416447961"/>
      <w:bookmarkStart w:id="658" w:name="_Toc416383976"/>
      <w:bookmarkStart w:id="659" w:name="_Toc416447962"/>
      <w:bookmarkStart w:id="660" w:name="_Toc416383977"/>
      <w:bookmarkStart w:id="661" w:name="_Toc416447963"/>
      <w:bookmarkStart w:id="662" w:name="_Toc416383978"/>
      <w:bookmarkStart w:id="663" w:name="_Toc416447964"/>
      <w:bookmarkStart w:id="664" w:name="_Toc416383979"/>
      <w:bookmarkStart w:id="665" w:name="_Toc416447965"/>
      <w:bookmarkStart w:id="666" w:name="_Toc416383980"/>
      <w:bookmarkStart w:id="667" w:name="_Toc416447966"/>
      <w:bookmarkStart w:id="668" w:name="_Toc416383981"/>
      <w:bookmarkStart w:id="669" w:name="_Toc416447967"/>
      <w:bookmarkStart w:id="670" w:name="_Toc414464605"/>
      <w:bookmarkStart w:id="671" w:name="_Toc416447968"/>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r w:rsidRPr="007C0CDA">
        <w:t>Schéma fungování navrhovaného finančního nástroje</w:t>
      </w:r>
      <w:bookmarkEnd w:id="670"/>
      <w:bookmarkEnd w:id="671"/>
    </w:p>
    <w:p w:rsidR="009D2CAE" w:rsidRPr="007C0CDA" w:rsidRDefault="009D2CAE" w:rsidP="00CE3165">
      <w:pPr>
        <w:pStyle w:val="CaptionIntroductionparagraph"/>
      </w:pPr>
      <w:r w:rsidRPr="007C0CDA">
        <w:t>Kapitálový nástroj – Národní inovační fond (SC 2.1)</w:t>
      </w:r>
    </w:p>
    <w:p w:rsidR="009D2CAE" w:rsidRPr="007C0CDA" w:rsidRDefault="009D2CAE" w:rsidP="00CE3165">
      <w:pPr>
        <w:pStyle w:val="CaptionIntroductionparagraph"/>
      </w:pPr>
    </w:p>
    <w:p w:rsidR="009D2CAE" w:rsidRPr="007C0CDA" w:rsidRDefault="002D1138" w:rsidP="00CE3165">
      <w:pPr>
        <w:pStyle w:val="CaptionIntroductionparagraph"/>
      </w:pPr>
      <w:r>
        <w:rPr>
          <w:noProof/>
          <w:lang w:eastAsia="cs-CZ"/>
        </w:rPr>
        <w:drawing>
          <wp:inline distT="0" distB="0" distL="0" distR="0" wp14:anchorId="2C671000" wp14:editId="08DD8B46">
            <wp:extent cx="5543550" cy="3190875"/>
            <wp:effectExtent l="0" t="0" r="0" b="9525"/>
            <wp:docPr id="37"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43550" cy="3190875"/>
                    </a:xfrm>
                    <a:prstGeom prst="rect">
                      <a:avLst/>
                    </a:prstGeom>
                    <a:noFill/>
                    <a:ln>
                      <a:noFill/>
                    </a:ln>
                  </pic:spPr>
                </pic:pic>
              </a:graphicData>
            </a:graphic>
          </wp:inline>
        </w:drawing>
      </w:r>
    </w:p>
    <w:p w:rsidR="009D2CAE" w:rsidRPr="007C0CDA" w:rsidRDefault="009D2CAE" w:rsidP="00CE3165">
      <w:pPr>
        <w:pStyle w:val="CaptionIntroductionparagraph"/>
        <w:jc w:val="center"/>
      </w:pPr>
    </w:p>
    <w:p w:rsidR="009D2CAE" w:rsidRPr="007C0CDA" w:rsidRDefault="009D2CAE" w:rsidP="00CE3165">
      <w:pPr>
        <w:rPr>
          <w:b/>
          <w:color w:val="00A1DE"/>
          <w:sz w:val="24"/>
          <w:szCs w:val="22"/>
        </w:rPr>
      </w:pPr>
    </w:p>
    <w:p w:rsidR="009D2CAE" w:rsidRPr="007C0CDA" w:rsidRDefault="009D2CAE" w:rsidP="00CE3165">
      <w:pPr>
        <w:rPr>
          <w:b/>
          <w:color w:val="00A1DE"/>
          <w:sz w:val="24"/>
          <w:szCs w:val="22"/>
        </w:rPr>
      </w:pPr>
    </w:p>
    <w:p w:rsidR="009D2CAE" w:rsidRPr="007C0CDA" w:rsidRDefault="009D2CAE" w:rsidP="00CE3165">
      <w:pPr>
        <w:pStyle w:val="CaptionIntroductionparagraph"/>
        <w:keepNext/>
      </w:pPr>
      <w:r w:rsidRPr="007C0CDA">
        <w:lastRenderedPageBreak/>
        <w:t>Úvěrový nástroj (SC 2.1)</w:t>
      </w:r>
    </w:p>
    <w:p w:rsidR="009D2CAE" w:rsidRPr="007C0CDA" w:rsidRDefault="009D2CAE" w:rsidP="00CE3165">
      <w:pPr>
        <w:pStyle w:val="CaptionIntroductionparagraph"/>
        <w:keepNext/>
        <w:jc w:val="center"/>
      </w:pPr>
    </w:p>
    <w:p w:rsidR="009D2CAE" w:rsidRPr="007C0CDA" w:rsidRDefault="00C41E93" w:rsidP="00CE3165">
      <w:pPr>
        <w:pStyle w:val="CaptionIntroductionparagraph"/>
        <w:keepNext/>
        <w:jc w:val="center"/>
      </w:pPr>
      <w:r w:rsidRPr="00C41E93">
        <w:rPr>
          <w:rFonts w:ascii="Calibri" w:hAnsi="Calibri"/>
          <w:b w:val="0"/>
          <w:noProof/>
          <w:color w:val="auto"/>
          <w:sz w:val="22"/>
          <w:szCs w:val="20"/>
          <w:lang w:eastAsia="cs-CZ"/>
        </w:rPr>
        <w:t xml:space="preserve"> </w:t>
      </w:r>
      <w:r w:rsidRPr="00C41E93">
        <w:drawing>
          <wp:inline distT="0" distB="0" distL="0" distR="0" wp14:anchorId="0C01E010" wp14:editId="3EFD716C">
            <wp:extent cx="4571999" cy="3114675"/>
            <wp:effectExtent l="0" t="0" r="635"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b="9167"/>
                    <a:stretch/>
                  </pic:blipFill>
                  <pic:spPr bwMode="auto">
                    <a:xfrm>
                      <a:off x="0" y="0"/>
                      <a:ext cx="4572638" cy="3115110"/>
                    </a:xfrm>
                    <a:prstGeom prst="rect">
                      <a:avLst/>
                    </a:prstGeom>
                    <a:ln>
                      <a:noFill/>
                    </a:ln>
                    <a:extLst>
                      <a:ext uri="{53640926-AAD7-44D8-BBD7-CCE9431645EC}">
                        <a14:shadowObscured xmlns:a14="http://schemas.microsoft.com/office/drawing/2010/main"/>
                      </a:ext>
                    </a:extLst>
                  </pic:spPr>
                </pic:pic>
              </a:graphicData>
            </a:graphic>
          </wp:inline>
        </w:drawing>
      </w:r>
    </w:p>
    <w:p w:rsidR="009D2CAE" w:rsidRPr="007C0CDA" w:rsidRDefault="009D2CAE" w:rsidP="00CE3165">
      <w:pPr>
        <w:jc w:val="center"/>
      </w:pPr>
    </w:p>
    <w:p w:rsidR="009D2CAE" w:rsidRPr="007C0CDA" w:rsidRDefault="009D2CAE" w:rsidP="00CE3165">
      <w:pPr>
        <w:pStyle w:val="CaptionIntroductionparagraph"/>
      </w:pPr>
      <w:r w:rsidRPr="007C0CDA">
        <w:t>Záruční nástroj (SC 2.1)</w:t>
      </w:r>
    </w:p>
    <w:p w:rsidR="009D2CAE" w:rsidRPr="007C0CDA" w:rsidRDefault="009D2CAE" w:rsidP="00CE3165">
      <w:pPr>
        <w:jc w:val="center"/>
      </w:pPr>
    </w:p>
    <w:p w:rsidR="009D2CAE" w:rsidRPr="007C0CDA" w:rsidRDefault="00C41E93" w:rsidP="00CE3165">
      <w:pPr>
        <w:jc w:val="center"/>
        <w:rPr>
          <w:b/>
          <w:bCs/>
          <w:iCs/>
          <w:color w:val="3C8A2E"/>
          <w:kern w:val="32"/>
          <w:sz w:val="24"/>
          <w:szCs w:val="26"/>
        </w:rPr>
      </w:pPr>
      <w:r w:rsidRPr="00C41E93">
        <w:rPr>
          <w:noProof/>
        </w:rPr>
        <w:t xml:space="preserve"> </w:t>
      </w:r>
      <w:r w:rsidRPr="00C41E93">
        <w:rPr>
          <w:b/>
          <w:bCs/>
          <w:iCs/>
          <w:color w:val="3C8A2E"/>
          <w:kern w:val="32"/>
          <w:sz w:val="24"/>
          <w:szCs w:val="26"/>
        </w:rPr>
        <w:drawing>
          <wp:inline distT="0" distB="0" distL="0" distR="0" wp14:anchorId="694C0F02" wp14:editId="25E8AFE5">
            <wp:extent cx="4571999" cy="3143250"/>
            <wp:effectExtent l="0" t="0" r="635" b="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b="8333"/>
                    <a:stretch/>
                  </pic:blipFill>
                  <pic:spPr bwMode="auto">
                    <a:xfrm>
                      <a:off x="0" y="0"/>
                      <a:ext cx="4572638" cy="3143689"/>
                    </a:xfrm>
                    <a:prstGeom prst="rect">
                      <a:avLst/>
                    </a:prstGeom>
                    <a:ln>
                      <a:noFill/>
                    </a:ln>
                    <a:extLst>
                      <a:ext uri="{53640926-AAD7-44D8-BBD7-CCE9431645EC}">
                        <a14:shadowObscured xmlns:a14="http://schemas.microsoft.com/office/drawing/2010/main"/>
                      </a:ext>
                    </a:extLst>
                  </pic:spPr>
                </pic:pic>
              </a:graphicData>
            </a:graphic>
          </wp:inline>
        </w:drawing>
      </w:r>
    </w:p>
    <w:p w:rsidR="009D2CAE" w:rsidRPr="007C0CDA" w:rsidRDefault="009D2CAE" w:rsidP="002433DA">
      <w:pPr>
        <w:pStyle w:val="Nadpis3"/>
      </w:pPr>
      <w:bookmarkStart w:id="672" w:name="_Toc414464606"/>
      <w:bookmarkStart w:id="673" w:name="_Toc416447969"/>
      <w:r w:rsidRPr="007C0CDA">
        <w:t>Základní parametry finančního nástroje</w:t>
      </w:r>
      <w:bookmarkEnd w:id="672"/>
      <w:bookmarkEnd w:id="673"/>
    </w:p>
    <w:p w:rsidR="009D2CAE" w:rsidRPr="007C0CDA" w:rsidRDefault="009D2CAE" w:rsidP="00CE3165">
      <w:pPr>
        <w:pStyle w:val="CaptionIntroductionparagraph"/>
      </w:pPr>
      <w:r w:rsidRPr="007C0CDA">
        <w:t>Kapitálový nástroj (SC 2.1)</w:t>
      </w:r>
    </w:p>
    <w:p w:rsidR="009D2CAE" w:rsidRPr="007C0CDA" w:rsidRDefault="009D2CAE" w:rsidP="00CE3165"/>
    <w:tbl>
      <w:tblPr>
        <w:tblW w:w="0" w:type="auto"/>
        <w:tblBorders>
          <w:top w:val="single" w:sz="4" w:space="0" w:color="92D400"/>
          <w:bottom w:val="single" w:sz="4" w:space="0" w:color="92D400"/>
          <w:insideH w:val="single" w:sz="4" w:space="0" w:color="92D400"/>
        </w:tblBorders>
        <w:tblCellMar>
          <w:top w:w="28" w:type="dxa"/>
          <w:left w:w="28" w:type="dxa"/>
          <w:bottom w:w="28" w:type="dxa"/>
          <w:right w:w="28" w:type="dxa"/>
        </w:tblCellMar>
        <w:tblLook w:val="00A0" w:firstRow="1" w:lastRow="0" w:firstColumn="1" w:lastColumn="0" w:noHBand="0" w:noVBand="0"/>
      </w:tblPr>
      <w:tblGrid>
        <w:gridCol w:w="2282"/>
        <w:gridCol w:w="6788"/>
      </w:tblGrid>
      <w:tr w:rsidR="009D2CAE" w:rsidRPr="007C0CDA" w:rsidTr="00A47740">
        <w:tc>
          <w:tcPr>
            <w:tcW w:w="2282" w:type="dxa"/>
            <w:shd w:val="clear" w:color="auto" w:fill="ECFFC3"/>
          </w:tcPr>
          <w:p w:rsidR="009D2CAE" w:rsidRPr="007C0CDA" w:rsidRDefault="009D2CAE" w:rsidP="00A47740">
            <w:pPr>
              <w:rPr>
                <w:b/>
              </w:rPr>
            </w:pPr>
          </w:p>
        </w:tc>
        <w:tc>
          <w:tcPr>
            <w:tcW w:w="6788" w:type="dxa"/>
            <w:shd w:val="clear" w:color="auto" w:fill="ECFFC3"/>
          </w:tcPr>
          <w:p w:rsidR="009D2CAE" w:rsidRPr="007C0CDA" w:rsidRDefault="009D2CAE" w:rsidP="00A47740">
            <w:pPr>
              <w:ind w:left="38"/>
              <w:rPr>
                <w:b/>
              </w:rPr>
            </w:pPr>
          </w:p>
        </w:tc>
      </w:tr>
      <w:tr w:rsidR="009D2CAE" w:rsidRPr="007C0CDA" w:rsidTr="00A47740">
        <w:tc>
          <w:tcPr>
            <w:tcW w:w="2282" w:type="dxa"/>
            <w:shd w:val="clear" w:color="auto" w:fill="92D400"/>
            <w:noWrap/>
          </w:tcPr>
          <w:p w:rsidR="009D2CAE" w:rsidRPr="007C0CDA" w:rsidRDefault="009D2CAE" w:rsidP="00A47740">
            <w:pPr>
              <w:jc w:val="left"/>
              <w:rPr>
                <w:b/>
                <w:color w:val="FFFFFF"/>
              </w:rPr>
            </w:pPr>
            <w:r w:rsidRPr="007C0CDA">
              <w:rPr>
                <w:b/>
                <w:color w:val="FFFFFF"/>
              </w:rPr>
              <w:t>Cíle finančního nástroje</w:t>
            </w:r>
          </w:p>
        </w:tc>
        <w:tc>
          <w:tcPr>
            <w:tcW w:w="6788" w:type="dxa"/>
            <w:shd w:val="clear" w:color="auto" w:fill="FFFFFF"/>
            <w:noWrap/>
          </w:tcPr>
          <w:p w:rsidR="009D2CAE" w:rsidRPr="007C0CDA" w:rsidRDefault="009D2CAE" w:rsidP="00A47740">
            <w:r w:rsidRPr="007C0CDA">
              <w:t xml:space="preserve">Finanční nástroj si klade za cíl zpřístupnit inovativně zaměřeným MSP kapitálové financování. Kapitálový vstup je návratnou formou podpory, kdy se postupně vytváří diverzifikované portfolio inovativních projektů s majetkovou účastí finančního nástroje. Nabídka veřejného kapitálového </w:t>
            </w:r>
            <w:r w:rsidRPr="007C0CDA">
              <w:lastRenderedPageBreak/>
              <w:t>financování eliminuje vysokou cenu ekvitního financování a přehnaně averzní vztah k riziku kapitálu. Využijí ho MSP, jejichž fáze rozvoje a tomu odpovídající kapitálová struktura vylučují zabezpečování investičních prostředků prostřednictvím úvěru. Posílení kapitálové struktury též zlepší vyjednávací pozici MSP pro další kola financování včetně dluhového.</w:t>
            </w:r>
          </w:p>
        </w:tc>
      </w:tr>
      <w:tr w:rsidR="009D2CAE" w:rsidRPr="007C0CDA" w:rsidTr="00A47740">
        <w:tc>
          <w:tcPr>
            <w:tcW w:w="2282" w:type="dxa"/>
            <w:shd w:val="clear" w:color="auto" w:fill="92D400"/>
            <w:noWrap/>
          </w:tcPr>
          <w:p w:rsidR="009D2CAE" w:rsidRPr="007C0CDA" w:rsidRDefault="009D2CAE" w:rsidP="00A47740">
            <w:pPr>
              <w:jc w:val="left"/>
              <w:rPr>
                <w:b/>
                <w:color w:val="FFFFFF"/>
              </w:rPr>
            </w:pPr>
            <w:r w:rsidRPr="007C0CDA">
              <w:rPr>
                <w:b/>
                <w:color w:val="FFFFFF"/>
              </w:rPr>
              <w:lastRenderedPageBreak/>
              <w:t>Definice a kritéria způsobilých projektů</w:t>
            </w:r>
          </w:p>
        </w:tc>
        <w:tc>
          <w:tcPr>
            <w:tcW w:w="6788" w:type="dxa"/>
            <w:shd w:val="clear" w:color="auto" w:fill="FFFFFF"/>
            <w:noWrap/>
          </w:tcPr>
          <w:p w:rsidR="009D2CAE" w:rsidRPr="007C0CDA" w:rsidRDefault="009D2CAE" w:rsidP="00A47740">
            <w:r w:rsidRPr="007C0CDA">
              <w:t>Konečným příjemcem mohou být inovativně zaměřené malé a střední podniky vykazující potenciál zhodnocení kapitálové investice. Důležitá je komplementarita s pražskými projekty OP PPR.</w:t>
            </w:r>
          </w:p>
        </w:tc>
      </w:tr>
      <w:tr w:rsidR="009D2CAE" w:rsidRPr="007C0CDA" w:rsidTr="00A47740">
        <w:tc>
          <w:tcPr>
            <w:tcW w:w="2282" w:type="dxa"/>
            <w:shd w:val="clear" w:color="auto" w:fill="92D400"/>
            <w:noWrap/>
          </w:tcPr>
          <w:p w:rsidR="009D2CAE" w:rsidRPr="007C0CDA" w:rsidRDefault="009D2CAE" w:rsidP="00A47740">
            <w:pPr>
              <w:jc w:val="left"/>
              <w:rPr>
                <w:b/>
                <w:color w:val="FFFFFF"/>
              </w:rPr>
            </w:pPr>
            <w:r w:rsidRPr="007C0CDA">
              <w:rPr>
                <w:b/>
                <w:color w:val="FFFFFF"/>
              </w:rPr>
              <w:t>Forma podpory</w:t>
            </w:r>
          </w:p>
        </w:tc>
        <w:tc>
          <w:tcPr>
            <w:tcW w:w="6788" w:type="dxa"/>
            <w:shd w:val="clear" w:color="auto" w:fill="FFFFFF"/>
            <w:noWrap/>
          </w:tcPr>
          <w:p w:rsidR="009D2CAE" w:rsidRPr="007C0CDA" w:rsidRDefault="009D2CAE" w:rsidP="00E56CD7">
            <w:pPr>
              <w:spacing w:after="120"/>
              <w:rPr>
                <w:rFonts w:cs="Calibri"/>
                <w:szCs w:val="22"/>
              </w:rPr>
            </w:pPr>
            <w:r w:rsidRPr="007C0CDA">
              <w:rPr>
                <w:rFonts w:cs="Calibri"/>
                <w:szCs w:val="22"/>
              </w:rPr>
              <w:t>Kapitálová investice</w:t>
            </w:r>
          </w:p>
          <w:p w:rsidR="009D2CAE" w:rsidRPr="007C0CDA" w:rsidRDefault="009D2CAE" w:rsidP="00E56CD7">
            <w:pPr>
              <w:spacing w:after="120"/>
              <w:rPr>
                <w:rFonts w:cs="Calibri"/>
                <w:i/>
                <w:szCs w:val="22"/>
              </w:rPr>
            </w:pPr>
            <w:r w:rsidRPr="007C0CDA">
              <w:rPr>
                <w:rFonts w:cs="Calibri"/>
                <w:szCs w:val="22"/>
              </w:rPr>
              <w:t xml:space="preserve">Dotace na </w:t>
            </w:r>
            <w:r w:rsidRPr="007C0CDA">
              <w:rPr>
                <w:rFonts w:cs="Calibri"/>
                <w:i/>
                <w:szCs w:val="22"/>
              </w:rPr>
              <w:t>scouting costs</w:t>
            </w:r>
          </w:p>
          <w:p w:rsidR="009D2CAE" w:rsidRPr="007C0CDA" w:rsidRDefault="009D2CAE" w:rsidP="00E56CD7">
            <w:pPr>
              <w:rPr>
                <w:b/>
              </w:rPr>
            </w:pPr>
            <w:r w:rsidRPr="007C0CDA">
              <w:rPr>
                <w:rFonts w:cs="Calibri"/>
                <w:szCs w:val="22"/>
              </w:rPr>
              <w:t>Dotace na přípravu exitu na veřejně obchodovaný trh</w:t>
            </w:r>
          </w:p>
          <w:p w:rsidR="009D2CAE" w:rsidRPr="007C0CDA" w:rsidRDefault="009D2CAE" w:rsidP="00A47740">
            <w:r w:rsidRPr="007C0CDA">
              <w:rPr>
                <w:b/>
              </w:rPr>
              <w:t>Účelově vázaný kapitálový vstup Fondu.</w:t>
            </w:r>
          </w:p>
        </w:tc>
      </w:tr>
      <w:tr w:rsidR="009D2CAE" w:rsidRPr="007C0CDA" w:rsidTr="00A47740">
        <w:tc>
          <w:tcPr>
            <w:tcW w:w="2282" w:type="dxa"/>
            <w:shd w:val="clear" w:color="auto" w:fill="92D400"/>
            <w:noWrap/>
          </w:tcPr>
          <w:p w:rsidR="009D2CAE" w:rsidRPr="007C0CDA" w:rsidRDefault="009D2CAE" w:rsidP="00A47740">
            <w:pPr>
              <w:jc w:val="left"/>
              <w:rPr>
                <w:b/>
                <w:color w:val="FFFFFF"/>
              </w:rPr>
            </w:pPr>
            <w:r w:rsidRPr="007C0CDA">
              <w:rPr>
                <w:b/>
                <w:color w:val="FFFFFF"/>
              </w:rPr>
              <w:t>Výše podpory</w:t>
            </w:r>
          </w:p>
        </w:tc>
        <w:tc>
          <w:tcPr>
            <w:tcW w:w="6788" w:type="dxa"/>
            <w:shd w:val="clear" w:color="auto" w:fill="FFFFFF"/>
            <w:noWrap/>
          </w:tcPr>
          <w:p w:rsidR="009D2CAE" w:rsidRPr="007C0CDA" w:rsidRDefault="009D2CAE" w:rsidP="00183F1E">
            <w:r w:rsidRPr="007C0CDA">
              <w:t xml:space="preserve">Při aplikaci GBER čl. 19 – Rizikový kapitál je možné s ohledem na vývojovou fázi příjemce poskytnout celkem až 15 mil. EUR equity a kvaziekvitního financování na projekt včetně následných kol financování, kde je podíl nového kapitálu minimálně 50 %. Uplatní se následující minimální hodnoty podílu prostředků odpovídajících soukromým zdrojům: 10 % pro společnosti před prvním komerčním prodejem (seed) nebo 40 % pro společnosti do 5 let na trhu a 60 % pro následná kola financování (start-up), vždy však zároveň maximálně 90 %. Následná kola financování mohou být realizována i ve finančním nástroji Investice na rozšíření. Očekáváme průměrnou výši investice </w:t>
            </w:r>
            <w:r w:rsidRPr="007C0CDA">
              <w:rPr>
                <w:rFonts w:cs="Calibri"/>
                <w:szCs w:val="22"/>
              </w:rPr>
              <w:t>800 000</w:t>
            </w:r>
            <w:r w:rsidRPr="007C0CDA">
              <w:t>  EUR. Nesmí jít o financování podniků v obtížích.Hlavní finanční mezera na trhu je v investicích nad 1 milion EUR. Bude zároveň stanoven požadavek na minimální velikost každého nového fondu.</w:t>
            </w:r>
          </w:p>
        </w:tc>
      </w:tr>
      <w:tr w:rsidR="009D2CAE" w:rsidRPr="007C0CDA" w:rsidTr="00A47740">
        <w:tc>
          <w:tcPr>
            <w:tcW w:w="2282" w:type="dxa"/>
            <w:shd w:val="clear" w:color="auto" w:fill="92D400"/>
            <w:noWrap/>
          </w:tcPr>
          <w:p w:rsidR="009D2CAE" w:rsidRPr="007C0CDA" w:rsidRDefault="009D2CAE" w:rsidP="00A47740">
            <w:pPr>
              <w:jc w:val="left"/>
              <w:rPr>
                <w:b/>
                <w:color w:val="FFFFFF"/>
              </w:rPr>
            </w:pPr>
            <w:r w:rsidRPr="007C0CDA">
              <w:rPr>
                <w:b/>
                <w:color w:val="FFFFFF"/>
              </w:rPr>
              <w:t>Základní parametry poskytované podpory</w:t>
            </w:r>
          </w:p>
        </w:tc>
        <w:tc>
          <w:tcPr>
            <w:tcW w:w="6788" w:type="dxa"/>
            <w:shd w:val="clear" w:color="auto" w:fill="FFFFFF"/>
            <w:noWrap/>
          </w:tcPr>
          <w:p w:rsidR="009D2CAE" w:rsidRPr="007C0CDA" w:rsidRDefault="009D2CAE" w:rsidP="00A47740">
            <w:r w:rsidRPr="007C0CDA">
              <w:t>Poskytovaný kapitálový vstup bude mít následující parametry:</w:t>
            </w:r>
          </w:p>
          <w:p w:rsidR="009D2CAE" w:rsidRPr="007C0CDA" w:rsidRDefault="009D2CAE" w:rsidP="002433DA">
            <w:pPr>
              <w:pStyle w:val="Odstavecseseznamem"/>
              <w:numPr>
                <w:ilvl w:val="0"/>
                <w:numId w:val="35"/>
              </w:numPr>
              <w:overflowPunct/>
              <w:autoSpaceDE/>
              <w:autoSpaceDN/>
              <w:adjustRightInd/>
              <w:ind w:left="412" w:hanging="141"/>
              <w:textAlignment w:val="auto"/>
            </w:pPr>
            <w:r w:rsidRPr="007C0CDA">
              <w:t>Výše investice bude odpovídat 100 % způsobilých nákladů zamýšleného projektu;</w:t>
            </w:r>
          </w:p>
          <w:p w:rsidR="009D2CAE" w:rsidRPr="007C0CDA" w:rsidRDefault="009D2CAE" w:rsidP="002433DA">
            <w:pPr>
              <w:pStyle w:val="Odstavecseseznamem"/>
              <w:numPr>
                <w:ilvl w:val="0"/>
                <w:numId w:val="35"/>
              </w:numPr>
              <w:overflowPunct/>
              <w:autoSpaceDE/>
              <w:autoSpaceDN/>
              <w:adjustRightInd/>
              <w:ind w:left="412" w:hanging="141"/>
              <w:textAlignment w:val="auto"/>
            </w:pPr>
            <w:r w:rsidRPr="007C0CDA">
              <w:t>NIF, zpravidla jako minoritní akcionář nebo limited partner, má nárok na výplatu podílu na zisku;</w:t>
            </w:r>
          </w:p>
          <w:p w:rsidR="009D2CAE" w:rsidRPr="007C0CDA" w:rsidRDefault="009D2CAE" w:rsidP="002433DA">
            <w:pPr>
              <w:pStyle w:val="Odstavecseseznamem"/>
              <w:numPr>
                <w:ilvl w:val="0"/>
                <w:numId w:val="35"/>
              </w:numPr>
              <w:overflowPunct/>
              <w:autoSpaceDE/>
              <w:autoSpaceDN/>
              <w:adjustRightInd/>
              <w:ind w:left="412" w:hanging="141"/>
              <w:textAlignment w:val="auto"/>
            </w:pPr>
            <w:r w:rsidRPr="007C0CDA">
              <w:t>Poskytnuté prostředky jsou účelově vázané na krytí způsobilých výdajů investičního projektu;</w:t>
            </w:r>
          </w:p>
          <w:p w:rsidR="009D2CAE" w:rsidRPr="007C0CDA" w:rsidRDefault="009D2CAE" w:rsidP="002433DA">
            <w:pPr>
              <w:pStyle w:val="Odstavecseseznamem"/>
              <w:numPr>
                <w:ilvl w:val="0"/>
                <w:numId w:val="35"/>
              </w:numPr>
              <w:overflowPunct/>
              <w:autoSpaceDE/>
              <w:autoSpaceDN/>
              <w:adjustRightInd/>
              <w:ind w:left="412" w:hanging="141"/>
              <w:textAlignment w:val="auto"/>
            </w:pPr>
            <w:r w:rsidRPr="007C0CDA">
              <w:t>Možná účast soukromých investorů a to jak na úrovni fondu, tak na úrovni projektu;</w:t>
            </w:r>
          </w:p>
          <w:p w:rsidR="009D2CAE" w:rsidRPr="007C0CDA" w:rsidRDefault="009D2CAE" w:rsidP="002433DA">
            <w:pPr>
              <w:pStyle w:val="Odstavecseseznamem"/>
              <w:numPr>
                <w:ilvl w:val="0"/>
                <w:numId w:val="35"/>
              </w:numPr>
              <w:overflowPunct/>
              <w:autoSpaceDE/>
              <w:autoSpaceDN/>
              <w:adjustRightInd/>
              <w:ind w:left="412" w:hanging="141"/>
              <w:textAlignment w:val="auto"/>
            </w:pPr>
            <w:r w:rsidRPr="007C0CDA">
              <w:t>Způsoby exitu: trade sale, IPO atd.</w:t>
            </w:r>
          </w:p>
        </w:tc>
      </w:tr>
      <w:tr w:rsidR="009D2CAE" w:rsidRPr="007C0CDA" w:rsidTr="00A47740">
        <w:tc>
          <w:tcPr>
            <w:tcW w:w="2282" w:type="dxa"/>
            <w:shd w:val="clear" w:color="auto" w:fill="92D400"/>
            <w:noWrap/>
          </w:tcPr>
          <w:p w:rsidR="009D2CAE" w:rsidRPr="007C0CDA" w:rsidRDefault="009D2CAE" w:rsidP="00A47740">
            <w:pPr>
              <w:jc w:val="left"/>
              <w:rPr>
                <w:b/>
                <w:color w:val="FFFFFF"/>
              </w:rPr>
            </w:pPr>
            <w:r w:rsidRPr="007C0CDA">
              <w:rPr>
                <w:b/>
                <w:color w:val="FFFFFF"/>
              </w:rPr>
              <w:t>Kroky vedoucí k zapojení potenciálních spoluinvestorů</w:t>
            </w:r>
          </w:p>
        </w:tc>
        <w:tc>
          <w:tcPr>
            <w:tcW w:w="6788" w:type="dxa"/>
            <w:shd w:val="clear" w:color="auto" w:fill="FFFFFF"/>
            <w:noWrap/>
          </w:tcPr>
          <w:p w:rsidR="009D2CAE" w:rsidRPr="007C0CDA" w:rsidRDefault="009D2CAE">
            <w:r w:rsidRPr="007C0CDA">
              <w:t>Nutné zapojení spoluinvestorů na úrovni koinvestic či fondu.</w:t>
            </w:r>
          </w:p>
          <w:p w:rsidR="009D2CAE" w:rsidRPr="007C0CDA" w:rsidRDefault="009D2CAE" w:rsidP="00976659"/>
          <w:p w:rsidR="009D2CAE" w:rsidRPr="007C0CDA" w:rsidRDefault="009D2CAE" w:rsidP="00A47740">
            <w:r w:rsidRPr="007C0CDA">
              <w:t>Motivace jejich zapojení by měla být zabezpečena následovně:</w:t>
            </w:r>
          </w:p>
          <w:p w:rsidR="009D2CAE" w:rsidRPr="007C0CDA" w:rsidRDefault="009D2CAE" w:rsidP="002433DA">
            <w:pPr>
              <w:pStyle w:val="Odstavecseseznamem"/>
              <w:numPr>
                <w:ilvl w:val="0"/>
                <w:numId w:val="35"/>
              </w:numPr>
              <w:overflowPunct/>
              <w:autoSpaceDE/>
              <w:autoSpaceDN/>
              <w:adjustRightInd/>
              <w:ind w:left="412" w:hanging="141"/>
              <w:textAlignment w:val="auto"/>
            </w:pPr>
            <w:r w:rsidRPr="007C0CDA">
              <w:t xml:space="preserve">Investorovi bude nabídnuto preferenční vyplácení dividend; </w:t>
            </w:r>
          </w:p>
          <w:p w:rsidR="009D2CAE" w:rsidRPr="007C0CDA" w:rsidRDefault="009D2CAE" w:rsidP="002433DA">
            <w:pPr>
              <w:pStyle w:val="Odstavecseseznamem"/>
              <w:numPr>
                <w:ilvl w:val="0"/>
                <w:numId w:val="35"/>
              </w:numPr>
              <w:overflowPunct/>
              <w:autoSpaceDE/>
              <w:autoSpaceDN/>
              <w:adjustRightInd/>
              <w:ind w:left="412" w:hanging="141"/>
              <w:textAlignment w:val="auto"/>
            </w:pPr>
            <w:r w:rsidRPr="007C0CDA">
              <w:t>Podíl na řízení společnosti a dělbě zisku dle smluvního ujednání.</w:t>
            </w:r>
          </w:p>
        </w:tc>
      </w:tr>
      <w:tr w:rsidR="009D2CAE" w:rsidRPr="007C0CDA" w:rsidTr="00A47740">
        <w:tc>
          <w:tcPr>
            <w:tcW w:w="2282" w:type="dxa"/>
            <w:shd w:val="clear" w:color="auto" w:fill="92D400"/>
            <w:noWrap/>
          </w:tcPr>
          <w:p w:rsidR="009D2CAE" w:rsidRPr="007C0CDA" w:rsidRDefault="009D2CAE" w:rsidP="00A47740">
            <w:pPr>
              <w:jc w:val="left"/>
              <w:rPr>
                <w:b/>
                <w:color w:val="FFFFFF"/>
              </w:rPr>
            </w:pPr>
            <w:r w:rsidRPr="007C0CDA">
              <w:rPr>
                <w:b/>
                <w:color w:val="FFFFFF"/>
              </w:rPr>
              <w:t>Očekávaná alokace</w:t>
            </w:r>
          </w:p>
        </w:tc>
        <w:tc>
          <w:tcPr>
            <w:tcW w:w="6788" w:type="dxa"/>
            <w:shd w:val="clear" w:color="auto" w:fill="FFFFFF"/>
            <w:noWrap/>
          </w:tcPr>
          <w:p w:rsidR="009D2CAE" w:rsidRPr="007C0CDA" w:rsidRDefault="00183F1E" w:rsidP="00183F1E">
            <w:r>
              <w:t>D</w:t>
            </w:r>
            <w:r w:rsidR="009D2CAE" w:rsidRPr="007C0CDA">
              <w:t xml:space="preserve">oporučuje kapitálový finanční nástroj využít pro cca </w:t>
            </w:r>
            <w:r>
              <w:t>1</w:t>
            </w:r>
            <w:r w:rsidR="009D2CAE" w:rsidRPr="007C0CDA">
              <w:t>0 % alokace specifického cíle 2.1</w:t>
            </w:r>
          </w:p>
        </w:tc>
      </w:tr>
    </w:tbl>
    <w:p w:rsidR="009D2CAE" w:rsidRPr="007C0CDA" w:rsidRDefault="009D2CAE" w:rsidP="00CE3165"/>
    <w:p w:rsidR="009D2CAE" w:rsidRPr="007C0CDA" w:rsidRDefault="009D2CAE" w:rsidP="00CE3165">
      <w:pPr>
        <w:pStyle w:val="CaptionIntroductionparagraph"/>
      </w:pPr>
    </w:p>
    <w:p w:rsidR="009D2CAE" w:rsidRPr="007C0CDA" w:rsidRDefault="009D2CAE" w:rsidP="00CE3165">
      <w:pPr>
        <w:pStyle w:val="CaptionIntroductionparagraph"/>
      </w:pPr>
      <w:r w:rsidRPr="007C0CDA">
        <w:t xml:space="preserve">Úvěrový nástroj </w:t>
      </w:r>
    </w:p>
    <w:p w:rsidR="009D2CAE" w:rsidRPr="007C0CDA" w:rsidRDefault="009D2CAE" w:rsidP="00CE3165"/>
    <w:tbl>
      <w:tblPr>
        <w:tblW w:w="0" w:type="auto"/>
        <w:tblBorders>
          <w:top w:val="single" w:sz="4" w:space="0" w:color="92D400"/>
          <w:bottom w:val="single" w:sz="4" w:space="0" w:color="92D400"/>
          <w:insideH w:val="single" w:sz="4" w:space="0" w:color="92D400"/>
        </w:tblBorders>
        <w:tblCellMar>
          <w:top w:w="28" w:type="dxa"/>
          <w:left w:w="28" w:type="dxa"/>
          <w:bottom w:w="28" w:type="dxa"/>
          <w:right w:w="28" w:type="dxa"/>
        </w:tblCellMar>
        <w:tblLook w:val="00A0" w:firstRow="1" w:lastRow="0" w:firstColumn="1" w:lastColumn="0" w:noHBand="0" w:noVBand="0"/>
      </w:tblPr>
      <w:tblGrid>
        <w:gridCol w:w="2282"/>
        <w:gridCol w:w="6788"/>
      </w:tblGrid>
      <w:tr w:rsidR="009D2CAE" w:rsidRPr="007C0CDA" w:rsidTr="00A47740">
        <w:tc>
          <w:tcPr>
            <w:tcW w:w="2282" w:type="dxa"/>
            <w:shd w:val="clear" w:color="auto" w:fill="ECFFC3"/>
          </w:tcPr>
          <w:p w:rsidR="009D2CAE" w:rsidRPr="007C0CDA" w:rsidRDefault="009D2CAE" w:rsidP="00A47740">
            <w:pPr>
              <w:rPr>
                <w:b/>
              </w:rPr>
            </w:pPr>
          </w:p>
        </w:tc>
        <w:tc>
          <w:tcPr>
            <w:tcW w:w="6788" w:type="dxa"/>
            <w:shd w:val="clear" w:color="auto" w:fill="ECFFC3"/>
          </w:tcPr>
          <w:p w:rsidR="009D2CAE" w:rsidRPr="007C0CDA" w:rsidRDefault="009D2CAE" w:rsidP="00A47740">
            <w:pPr>
              <w:ind w:left="38"/>
              <w:rPr>
                <w:b/>
              </w:rPr>
            </w:pPr>
          </w:p>
        </w:tc>
      </w:tr>
      <w:tr w:rsidR="009D2CAE" w:rsidRPr="007C0CDA" w:rsidTr="00A47740">
        <w:tc>
          <w:tcPr>
            <w:tcW w:w="2282" w:type="dxa"/>
            <w:shd w:val="clear" w:color="auto" w:fill="92D400"/>
            <w:noWrap/>
          </w:tcPr>
          <w:p w:rsidR="009D2CAE" w:rsidRPr="007C0CDA" w:rsidRDefault="009D2CAE" w:rsidP="00A47740">
            <w:pPr>
              <w:jc w:val="left"/>
              <w:rPr>
                <w:b/>
                <w:color w:val="FFFFFF"/>
              </w:rPr>
            </w:pPr>
            <w:r w:rsidRPr="007C0CDA">
              <w:rPr>
                <w:b/>
                <w:color w:val="FFFFFF"/>
              </w:rPr>
              <w:t>Cíle finančního nástroje</w:t>
            </w:r>
          </w:p>
        </w:tc>
        <w:tc>
          <w:tcPr>
            <w:tcW w:w="6788" w:type="dxa"/>
            <w:shd w:val="clear" w:color="auto" w:fill="FFFFFF"/>
            <w:noWrap/>
          </w:tcPr>
          <w:p w:rsidR="009D2CAE" w:rsidRPr="007C0CDA" w:rsidRDefault="009D2CAE" w:rsidP="00A47740">
            <w:r w:rsidRPr="007C0CDA">
              <w:t xml:space="preserve">Finanční nástroj si klade za cíl zpřístupnit MSP úvěrové financování jejich </w:t>
            </w:r>
            <w:r w:rsidRPr="007C0CDA">
              <w:lastRenderedPageBreak/>
              <w:t>rozvoje. Úvěrové financování je návratnou formou podpory s predikovatelným revolvingovým efektem. MSP se často nemohou financovat na trhu z důvodu nedostatečné podnikatelské historie, nedostatku kolaterálu a jiných odchylek od bankami požadovaného profilu žadatele o úvěr. Kombinace veřejných a bankovních zdrojů sníží konečnou úrokovou sazbu, za kterou bude úvěr poskytnut.</w:t>
            </w:r>
          </w:p>
        </w:tc>
      </w:tr>
      <w:tr w:rsidR="009D2CAE" w:rsidRPr="007C0CDA" w:rsidTr="00A47740">
        <w:tc>
          <w:tcPr>
            <w:tcW w:w="2282" w:type="dxa"/>
            <w:shd w:val="clear" w:color="auto" w:fill="92D400"/>
            <w:noWrap/>
          </w:tcPr>
          <w:p w:rsidR="009D2CAE" w:rsidRPr="007C0CDA" w:rsidRDefault="009D2CAE" w:rsidP="00A47740">
            <w:pPr>
              <w:jc w:val="left"/>
              <w:rPr>
                <w:b/>
                <w:color w:val="FFFFFF"/>
              </w:rPr>
            </w:pPr>
            <w:r w:rsidRPr="007C0CDA">
              <w:rPr>
                <w:b/>
                <w:color w:val="FFFFFF"/>
              </w:rPr>
              <w:lastRenderedPageBreak/>
              <w:t>Definice a kritéria způsobilých projektů</w:t>
            </w:r>
          </w:p>
        </w:tc>
        <w:tc>
          <w:tcPr>
            <w:tcW w:w="6788" w:type="dxa"/>
            <w:shd w:val="clear" w:color="auto" w:fill="FFFFFF"/>
            <w:noWrap/>
          </w:tcPr>
          <w:p w:rsidR="009D2CAE" w:rsidRPr="007C0CDA" w:rsidRDefault="009D2CAE" w:rsidP="00A47740"/>
          <w:p w:rsidR="009D2CAE" w:rsidRPr="007C0CDA" w:rsidRDefault="009D2CAE" w:rsidP="00A47740">
            <w:r w:rsidRPr="007C0CDA">
              <w:t>Podpora je určena pro financování investičních záměrů rozvoje MSP</w:t>
            </w:r>
          </w:p>
          <w:p w:rsidR="009D2CAE" w:rsidRPr="007C0CDA" w:rsidRDefault="009D2CAE" w:rsidP="00A47740">
            <w:pPr>
              <w:rPr>
                <w:b/>
              </w:rPr>
            </w:pPr>
          </w:p>
        </w:tc>
      </w:tr>
      <w:tr w:rsidR="009D2CAE" w:rsidRPr="007C0CDA" w:rsidTr="00A47740">
        <w:tc>
          <w:tcPr>
            <w:tcW w:w="2282" w:type="dxa"/>
            <w:shd w:val="clear" w:color="auto" w:fill="92D400"/>
            <w:noWrap/>
          </w:tcPr>
          <w:p w:rsidR="009D2CAE" w:rsidRPr="007C0CDA" w:rsidRDefault="009D2CAE" w:rsidP="00A47740">
            <w:pPr>
              <w:jc w:val="left"/>
              <w:rPr>
                <w:b/>
                <w:color w:val="FFFFFF"/>
              </w:rPr>
            </w:pPr>
            <w:r w:rsidRPr="007C0CDA">
              <w:rPr>
                <w:b/>
                <w:color w:val="FFFFFF"/>
              </w:rPr>
              <w:t>Forma podpory</w:t>
            </w:r>
          </w:p>
        </w:tc>
        <w:tc>
          <w:tcPr>
            <w:tcW w:w="6788" w:type="dxa"/>
            <w:shd w:val="clear" w:color="auto" w:fill="FFFFFF"/>
            <w:noWrap/>
          </w:tcPr>
          <w:p w:rsidR="009D2CAE" w:rsidRPr="007C0CDA" w:rsidRDefault="009D2CAE">
            <w:r w:rsidRPr="007C0CDA">
              <w:rPr>
                <w:rFonts w:cs="Calibri"/>
                <w:szCs w:val="22"/>
              </w:rPr>
              <w:t>Zvýhodněný úvěr se sníženou úrokovou sazbou a delší dobou splatnosti</w:t>
            </w:r>
          </w:p>
        </w:tc>
      </w:tr>
      <w:tr w:rsidR="009D2CAE" w:rsidRPr="007C0CDA" w:rsidTr="00A47740">
        <w:tc>
          <w:tcPr>
            <w:tcW w:w="2282" w:type="dxa"/>
            <w:shd w:val="clear" w:color="auto" w:fill="92D400"/>
            <w:noWrap/>
          </w:tcPr>
          <w:p w:rsidR="009D2CAE" w:rsidRPr="007C0CDA" w:rsidRDefault="009D2CAE" w:rsidP="00A47740">
            <w:pPr>
              <w:jc w:val="left"/>
              <w:rPr>
                <w:b/>
                <w:color w:val="FFFFFF"/>
              </w:rPr>
            </w:pPr>
            <w:r w:rsidRPr="007C0CDA">
              <w:rPr>
                <w:b/>
                <w:color w:val="FFFFFF"/>
              </w:rPr>
              <w:t>Výše podpory</w:t>
            </w:r>
          </w:p>
        </w:tc>
        <w:tc>
          <w:tcPr>
            <w:tcW w:w="6788" w:type="dxa"/>
            <w:shd w:val="clear" w:color="auto" w:fill="FFFFFF"/>
            <w:noWrap/>
          </w:tcPr>
          <w:p w:rsidR="009D2CAE" w:rsidRPr="007C0CDA" w:rsidRDefault="009D2CAE" w:rsidP="00A47740">
            <w:r w:rsidRPr="007C0CDA">
              <w:t>Je očekávána průměrná výše projektu okolo 300 000 EUR, minimálně však 25 000 EUR. Zvýhodněný úvěr je poskytován na max. 60 % způsobilých výdajů projektu, maximálně ve výši 100 mil. Kč.</w:t>
            </w:r>
          </w:p>
        </w:tc>
      </w:tr>
      <w:tr w:rsidR="009D2CAE" w:rsidRPr="007C0CDA" w:rsidTr="00A47740">
        <w:tc>
          <w:tcPr>
            <w:tcW w:w="2282" w:type="dxa"/>
            <w:shd w:val="clear" w:color="auto" w:fill="92D400"/>
            <w:noWrap/>
          </w:tcPr>
          <w:p w:rsidR="009D2CAE" w:rsidRPr="007C0CDA" w:rsidRDefault="009D2CAE" w:rsidP="00A47740">
            <w:pPr>
              <w:jc w:val="left"/>
              <w:rPr>
                <w:b/>
                <w:color w:val="FFFFFF"/>
              </w:rPr>
            </w:pPr>
            <w:r w:rsidRPr="007C0CDA">
              <w:rPr>
                <w:b/>
                <w:color w:val="FFFFFF"/>
              </w:rPr>
              <w:t>Základní parametry poskytované podpory</w:t>
            </w:r>
          </w:p>
        </w:tc>
        <w:tc>
          <w:tcPr>
            <w:tcW w:w="6788" w:type="dxa"/>
            <w:shd w:val="clear" w:color="auto" w:fill="FFFFFF"/>
            <w:noWrap/>
          </w:tcPr>
          <w:p w:rsidR="009D2CAE" w:rsidRPr="007C0CDA" w:rsidRDefault="009D2CAE" w:rsidP="00A47740"/>
          <w:p w:rsidR="009D2CAE" w:rsidRPr="007C0CDA" w:rsidRDefault="009D2CAE" w:rsidP="00A47740">
            <w:r w:rsidRPr="007C0CDA">
              <w:t xml:space="preserve">Podpora bude poskytována formou úvěru s nižší úrokovou sazbou a/nebo delší dobou splatnosti. Příjemce úvěru vstoupí do smluvního vztahu s vybranou bankovní institucí.  </w:t>
            </w:r>
          </w:p>
          <w:p w:rsidR="009D2CAE" w:rsidRPr="007C0CDA" w:rsidRDefault="009D2CAE" w:rsidP="00A47740"/>
          <w:p w:rsidR="009D2CAE" w:rsidRPr="007C0CDA" w:rsidRDefault="009D2CAE" w:rsidP="00A47740">
            <w:r w:rsidRPr="007C0CDA">
              <w:t xml:space="preserve">Z dotazníkového šetření vyplývá aktuální průměrná úroková sazba pro MSP je cca 3,9 % p.a.Deloitte Advisory dle dosavadních analýz navrhuje úrokovou míru FN pro konečného příjemce maximálně ve výši 2% p.a. – pro dosažení takto nízké sazby je nezbytné, aby sazba fondu byla maximálně 1%. </w:t>
            </w:r>
          </w:p>
        </w:tc>
      </w:tr>
      <w:tr w:rsidR="009D2CAE" w:rsidRPr="007C0CDA" w:rsidTr="00A47740">
        <w:tc>
          <w:tcPr>
            <w:tcW w:w="2282" w:type="dxa"/>
            <w:shd w:val="clear" w:color="auto" w:fill="92D400"/>
            <w:noWrap/>
          </w:tcPr>
          <w:p w:rsidR="009D2CAE" w:rsidRPr="007C0CDA" w:rsidRDefault="009D2CAE" w:rsidP="00A47740">
            <w:pPr>
              <w:jc w:val="left"/>
              <w:rPr>
                <w:b/>
                <w:color w:val="FFFFFF"/>
              </w:rPr>
            </w:pPr>
            <w:r w:rsidRPr="007C0CDA">
              <w:rPr>
                <w:b/>
                <w:color w:val="FFFFFF"/>
              </w:rPr>
              <w:t>Kroky k aktivizaci soukromých finančních zdrojů</w:t>
            </w:r>
          </w:p>
        </w:tc>
        <w:tc>
          <w:tcPr>
            <w:tcW w:w="6788" w:type="dxa"/>
            <w:shd w:val="clear" w:color="auto" w:fill="FFFFFF"/>
            <w:noWrap/>
          </w:tcPr>
          <w:p w:rsidR="009D2CAE" w:rsidRPr="007C0CDA" w:rsidRDefault="009D2CAE" w:rsidP="00A47740">
            <w:r w:rsidRPr="007C0CDA">
              <w:t>Dle dosavadních jednání se zainteresovanými skupinami na přípravě OP PIK 2014-2020 byla identifikována potřeba povzbuzení potenciálních spolufinancujících subjektů k zapojení se do budovaných struktur na úrovni jednotlivých projektů. Míra zapojení veřejných zdrojů – podíl je nutné nastavit na základě diskuze se zainteresovanými subjekty a potenciálními spolufinancujícími subjekty .</w:t>
            </w:r>
          </w:p>
        </w:tc>
      </w:tr>
      <w:tr w:rsidR="009D2CAE" w:rsidRPr="007C0CDA" w:rsidTr="00A47740">
        <w:tc>
          <w:tcPr>
            <w:tcW w:w="2282" w:type="dxa"/>
            <w:shd w:val="clear" w:color="auto" w:fill="92D400"/>
            <w:noWrap/>
          </w:tcPr>
          <w:p w:rsidR="009D2CAE" w:rsidRPr="007C0CDA" w:rsidRDefault="009D2CAE" w:rsidP="00A47740">
            <w:pPr>
              <w:jc w:val="left"/>
              <w:rPr>
                <w:b/>
                <w:color w:val="FFFFFF"/>
              </w:rPr>
            </w:pPr>
            <w:r w:rsidRPr="007C0CDA">
              <w:rPr>
                <w:b/>
                <w:color w:val="FFFFFF"/>
              </w:rPr>
              <w:t>Očekávaná alokace</w:t>
            </w:r>
          </w:p>
        </w:tc>
        <w:tc>
          <w:tcPr>
            <w:tcW w:w="6788" w:type="dxa"/>
            <w:shd w:val="clear" w:color="auto" w:fill="FFFFFF"/>
            <w:noWrap/>
          </w:tcPr>
          <w:p w:rsidR="009D2CAE" w:rsidRPr="007C0CDA" w:rsidRDefault="009D2CAE" w:rsidP="00A47740">
            <w:r w:rsidRPr="007C0CDA">
              <w:t xml:space="preserve">Deloitte Advisory doporučuje úvěrový finanční nástroj využít pro cca </w:t>
            </w:r>
            <w:r w:rsidR="00183F1E">
              <w:t>3</w:t>
            </w:r>
            <w:r w:rsidRPr="007C0CDA">
              <w:t>0 % alokace specifického cíle 2.1</w:t>
            </w:r>
          </w:p>
        </w:tc>
      </w:tr>
    </w:tbl>
    <w:p w:rsidR="009D2CAE" w:rsidRPr="007C0CDA" w:rsidRDefault="009D2CAE" w:rsidP="00CE3165"/>
    <w:p w:rsidR="009D2CAE" w:rsidRPr="007C0CDA" w:rsidRDefault="009D2CAE" w:rsidP="00CE3165">
      <w:pPr>
        <w:pStyle w:val="CaptionIntroductionparagraph"/>
      </w:pPr>
      <w:r w:rsidRPr="007C0CDA">
        <w:t>Individuální záruka (SC 2.1)</w:t>
      </w:r>
    </w:p>
    <w:tbl>
      <w:tblPr>
        <w:tblW w:w="0" w:type="auto"/>
        <w:tblBorders>
          <w:top w:val="single" w:sz="4" w:space="0" w:color="92D400"/>
          <w:bottom w:val="single" w:sz="4" w:space="0" w:color="92D400"/>
          <w:insideH w:val="single" w:sz="4" w:space="0" w:color="92D400"/>
        </w:tblBorders>
        <w:tblCellMar>
          <w:top w:w="28" w:type="dxa"/>
          <w:left w:w="28" w:type="dxa"/>
          <w:bottom w:w="28" w:type="dxa"/>
          <w:right w:w="28" w:type="dxa"/>
        </w:tblCellMar>
        <w:tblLook w:val="00A0" w:firstRow="1" w:lastRow="0" w:firstColumn="1" w:lastColumn="0" w:noHBand="0" w:noVBand="0"/>
      </w:tblPr>
      <w:tblGrid>
        <w:gridCol w:w="2282"/>
        <w:gridCol w:w="6788"/>
      </w:tblGrid>
      <w:tr w:rsidR="009D2CAE" w:rsidRPr="007C0CDA" w:rsidTr="00A47740">
        <w:tc>
          <w:tcPr>
            <w:tcW w:w="2282" w:type="dxa"/>
            <w:shd w:val="clear" w:color="auto" w:fill="ECFFC3"/>
          </w:tcPr>
          <w:p w:rsidR="009D2CAE" w:rsidRPr="007C0CDA" w:rsidRDefault="009D2CAE" w:rsidP="00A47740">
            <w:pPr>
              <w:rPr>
                <w:b/>
              </w:rPr>
            </w:pPr>
          </w:p>
        </w:tc>
        <w:tc>
          <w:tcPr>
            <w:tcW w:w="6788" w:type="dxa"/>
            <w:shd w:val="clear" w:color="auto" w:fill="ECFFC3"/>
          </w:tcPr>
          <w:p w:rsidR="009D2CAE" w:rsidRPr="007C0CDA" w:rsidRDefault="009D2CAE" w:rsidP="00A47740">
            <w:pPr>
              <w:ind w:left="38"/>
              <w:rPr>
                <w:b/>
              </w:rPr>
            </w:pPr>
          </w:p>
        </w:tc>
      </w:tr>
      <w:tr w:rsidR="009D2CAE" w:rsidRPr="007C0CDA" w:rsidTr="00A47740">
        <w:tc>
          <w:tcPr>
            <w:tcW w:w="2282" w:type="dxa"/>
            <w:shd w:val="clear" w:color="auto" w:fill="92D400"/>
            <w:noWrap/>
          </w:tcPr>
          <w:p w:rsidR="009D2CAE" w:rsidRPr="007C0CDA" w:rsidRDefault="009D2CAE" w:rsidP="00A47740">
            <w:pPr>
              <w:jc w:val="left"/>
              <w:rPr>
                <w:b/>
                <w:color w:val="FFFFFF"/>
              </w:rPr>
            </w:pPr>
            <w:r w:rsidRPr="007C0CDA">
              <w:rPr>
                <w:b/>
                <w:color w:val="FFFFFF"/>
              </w:rPr>
              <w:t>Cíle finančního nástroje</w:t>
            </w:r>
          </w:p>
        </w:tc>
        <w:tc>
          <w:tcPr>
            <w:tcW w:w="6788" w:type="dxa"/>
            <w:shd w:val="clear" w:color="auto" w:fill="FFFFFF"/>
            <w:noWrap/>
          </w:tcPr>
          <w:p w:rsidR="009D2CAE" w:rsidRPr="007C0CDA" w:rsidRDefault="009D2CAE" w:rsidP="00A47740">
            <w:r w:rsidRPr="007C0CDA">
              <w:t xml:space="preserve">Finanční nástroj si klade za cíl zpřístupnit úvěrové financování rozvoje MSP, které na něj za tržních podmínek nedosáhnou z důvodu nedostatečného kolaterálu. Záruční financování je nenávratná forma podpory s podmíněným čerpáním s možností výrazného pákového efektu. Individuální záruka zpřístupní financování subjektům, které by byly bankou jinak zcela odmítnuty. Všem příjemcům úvěru bude úvěr poskytnut za nižší než tržní úrokovou sazbu, jelikož záruka finančního nástroje výrazně zmírní bankou aplikovanou rizikovou přirážku. </w:t>
            </w:r>
          </w:p>
        </w:tc>
      </w:tr>
      <w:tr w:rsidR="009D2CAE" w:rsidRPr="007C0CDA" w:rsidTr="00A47740">
        <w:tc>
          <w:tcPr>
            <w:tcW w:w="2282" w:type="dxa"/>
            <w:shd w:val="clear" w:color="auto" w:fill="92D400"/>
            <w:noWrap/>
          </w:tcPr>
          <w:p w:rsidR="009D2CAE" w:rsidRPr="007C0CDA" w:rsidRDefault="009D2CAE" w:rsidP="00A47740">
            <w:pPr>
              <w:jc w:val="left"/>
              <w:rPr>
                <w:b/>
                <w:color w:val="FFFFFF"/>
              </w:rPr>
            </w:pPr>
            <w:r w:rsidRPr="007C0CDA">
              <w:rPr>
                <w:b/>
                <w:color w:val="FFFFFF"/>
              </w:rPr>
              <w:t>Definice a kritéria způsobilých projektů</w:t>
            </w:r>
          </w:p>
        </w:tc>
        <w:tc>
          <w:tcPr>
            <w:tcW w:w="6788" w:type="dxa"/>
            <w:shd w:val="clear" w:color="auto" w:fill="FFFFFF"/>
            <w:noWrap/>
          </w:tcPr>
          <w:p w:rsidR="009D2CAE" w:rsidRPr="007C0CDA" w:rsidRDefault="009D2CAE" w:rsidP="00A47740">
            <w:pPr>
              <w:rPr>
                <w:b/>
              </w:rPr>
            </w:pPr>
            <w:r w:rsidRPr="007C0CDA">
              <w:t>Podpora je určena pro financování investičních záměrů rozvoje MSP. Primárně je podpora určena pro investice do technologie, eventuálně do nemovitého majetku a souvisejících provozních nákladů.</w:t>
            </w:r>
          </w:p>
        </w:tc>
      </w:tr>
      <w:tr w:rsidR="009D2CAE" w:rsidRPr="007C0CDA" w:rsidTr="00A47740">
        <w:tc>
          <w:tcPr>
            <w:tcW w:w="2282" w:type="dxa"/>
            <w:shd w:val="clear" w:color="auto" w:fill="92D400"/>
            <w:noWrap/>
          </w:tcPr>
          <w:p w:rsidR="009D2CAE" w:rsidRPr="007C0CDA" w:rsidRDefault="009D2CAE" w:rsidP="00A47740">
            <w:pPr>
              <w:jc w:val="left"/>
              <w:rPr>
                <w:b/>
                <w:color w:val="FFFFFF"/>
              </w:rPr>
            </w:pPr>
            <w:r w:rsidRPr="007C0CDA">
              <w:rPr>
                <w:b/>
                <w:color w:val="FFFFFF"/>
              </w:rPr>
              <w:t>Forma podpory</w:t>
            </w:r>
          </w:p>
        </w:tc>
        <w:tc>
          <w:tcPr>
            <w:tcW w:w="6788" w:type="dxa"/>
            <w:shd w:val="clear" w:color="auto" w:fill="FFFFFF"/>
            <w:noWrap/>
          </w:tcPr>
          <w:p w:rsidR="009D2CAE" w:rsidRPr="007C0CDA" w:rsidRDefault="009D2CAE" w:rsidP="00A47740">
            <w:r w:rsidRPr="007C0CDA">
              <w:t xml:space="preserve">Finanční nástroj bude poskytovat podporu formou záruky úvěrové instituci za konkrétní úvěr na pořízení technologie či nemovitého DHM. Úvěr bude poskytnut se sníženou úrokovou sazbou, neboť do ní bude pouze v omezené míře promítnuta riziková přirážka. Distributorem úvěrů </w:t>
            </w:r>
            <w:r w:rsidRPr="007C0CDA">
              <w:lastRenderedPageBreak/>
              <w:t xml:space="preserve">konečným příjemcům bude úvěrující instituce. </w:t>
            </w:r>
          </w:p>
        </w:tc>
      </w:tr>
      <w:tr w:rsidR="009D2CAE" w:rsidRPr="007C0CDA" w:rsidTr="00A47740">
        <w:tc>
          <w:tcPr>
            <w:tcW w:w="2282" w:type="dxa"/>
            <w:shd w:val="clear" w:color="auto" w:fill="92D400"/>
            <w:noWrap/>
          </w:tcPr>
          <w:p w:rsidR="009D2CAE" w:rsidRPr="007C0CDA" w:rsidRDefault="009D2CAE" w:rsidP="00A47740">
            <w:pPr>
              <w:jc w:val="left"/>
              <w:rPr>
                <w:b/>
                <w:color w:val="FFFFFF"/>
              </w:rPr>
            </w:pPr>
            <w:r w:rsidRPr="007C0CDA">
              <w:rPr>
                <w:b/>
                <w:color w:val="FFFFFF"/>
              </w:rPr>
              <w:lastRenderedPageBreak/>
              <w:t>Výše podpory</w:t>
            </w:r>
          </w:p>
        </w:tc>
        <w:tc>
          <w:tcPr>
            <w:tcW w:w="6788" w:type="dxa"/>
            <w:shd w:val="clear" w:color="auto" w:fill="FFFFFF"/>
            <w:noWrap/>
          </w:tcPr>
          <w:p w:rsidR="009D2CAE" w:rsidRPr="007C0CDA" w:rsidRDefault="009D2CAE">
            <w:r w:rsidRPr="007C0CDA">
              <w:t>Očekává se průměrná výše záruky v rozmezí500 000-800 000 EUR a průměrná výše úvěru přibližně 700 000 -1 000 000 EUR. Záruky budou poskytovány až do výše 80 % jistiny úvěru, maximálně však 100 mil. Kč.</w:t>
            </w:r>
          </w:p>
        </w:tc>
      </w:tr>
      <w:tr w:rsidR="009D2CAE" w:rsidRPr="007C0CDA" w:rsidTr="00A47740">
        <w:tc>
          <w:tcPr>
            <w:tcW w:w="2282" w:type="dxa"/>
            <w:shd w:val="clear" w:color="auto" w:fill="92D400"/>
            <w:noWrap/>
          </w:tcPr>
          <w:p w:rsidR="009D2CAE" w:rsidRPr="007C0CDA" w:rsidRDefault="009D2CAE" w:rsidP="00A47740">
            <w:pPr>
              <w:jc w:val="left"/>
              <w:rPr>
                <w:b/>
                <w:color w:val="FFFFFF"/>
              </w:rPr>
            </w:pPr>
            <w:r w:rsidRPr="007C0CDA">
              <w:rPr>
                <w:b/>
                <w:color w:val="FFFFFF"/>
              </w:rPr>
              <w:t>Základní parametry poskytované podpory</w:t>
            </w:r>
          </w:p>
        </w:tc>
        <w:tc>
          <w:tcPr>
            <w:tcW w:w="6788" w:type="dxa"/>
            <w:shd w:val="clear" w:color="auto" w:fill="FFFFFF"/>
            <w:noWrap/>
          </w:tcPr>
          <w:p w:rsidR="009D2CAE" w:rsidRPr="007C0CDA" w:rsidRDefault="009D2CAE" w:rsidP="00A47740">
            <w:r w:rsidRPr="007C0CDA">
              <w:t xml:space="preserve">Podpora bude poskytována formou záruky vybraného implementačního partnera přímo úvěrové instituci klienta na bázi jednotlivých obchodních případů.   </w:t>
            </w:r>
          </w:p>
        </w:tc>
      </w:tr>
      <w:tr w:rsidR="009D2CAE" w:rsidRPr="007C0CDA" w:rsidTr="00A47740">
        <w:tc>
          <w:tcPr>
            <w:tcW w:w="2282" w:type="dxa"/>
            <w:shd w:val="clear" w:color="auto" w:fill="92D400"/>
            <w:noWrap/>
          </w:tcPr>
          <w:p w:rsidR="009D2CAE" w:rsidRPr="007C0CDA" w:rsidRDefault="009D2CAE" w:rsidP="00A47740">
            <w:pPr>
              <w:jc w:val="left"/>
              <w:rPr>
                <w:b/>
                <w:color w:val="FFFFFF"/>
              </w:rPr>
            </w:pPr>
            <w:r w:rsidRPr="007C0CDA">
              <w:rPr>
                <w:b/>
                <w:color w:val="FFFFFF"/>
              </w:rPr>
              <w:t>Kroky k aktivizaci soukromých finančních zdrojů</w:t>
            </w:r>
          </w:p>
        </w:tc>
        <w:tc>
          <w:tcPr>
            <w:tcW w:w="6788" w:type="dxa"/>
            <w:shd w:val="clear" w:color="auto" w:fill="FFFFFF"/>
            <w:noWrap/>
          </w:tcPr>
          <w:p w:rsidR="009D2CAE" w:rsidRPr="007C0CDA" w:rsidRDefault="009D2CAE" w:rsidP="00A47740">
            <w:pPr>
              <w:contextualSpacing/>
            </w:pPr>
            <w:r w:rsidRPr="007C0CDA">
              <w:t>Bankovní subjekty mají zájem klienty úvěrovat, avšak s ohledem na riziko spojené s některými obchodními případy tak nečiní. Částečná eliminace rizika umožní bankám zapůjčit další objem finančních prostředků, aniž by se provinily proti stávajícím procesům pro řízení rizika.</w:t>
            </w:r>
          </w:p>
        </w:tc>
      </w:tr>
      <w:tr w:rsidR="009D2CAE" w:rsidRPr="007C0CDA" w:rsidTr="00A47740">
        <w:tc>
          <w:tcPr>
            <w:tcW w:w="2282" w:type="dxa"/>
            <w:shd w:val="clear" w:color="auto" w:fill="92D400"/>
            <w:noWrap/>
          </w:tcPr>
          <w:p w:rsidR="009D2CAE" w:rsidRPr="007C0CDA" w:rsidRDefault="009D2CAE" w:rsidP="00A47740">
            <w:pPr>
              <w:jc w:val="left"/>
              <w:rPr>
                <w:b/>
                <w:color w:val="FFFFFF"/>
              </w:rPr>
            </w:pPr>
            <w:r w:rsidRPr="007C0CDA">
              <w:rPr>
                <w:b/>
                <w:color w:val="FFFFFF"/>
              </w:rPr>
              <w:t>Očekávaná alokace</w:t>
            </w:r>
          </w:p>
        </w:tc>
        <w:tc>
          <w:tcPr>
            <w:tcW w:w="6788" w:type="dxa"/>
            <w:shd w:val="clear" w:color="auto" w:fill="FFFFFF"/>
            <w:noWrap/>
          </w:tcPr>
          <w:p w:rsidR="009D2CAE" w:rsidRPr="007C0CDA" w:rsidRDefault="009D2CAE" w:rsidP="00A47740">
            <w:r w:rsidRPr="007C0CDA">
              <w:t>Deloitte Advisory doporučuje pro finanční nástroj individuální záruky využít 15 % alokace specifického cíle 2.1.</w:t>
            </w:r>
          </w:p>
        </w:tc>
      </w:tr>
    </w:tbl>
    <w:p w:rsidR="009D2CAE" w:rsidRPr="007C0CDA" w:rsidRDefault="009D2CAE" w:rsidP="00CE3165">
      <w:pPr>
        <w:pStyle w:val="CaptionIntroductionparagraph"/>
      </w:pPr>
    </w:p>
    <w:p w:rsidR="009D2CAE" w:rsidRPr="007C0CDA" w:rsidRDefault="009D2CAE" w:rsidP="00CE3165">
      <w:pPr>
        <w:pStyle w:val="CaptionIntroductionparagraph"/>
      </w:pPr>
      <w:r w:rsidRPr="007C0CDA">
        <w:t>Portfolio záruka (2.1)</w:t>
      </w:r>
    </w:p>
    <w:tbl>
      <w:tblPr>
        <w:tblW w:w="0" w:type="auto"/>
        <w:tblBorders>
          <w:top w:val="single" w:sz="4" w:space="0" w:color="92D400"/>
          <w:bottom w:val="single" w:sz="4" w:space="0" w:color="92D400"/>
          <w:insideH w:val="single" w:sz="4" w:space="0" w:color="92D400"/>
        </w:tblBorders>
        <w:tblCellMar>
          <w:top w:w="28" w:type="dxa"/>
          <w:left w:w="28" w:type="dxa"/>
          <w:bottom w:w="28" w:type="dxa"/>
          <w:right w:w="28" w:type="dxa"/>
        </w:tblCellMar>
        <w:tblLook w:val="00A0" w:firstRow="1" w:lastRow="0" w:firstColumn="1" w:lastColumn="0" w:noHBand="0" w:noVBand="0"/>
      </w:tblPr>
      <w:tblGrid>
        <w:gridCol w:w="2282"/>
        <w:gridCol w:w="6788"/>
      </w:tblGrid>
      <w:tr w:rsidR="009D2CAE" w:rsidRPr="007C0CDA" w:rsidTr="00A47740">
        <w:tc>
          <w:tcPr>
            <w:tcW w:w="2282" w:type="dxa"/>
            <w:shd w:val="clear" w:color="auto" w:fill="ECFFC3"/>
          </w:tcPr>
          <w:p w:rsidR="009D2CAE" w:rsidRPr="007C0CDA" w:rsidRDefault="009D2CAE" w:rsidP="00A47740">
            <w:pPr>
              <w:rPr>
                <w:b/>
              </w:rPr>
            </w:pPr>
          </w:p>
        </w:tc>
        <w:tc>
          <w:tcPr>
            <w:tcW w:w="6788" w:type="dxa"/>
            <w:shd w:val="clear" w:color="auto" w:fill="ECFFC3"/>
          </w:tcPr>
          <w:p w:rsidR="009D2CAE" w:rsidRPr="007C0CDA" w:rsidRDefault="009D2CAE" w:rsidP="00A47740">
            <w:pPr>
              <w:ind w:left="38"/>
              <w:rPr>
                <w:b/>
              </w:rPr>
            </w:pPr>
          </w:p>
        </w:tc>
      </w:tr>
      <w:tr w:rsidR="009D2CAE" w:rsidRPr="007C0CDA" w:rsidTr="00A47740">
        <w:tc>
          <w:tcPr>
            <w:tcW w:w="2282" w:type="dxa"/>
            <w:shd w:val="clear" w:color="auto" w:fill="92D400"/>
            <w:noWrap/>
          </w:tcPr>
          <w:p w:rsidR="009D2CAE" w:rsidRPr="007C0CDA" w:rsidRDefault="009D2CAE" w:rsidP="00A47740">
            <w:pPr>
              <w:jc w:val="left"/>
              <w:rPr>
                <w:b/>
                <w:color w:val="FFFFFF"/>
              </w:rPr>
            </w:pPr>
            <w:r w:rsidRPr="007C0CDA">
              <w:rPr>
                <w:b/>
                <w:color w:val="FFFFFF"/>
              </w:rPr>
              <w:t>Cíle finančního nástroje</w:t>
            </w:r>
          </w:p>
        </w:tc>
        <w:tc>
          <w:tcPr>
            <w:tcW w:w="6788" w:type="dxa"/>
            <w:shd w:val="clear" w:color="auto" w:fill="FFFFFF"/>
            <w:noWrap/>
          </w:tcPr>
          <w:p w:rsidR="009D2CAE" w:rsidRPr="007C0CDA" w:rsidRDefault="009D2CAE" w:rsidP="00A47740">
            <w:r w:rsidRPr="007C0CDA">
              <w:t xml:space="preserve">Finanční nástroj si klade za cíl zpřístupnit úvěrové financování rozvoje MSP, které na něj za tržních podmínek nedosáhnou z důvodu nedostatečného kolaterálu. Záruční financování je nenávratná forma podpory s podmíněným čerpáním s možností výrazného pákového efektu. Portfolio záruka zpřístupní financování subjektům, které by byly bankou jinak zcela odmítnuty. Všem příjemcům úvěru bude úvěr poskytnut za nižší než tržní úrokovou sazbu, jelikož záruka finančního nástroje výrazně zmírní bankou aplikovanou rizikovou přirážku. </w:t>
            </w:r>
          </w:p>
        </w:tc>
      </w:tr>
      <w:tr w:rsidR="009D2CAE" w:rsidRPr="007C0CDA" w:rsidTr="00A47740">
        <w:tc>
          <w:tcPr>
            <w:tcW w:w="2282" w:type="dxa"/>
            <w:shd w:val="clear" w:color="auto" w:fill="92D400"/>
            <w:noWrap/>
          </w:tcPr>
          <w:p w:rsidR="009D2CAE" w:rsidRPr="007C0CDA" w:rsidRDefault="009D2CAE" w:rsidP="00A47740">
            <w:pPr>
              <w:jc w:val="left"/>
              <w:rPr>
                <w:b/>
                <w:color w:val="FFFFFF"/>
              </w:rPr>
            </w:pPr>
            <w:r w:rsidRPr="007C0CDA">
              <w:rPr>
                <w:b/>
                <w:color w:val="FFFFFF"/>
              </w:rPr>
              <w:t>Definice a kritéria způsobilých projektů</w:t>
            </w:r>
          </w:p>
        </w:tc>
        <w:tc>
          <w:tcPr>
            <w:tcW w:w="6788" w:type="dxa"/>
            <w:shd w:val="clear" w:color="auto" w:fill="FFFFFF"/>
            <w:noWrap/>
          </w:tcPr>
          <w:p w:rsidR="009D2CAE" w:rsidRPr="007C0CDA" w:rsidRDefault="009D2CAE" w:rsidP="00A47740">
            <w:pPr>
              <w:rPr>
                <w:b/>
              </w:rPr>
            </w:pPr>
            <w:r w:rsidRPr="007C0CDA">
              <w:t>Podpora je určena pro financování investičních záměrů rozvoje MSP. Primárně je podpora určena pro investice do technologie, eventuálně do nemovitého majetku a souvisejících provozních nákladů.</w:t>
            </w:r>
          </w:p>
        </w:tc>
      </w:tr>
      <w:tr w:rsidR="009D2CAE" w:rsidRPr="007C0CDA" w:rsidTr="00A47740">
        <w:tc>
          <w:tcPr>
            <w:tcW w:w="2282" w:type="dxa"/>
            <w:shd w:val="clear" w:color="auto" w:fill="92D400"/>
            <w:noWrap/>
          </w:tcPr>
          <w:p w:rsidR="009D2CAE" w:rsidRPr="007C0CDA" w:rsidRDefault="009D2CAE" w:rsidP="00A47740">
            <w:pPr>
              <w:jc w:val="left"/>
              <w:rPr>
                <w:b/>
                <w:color w:val="FFFFFF"/>
              </w:rPr>
            </w:pPr>
            <w:r w:rsidRPr="007C0CDA">
              <w:rPr>
                <w:b/>
                <w:color w:val="FFFFFF"/>
              </w:rPr>
              <w:t>Forma podpory</w:t>
            </w:r>
          </w:p>
        </w:tc>
        <w:tc>
          <w:tcPr>
            <w:tcW w:w="6788" w:type="dxa"/>
            <w:shd w:val="clear" w:color="auto" w:fill="FFFFFF"/>
            <w:noWrap/>
          </w:tcPr>
          <w:p w:rsidR="009D2CAE" w:rsidRPr="007C0CDA" w:rsidRDefault="009D2CAE" w:rsidP="00A47740">
            <w:r w:rsidRPr="007C0CDA">
              <w:t>Finanční nástroj bude poskytovat podporu formou záruky úvěrové instituci za portfolio nových úvěrů na pořízení technologie či nemovitého DHM. Úvěr bude poskytnut se sníženou úrokovou sazbou, neboť do ní bude pouze v omezené míře promítnuta riziková přirážka. Distributorem úvěrů konečným příjemcům bude úvěrující instituce.</w:t>
            </w:r>
          </w:p>
        </w:tc>
      </w:tr>
      <w:tr w:rsidR="009D2CAE" w:rsidRPr="007C0CDA" w:rsidTr="00A47740">
        <w:tc>
          <w:tcPr>
            <w:tcW w:w="2282" w:type="dxa"/>
            <w:shd w:val="clear" w:color="auto" w:fill="92D400"/>
            <w:noWrap/>
          </w:tcPr>
          <w:p w:rsidR="009D2CAE" w:rsidRPr="007C0CDA" w:rsidRDefault="009D2CAE" w:rsidP="00A47740">
            <w:pPr>
              <w:jc w:val="left"/>
              <w:rPr>
                <w:b/>
                <w:color w:val="FFFFFF"/>
              </w:rPr>
            </w:pPr>
            <w:r w:rsidRPr="007C0CDA">
              <w:rPr>
                <w:b/>
                <w:color w:val="FFFFFF"/>
              </w:rPr>
              <w:t>Výše podpory</w:t>
            </w:r>
          </w:p>
        </w:tc>
        <w:tc>
          <w:tcPr>
            <w:tcW w:w="6788" w:type="dxa"/>
            <w:shd w:val="clear" w:color="auto" w:fill="FFFFFF"/>
            <w:noWrap/>
          </w:tcPr>
          <w:p w:rsidR="009D2CAE" w:rsidRPr="007C0CDA" w:rsidRDefault="009D2CAE" w:rsidP="00A47740">
            <w:r w:rsidRPr="007C0CDA">
              <w:t>Očekává se průměrná výše záruky okolo 200 000 EUR a průměrná výše úvěru přibližně 250 000 EUR. Záruky budou poskytovány až do výše 80 % jistiny úvěru, maximálně však 100 mil. Kč.</w:t>
            </w:r>
          </w:p>
        </w:tc>
      </w:tr>
      <w:tr w:rsidR="009D2CAE" w:rsidRPr="007C0CDA" w:rsidTr="00A47740">
        <w:tc>
          <w:tcPr>
            <w:tcW w:w="2282" w:type="dxa"/>
            <w:shd w:val="clear" w:color="auto" w:fill="92D400"/>
            <w:noWrap/>
          </w:tcPr>
          <w:p w:rsidR="009D2CAE" w:rsidRPr="007C0CDA" w:rsidRDefault="009D2CAE" w:rsidP="00A47740">
            <w:pPr>
              <w:jc w:val="left"/>
              <w:rPr>
                <w:b/>
                <w:color w:val="FFFFFF"/>
              </w:rPr>
            </w:pPr>
            <w:r w:rsidRPr="007C0CDA">
              <w:rPr>
                <w:b/>
                <w:color w:val="FFFFFF"/>
              </w:rPr>
              <w:t>Základní parametry poskytované podpory</w:t>
            </w:r>
          </w:p>
        </w:tc>
        <w:tc>
          <w:tcPr>
            <w:tcW w:w="6788" w:type="dxa"/>
            <w:shd w:val="clear" w:color="auto" w:fill="FFFFFF"/>
            <w:noWrap/>
          </w:tcPr>
          <w:p w:rsidR="009D2CAE" w:rsidRPr="007C0CDA" w:rsidRDefault="009D2CAE" w:rsidP="00A47740">
            <w:r w:rsidRPr="007C0CDA">
              <w:t xml:space="preserve">Podpora bude poskytována formou záruky vybraného implementačního partnera přímo úvěrové instituci klienta na bázi jednotlivých obchodních případů.   </w:t>
            </w:r>
          </w:p>
        </w:tc>
      </w:tr>
      <w:tr w:rsidR="009D2CAE" w:rsidRPr="007C0CDA" w:rsidTr="00A47740">
        <w:tc>
          <w:tcPr>
            <w:tcW w:w="2282" w:type="dxa"/>
            <w:shd w:val="clear" w:color="auto" w:fill="92D400"/>
            <w:noWrap/>
          </w:tcPr>
          <w:p w:rsidR="009D2CAE" w:rsidRPr="007C0CDA" w:rsidRDefault="009D2CAE" w:rsidP="00A47740">
            <w:pPr>
              <w:jc w:val="left"/>
              <w:rPr>
                <w:b/>
                <w:color w:val="FFFFFF"/>
              </w:rPr>
            </w:pPr>
            <w:r w:rsidRPr="007C0CDA">
              <w:rPr>
                <w:b/>
                <w:color w:val="FFFFFF"/>
              </w:rPr>
              <w:t>Kroky k aktivizaci soukromých finančních zdrojů</w:t>
            </w:r>
          </w:p>
        </w:tc>
        <w:tc>
          <w:tcPr>
            <w:tcW w:w="6788" w:type="dxa"/>
            <w:shd w:val="clear" w:color="auto" w:fill="FFFFFF"/>
            <w:noWrap/>
          </w:tcPr>
          <w:p w:rsidR="009D2CAE" w:rsidRPr="007C0CDA" w:rsidRDefault="009D2CAE" w:rsidP="00A47740">
            <w:pPr>
              <w:contextualSpacing/>
            </w:pPr>
            <w:r w:rsidRPr="007C0CDA">
              <w:t>Bankovní subjekty mají zájem klienty úvěrovat, avšak s ohledem na riziko spojené s některými obchodními případy tak nečiní. Částečná eliminace rizika umožní bankám zapůjčit další objem finančních prostředků, aniž by se provinily proti stávajícím procesům pro řízení rizika.</w:t>
            </w:r>
          </w:p>
        </w:tc>
      </w:tr>
      <w:tr w:rsidR="009D2CAE" w:rsidRPr="007C0CDA" w:rsidTr="00A47740">
        <w:tc>
          <w:tcPr>
            <w:tcW w:w="2282" w:type="dxa"/>
            <w:shd w:val="clear" w:color="auto" w:fill="92D400"/>
            <w:noWrap/>
          </w:tcPr>
          <w:p w:rsidR="009D2CAE" w:rsidRPr="007C0CDA" w:rsidRDefault="009D2CAE" w:rsidP="00A47740">
            <w:pPr>
              <w:jc w:val="left"/>
              <w:rPr>
                <w:b/>
                <w:color w:val="FFFFFF"/>
              </w:rPr>
            </w:pPr>
            <w:r w:rsidRPr="007C0CDA">
              <w:rPr>
                <w:b/>
                <w:color w:val="FFFFFF"/>
              </w:rPr>
              <w:t>Očekávaná alokace</w:t>
            </w:r>
          </w:p>
        </w:tc>
        <w:tc>
          <w:tcPr>
            <w:tcW w:w="6788" w:type="dxa"/>
            <w:shd w:val="clear" w:color="auto" w:fill="FFFFFF"/>
            <w:noWrap/>
          </w:tcPr>
          <w:p w:rsidR="009D2CAE" w:rsidRPr="007C0CDA" w:rsidRDefault="009D2CAE" w:rsidP="00A47740">
            <w:r w:rsidRPr="007C0CDA">
              <w:t>Deloitte Advisory doporučuje pro finanční nástroj portfoliové záruky využít 15 % alokace specifického cíle 2.1,.</w:t>
            </w:r>
          </w:p>
        </w:tc>
      </w:tr>
    </w:tbl>
    <w:p w:rsidR="009D2CAE" w:rsidRPr="007C0CDA" w:rsidRDefault="009D2CAE" w:rsidP="002433DA">
      <w:pPr>
        <w:pStyle w:val="Nadpis3"/>
      </w:pPr>
      <w:bookmarkStart w:id="674" w:name="_Toc414464607"/>
      <w:bookmarkStart w:id="675" w:name="_Toc416447970"/>
      <w:r w:rsidRPr="007C0CDA">
        <w:t>Posouzení zkušeností získaných v minulosti</w:t>
      </w:r>
      <w:bookmarkEnd w:id="674"/>
      <w:bookmarkEnd w:id="675"/>
    </w:p>
    <w:p w:rsidR="009D2CAE" w:rsidRPr="007C0CDA" w:rsidRDefault="009D2CAE" w:rsidP="00CE3165">
      <w:pPr>
        <w:pStyle w:val="CaptionIntroductionparagraph"/>
      </w:pPr>
      <w:r w:rsidRPr="007C0CDA">
        <w:t xml:space="preserve">SC 2.1 </w:t>
      </w:r>
    </w:p>
    <w:p w:rsidR="009D2CAE" w:rsidRPr="007C0CDA" w:rsidRDefault="009D2CAE" w:rsidP="00A6535B">
      <w:pPr>
        <w:pStyle w:val="Neslovannadpisy"/>
      </w:pPr>
      <w:r w:rsidRPr="007C0CDA">
        <w:t>Dluhové nástroje OP PI (2007 – 2013)</w:t>
      </w:r>
    </w:p>
    <w:p w:rsidR="009D2CAE" w:rsidRPr="007C0CDA" w:rsidRDefault="009D2CAE" w:rsidP="00CE3165">
      <w:r w:rsidRPr="007C0CDA">
        <w:rPr>
          <w:b/>
        </w:rPr>
        <w:lastRenderedPageBreak/>
        <w:t>Návrh využití úvěrových a záručních nástrojů</w:t>
      </w:r>
      <w:r w:rsidRPr="007C0CDA">
        <w:t xml:space="preserve"> je podepřen zkušeností z minulosti, tedy zájmem o podporu čerpanou za využití finančních nástrojů v programovém období 2007-2013, za využití programů Start, Záruka, Progres OPPI, jako i zkušeností se zájmem o obdobné nástroje poskytované z národních zdrojů programy ČMZRB. Níže jsou uvedeny konkrétní výsledky jednotlivých programů.</w:t>
      </w:r>
    </w:p>
    <w:p w:rsidR="009D2CAE" w:rsidRPr="007C0CDA" w:rsidRDefault="009D2CAE" w:rsidP="00CE3165"/>
    <w:p w:rsidR="009D2CAE" w:rsidRPr="007C0CDA" w:rsidRDefault="009D2CAE" w:rsidP="00CE3165">
      <w:pPr>
        <w:rPr>
          <w:b/>
          <w:i/>
        </w:rPr>
      </w:pPr>
      <w:r w:rsidRPr="007C0CDA">
        <w:rPr>
          <w:b/>
          <w:i/>
        </w:rPr>
        <w:t>START</w:t>
      </w:r>
    </w:p>
    <w:p w:rsidR="009D2CAE" w:rsidRPr="007C0CDA" w:rsidRDefault="009D2CAE" w:rsidP="00CE3165">
      <w:pPr>
        <w:rPr>
          <w:i/>
          <w:u w:val="single"/>
        </w:rPr>
      </w:pPr>
      <w:r w:rsidRPr="007C0CDA">
        <w:rPr>
          <w:i/>
          <w:u w:val="single"/>
        </w:rPr>
        <w:t>Úvěry</w:t>
      </w:r>
    </w:p>
    <w:p w:rsidR="009D2CAE" w:rsidRPr="007C0CDA" w:rsidRDefault="009D2CAE" w:rsidP="002433DA">
      <w:pPr>
        <w:numPr>
          <w:ilvl w:val="0"/>
          <w:numId w:val="46"/>
        </w:numPr>
        <w:overflowPunct/>
        <w:autoSpaceDE/>
        <w:autoSpaceDN/>
        <w:adjustRightInd/>
        <w:textAlignment w:val="auto"/>
        <w:rPr>
          <w:i/>
        </w:rPr>
      </w:pPr>
      <w:r w:rsidRPr="007C0CDA">
        <w:rPr>
          <w:i/>
        </w:rPr>
        <w:t>Z celkového objemu uzavřených smluv 2,254 mil. EUR (62,5 mil. Kč) a počtu 97 úvěrů bylo k 31. 12. 2014 celkem 16 úvěrů s pohledávkami po splatnosti, výše těchto pohledávek, včetně sankčních úroků, činila 142 527 EUR (mil. 3,952 Kč), což představovalo 6,3 % z objemu poskytnutých úvěrů a  17,6 % z počtu poskytnutých úvěrů. Zůstatek jistiny úvěru do splatnosti činil k 31. 12. 2014 částku  76 529 EUR (2,122 mil. Kč). Výše splacené jistiny činila k 31.12.2013  částku   2,107 mil. EUR (58,428 mil. Kč), tj. 93,5 % vyčerpaných úvěrů. Plně splaceno bylo již 51 úvěrů v celkové výši  1,203 mil. EUR (33,362 mil. Kč)</w:t>
      </w:r>
    </w:p>
    <w:p w:rsidR="009D2CAE" w:rsidRPr="007C0CDA" w:rsidRDefault="009D2CAE" w:rsidP="002433DA">
      <w:pPr>
        <w:numPr>
          <w:ilvl w:val="0"/>
          <w:numId w:val="46"/>
        </w:numPr>
        <w:overflowPunct/>
        <w:autoSpaceDE/>
        <w:autoSpaceDN/>
        <w:adjustRightInd/>
        <w:textAlignment w:val="auto"/>
        <w:rPr>
          <w:i/>
        </w:rPr>
      </w:pPr>
      <w:r w:rsidRPr="007C0CDA">
        <w:rPr>
          <w:i/>
        </w:rPr>
        <w:t>V programu START nebyly dosud odepsány žádné pohledávky pro nedobytnost.S přihlédnutím k tomu, že splácení úvěrů probíhalo v období nepříznivého ekonomického vývoje, je vývoj</w:t>
      </w:r>
      <w:r w:rsidRPr="007C0CDA">
        <w:rPr>
          <w:i/>
          <w:u w:val="single"/>
        </w:rPr>
        <w:t xml:space="preserve"> vytvořeného portfolia úvěrů velmi dobrý.</w:t>
      </w:r>
    </w:p>
    <w:p w:rsidR="009D2CAE" w:rsidRPr="007C0CDA" w:rsidRDefault="009D2CAE" w:rsidP="00CE3165">
      <w:pPr>
        <w:rPr>
          <w:i/>
          <w:u w:val="single"/>
        </w:rPr>
      </w:pPr>
    </w:p>
    <w:p w:rsidR="009D2CAE" w:rsidRPr="007C0CDA" w:rsidRDefault="009D2CAE" w:rsidP="00CE3165">
      <w:pPr>
        <w:rPr>
          <w:i/>
          <w:u w:val="single"/>
        </w:rPr>
      </w:pPr>
      <w:r w:rsidRPr="007C0CDA">
        <w:rPr>
          <w:i/>
          <w:u w:val="single"/>
        </w:rPr>
        <w:t>Záruky</w:t>
      </w:r>
    </w:p>
    <w:p w:rsidR="009D2CAE" w:rsidRPr="007C0CDA" w:rsidRDefault="009D2CAE" w:rsidP="002433DA">
      <w:pPr>
        <w:numPr>
          <w:ilvl w:val="0"/>
          <w:numId w:val="47"/>
        </w:numPr>
        <w:overflowPunct/>
        <w:autoSpaceDE/>
        <w:autoSpaceDN/>
        <w:adjustRightInd/>
        <w:textAlignment w:val="auto"/>
        <w:rPr>
          <w:i/>
        </w:rPr>
      </w:pPr>
      <w:r w:rsidRPr="007C0CDA">
        <w:rPr>
          <w:i/>
        </w:rPr>
        <w:t xml:space="preserve">Z celkové výše poskytnutých záruk 3,657 mil. EUR (101,4 mil. Kč) a počtu záruk 85, bylo poskytnuto plnění ze záruk ve výši 217 506 EUR (6,031 mil. Kč) pro 9 záruk, což představuje 5,95% z výše poskytnutých záruk a 10,58 % z počtu poskytnutých záruk. </w:t>
      </w:r>
    </w:p>
    <w:p w:rsidR="009D2CAE" w:rsidRPr="002433DA" w:rsidRDefault="009D2CAE" w:rsidP="002433DA">
      <w:pPr>
        <w:numPr>
          <w:ilvl w:val="0"/>
          <w:numId w:val="47"/>
        </w:numPr>
        <w:overflowPunct/>
        <w:autoSpaceDE/>
        <w:autoSpaceDN/>
        <w:adjustRightInd/>
        <w:textAlignment w:val="auto"/>
        <w:rPr>
          <w:i/>
        </w:rPr>
      </w:pPr>
      <w:r w:rsidRPr="007C0CDA">
        <w:rPr>
          <w:i/>
        </w:rPr>
        <w:t xml:space="preserve">Po ukončení procesu vymáhání byly pro nedobytnost odepsány pohledávky ve výši 0,3 mil. Kč u 2 záruk. Stav tohoto portfolia záruk a jeho vývoj je zatím </w:t>
      </w:r>
      <w:r w:rsidRPr="002433DA">
        <w:rPr>
          <w:i/>
        </w:rPr>
        <w:t>poměrně příznivý.</w:t>
      </w:r>
      <w:r w:rsidR="00727227">
        <w:rPr>
          <w:i/>
        </w:rPr>
        <w:t xml:space="preserve"> Je však třeba brát v úvahu charakter záručního instrumentu, který primárně necílí na revolving, ale pákový efekt. ČMZRB neočekává na konci výrazné přebytky na záručním účtu.</w:t>
      </w:r>
    </w:p>
    <w:p w:rsidR="00727227" w:rsidRPr="007C0CDA" w:rsidRDefault="00727227" w:rsidP="002433DA">
      <w:pPr>
        <w:overflowPunct/>
        <w:autoSpaceDE/>
        <w:autoSpaceDN/>
        <w:adjustRightInd/>
        <w:ind w:left="360"/>
        <w:textAlignment w:val="auto"/>
        <w:rPr>
          <w:i/>
        </w:rPr>
      </w:pPr>
    </w:p>
    <w:p w:rsidR="009D2CAE" w:rsidRPr="007C0CDA" w:rsidRDefault="009D2CAE" w:rsidP="00CE3165">
      <w:pPr>
        <w:rPr>
          <w:b/>
          <w:i/>
        </w:rPr>
      </w:pPr>
    </w:p>
    <w:p w:rsidR="009D2CAE" w:rsidRPr="007C0CDA" w:rsidRDefault="009D2CAE" w:rsidP="00CE3165">
      <w:pPr>
        <w:rPr>
          <w:b/>
          <w:i/>
        </w:rPr>
      </w:pPr>
      <w:r w:rsidRPr="007C0CDA">
        <w:rPr>
          <w:b/>
          <w:i/>
        </w:rPr>
        <w:t>ZÁRUKA</w:t>
      </w:r>
    </w:p>
    <w:p w:rsidR="009D2CAE" w:rsidRDefault="009D2CAE" w:rsidP="002433DA">
      <w:pPr>
        <w:numPr>
          <w:ilvl w:val="0"/>
          <w:numId w:val="48"/>
        </w:numPr>
        <w:overflowPunct/>
        <w:autoSpaceDE/>
        <w:autoSpaceDN/>
        <w:adjustRightInd/>
        <w:textAlignment w:val="auto"/>
        <w:rPr>
          <w:i/>
        </w:rPr>
      </w:pPr>
      <w:r w:rsidRPr="007C0CDA">
        <w:rPr>
          <w:i/>
        </w:rPr>
        <w:t xml:space="preserve">Z celkové výše poskytnutých záruk 409,041 mil. EUR (11 341,9 mil. Kč) a počtu 2 011 záruk, bylo k 31. 12. 2014 poskytnuto plnění ve výši 12,847 mil. EUR (356,208 mil. Kč u 181 záruk, což představuje 3,1 % z výše vystavených záruk a 9,0 % z počtu poskytnutých záruk. </w:t>
      </w:r>
      <w:r w:rsidR="00727227">
        <w:rPr>
          <w:i/>
        </w:rPr>
        <w:t xml:space="preserve"> </w:t>
      </w:r>
    </w:p>
    <w:p w:rsidR="009D2CAE" w:rsidRPr="007C0CDA" w:rsidRDefault="009D2CAE" w:rsidP="002433DA">
      <w:pPr>
        <w:numPr>
          <w:ilvl w:val="0"/>
          <w:numId w:val="48"/>
        </w:numPr>
        <w:overflowPunct/>
        <w:autoSpaceDE/>
        <w:autoSpaceDN/>
        <w:adjustRightInd/>
        <w:textAlignment w:val="auto"/>
        <w:rPr>
          <w:i/>
        </w:rPr>
      </w:pPr>
      <w:r w:rsidRPr="007C0CDA">
        <w:rPr>
          <w:i/>
        </w:rPr>
        <w:t>Po ukončení procesu vymáhání byly pro nedobytnost odepsány pohledávky takto:</w:t>
      </w:r>
    </w:p>
    <w:p w:rsidR="009D2CAE" w:rsidRPr="007C0CDA" w:rsidRDefault="009D2CAE" w:rsidP="002433DA">
      <w:pPr>
        <w:numPr>
          <w:ilvl w:val="1"/>
          <w:numId w:val="48"/>
        </w:numPr>
        <w:overflowPunct/>
        <w:autoSpaceDE/>
        <w:autoSpaceDN/>
        <w:adjustRightInd/>
        <w:textAlignment w:val="auto"/>
        <w:rPr>
          <w:i/>
        </w:rPr>
      </w:pPr>
      <w:r w:rsidRPr="007C0CDA">
        <w:rPr>
          <w:i/>
        </w:rPr>
        <w:t>S-Záruky EUR 1 305 540 (36,2 mil. Kč) u 12 záruk,</w:t>
      </w:r>
    </w:p>
    <w:p w:rsidR="009D2CAE" w:rsidRPr="007C0CDA" w:rsidRDefault="009D2CAE" w:rsidP="002433DA">
      <w:pPr>
        <w:numPr>
          <w:ilvl w:val="1"/>
          <w:numId w:val="48"/>
        </w:numPr>
        <w:overflowPunct/>
        <w:autoSpaceDE/>
        <w:autoSpaceDN/>
        <w:adjustRightInd/>
        <w:textAlignment w:val="auto"/>
        <w:rPr>
          <w:i/>
        </w:rPr>
      </w:pPr>
      <w:r w:rsidRPr="007C0CDA">
        <w:rPr>
          <w:i/>
        </w:rPr>
        <w:t xml:space="preserve">M-záruky EUR 2 445 182 (67,8 mil. Kč) u 36 záruk.            </w:t>
      </w:r>
    </w:p>
    <w:p w:rsidR="00727227" w:rsidRPr="005C7064" w:rsidRDefault="00A60CEF" w:rsidP="00727227">
      <w:pPr>
        <w:numPr>
          <w:ilvl w:val="0"/>
          <w:numId w:val="48"/>
        </w:numPr>
        <w:overflowPunct/>
        <w:autoSpaceDE/>
        <w:autoSpaceDN/>
        <w:adjustRightInd/>
        <w:textAlignment w:val="auto"/>
        <w:rPr>
          <w:i/>
        </w:rPr>
      </w:pPr>
      <w:r>
        <w:rPr>
          <w:i/>
        </w:rPr>
        <w:t xml:space="preserve">Při interpretaci výsledků je třeba zohlednit neukončený cyklus. Z </w:t>
      </w:r>
      <w:r w:rsidR="00727227">
        <w:rPr>
          <w:i/>
        </w:rPr>
        <w:t xml:space="preserve"> charakter</w:t>
      </w:r>
      <w:r>
        <w:rPr>
          <w:i/>
        </w:rPr>
        <w:t>u</w:t>
      </w:r>
      <w:r w:rsidR="00727227">
        <w:rPr>
          <w:i/>
        </w:rPr>
        <w:t xml:space="preserve"> záručního instrumentu</w:t>
      </w:r>
      <w:r>
        <w:rPr>
          <w:i/>
        </w:rPr>
        <w:t xml:space="preserve"> vychází minimální revolving.</w:t>
      </w:r>
      <w:r w:rsidR="00727227">
        <w:rPr>
          <w:i/>
        </w:rPr>
        <w:t xml:space="preserve"> ČMZRB neočekává na konci výrazné přebytky na záručním účtu.</w:t>
      </w:r>
    </w:p>
    <w:p w:rsidR="00727227" w:rsidRPr="007C0CDA" w:rsidRDefault="00727227" w:rsidP="00CE3165">
      <w:pPr>
        <w:rPr>
          <w:b/>
          <w:i/>
        </w:rPr>
      </w:pPr>
    </w:p>
    <w:p w:rsidR="009D2CAE" w:rsidRPr="007C0CDA" w:rsidRDefault="009D2CAE" w:rsidP="00CE3165">
      <w:pPr>
        <w:rPr>
          <w:b/>
          <w:i/>
        </w:rPr>
      </w:pPr>
      <w:r w:rsidRPr="007C0CDA">
        <w:rPr>
          <w:b/>
          <w:i/>
        </w:rPr>
        <w:t>PROGRES</w:t>
      </w:r>
    </w:p>
    <w:p w:rsidR="009D2CAE" w:rsidRPr="007C0CDA" w:rsidRDefault="009D2CAE" w:rsidP="002433DA">
      <w:pPr>
        <w:numPr>
          <w:ilvl w:val="0"/>
          <w:numId w:val="49"/>
        </w:numPr>
        <w:overflowPunct/>
        <w:autoSpaceDE/>
        <w:autoSpaceDN/>
        <w:adjustRightInd/>
        <w:textAlignment w:val="auto"/>
        <w:rPr>
          <w:i/>
        </w:rPr>
      </w:pPr>
      <w:r w:rsidRPr="007C0CDA">
        <w:rPr>
          <w:i/>
        </w:rPr>
        <w:t xml:space="preserve">Z celkové výše poskytnutých podřízených úvěrů  137,298 mil. EUR (3 807,0 mil. Kč) a počtu  472, činily k 31. 12. 2014 pohledávky po lhůtě splatnosti, včetně dlužných úroků (sankčních a úroků z úvěrů) u 36 úvěrů, částku 3,448 mil. EUR ( 95,610 mil. Kč), což představuje 2,5  % z výše poskytnutých úvěrů a  7,6 % z počtu poskytnutých úvěrů. </w:t>
      </w:r>
    </w:p>
    <w:p w:rsidR="009D2CAE" w:rsidRPr="007C0CDA" w:rsidRDefault="009D2CAE" w:rsidP="002433DA">
      <w:pPr>
        <w:numPr>
          <w:ilvl w:val="0"/>
          <w:numId w:val="49"/>
        </w:numPr>
        <w:overflowPunct/>
        <w:autoSpaceDE/>
        <w:autoSpaceDN/>
        <w:adjustRightInd/>
        <w:textAlignment w:val="auto"/>
        <w:rPr>
          <w:i/>
        </w:rPr>
      </w:pPr>
      <w:r w:rsidRPr="007C0CDA">
        <w:rPr>
          <w:i/>
        </w:rPr>
        <w:t>V programu PROGRES nebyly dosud odepsány žádné pohledávky pro nedobytnost. Zůstatek jistiny úvěru do splatnosti k 31.12.2014 činil  76,</w:t>
      </w:r>
      <w:r w:rsidR="004D2522">
        <w:rPr>
          <w:i/>
        </w:rPr>
        <w:t xml:space="preserve"> </w:t>
      </w:r>
      <w:r w:rsidRPr="007C0CDA">
        <w:rPr>
          <w:i/>
        </w:rPr>
        <w:t>856 mil. EUR (2 131,075 mil. Kč). Výše plně splacených úvěrů je 17,194 mil. EUR (476,755 mil. Kč), počet splacených úvěrů je 68.</w:t>
      </w:r>
    </w:p>
    <w:p w:rsidR="009D2CAE" w:rsidRPr="007C0CDA" w:rsidRDefault="009D2CAE" w:rsidP="00CE3165"/>
    <w:p w:rsidR="009D2CAE" w:rsidRPr="007C0CDA" w:rsidRDefault="009D2CAE" w:rsidP="00CE3165">
      <w:r w:rsidRPr="007C0CDA">
        <w:t xml:space="preserve">Co se týče zahraniční zkušenosti, sledovaná oblast podpory rozvoje malých a středních podniků je stěžejní oblastí, kterou Evropská komise považuje za vhodnou pro využití finančních nástrojů – tuto skutečnost dokládá fakt, že do této oblasti směřovala valná většina budovaných finančních nástrojů </w:t>
      </w:r>
      <w:r w:rsidRPr="007C0CDA">
        <w:lastRenderedPageBreak/>
        <w:t>v rámci programového období 2007-2013, dále pak extensivní metodická podpora k tématu pro nové období (mj. i detailně propracovaná samostatná metodika v rámci série metodik EK k tématu), dále pak i návrh tzv. off-the-shelf nástrojů, které v současné podobě všechny míří na oblast podpory MSP, v neposlední řadě také existencí samostatných nařízení, guidance materiálů a pokynů či sdělení EK, které specificky adresují oblast rizikového financování či poskytování záruk/úvěrů rozvíjejícím se MSP.</w:t>
      </w:r>
    </w:p>
    <w:p w:rsidR="009D2CAE" w:rsidRPr="007C0CDA" w:rsidRDefault="009D2CAE" w:rsidP="00CE3165"/>
    <w:p w:rsidR="009D2CAE" w:rsidRPr="007C0CDA" w:rsidRDefault="009D2CAE" w:rsidP="00CE3165">
      <w:r w:rsidRPr="007C0CDA">
        <w:t>Výše popsaný návrh podoby budoucích finančních nástrojů reflektuje dobrou praxi národních programů ČMZRB, zkušenosti získané během využívání finančních nástrojů v rámci OP</w:t>
      </w:r>
      <w:r w:rsidR="00E3617A">
        <w:t xml:space="preserve"> </w:t>
      </w:r>
      <w:r w:rsidRPr="007C0CDA">
        <w:t>PI, tak i dobrou zahraniční praxi.</w:t>
      </w:r>
    </w:p>
    <w:p w:rsidR="009D2CAE" w:rsidRPr="007C0CDA" w:rsidRDefault="009D2CAE" w:rsidP="00CE3165"/>
    <w:p w:rsidR="009D2CAE" w:rsidRPr="007C0CDA" w:rsidRDefault="009D2CAE" w:rsidP="00CE3165">
      <w:r w:rsidRPr="007C0CDA">
        <w:rPr>
          <w:b/>
        </w:rPr>
        <w:t>S využitím nástroje podoby kapitálových vstupů</w:t>
      </w:r>
      <w:r w:rsidRPr="007C0CDA">
        <w:t xml:space="preserve"> v ČR neexistuje minulá zkušenost, neboť pokus o zřízení této formy podpory v programovém období 2007-2013 v rámci OPPI nebyl úspěšný, avšak umožnil otevření veřejné debaty na dané téma a celá fáze přípravy tohoto fondu znamenala získání důležitých zkušeností. Během příprav Seed fondu byla identifikována celá řada konkrétních omezení, které jsou relevantní i pro současně plánované návrhy zřízení fondu obdobného charakteru a zaměření. </w:t>
      </w:r>
    </w:p>
    <w:p w:rsidR="009D2CAE" w:rsidRPr="007C0CDA" w:rsidRDefault="009D2CAE" w:rsidP="00CE3165"/>
    <w:p w:rsidR="009D2CAE" w:rsidRPr="007C0CDA" w:rsidRDefault="009D2CAE" w:rsidP="00CE3165">
      <w:r w:rsidRPr="007C0CDA">
        <w:t>Jedním z klíčových omezení je, že české podniky, a to především ty nově zakládané ve velmi rané fázi rozvoje, nejsou připraveny na postoupení majetkového podílu investorovi, který je ochoten poskytnout kapitálové zdroje na rozvoj daného podnikání – a to bez ohledu na skutečnost, zda je investor privátní, veřejnoprávní nebo v jeho pozadí stojí kombinace kapitálu soukromého a státního (evropského). Toto riziko je klíčové pro možnost absorpce alokace OP PIK na danou oblast, na daný finanční nástroj – potenciální problém s vybudováním dostatečně robustní pipeline budoucích projektů. Deloitte Advisory navrhuje toto riziko adresovat především dvěma kroky:</w:t>
      </w:r>
    </w:p>
    <w:p w:rsidR="009D2CAE" w:rsidRPr="007C0CDA" w:rsidRDefault="009D2CAE" w:rsidP="002433DA">
      <w:pPr>
        <w:numPr>
          <w:ilvl w:val="0"/>
          <w:numId w:val="45"/>
        </w:numPr>
        <w:overflowPunct/>
        <w:autoSpaceDE/>
        <w:autoSpaceDN/>
        <w:adjustRightInd/>
        <w:textAlignment w:val="auto"/>
      </w:pPr>
      <w:r w:rsidRPr="007C0CDA">
        <w:t>Důrazem na maximálně transparentní nastavení nových struktur, obsazení klíčových manažerských pozic respektovanými profesionály</w:t>
      </w:r>
    </w:p>
    <w:p w:rsidR="009D2CAE" w:rsidRPr="007C0CDA" w:rsidRDefault="009D2CAE" w:rsidP="002433DA">
      <w:pPr>
        <w:numPr>
          <w:ilvl w:val="0"/>
          <w:numId w:val="45"/>
        </w:numPr>
        <w:overflowPunct/>
        <w:autoSpaceDE/>
        <w:autoSpaceDN/>
        <w:adjustRightInd/>
        <w:textAlignment w:val="auto"/>
      </w:pPr>
      <w:r w:rsidRPr="007C0CDA">
        <w:t>Vhodně nastavenou podporou do oblasti proof-of-concept (předkomerční výsledky VaV) formou kapitálových vstupů, které pomohou stimulovat nové deal-flow ze strany universit a VVI.</w:t>
      </w:r>
    </w:p>
    <w:p w:rsidR="009D2CAE" w:rsidRPr="007C0CDA" w:rsidRDefault="009D2CAE" w:rsidP="00CE3165"/>
    <w:p w:rsidR="009D2CAE" w:rsidRPr="007C0CDA" w:rsidRDefault="009D2CAE" w:rsidP="00CE3165">
      <w:pPr>
        <w:rPr>
          <w:b/>
        </w:rPr>
      </w:pPr>
      <w:r w:rsidRPr="007C0CDA">
        <w:rPr>
          <w:b/>
        </w:rPr>
        <w:t>Zahraniční zkušenosti schémat státní pomoci rizikovému kapitálu:</w:t>
      </w:r>
    </w:p>
    <w:p w:rsidR="009D2CAE" w:rsidRPr="007C0CDA" w:rsidRDefault="009D2CAE" w:rsidP="00CE3165"/>
    <w:p w:rsidR="009D2CAE" w:rsidRPr="007C0CDA" w:rsidRDefault="009D2CAE" w:rsidP="00CE3165">
      <w:r w:rsidRPr="007C0CDA">
        <w:t>Od čistě vládních fondů rizikového kapitálu je většinou upouštěno, protože veřejní hodnostáři podléhají politickým vlivům a činí špatná investiční rozhodnutí.Vládní zapojení má dnes typicky formu kapitálové účasti, při které vlády investují jako menšinový podílník do fondu spravovaného soukromou venture capital firmou (VCF), či jako koinvestor s VCF („Hybridní fondy“). Soukromá VCF na sebe bere zodpovědnost za investiční rozhodování. Příkladem takovýchto hybridních fondů jsou Australian Industry Investment Fund, německý High-tech Grúnderfond, izraelský program Yozma či New Zealand Venture Investment Fund. Tyto schémata poskytují dostatečné kapitálové zdroje i jistotu k přilákání investic soukromého sektoru.</w:t>
      </w:r>
    </w:p>
    <w:p w:rsidR="009D2CAE" w:rsidRPr="007C0CDA" w:rsidRDefault="009D2CAE" w:rsidP="00CE3165"/>
    <w:p w:rsidR="009D2CAE" w:rsidRPr="007C0CDA" w:rsidRDefault="009D2CAE" w:rsidP="00CE3165">
      <w:r w:rsidRPr="007C0CDA">
        <w:t>Veřejné politiky stále více berou v úvahu komplementární roli neformálního „Business Angels“ (BA) trhu, zvláště v investičních oblastech, kde tradiční rizikový kapitál nebyl aktivní.Intervence k podpoře BA investic zahrnují daňové stimuly, novou legislativu v oblasti cenných papírů, capacity building investorů i podnikatelů, networks i koinvestiční schémata.</w:t>
      </w:r>
    </w:p>
    <w:p w:rsidR="009D2CAE" w:rsidRPr="007C0CDA" w:rsidRDefault="009D2CAE" w:rsidP="00CE3165"/>
    <w:p w:rsidR="009D2CAE" w:rsidRPr="007C0CDA" w:rsidRDefault="009D2CAE" w:rsidP="00CE3165">
      <w:r w:rsidRPr="007C0CDA">
        <w:t>Uvolnění větších kapitálových zdrojů samo nevyřeší tržní mezeru ve financování. Bez stálého přílivu firem s vysokým potenciálem připravených na investici skončí další investice ve firmách nízké kvality, což povede k selhání podpory.</w:t>
      </w:r>
    </w:p>
    <w:p w:rsidR="009D2CAE" w:rsidRPr="007C0CDA" w:rsidRDefault="009D2CAE" w:rsidP="00CE3165"/>
    <w:p w:rsidR="009D2CAE" w:rsidRPr="007C0CDA" w:rsidRDefault="009D2CAE" w:rsidP="00CE3165">
      <w:r w:rsidRPr="007C0CDA">
        <w:t>K zajištění takové nabídky je třeba nefinanční podpora firmám s vysokým potenciálem</w:t>
      </w:r>
    </w:p>
    <w:p w:rsidR="009D2CAE" w:rsidRPr="007C0CDA" w:rsidRDefault="009D2CAE" w:rsidP="002433DA">
      <w:pPr>
        <w:numPr>
          <w:ilvl w:val="0"/>
          <w:numId w:val="44"/>
        </w:numPr>
        <w:overflowPunct/>
        <w:autoSpaceDE/>
        <w:autoSpaceDN/>
        <w:adjustRightInd/>
        <w:textAlignment w:val="auto"/>
      </w:pPr>
      <w:r w:rsidRPr="007C0CDA">
        <w:t>budování start-upové komunity a networking</w:t>
      </w:r>
    </w:p>
    <w:p w:rsidR="009D2CAE" w:rsidRPr="007C0CDA" w:rsidRDefault="009D2CAE" w:rsidP="002433DA">
      <w:pPr>
        <w:numPr>
          <w:ilvl w:val="0"/>
          <w:numId w:val="44"/>
        </w:numPr>
        <w:overflowPunct/>
        <w:autoSpaceDE/>
        <w:autoSpaceDN/>
        <w:adjustRightInd/>
        <w:textAlignment w:val="auto"/>
      </w:pPr>
      <w:r w:rsidRPr="007C0CDA">
        <w:lastRenderedPageBreak/>
        <w:t>technologické inkubátory a start-up akcelerátory</w:t>
      </w:r>
    </w:p>
    <w:p w:rsidR="009D2CAE" w:rsidRPr="007C0CDA" w:rsidRDefault="009D2CAE" w:rsidP="002433DA">
      <w:pPr>
        <w:numPr>
          <w:ilvl w:val="0"/>
          <w:numId w:val="44"/>
        </w:numPr>
        <w:overflowPunct/>
        <w:autoSpaceDE/>
        <w:autoSpaceDN/>
        <w:adjustRightInd/>
        <w:textAlignment w:val="auto"/>
      </w:pPr>
      <w:r w:rsidRPr="007C0CDA">
        <w:t>podnikatelské vzdělávání</w:t>
      </w:r>
    </w:p>
    <w:p w:rsidR="009D2CAE" w:rsidRPr="007C0CDA" w:rsidRDefault="009D2CAE" w:rsidP="002433DA">
      <w:pPr>
        <w:numPr>
          <w:ilvl w:val="0"/>
          <w:numId w:val="44"/>
        </w:numPr>
        <w:overflowPunct/>
        <w:autoSpaceDE/>
        <w:autoSpaceDN/>
        <w:adjustRightInd/>
        <w:textAlignment w:val="auto"/>
      </w:pPr>
      <w:r w:rsidRPr="007C0CDA">
        <w:t>profesní komunity: VC &amp; asociace, kluby BA, sítě (networks)</w:t>
      </w:r>
    </w:p>
    <w:p w:rsidR="009D2CAE" w:rsidRPr="007C0CDA" w:rsidRDefault="009D2CAE" w:rsidP="002433DA">
      <w:pPr>
        <w:numPr>
          <w:ilvl w:val="0"/>
          <w:numId w:val="44"/>
        </w:numPr>
        <w:overflowPunct/>
        <w:autoSpaceDE/>
        <w:autoSpaceDN/>
        <w:adjustRightInd/>
        <w:textAlignment w:val="auto"/>
      </w:pPr>
      <w:r w:rsidRPr="007C0CDA">
        <w:t>příznivá regulace a daňové stimuly, pre-competitive public procurement</w:t>
      </w:r>
    </w:p>
    <w:p w:rsidR="009D2CAE" w:rsidRPr="007C0CDA" w:rsidRDefault="009D2CAE" w:rsidP="002433DA">
      <w:pPr>
        <w:numPr>
          <w:ilvl w:val="0"/>
          <w:numId w:val="44"/>
        </w:numPr>
        <w:overflowPunct/>
        <w:autoSpaceDE/>
        <w:autoSpaceDN/>
        <w:adjustRightInd/>
        <w:textAlignment w:val="auto"/>
      </w:pPr>
      <w:r w:rsidRPr="007C0CDA">
        <w:t>spojnice mezi VC, vzdělávacími a výzkumnými uzly a rozvojem firem</w:t>
      </w:r>
    </w:p>
    <w:p w:rsidR="009D2CAE" w:rsidRPr="007C0CDA" w:rsidRDefault="009D2CAE" w:rsidP="00CE3165"/>
    <w:p w:rsidR="009D2CAE" w:rsidRPr="007C0CDA" w:rsidRDefault="009D2CAE" w:rsidP="002433DA">
      <w:pPr>
        <w:pStyle w:val="Nadpis3"/>
      </w:pPr>
      <w:bookmarkStart w:id="676" w:name="_Toc416383985"/>
      <w:bookmarkStart w:id="677" w:name="_Toc416447971"/>
      <w:bookmarkStart w:id="678" w:name="_Toc416383986"/>
      <w:bookmarkStart w:id="679" w:name="_Toc416447972"/>
      <w:bookmarkStart w:id="680" w:name="_Toc416383987"/>
      <w:bookmarkStart w:id="681" w:name="_Toc416447973"/>
      <w:bookmarkStart w:id="682" w:name="_Toc416383988"/>
      <w:bookmarkStart w:id="683" w:name="_Toc416447974"/>
      <w:bookmarkStart w:id="684" w:name="_Toc416383989"/>
      <w:bookmarkStart w:id="685" w:name="_Toc416447975"/>
      <w:bookmarkStart w:id="686" w:name="_Toc416383990"/>
      <w:bookmarkStart w:id="687" w:name="_Toc416447976"/>
      <w:bookmarkStart w:id="688" w:name="_Toc416383991"/>
      <w:bookmarkStart w:id="689" w:name="_Toc416447977"/>
      <w:bookmarkStart w:id="690" w:name="_Toc416383992"/>
      <w:bookmarkStart w:id="691" w:name="_Toc416447978"/>
      <w:bookmarkStart w:id="692" w:name="_Toc416383993"/>
      <w:bookmarkStart w:id="693" w:name="_Toc416447979"/>
      <w:bookmarkStart w:id="694" w:name="_Toc416383994"/>
      <w:bookmarkStart w:id="695" w:name="_Toc416447980"/>
      <w:bookmarkStart w:id="696" w:name="_Toc416383995"/>
      <w:bookmarkStart w:id="697" w:name="_Toc416447981"/>
      <w:bookmarkStart w:id="698" w:name="_Toc416383996"/>
      <w:bookmarkStart w:id="699" w:name="_Toc416447982"/>
      <w:bookmarkStart w:id="700" w:name="_Toc416383997"/>
      <w:bookmarkStart w:id="701" w:name="_Toc416447983"/>
      <w:bookmarkStart w:id="702" w:name="_Toc416383998"/>
      <w:bookmarkStart w:id="703" w:name="_Toc416447984"/>
      <w:bookmarkStart w:id="704" w:name="_Toc416383999"/>
      <w:bookmarkStart w:id="705" w:name="_Toc416447985"/>
      <w:bookmarkStart w:id="706" w:name="_Toc416384000"/>
      <w:bookmarkStart w:id="707" w:name="_Toc416447986"/>
      <w:bookmarkStart w:id="708" w:name="_Toc416384001"/>
      <w:bookmarkStart w:id="709" w:name="_Toc416447987"/>
      <w:bookmarkStart w:id="710" w:name="_Toc416384002"/>
      <w:bookmarkStart w:id="711" w:name="_Toc416447988"/>
      <w:bookmarkStart w:id="712" w:name="_Toc416384003"/>
      <w:bookmarkStart w:id="713" w:name="_Toc416447989"/>
      <w:bookmarkStart w:id="714" w:name="_Toc416384004"/>
      <w:bookmarkStart w:id="715" w:name="_Toc416447990"/>
      <w:bookmarkStart w:id="716" w:name="_Toc416384005"/>
      <w:bookmarkStart w:id="717" w:name="_Toc416447991"/>
      <w:bookmarkStart w:id="718" w:name="_Toc416384006"/>
      <w:bookmarkStart w:id="719" w:name="_Toc416447992"/>
      <w:bookmarkStart w:id="720" w:name="_Toc416384007"/>
      <w:bookmarkStart w:id="721" w:name="_Toc416447993"/>
      <w:bookmarkStart w:id="722" w:name="_Toc416384008"/>
      <w:bookmarkStart w:id="723" w:name="_Toc416447994"/>
      <w:bookmarkStart w:id="724" w:name="_Toc416384009"/>
      <w:bookmarkStart w:id="725" w:name="_Toc416447995"/>
      <w:bookmarkStart w:id="726" w:name="_Toc416384010"/>
      <w:bookmarkStart w:id="727" w:name="_Toc416447996"/>
      <w:bookmarkStart w:id="728" w:name="_Toc416384011"/>
      <w:bookmarkStart w:id="729" w:name="_Toc416447997"/>
      <w:bookmarkStart w:id="730" w:name="_Toc416384012"/>
      <w:bookmarkStart w:id="731" w:name="_Toc416447998"/>
      <w:bookmarkStart w:id="732" w:name="_Toc416384013"/>
      <w:bookmarkStart w:id="733" w:name="_Toc416447999"/>
      <w:bookmarkStart w:id="734" w:name="_Toc416384014"/>
      <w:bookmarkStart w:id="735" w:name="_Toc416448000"/>
      <w:bookmarkStart w:id="736" w:name="_Toc416384015"/>
      <w:bookmarkStart w:id="737" w:name="_Toc416448001"/>
      <w:bookmarkStart w:id="738" w:name="_Toc416384016"/>
      <w:bookmarkStart w:id="739" w:name="_Toc416448002"/>
      <w:bookmarkStart w:id="740" w:name="_Toc416384017"/>
      <w:bookmarkStart w:id="741" w:name="_Toc416448003"/>
      <w:bookmarkStart w:id="742" w:name="_Toc416384018"/>
      <w:bookmarkStart w:id="743" w:name="_Toc416448004"/>
      <w:bookmarkStart w:id="744" w:name="_Toc416384019"/>
      <w:bookmarkStart w:id="745" w:name="_Toc416448005"/>
      <w:bookmarkStart w:id="746" w:name="_Toc416384020"/>
      <w:bookmarkStart w:id="747" w:name="_Toc416448006"/>
      <w:bookmarkStart w:id="748" w:name="_Toc416384021"/>
      <w:bookmarkStart w:id="749" w:name="_Toc416448007"/>
      <w:bookmarkStart w:id="750" w:name="_Toc416384022"/>
      <w:bookmarkStart w:id="751" w:name="_Toc416448008"/>
      <w:bookmarkStart w:id="752" w:name="_Toc416384023"/>
      <w:bookmarkStart w:id="753" w:name="_Toc416448009"/>
      <w:bookmarkStart w:id="754" w:name="_Toc416384024"/>
      <w:bookmarkStart w:id="755" w:name="_Toc416448010"/>
      <w:bookmarkStart w:id="756" w:name="_Toc416384025"/>
      <w:bookmarkStart w:id="757" w:name="_Toc416448011"/>
      <w:bookmarkStart w:id="758" w:name="_Toc416384026"/>
      <w:bookmarkStart w:id="759" w:name="_Toc416448012"/>
      <w:bookmarkStart w:id="760" w:name="_Toc416384027"/>
      <w:bookmarkStart w:id="761" w:name="_Toc416448013"/>
      <w:bookmarkStart w:id="762" w:name="_Toc416384028"/>
      <w:bookmarkStart w:id="763" w:name="_Toc416448014"/>
      <w:bookmarkStart w:id="764" w:name="_Toc416384029"/>
      <w:bookmarkStart w:id="765" w:name="_Toc416448015"/>
      <w:bookmarkStart w:id="766" w:name="_Toc416384030"/>
      <w:bookmarkStart w:id="767" w:name="_Toc416448016"/>
      <w:bookmarkStart w:id="768" w:name="_Toc416384031"/>
      <w:bookmarkStart w:id="769" w:name="_Toc416448017"/>
      <w:bookmarkStart w:id="770" w:name="_Toc416384032"/>
      <w:bookmarkStart w:id="771" w:name="_Toc416448018"/>
      <w:bookmarkStart w:id="772" w:name="_Toc416384033"/>
      <w:bookmarkStart w:id="773" w:name="_Toc416448019"/>
      <w:bookmarkStart w:id="774" w:name="_Toc416384034"/>
      <w:bookmarkStart w:id="775" w:name="_Toc416448020"/>
      <w:bookmarkStart w:id="776" w:name="_Toc416384035"/>
      <w:bookmarkStart w:id="777" w:name="_Toc416448021"/>
      <w:bookmarkStart w:id="778" w:name="_Toc416384036"/>
      <w:bookmarkStart w:id="779" w:name="_Toc416448022"/>
      <w:bookmarkStart w:id="780" w:name="_Toc416384037"/>
      <w:bookmarkStart w:id="781" w:name="_Toc416448023"/>
      <w:bookmarkStart w:id="782" w:name="_Toc416384038"/>
      <w:bookmarkStart w:id="783" w:name="_Toc416448024"/>
      <w:bookmarkStart w:id="784" w:name="_Toc416384039"/>
      <w:bookmarkStart w:id="785" w:name="_Toc416448025"/>
      <w:bookmarkStart w:id="786" w:name="_Toc416384040"/>
      <w:bookmarkStart w:id="787" w:name="_Toc416448026"/>
      <w:bookmarkStart w:id="788" w:name="_Toc414464608"/>
      <w:bookmarkStart w:id="789" w:name="_Toc416448027"/>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r w:rsidRPr="007C0CDA">
        <w:t>Očekávané výsledky finančního nástroje</w:t>
      </w:r>
      <w:bookmarkEnd w:id="788"/>
      <w:bookmarkEnd w:id="789"/>
    </w:p>
    <w:p w:rsidR="009D2CAE" w:rsidRPr="007C0CDA" w:rsidRDefault="009D2CAE" w:rsidP="00CE3165">
      <w:pPr>
        <w:pStyle w:val="BodyText1"/>
        <w:rPr>
          <w:b/>
        </w:rPr>
      </w:pPr>
      <w:r w:rsidRPr="007C0CDA">
        <w:rPr>
          <w:b/>
        </w:rPr>
        <w:t>Úvěry</w:t>
      </w:r>
    </w:p>
    <w:p w:rsidR="00A85415" w:rsidRDefault="00A85415" w:rsidP="00A85415">
      <w:r w:rsidRPr="00A85415">
        <w:t xml:space="preserve"> </w:t>
      </w:r>
      <w:r>
        <w:t>Níže jsou prezentovány výsledky modelování potenciálních efektů využití navrhované části alokace specifického cíle na finanční nástroj, vč. specifikace výchozích atributů, na kterých je model postaven. V případě potřeby úpravy vstupních parametrů je možné využít poskytnutý pracovní nástroj a model přepočítat.</w:t>
      </w:r>
    </w:p>
    <w:p w:rsidR="00A85415" w:rsidRPr="006B596C" w:rsidRDefault="00A85415" w:rsidP="00A85415"/>
    <w:p w:rsidR="00A85415" w:rsidRPr="00D03ACF" w:rsidRDefault="00A85415" w:rsidP="002433DA">
      <w:r w:rsidRPr="00D03ACF">
        <w:t>V</w:t>
      </w:r>
      <w:r>
        <w:t xml:space="preserve"> úvěrovém </w:t>
      </w:r>
      <w:r w:rsidRPr="00D03ACF">
        <w:t>mod</w:t>
      </w:r>
      <w:r>
        <w:t>e</w:t>
      </w:r>
      <w:r w:rsidRPr="00D03ACF">
        <w:t>lovém příkladu bylo pro zjednodušení abstrahováno od úrokového zisku a poplatků za správu spolufinancujícího subjektu. Jedno do značné míry kompenzuje druhé, v současné době by byl navíc odhad výše poplatků ryze spekulativní. Pro co nejvýmluvnější vyčíslení revolvingového efektu jsme zvolili následující grafickou interpretaci, kde revolvingový efekt zobrazujeme jako sumu prostředků, které by musel fond obdržet na konci primárního investičního cyklu, aby mohl realizovat sekundární investice, které financuje právě revolving.</w:t>
      </w:r>
    </w:p>
    <w:p w:rsidR="00A85415" w:rsidRPr="00D03ACF" w:rsidRDefault="00A85415" w:rsidP="00A85415">
      <w:pPr>
        <w:pStyle w:val="CaptionIntroductionparagraph"/>
      </w:pPr>
    </w:p>
    <w:p w:rsidR="00A85415" w:rsidRDefault="00A85415" w:rsidP="00A85415">
      <w:pPr>
        <w:rPr>
          <w:noProof/>
          <w:highlight w:val="yellow"/>
        </w:rPr>
      </w:pPr>
    </w:p>
    <w:p w:rsidR="00A85415" w:rsidRDefault="00A85415" w:rsidP="00A85415">
      <w:pPr>
        <w:jc w:val="center"/>
        <w:rPr>
          <w:noProof/>
        </w:rPr>
      </w:pPr>
      <w:r w:rsidRPr="001E39F8">
        <w:rPr>
          <w:noProof/>
        </w:rPr>
        <w:t xml:space="preserve"> </w:t>
      </w:r>
      <w:r>
        <w:rPr>
          <w:noProof/>
        </w:rPr>
        <w:drawing>
          <wp:inline distT="0" distB="0" distL="0" distR="0" wp14:anchorId="048425F0" wp14:editId="5CB024F4">
            <wp:extent cx="4591050" cy="2743200"/>
            <wp:effectExtent l="0" t="0" r="0" b="0"/>
            <wp:docPr id="11648" name="Chart 116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85415" w:rsidRDefault="00A85415" w:rsidP="00A85415">
      <w:r>
        <w:t xml:space="preserve">Legenda: </w:t>
      </w:r>
    </w:p>
    <w:p w:rsidR="00A85415" w:rsidRDefault="00A85415" w:rsidP="00A85415">
      <w:pPr>
        <w:pStyle w:val="Odstavecseseznamem"/>
        <w:numPr>
          <w:ilvl w:val="0"/>
          <w:numId w:val="76"/>
        </w:numPr>
        <w:overflowPunct/>
        <w:autoSpaceDE/>
        <w:autoSpaceDN/>
        <w:adjustRightInd/>
        <w:contextualSpacing w:val="0"/>
        <w:textAlignment w:val="auto"/>
      </w:pPr>
      <w:r>
        <w:t>Modré sloupce representují postupné čerpání alokace OPPIK, vyčleněné v rámci sledovaného specifického cíle pro finanční nástroj.</w:t>
      </w:r>
    </w:p>
    <w:p w:rsidR="00A85415" w:rsidRDefault="00A85415" w:rsidP="00A85415">
      <w:pPr>
        <w:pStyle w:val="Odstavecseseznamem"/>
        <w:numPr>
          <w:ilvl w:val="0"/>
          <w:numId w:val="76"/>
        </w:numPr>
        <w:overflowPunct/>
        <w:autoSpaceDE/>
        <w:autoSpaceDN/>
        <w:adjustRightInd/>
        <w:contextualSpacing w:val="0"/>
        <w:textAlignment w:val="auto"/>
      </w:pPr>
      <w:r>
        <w:t>Zelené sloupce representují čerpání zdrojů, které byly vráceny v rámci splátek jistiny a úroků poskytnutých zdrojů původní alokace. K čerpání těchto zdrojů dochází bezprostředně po vyčerpání původní alokace určené pro IFN. Znázornění je provedeno reverzně, kdy první sloupec znázorňuje celkovou výši vyčerpaných revolvingových zdrojů za programové období, čerpání v jednotlivých letech representuje rozdíl mezi sloupcem „x a x+1“.</w:t>
      </w:r>
    </w:p>
    <w:p w:rsidR="00A85415" w:rsidRDefault="00A85415" w:rsidP="00A85415">
      <w:pPr>
        <w:pStyle w:val="Odstavecseseznamem"/>
        <w:numPr>
          <w:ilvl w:val="0"/>
          <w:numId w:val="76"/>
        </w:numPr>
        <w:overflowPunct/>
        <w:autoSpaceDE/>
        <w:autoSpaceDN/>
        <w:adjustRightInd/>
        <w:contextualSpacing w:val="0"/>
        <w:textAlignment w:val="auto"/>
      </w:pPr>
      <w:r>
        <w:t>Modrá křivka representuje kumulaci navrácených zdrojů v absolutní výši.</w:t>
      </w:r>
    </w:p>
    <w:p w:rsidR="00A85415" w:rsidRDefault="00A85415" w:rsidP="00A85415">
      <w:pPr>
        <w:jc w:val="center"/>
        <w:rPr>
          <w:noProof/>
          <w:highlight w:val="yellow"/>
        </w:rPr>
      </w:pPr>
    </w:p>
    <w:tbl>
      <w:tblPr>
        <w:tblStyle w:val="TableGridLight1"/>
        <w:tblW w:w="5669" w:type="dxa"/>
        <w:jc w:val="center"/>
        <w:tblLook w:val="04A0" w:firstRow="1" w:lastRow="0" w:firstColumn="1" w:lastColumn="0" w:noHBand="0" w:noVBand="1"/>
      </w:tblPr>
      <w:tblGrid>
        <w:gridCol w:w="4252"/>
        <w:gridCol w:w="1417"/>
      </w:tblGrid>
      <w:tr w:rsidR="00A85415" w:rsidRPr="009F3E04" w:rsidTr="002E3AE9">
        <w:trPr>
          <w:trHeight w:val="240"/>
          <w:jc w:val="center"/>
        </w:trPr>
        <w:tc>
          <w:tcPr>
            <w:tcW w:w="4252" w:type="dxa"/>
            <w:noWrap/>
            <w:vAlign w:val="center"/>
            <w:hideMark/>
          </w:tcPr>
          <w:p w:rsidR="00A85415" w:rsidRPr="00E75D0A" w:rsidRDefault="00A85415" w:rsidP="002E3AE9">
            <w:pPr>
              <w:jc w:val="left"/>
              <w:rPr>
                <w:color w:val="000000"/>
                <w:sz w:val="18"/>
                <w:szCs w:val="18"/>
                <w:lang w:val="cs-CZ" w:eastAsia="cs-CZ"/>
              </w:rPr>
            </w:pPr>
            <w:r w:rsidRPr="00E75D0A">
              <w:rPr>
                <w:color w:val="000000"/>
                <w:sz w:val="18"/>
                <w:szCs w:val="18"/>
                <w:lang w:val="cs-CZ" w:eastAsia="cs-CZ"/>
              </w:rPr>
              <w:t xml:space="preserve">Alokace OPPIK </w:t>
            </w:r>
          </w:p>
        </w:tc>
        <w:tc>
          <w:tcPr>
            <w:tcW w:w="1417" w:type="dxa"/>
            <w:noWrap/>
            <w:vAlign w:val="center"/>
            <w:hideMark/>
          </w:tcPr>
          <w:p w:rsidR="00A85415" w:rsidRPr="00E75D0A" w:rsidRDefault="00A85415" w:rsidP="002E3AE9">
            <w:pPr>
              <w:jc w:val="right"/>
              <w:rPr>
                <w:color w:val="000000"/>
                <w:sz w:val="18"/>
                <w:szCs w:val="18"/>
                <w:lang w:val="cs-CZ" w:eastAsia="cs-CZ"/>
              </w:rPr>
            </w:pPr>
            <w:r>
              <w:rPr>
                <w:color w:val="000000"/>
                <w:sz w:val="18"/>
                <w:szCs w:val="18"/>
                <w:lang w:val="cs-CZ" w:eastAsia="cs-CZ"/>
              </w:rPr>
              <w:t>3 291 mil. Kč</w:t>
            </w:r>
          </w:p>
        </w:tc>
      </w:tr>
      <w:tr w:rsidR="00A85415" w:rsidRPr="009F3E04" w:rsidTr="002E3AE9">
        <w:trPr>
          <w:trHeight w:val="240"/>
          <w:jc w:val="center"/>
        </w:trPr>
        <w:tc>
          <w:tcPr>
            <w:tcW w:w="4252" w:type="dxa"/>
            <w:noWrap/>
            <w:vAlign w:val="center"/>
            <w:hideMark/>
          </w:tcPr>
          <w:p w:rsidR="00A85415" w:rsidRPr="00E75D0A" w:rsidRDefault="00A85415" w:rsidP="002E3AE9">
            <w:pPr>
              <w:jc w:val="left"/>
              <w:rPr>
                <w:color w:val="000000"/>
                <w:sz w:val="18"/>
                <w:szCs w:val="18"/>
                <w:lang w:val="cs-CZ" w:eastAsia="cs-CZ"/>
              </w:rPr>
            </w:pPr>
            <w:r w:rsidRPr="00E75D0A">
              <w:rPr>
                <w:color w:val="000000"/>
                <w:sz w:val="18"/>
                <w:szCs w:val="18"/>
                <w:lang w:val="cs-CZ" w:eastAsia="cs-CZ"/>
              </w:rPr>
              <w:t>Úrok zdrojů poskytovaných z OPPIK</w:t>
            </w:r>
          </w:p>
        </w:tc>
        <w:tc>
          <w:tcPr>
            <w:tcW w:w="1417" w:type="dxa"/>
            <w:noWrap/>
            <w:vAlign w:val="center"/>
            <w:hideMark/>
          </w:tcPr>
          <w:p w:rsidR="00A85415" w:rsidRPr="00E75D0A" w:rsidRDefault="00A85415" w:rsidP="002E3AE9">
            <w:pPr>
              <w:jc w:val="right"/>
              <w:rPr>
                <w:color w:val="000000"/>
                <w:sz w:val="18"/>
                <w:szCs w:val="18"/>
                <w:lang w:val="cs-CZ" w:eastAsia="cs-CZ"/>
              </w:rPr>
            </w:pPr>
            <w:r w:rsidRPr="00E75D0A">
              <w:rPr>
                <w:color w:val="000000"/>
                <w:sz w:val="18"/>
                <w:szCs w:val="18"/>
                <w:lang w:val="cs-CZ" w:eastAsia="cs-CZ"/>
              </w:rPr>
              <w:t>0,50 %</w:t>
            </w:r>
          </w:p>
        </w:tc>
      </w:tr>
      <w:tr w:rsidR="00A85415" w:rsidRPr="009F3E04" w:rsidTr="002E3AE9">
        <w:trPr>
          <w:trHeight w:val="240"/>
          <w:jc w:val="center"/>
        </w:trPr>
        <w:tc>
          <w:tcPr>
            <w:tcW w:w="4252" w:type="dxa"/>
            <w:noWrap/>
            <w:vAlign w:val="center"/>
            <w:hideMark/>
          </w:tcPr>
          <w:p w:rsidR="00A85415" w:rsidRPr="00E75D0A" w:rsidRDefault="00A85415" w:rsidP="002E3AE9">
            <w:pPr>
              <w:jc w:val="left"/>
              <w:rPr>
                <w:color w:val="000000"/>
                <w:sz w:val="18"/>
                <w:szCs w:val="18"/>
                <w:lang w:val="cs-CZ" w:eastAsia="cs-CZ"/>
              </w:rPr>
            </w:pPr>
            <w:r w:rsidRPr="00E75D0A">
              <w:rPr>
                <w:color w:val="000000"/>
                <w:sz w:val="18"/>
                <w:szCs w:val="18"/>
                <w:lang w:val="cs-CZ" w:eastAsia="cs-CZ"/>
              </w:rPr>
              <w:t>Požadovaný úrok spolufinancujícího subjektu</w:t>
            </w:r>
          </w:p>
        </w:tc>
        <w:tc>
          <w:tcPr>
            <w:tcW w:w="1417" w:type="dxa"/>
            <w:noWrap/>
            <w:vAlign w:val="center"/>
            <w:hideMark/>
          </w:tcPr>
          <w:p w:rsidR="00A85415" w:rsidRPr="00E75D0A" w:rsidRDefault="00A85415" w:rsidP="002E3AE9">
            <w:pPr>
              <w:jc w:val="right"/>
              <w:rPr>
                <w:color w:val="000000"/>
                <w:sz w:val="18"/>
                <w:szCs w:val="18"/>
                <w:lang w:val="cs-CZ" w:eastAsia="cs-CZ"/>
              </w:rPr>
            </w:pPr>
            <w:r w:rsidRPr="00E75D0A">
              <w:rPr>
                <w:color w:val="000000"/>
                <w:sz w:val="18"/>
                <w:szCs w:val="18"/>
                <w:lang w:val="cs-CZ" w:eastAsia="cs-CZ"/>
              </w:rPr>
              <w:t>3,50 %</w:t>
            </w:r>
          </w:p>
        </w:tc>
      </w:tr>
      <w:tr w:rsidR="00A85415" w:rsidRPr="009F3E04" w:rsidTr="002E3AE9">
        <w:trPr>
          <w:trHeight w:val="240"/>
          <w:jc w:val="center"/>
        </w:trPr>
        <w:tc>
          <w:tcPr>
            <w:tcW w:w="4252" w:type="dxa"/>
            <w:noWrap/>
            <w:vAlign w:val="center"/>
            <w:hideMark/>
          </w:tcPr>
          <w:p w:rsidR="00A85415" w:rsidRPr="00E75D0A" w:rsidRDefault="00A85415" w:rsidP="002E3AE9">
            <w:pPr>
              <w:jc w:val="left"/>
              <w:rPr>
                <w:color w:val="000000"/>
                <w:sz w:val="18"/>
                <w:szCs w:val="18"/>
                <w:lang w:val="cs-CZ" w:eastAsia="cs-CZ"/>
              </w:rPr>
            </w:pPr>
            <w:r w:rsidRPr="00E75D0A">
              <w:rPr>
                <w:color w:val="000000"/>
                <w:sz w:val="18"/>
                <w:szCs w:val="18"/>
                <w:lang w:val="cs-CZ" w:eastAsia="cs-CZ"/>
              </w:rPr>
              <w:lastRenderedPageBreak/>
              <w:t>Limit výše výsledné úrokové míry úvěru příjemci</w:t>
            </w:r>
          </w:p>
        </w:tc>
        <w:tc>
          <w:tcPr>
            <w:tcW w:w="1417" w:type="dxa"/>
            <w:noWrap/>
            <w:vAlign w:val="center"/>
            <w:hideMark/>
          </w:tcPr>
          <w:p w:rsidR="00A85415" w:rsidRPr="00E75D0A" w:rsidRDefault="00A85415" w:rsidP="002E3AE9">
            <w:pPr>
              <w:jc w:val="right"/>
              <w:rPr>
                <w:color w:val="000000"/>
                <w:sz w:val="18"/>
                <w:szCs w:val="18"/>
                <w:lang w:val="cs-CZ" w:eastAsia="cs-CZ"/>
              </w:rPr>
            </w:pPr>
            <w:r w:rsidRPr="00E75D0A">
              <w:rPr>
                <w:color w:val="000000"/>
                <w:sz w:val="18"/>
                <w:szCs w:val="18"/>
                <w:lang w:val="cs-CZ" w:eastAsia="cs-CZ"/>
              </w:rPr>
              <w:t>2,00 %</w:t>
            </w:r>
          </w:p>
        </w:tc>
      </w:tr>
      <w:tr w:rsidR="00A85415" w:rsidRPr="009F3E04" w:rsidTr="002E3AE9">
        <w:trPr>
          <w:trHeight w:val="240"/>
          <w:jc w:val="center"/>
        </w:trPr>
        <w:tc>
          <w:tcPr>
            <w:tcW w:w="4252" w:type="dxa"/>
            <w:noWrap/>
            <w:vAlign w:val="center"/>
            <w:hideMark/>
          </w:tcPr>
          <w:p w:rsidR="00A85415" w:rsidRPr="00E75D0A" w:rsidRDefault="00A85415" w:rsidP="002E3AE9">
            <w:pPr>
              <w:jc w:val="left"/>
              <w:rPr>
                <w:color w:val="000000"/>
                <w:sz w:val="18"/>
                <w:szCs w:val="18"/>
                <w:lang w:val="cs-CZ" w:eastAsia="cs-CZ"/>
              </w:rPr>
            </w:pPr>
            <w:r w:rsidRPr="00E75D0A">
              <w:rPr>
                <w:color w:val="000000"/>
                <w:sz w:val="18"/>
                <w:szCs w:val="18"/>
                <w:lang w:val="cs-CZ" w:eastAsia="cs-CZ"/>
              </w:rPr>
              <w:t>Míra zapojení spolufinancujícího subjektu</w:t>
            </w:r>
          </w:p>
        </w:tc>
        <w:tc>
          <w:tcPr>
            <w:tcW w:w="1417" w:type="dxa"/>
            <w:noWrap/>
            <w:vAlign w:val="center"/>
            <w:hideMark/>
          </w:tcPr>
          <w:p w:rsidR="00A85415" w:rsidRPr="00E75D0A" w:rsidRDefault="00A85415" w:rsidP="002E3AE9">
            <w:pPr>
              <w:jc w:val="right"/>
              <w:rPr>
                <w:color w:val="000000"/>
                <w:sz w:val="18"/>
                <w:szCs w:val="18"/>
                <w:lang w:val="cs-CZ" w:eastAsia="cs-CZ"/>
              </w:rPr>
            </w:pPr>
            <w:r w:rsidRPr="00E75D0A">
              <w:rPr>
                <w:color w:val="000000"/>
                <w:sz w:val="18"/>
                <w:szCs w:val="18"/>
                <w:lang w:val="cs-CZ" w:eastAsia="cs-CZ"/>
              </w:rPr>
              <w:t>50,00 %</w:t>
            </w:r>
          </w:p>
        </w:tc>
      </w:tr>
      <w:tr w:rsidR="00A85415" w:rsidRPr="009F3E04" w:rsidTr="002E3AE9">
        <w:trPr>
          <w:trHeight w:val="240"/>
          <w:jc w:val="center"/>
        </w:trPr>
        <w:tc>
          <w:tcPr>
            <w:tcW w:w="4252" w:type="dxa"/>
            <w:noWrap/>
            <w:vAlign w:val="center"/>
            <w:hideMark/>
          </w:tcPr>
          <w:p w:rsidR="00A85415" w:rsidRPr="00E75D0A" w:rsidRDefault="00A85415" w:rsidP="002E3AE9">
            <w:pPr>
              <w:jc w:val="left"/>
              <w:rPr>
                <w:color w:val="000000"/>
                <w:sz w:val="18"/>
                <w:szCs w:val="18"/>
                <w:lang w:val="cs-CZ" w:eastAsia="cs-CZ"/>
              </w:rPr>
            </w:pPr>
            <w:r w:rsidRPr="00E75D0A">
              <w:rPr>
                <w:color w:val="000000"/>
                <w:sz w:val="18"/>
                <w:szCs w:val="18"/>
                <w:lang w:val="cs-CZ" w:eastAsia="cs-CZ"/>
              </w:rPr>
              <w:t>Splatnost úvěru</w:t>
            </w:r>
          </w:p>
        </w:tc>
        <w:tc>
          <w:tcPr>
            <w:tcW w:w="1417" w:type="dxa"/>
            <w:noWrap/>
            <w:vAlign w:val="center"/>
            <w:hideMark/>
          </w:tcPr>
          <w:p w:rsidR="00A85415" w:rsidRPr="00E75D0A" w:rsidRDefault="00A85415" w:rsidP="002E3AE9">
            <w:pPr>
              <w:jc w:val="right"/>
              <w:rPr>
                <w:color w:val="000000"/>
                <w:sz w:val="18"/>
                <w:szCs w:val="18"/>
                <w:lang w:val="cs-CZ" w:eastAsia="cs-CZ"/>
              </w:rPr>
            </w:pPr>
            <w:r w:rsidRPr="00E75D0A">
              <w:rPr>
                <w:color w:val="000000"/>
                <w:sz w:val="18"/>
                <w:szCs w:val="18"/>
                <w:lang w:val="cs-CZ" w:eastAsia="cs-CZ"/>
              </w:rPr>
              <w:t>10</w:t>
            </w:r>
          </w:p>
        </w:tc>
      </w:tr>
    </w:tbl>
    <w:p w:rsidR="00A85415" w:rsidRDefault="00A85415" w:rsidP="00A85415"/>
    <w:tbl>
      <w:tblPr>
        <w:tblStyle w:val="TableGridLight1"/>
        <w:tblW w:w="5673" w:type="dxa"/>
        <w:jc w:val="center"/>
        <w:tblLook w:val="04A0" w:firstRow="1" w:lastRow="0" w:firstColumn="1" w:lastColumn="0" w:noHBand="0" w:noVBand="1"/>
      </w:tblPr>
      <w:tblGrid>
        <w:gridCol w:w="4256"/>
        <w:gridCol w:w="1417"/>
      </w:tblGrid>
      <w:tr w:rsidR="00A85415" w:rsidRPr="009F3E04" w:rsidTr="002E3AE9">
        <w:trPr>
          <w:trHeight w:val="240"/>
          <w:jc w:val="center"/>
        </w:trPr>
        <w:tc>
          <w:tcPr>
            <w:tcW w:w="4256" w:type="dxa"/>
            <w:noWrap/>
            <w:vAlign w:val="center"/>
            <w:hideMark/>
          </w:tcPr>
          <w:p w:rsidR="00A85415" w:rsidRPr="00E75D0A" w:rsidRDefault="00A85415" w:rsidP="002E3AE9">
            <w:pPr>
              <w:jc w:val="left"/>
              <w:rPr>
                <w:color w:val="000000"/>
                <w:sz w:val="18"/>
                <w:szCs w:val="18"/>
                <w:lang w:val="cs-CZ" w:eastAsia="cs-CZ"/>
              </w:rPr>
            </w:pPr>
            <w:r w:rsidRPr="00E75D0A">
              <w:rPr>
                <w:color w:val="000000"/>
                <w:sz w:val="18"/>
                <w:szCs w:val="18"/>
                <w:lang w:val="cs-CZ" w:eastAsia="cs-CZ"/>
              </w:rPr>
              <w:t>Celkem proinvestováno - milník rok 2018</w:t>
            </w:r>
          </w:p>
        </w:tc>
        <w:tc>
          <w:tcPr>
            <w:tcW w:w="1417" w:type="dxa"/>
            <w:noWrap/>
            <w:vAlign w:val="center"/>
            <w:hideMark/>
          </w:tcPr>
          <w:p w:rsidR="00A85415" w:rsidRPr="00E75D0A" w:rsidRDefault="00A85415" w:rsidP="002E3AE9">
            <w:pPr>
              <w:jc w:val="right"/>
              <w:rPr>
                <w:color w:val="000000"/>
                <w:sz w:val="18"/>
                <w:szCs w:val="18"/>
                <w:lang w:val="cs-CZ" w:eastAsia="cs-CZ"/>
              </w:rPr>
            </w:pPr>
            <w:r>
              <w:rPr>
                <w:color w:val="000000"/>
                <w:sz w:val="18"/>
                <w:szCs w:val="18"/>
                <w:lang w:val="cs-CZ" w:eastAsia="cs-CZ"/>
              </w:rPr>
              <w:t>8 227</w:t>
            </w:r>
            <w:r w:rsidRPr="00E75D0A">
              <w:rPr>
                <w:color w:val="000000"/>
                <w:sz w:val="18"/>
                <w:szCs w:val="18"/>
                <w:lang w:val="cs-CZ" w:eastAsia="cs-CZ"/>
              </w:rPr>
              <w:t xml:space="preserve"> mil. Kč</w:t>
            </w:r>
          </w:p>
        </w:tc>
      </w:tr>
      <w:tr w:rsidR="00A85415" w:rsidRPr="009F3E04" w:rsidTr="002E3AE9">
        <w:trPr>
          <w:trHeight w:val="240"/>
          <w:jc w:val="center"/>
        </w:trPr>
        <w:tc>
          <w:tcPr>
            <w:tcW w:w="4256" w:type="dxa"/>
            <w:noWrap/>
            <w:vAlign w:val="center"/>
            <w:hideMark/>
          </w:tcPr>
          <w:p w:rsidR="00A85415" w:rsidRPr="00E75D0A" w:rsidRDefault="00A85415" w:rsidP="002E3AE9">
            <w:pPr>
              <w:jc w:val="left"/>
              <w:rPr>
                <w:color w:val="000000"/>
                <w:sz w:val="18"/>
                <w:szCs w:val="18"/>
                <w:lang w:val="cs-CZ" w:eastAsia="cs-CZ"/>
              </w:rPr>
            </w:pPr>
            <w:r w:rsidRPr="00E75D0A">
              <w:rPr>
                <w:color w:val="000000"/>
                <w:sz w:val="18"/>
                <w:szCs w:val="18"/>
                <w:lang w:val="cs-CZ" w:eastAsia="cs-CZ"/>
              </w:rPr>
              <w:t>Celkem proinvestováno - konec období rok 2023</w:t>
            </w:r>
          </w:p>
        </w:tc>
        <w:tc>
          <w:tcPr>
            <w:tcW w:w="1417" w:type="dxa"/>
            <w:noWrap/>
            <w:vAlign w:val="center"/>
            <w:hideMark/>
          </w:tcPr>
          <w:p w:rsidR="00A85415" w:rsidRPr="00E75D0A" w:rsidRDefault="00A85415" w:rsidP="002E3AE9">
            <w:pPr>
              <w:jc w:val="right"/>
              <w:rPr>
                <w:color w:val="000000"/>
                <w:sz w:val="18"/>
                <w:szCs w:val="18"/>
                <w:lang w:val="cs-CZ" w:eastAsia="cs-CZ"/>
              </w:rPr>
            </w:pPr>
            <w:r>
              <w:rPr>
                <w:color w:val="000000"/>
                <w:sz w:val="18"/>
                <w:szCs w:val="18"/>
                <w:lang w:val="cs-CZ" w:eastAsia="cs-CZ"/>
              </w:rPr>
              <w:t>17 829</w:t>
            </w:r>
            <w:r w:rsidRPr="00E75D0A">
              <w:rPr>
                <w:color w:val="000000"/>
                <w:sz w:val="18"/>
                <w:szCs w:val="18"/>
                <w:lang w:val="cs-CZ" w:eastAsia="cs-CZ"/>
              </w:rPr>
              <w:t xml:space="preserve"> mil. Kč</w:t>
            </w:r>
          </w:p>
        </w:tc>
      </w:tr>
      <w:tr w:rsidR="00A85415" w:rsidRPr="009F3E04" w:rsidTr="002E3AE9">
        <w:trPr>
          <w:trHeight w:val="240"/>
          <w:jc w:val="center"/>
        </w:trPr>
        <w:tc>
          <w:tcPr>
            <w:tcW w:w="4256" w:type="dxa"/>
            <w:noWrap/>
            <w:vAlign w:val="center"/>
            <w:hideMark/>
          </w:tcPr>
          <w:p w:rsidR="00A85415" w:rsidRPr="00E75D0A" w:rsidRDefault="00A85415" w:rsidP="002E3AE9">
            <w:pPr>
              <w:jc w:val="left"/>
              <w:rPr>
                <w:color w:val="000000"/>
                <w:sz w:val="18"/>
                <w:szCs w:val="18"/>
                <w:lang w:val="cs-CZ" w:eastAsia="cs-CZ"/>
              </w:rPr>
            </w:pPr>
            <w:r w:rsidRPr="00E75D0A">
              <w:rPr>
                <w:color w:val="000000"/>
                <w:sz w:val="18"/>
                <w:szCs w:val="18"/>
                <w:lang w:val="cs-CZ" w:eastAsia="cs-CZ"/>
              </w:rPr>
              <w:t>Disponibilní prostředky v roce 2022</w:t>
            </w:r>
          </w:p>
        </w:tc>
        <w:tc>
          <w:tcPr>
            <w:tcW w:w="1417" w:type="dxa"/>
            <w:noWrap/>
            <w:vAlign w:val="center"/>
            <w:hideMark/>
          </w:tcPr>
          <w:p w:rsidR="00A85415" w:rsidRPr="00E75D0A" w:rsidRDefault="00A85415" w:rsidP="002E3AE9">
            <w:pPr>
              <w:jc w:val="right"/>
              <w:rPr>
                <w:color w:val="000000"/>
                <w:sz w:val="18"/>
                <w:szCs w:val="18"/>
                <w:lang w:val="cs-CZ" w:eastAsia="cs-CZ"/>
              </w:rPr>
            </w:pPr>
            <w:r>
              <w:rPr>
                <w:color w:val="000000"/>
                <w:sz w:val="18"/>
                <w:szCs w:val="18"/>
                <w:lang w:val="cs-CZ" w:eastAsia="cs-CZ"/>
              </w:rPr>
              <w:t>3 291</w:t>
            </w:r>
            <w:r w:rsidRPr="00E75D0A">
              <w:rPr>
                <w:color w:val="000000"/>
                <w:sz w:val="18"/>
                <w:szCs w:val="18"/>
                <w:lang w:val="cs-CZ" w:eastAsia="cs-CZ"/>
              </w:rPr>
              <w:t xml:space="preserve"> mil. Kč</w:t>
            </w:r>
          </w:p>
        </w:tc>
      </w:tr>
      <w:tr w:rsidR="00A85415" w:rsidRPr="009F3E04" w:rsidTr="002E3AE9">
        <w:trPr>
          <w:trHeight w:val="240"/>
          <w:jc w:val="center"/>
        </w:trPr>
        <w:tc>
          <w:tcPr>
            <w:tcW w:w="4256" w:type="dxa"/>
            <w:noWrap/>
            <w:vAlign w:val="center"/>
            <w:hideMark/>
          </w:tcPr>
          <w:p w:rsidR="00A85415" w:rsidRPr="00E75D0A" w:rsidRDefault="00A85415" w:rsidP="002E3AE9">
            <w:pPr>
              <w:jc w:val="left"/>
              <w:rPr>
                <w:color w:val="000000"/>
                <w:sz w:val="18"/>
                <w:szCs w:val="18"/>
                <w:lang w:val="cs-CZ" w:eastAsia="cs-CZ"/>
              </w:rPr>
            </w:pPr>
            <w:r w:rsidRPr="00E75D0A">
              <w:rPr>
                <w:color w:val="000000"/>
                <w:sz w:val="18"/>
                <w:szCs w:val="18"/>
                <w:lang w:val="cs-CZ" w:eastAsia="cs-CZ"/>
              </w:rPr>
              <w:t>Přidaná hodnota</w:t>
            </w:r>
          </w:p>
        </w:tc>
        <w:tc>
          <w:tcPr>
            <w:tcW w:w="1417" w:type="dxa"/>
            <w:noWrap/>
            <w:vAlign w:val="center"/>
            <w:hideMark/>
          </w:tcPr>
          <w:p w:rsidR="00A85415" w:rsidRPr="00E75D0A" w:rsidRDefault="00A85415" w:rsidP="002E3AE9">
            <w:pPr>
              <w:jc w:val="right"/>
              <w:rPr>
                <w:color w:val="000000"/>
                <w:sz w:val="18"/>
                <w:szCs w:val="18"/>
                <w:lang w:val="cs-CZ" w:eastAsia="cs-CZ"/>
              </w:rPr>
            </w:pPr>
            <w:r w:rsidRPr="00E75D0A">
              <w:rPr>
                <w:color w:val="000000"/>
                <w:sz w:val="18"/>
                <w:szCs w:val="18"/>
                <w:lang w:val="cs-CZ" w:eastAsia="cs-CZ"/>
              </w:rPr>
              <w:t>5,42</w:t>
            </w:r>
          </w:p>
        </w:tc>
      </w:tr>
      <w:tr w:rsidR="00A85415" w:rsidRPr="009F3E04" w:rsidTr="002E3AE9">
        <w:trPr>
          <w:trHeight w:val="240"/>
          <w:jc w:val="center"/>
        </w:trPr>
        <w:tc>
          <w:tcPr>
            <w:tcW w:w="4256" w:type="dxa"/>
            <w:noWrap/>
            <w:vAlign w:val="center"/>
            <w:hideMark/>
          </w:tcPr>
          <w:p w:rsidR="00A85415" w:rsidRPr="00E75D0A" w:rsidRDefault="00A85415" w:rsidP="002E3AE9">
            <w:pPr>
              <w:jc w:val="left"/>
              <w:rPr>
                <w:color w:val="000000"/>
                <w:sz w:val="18"/>
                <w:szCs w:val="18"/>
                <w:lang w:val="cs-CZ" w:eastAsia="cs-CZ"/>
              </w:rPr>
            </w:pPr>
            <w:r w:rsidRPr="00E75D0A">
              <w:rPr>
                <w:color w:val="000000"/>
                <w:sz w:val="18"/>
                <w:szCs w:val="18"/>
                <w:lang w:val="cs-CZ" w:eastAsia="cs-CZ"/>
              </w:rPr>
              <w:t>Pákový efekt</w:t>
            </w:r>
          </w:p>
        </w:tc>
        <w:tc>
          <w:tcPr>
            <w:tcW w:w="1417" w:type="dxa"/>
            <w:noWrap/>
            <w:vAlign w:val="center"/>
            <w:hideMark/>
          </w:tcPr>
          <w:p w:rsidR="00A85415" w:rsidRPr="00E75D0A" w:rsidRDefault="00A85415" w:rsidP="002E3AE9">
            <w:pPr>
              <w:jc w:val="right"/>
              <w:rPr>
                <w:color w:val="000000"/>
                <w:sz w:val="18"/>
                <w:szCs w:val="18"/>
                <w:lang w:val="cs-CZ" w:eastAsia="cs-CZ"/>
              </w:rPr>
            </w:pPr>
            <w:r w:rsidRPr="00E75D0A">
              <w:rPr>
                <w:color w:val="000000"/>
                <w:sz w:val="18"/>
                <w:szCs w:val="18"/>
                <w:lang w:val="cs-CZ" w:eastAsia="cs-CZ"/>
              </w:rPr>
              <w:t>3,33</w:t>
            </w:r>
          </w:p>
        </w:tc>
      </w:tr>
      <w:tr w:rsidR="00A85415" w:rsidRPr="009F3E04" w:rsidTr="002E3AE9">
        <w:trPr>
          <w:trHeight w:val="240"/>
          <w:jc w:val="center"/>
        </w:trPr>
        <w:tc>
          <w:tcPr>
            <w:tcW w:w="4256" w:type="dxa"/>
            <w:noWrap/>
            <w:vAlign w:val="center"/>
            <w:hideMark/>
          </w:tcPr>
          <w:p w:rsidR="00A85415" w:rsidRPr="00E75D0A" w:rsidRDefault="00A85415" w:rsidP="002E3AE9">
            <w:pPr>
              <w:jc w:val="left"/>
              <w:rPr>
                <w:color w:val="000000"/>
                <w:sz w:val="18"/>
                <w:szCs w:val="18"/>
                <w:lang w:val="cs-CZ" w:eastAsia="cs-CZ"/>
              </w:rPr>
            </w:pPr>
            <w:r w:rsidRPr="00E75D0A">
              <w:rPr>
                <w:color w:val="000000"/>
                <w:sz w:val="18"/>
                <w:szCs w:val="18"/>
                <w:lang w:val="cs-CZ" w:eastAsia="cs-CZ"/>
              </w:rPr>
              <w:t>Revolving</w:t>
            </w:r>
            <w:r>
              <w:rPr>
                <w:color w:val="000000"/>
                <w:sz w:val="18"/>
                <w:szCs w:val="18"/>
                <w:lang w:val="cs-CZ" w:eastAsia="cs-CZ"/>
              </w:rPr>
              <w:t>ový efekt</w:t>
            </w:r>
          </w:p>
        </w:tc>
        <w:tc>
          <w:tcPr>
            <w:tcW w:w="1417" w:type="dxa"/>
            <w:noWrap/>
            <w:vAlign w:val="center"/>
            <w:hideMark/>
          </w:tcPr>
          <w:p w:rsidR="00A85415" w:rsidRPr="00E75D0A" w:rsidRDefault="00A85415" w:rsidP="002E3AE9">
            <w:pPr>
              <w:jc w:val="right"/>
              <w:rPr>
                <w:color w:val="000000"/>
                <w:sz w:val="18"/>
                <w:szCs w:val="18"/>
                <w:lang w:val="cs-CZ" w:eastAsia="cs-CZ"/>
              </w:rPr>
            </w:pPr>
            <w:r>
              <w:rPr>
                <w:color w:val="000000"/>
                <w:sz w:val="18"/>
                <w:szCs w:val="18"/>
                <w:lang w:val="cs-CZ" w:eastAsia="cs-CZ"/>
              </w:rPr>
              <w:t>2 058</w:t>
            </w:r>
            <w:r w:rsidRPr="00E75D0A">
              <w:rPr>
                <w:color w:val="000000"/>
                <w:sz w:val="18"/>
                <w:szCs w:val="18"/>
                <w:lang w:val="cs-CZ" w:eastAsia="cs-CZ"/>
              </w:rPr>
              <w:t xml:space="preserve"> mil. Kč</w:t>
            </w:r>
          </w:p>
        </w:tc>
      </w:tr>
      <w:tr w:rsidR="00A85415" w:rsidRPr="009F3E04" w:rsidTr="002E3AE9">
        <w:trPr>
          <w:trHeight w:val="240"/>
          <w:jc w:val="center"/>
        </w:trPr>
        <w:tc>
          <w:tcPr>
            <w:tcW w:w="4256" w:type="dxa"/>
            <w:noWrap/>
            <w:vAlign w:val="center"/>
          </w:tcPr>
          <w:p w:rsidR="00A85415" w:rsidRPr="00191CB8" w:rsidRDefault="00A85415" w:rsidP="002E3AE9">
            <w:pPr>
              <w:jc w:val="left"/>
              <w:rPr>
                <w:color w:val="000000"/>
                <w:sz w:val="18"/>
                <w:szCs w:val="18"/>
                <w:lang w:eastAsia="cs-CZ"/>
              </w:rPr>
            </w:pPr>
            <w:r w:rsidRPr="00E75D0A">
              <w:rPr>
                <w:color w:val="000000"/>
                <w:sz w:val="18"/>
                <w:szCs w:val="18"/>
                <w:lang w:val="cs-CZ" w:eastAsia="cs-CZ"/>
              </w:rPr>
              <w:t>Revolving</w:t>
            </w:r>
            <w:r>
              <w:rPr>
                <w:color w:val="000000"/>
                <w:sz w:val="18"/>
                <w:szCs w:val="18"/>
                <w:lang w:val="cs-CZ" w:eastAsia="cs-CZ"/>
              </w:rPr>
              <w:t>ový efekt</w:t>
            </w:r>
            <w:r>
              <w:rPr>
                <w:color w:val="000000"/>
                <w:sz w:val="18"/>
                <w:szCs w:val="18"/>
                <w:lang w:eastAsia="cs-CZ"/>
              </w:rPr>
              <w:t>/alokace OPPIK</w:t>
            </w:r>
          </w:p>
        </w:tc>
        <w:tc>
          <w:tcPr>
            <w:tcW w:w="1417" w:type="dxa"/>
            <w:noWrap/>
            <w:vAlign w:val="center"/>
          </w:tcPr>
          <w:p w:rsidR="00A85415" w:rsidRPr="000261FB" w:rsidRDefault="00A85415" w:rsidP="002E3AE9">
            <w:pPr>
              <w:jc w:val="right"/>
              <w:rPr>
                <w:color w:val="000000"/>
                <w:sz w:val="18"/>
                <w:szCs w:val="18"/>
                <w:lang w:val="cs-CZ" w:eastAsia="cs-CZ"/>
              </w:rPr>
            </w:pPr>
            <w:r>
              <w:rPr>
                <w:color w:val="000000"/>
                <w:sz w:val="18"/>
                <w:szCs w:val="18"/>
                <w:lang w:val="cs-CZ" w:eastAsia="cs-CZ"/>
              </w:rPr>
              <w:t>62,5 %</w:t>
            </w:r>
          </w:p>
        </w:tc>
      </w:tr>
    </w:tbl>
    <w:p w:rsidR="00A85415" w:rsidRPr="00D03ACF" w:rsidRDefault="00A85415" w:rsidP="00A85415">
      <w:pPr>
        <w:rPr>
          <w:noProof/>
        </w:rPr>
      </w:pPr>
    </w:p>
    <w:p w:rsidR="00A85415" w:rsidRDefault="00A85415" w:rsidP="002433DA">
      <w:r>
        <w:t>Prezentované bezrizikové modely ukazují plný potenciál revolvingu, kdy jsou po uplynutí splatnosti posledního úvěru ve finančním nástroji prostředky ve stejné výši jako alokace na počátku prvního investičního cyklu. Revolvingový efekt umožnil jen OPPIK proinvestovat o více než 2 mld. Kč více, což odpovídá navýšení proinvestovaných prostředků OPPIK vůči původní alokaci o 62,5 %.</w:t>
      </w:r>
    </w:p>
    <w:p w:rsidR="00A85415" w:rsidRDefault="00A85415" w:rsidP="00A85415"/>
    <w:p w:rsidR="00A85415" w:rsidRDefault="00A85415" w:rsidP="00A85415">
      <w:r>
        <w:t>Následující model uvádí výsledky stejně nastaveného nástroje v případě, že by došlo k defaultu 20 % úvěrových případů v prvním roce splácení.</w:t>
      </w:r>
    </w:p>
    <w:p w:rsidR="00A85415" w:rsidRDefault="00A85415" w:rsidP="00A85415">
      <w:pPr>
        <w:jc w:val="center"/>
      </w:pPr>
      <w:r>
        <w:rPr>
          <w:noProof/>
        </w:rPr>
        <w:drawing>
          <wp:inline distT="0" distB="0" distL="0" distR="0" wp14:anchorId="7F81D17F" wp14:editId="324EE8D4">
            <wp:extent cx="4591050" cy="2743200"/>
            <wp:effectExtent l="0" t="0" r="0" b="0"/>
            <wp:docPr id="11649" name="Chart 116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bl>
      <w:tblPr>
        <w:tblStyle w:val="TableGridLight1"/>
        <w:tblW w:w="5669" w:type="dxa"/>
        <w:jc w:val="center"/>
        <w:tblLook w:val="04A0" w:firstRow="1" w:lastRow="0" w:firstColumn="1" w:lastColumn="0" w:noHBand="0" w:noVBand="1"/>
      </w:tblPr>
      <w:tblGrid>
        <w:gridCol w:w="4252"/>
        <w:gridCol w:w="1417"/>
      </w:tblGrid>
      <w:tr w:rsidR="00A85415" w:rsidRPr="009F3E04" w:rsidTr="002E3AE9">
        <w:trPr>
          <w:trHeight w:val="240"/>
          <w:jc w:val="center"/>
        </w:trPr>
        <w:tc>
          <w:tcPr>
            <w:tcW w:w="4252" w:type="dxa"/>
            <w:noWrap/>
            <w:vAlign w:val="center"/>
            <w:hideMark/>
          </w:tcPr>
          <w:p w:rsidR="00A85415" w:rsidRPr="00E75D0A" w:rsidRDefault="00A85415" w:rsidP="002E3AE9">
            <w:pPr>
              <w:jc w:val="left"/>
              <w:rPr>
                <w:color w:val="000000"/>
                <w:sz w:val="18"/>
                <w:szCs w:val="18"/>
                <w:lang w:val="cs-CZ" w:eastAsia="cs-CZ"/>
              </w:rPr>
            </w:pPr>
            <w:r w:rsidRPr="00E75D0A">
              <w:rPr>
                <w:color w:val="000000"/>
                <w:sz w:val="18"/>
                <w:szCs w:val="18"/>
                <w:lang w:val="cs-CZ" w:eastAsia="cs-CZ"/>
              </w:rPr>
              <w:t>Alokace OPPIK (mil. Kč)</w:t>
            </w:r>
          </w:p>
        </w:tc>
        <w:tc>
          <w:tcPr>
            <w:tcW w:w="1417" w:type="dxa"/>
            <w:noWrap/>
            <w:vAlign w:val="center"/>
            <w:hideMark/>
          </w:tcPr>
          <w:p w:rsidR="00A85415" w:rsidRPr="00E75D0A" w:rsidRDefault="00A85415" w:rsidP="002E3AE9">
            <w:pPr>
              <w:jc w:val="right"/>
              <w:rPr>
                <w:color w:val="000000"/>
                <w:sz w:val="18"/>
                <w:szCs w:val="18"/>
                <w:lang w:val="cs-CZ" w:eastAsia="cs-CZ"/>
              </w:rPr>
            </w:pPr>
            <w:r>
              <w:rPr>
                <w:color w:val="000000"/>
                <w:sz w:val="18"/>
                <w:szCs w:val="18"/>
                <w:lang w:val="cs-CZ" w:eastAsia="cs-CZ"/>
              </w:rPr>
              <w:t>3 291 mil</w:t>
            </w:r>
          </w:p>
        </w:tc>
      </w:tr>
      <w:tr w:rsidR="00A85415" w:rsidRPr="009F3E04" w:rsidTr="002E3AE9">
        <w:trPr>
          <w:trHeight w:val="240"/>
          <w:jc w:val="center"/>
        </w:trPr>
        <w:tc>
          <w:tcPr>
            <w:tcW w:w="4252" w:type="dxa"/>
            <w:noWrap/>
            <w:vAlign w:val="center"/>
            <w:hideMark/>
          </w:tcPr>
          <w:p w:rsidR="00A85415" w:rsidRPr="00E75D0A" w:rsidRDefault="00A85415" w:rsidP="002E3AE9">
            <w:pPr>
              <w:jc w:val="left"/>
              <w:rPr>
                <w:color w:val="000000"/>
                <w:sz w:val="18"/>
                <w:szCs w:val="18"/>
                <w:lang w:val="cs-CZ" w:eastAsia="cs-CZ"/>
              </w:rPr>
            </w:pPr>
            <w:r w:rsidRPr="00E75D0A">
              <w:rPr>
                <w:color w:val="000000"/>
                <w:sz w:val="18"/>
                <w:szCs w:val="18"/>
                <w:lang w:val="cs-CZ" w:eastAsia="cs-CZ"/>
              </w:rPr>
              <w:t>Úrok zdrojů poskytovaných z OPPIK</w:t>
            </w:r>
          </w:p>
        </w:tc>
        <w:tc>
          <w:tcPr>
            <w:tcW w:w="1417" w:type="dxa"/>
            <w:noWrap/>
            <w:vAlign w:val="center"/>
            <w:hideMark/>
          </w:tcPr>
          <w:p w:rsidR="00A85415" w:rsidRPr="00E75D0A" w:rsidRDefault="00A85415" w:rsidP="002E3AE9">
            <w:pPr>
              <w:jc w:val="right"/>
              <w:rPr>
                <w:color w:val="000000"/>
                <w:sz w:val="18"/>
                <w:szCs w:val="18"/>
                <w:lang w:val="cs-CZ" w:eastAsia="cs-CZ"/>
              </w:rPr>
            </w:pPr>
            <w:r w:rsidRPr="00E75D0A">
              <w:rPr>
                <w:color w:val="000000"/>
                <w:sz w:val="18"/>
                <w:szCs w:val="18"/>
                <w:lang w:val="cs-CZ" w:eastAsia="cs-CZ"/>
              </w:rPr>
              <w:t>0,50 %</w:t>
            </w:r>
          </w:p>
        </w:tc>
      </w:tr>
      <w:tr w:rsidR="00A85415" w:rsidRPr="009F3E04" w:rsidTr="002E3AE9">
        <w:trPr>
          <w:trHeight w:val="240"/>
          <w:jc w:val="center"/>
        </w:trPr>
        <w:tc>
          <w:tcPr>
            <w:tcW w:w="4252" w:type="dxa"/>
            <w:noWrap/>
            <w:vAlign w:val="center"/>
            <w:hideMark/>
          </w:tcPr>
          <w:p w:rsidR="00A85415" w:rsidRPr="00E75D0A" w:rsidRDefault="00A85415" w:rsidP="002E3AE9">
            <w:pPr>
              <w:jc w:val="left"/>
              <w:rPr>
                <w:color w:val="000000"/>
                <w:sz w:val="18"/>
                <w:szCs w:val="18"/>
                <w:lang w:val="cs-CZ" w:eastAsia="cs-CZ"/>
              </w:rPr>
            </w:pPr>
            <w:r w:rsidRPr="00E75D0A">
              <w:rPr>
                <w:color w:val="000000"/>
                <w:sz w:val="18"/>
                <w:szCs w:val="18"/>
                <w:lang w:val="cs-CZ" w:eastAsia="cs-CZ"/>
              </w:rPr>
              <w:t>Požadovaný úrok spolufinancujícího subjektu</w:t>
            </w:r>
          </w:p>
        </w:tc>
        <w:tc>
          <w:tcPr>
            <w:tcW w:w="1417" w:type="dxa"/>
            <w:noWrap/>
            <w:vAlign w:val="center"/>
            <w:hideMark/>
          </w:tcPr>
          <w:p w:rsidR="00A85415" w:rsidRPr="00E75D0A" w:rsidRDefault="00A85415" w:rsidP="002E3AE9">
            <w:pPr>
              <w:jc w:val="right"/>
              <w:rPr>
                <w:color w:val="000000"/>
                <w:sz w:val="18"/>
                <w:szCs w:val="18"/>
                <w:lang w:val="cs-CZ" w:eastAsia="cs-CZ"/>
              </w:rPr>
            </w:pPr>
            <w:r w:rsidRPr="00E75D0A">
              <w:rPr>
                <w:color w:val="000000"/>
                <w:sz w:val="18"/>
                <w:szCs w:val="18"/>
                <w:lang w:val="cs-CZ" w:eastAsia="cs-CZ"/>
              </w:rPr>
              <w:t>3,50 %</w:t>
            </w:r>
          </w:p>
        </w:tc>
      </w:tr>
      <w:tr w:rsidR="00A85415" w:rsidRPr="009F3E04" w:rsidTr="002E3AE9">
        <w:trPr>
          <w:trHeight w:val="240"/>
          <w:jc w:val="center"/>
        </w:trPr>
        <w:tc>
          <w:tcPr>
            <w:tcW w:w="4252" w:type="dxa"/>
            <w:noWrap/>
            <w:vAlign w:val="center"/>
            <w:hideMark/>
          </w:tcPr>
          <w:p w:rsidR="00A85415" w:rsidRPr="00E75D0A" w:rsidRDefault="00A85415" w:rsidP="002E3AE9">
            <w:pPr>
              <w:jc w:val="left"/>
              <w:rPr>
                <w:color w:val="000000"/>
                <w:sz w:val="18"/>
                <w:szCs w:val="18"/>
                <w:lang w:val="cs-CZ" w:eastAsia="cs-CZ"/>
              </w:rPr>
            </w:pPr>
            <w:r w:rsidRPr="00E75D0A">
              <w:rPr>
                <w:color w:val="000000"/>
                <w:sz w:val="18"/>
                <w:szCs w:val="18"/>
                <w:lang w:val="cs-CZ" w:eastAsia="cs-CZ"/>
              </w:rPr>
              <w:t>Limit výše výsledné úrokové míry úvěru příjemci</w:t>
            </w:r>
          </w:p>
        </w:tc>
        <w:tc>
          <w:tcPr>
            <w:tcW w:w="1417" w:type="dxa"/>
            <w:noWrap/>
            <w:vAlign w:val="center"/>
            <w:hideMark/>
          </w:tcPr>
          <w:p w:rsidR="00A85415" w:rsidRPr="00E75D0A" w:rsidRDefault="00A85415" w:rsidP="002E3AE9">
            <w:pPr>
              <w:jc w:val="right"/>
              <w:rPr>
                <w:color w:val="000000"/>
                <w:sz w:val="18"/>
                <w:szCs w:val="18"/>
                <w:lang w:val="cs-CZ" w:eastAsia="cs-CZ"/>
              </w:rPr>
            </w:pPr>
            <w:r w:rsidRPr="00E75D0A">
              <w:rPr>
                <w:color w:val="000000"/>
                <w:sz w:val="18"/>
                <w:szCs w:val="18"/>
                <w:lang w:val="cs-CZ" w:eastAsia="cs-CZ"/>
              </w:rPr>
              <w:t>2,00 %</w:t>
            </w:r>
          </w:p>
        </w:tc>
      </w:tr>
      <w:tr w:rsidR="00A85415" w:rsidRPr="009F3E04" w:rsidTr="002E3AE9">
        <w:trPr>
          <w:trHeight w:val="240"/>
          <w:jc w:val="center"/>
        </w:trPr>
        <w:tc>
          <w:tcPr>
            <w:tcW w:w="4252" w:type="dxa"/>
            <w:noWrap/>
            <w:vAlign w:val="center"/>
            <w:hideMark/>
          </w:tcPr>
          <w:p w:rsidR="00A85415" w:rsidRPr="00E75D0A" w:rsidRDefault="00A85415" w:rsidP="002E3AE9">
            <w:pPr>
              <w:jc w:val="left"/>
              <w:rPr>
                <w:color w:val="000000"/>
                <w:sz w:val="18"/>
                <w:szCs w:val="18"/>
                <w:lang w:val="cs-CZ" w:eastAsia="cs-CZ"/>
              </w:rPr>
            </w:pPr>
            <w:r w:rsidRPr="00E75D0A">
              <w:rPr>
                <w:color w:val="000000"/>
                <w:sz w:val="18"/>
                <w:szCs w:val="18"/>
                <w:lang w:val="cs-CZ" w:eastAsia="cs-CZ"/>
              </w:rPr>
              <w:t>Míra zapojení spolufinancujícího subjektu</w:t>
            </w:r>
          </w:p>
        </w:tc>
        <w:tc>
          <w:tcPr>
            <w:tcW w:w="1417" w:type="dxa"/>
            <w:noWrap/>
            <w:vAlign w:val="center"/>
            <w:hideMark/>
          </w:tcPr>
          <w:p w:rsidR="00A85415" w:rsidRPr="00E75D0A" w:rsidRDefault="00A85415" w:rsidP="002E3AE9">
            <w:pPr>
              <w:jc w:val="right"/>
              <w:rPr>
                <w:color w:val="000000"/>
                <w:sz w:val="18"/>
                <w:szCs w:val="18"/>
                <w:lang w:val="cs-CZ" w:eastAsia="cs-CZ"/>
              </w:rPr>
            </w:pPr>
            <w:r w:rsidRPr="00E75D0A">
              <w:rPr>
                <w:color w:val="000000"/>
                <w:sz w:val="18"/>
                <w:szCs w:val="18"/>
                <w:lang w:val="cs-CZ" w:eastAsia="cs-CZ"/>
              </w:rPr>
              <w:t>50,00 %</w:t>
            </w:r>
          </w:p>
        </w:tc>
      </w:tr>
      <w:tr w:rsidR="00A85415" w:rsidRPr="009F3E04" w:rsidTr="002E3AE9">
        <w:trPr>
          <w:trHeight w:val="240"/>
          <w:jc w:val="center"/>
        </w:trPr>
        <w:tc>
          <w:tcPr>
            <w:tcW w:w="4252" w:type="dxa"/>
            <w:noWrap/>
            <w:vAlign w:val="center"/>
            <w:hideMark/>
          </w:tcPr>
          <w:p w:rsidR="00A85415" w:rsidRPr="00E75D0A" w:rsidRDefault="00A85415" w:rsidP="002E3AE9">
            <w:pPr>
              <w:jc w:val="left"/>
              <w:rPr>
                <w:color w:val="000000"/>
                <w:sz w:val="18"/>
                <w:szCs w:val="18"/>
                <w:lang w:val="cs-CZ" w:eastAsia="cs-CZ"/>
              </w:rPr>
            </w:pPr>
            <w:r w:rsidRPr="00E75D0A">
              <w:rPr>
                <w:color w:val="000000"/>
                <w:sz w:val="18"/>
                <w:szCs w:val="18"/>
                <w:lang w:val="cs-CZ" w:eastAsia="cs-CZ"/>
              </w:rPr>
              <w:t>Splatnost úvěru</w:t>
            </w:r>
          </w:p>
        </w:tc>
        <w:tc>
          <w:tcPr>
            <w:tcW w:w="1417" w:type="dxa"/>
            <w:noWrap/>
            <w:vAlign w:val="center"/>
            <w:hideMark/>
          </w:tcPr>
          <w:p w:rsidR="00A85415" w:rsidRPr="00E75D0A" w:rsidRDefault="00A85415" w:rsidP="002E3AE9">
            <w:pPr>
              <w:jc w:val="right"/>
              <w:rPr>
                <w:color w:val="000000"/>
                <w:sz w:val="18"/>
                <w:szCs w:val="18"/>
                <w:lang w:val="cs-CZ" w:eastAsia="cs-CZ"/>
              </w:rPr>
            </w:pPr>
            <w:r w:rsidRPr="00E75D0A">
              <w:rPr>
                <w:color w:val="000000"/>
                <w:sz w:val="18"/>
                <w:szCs w:val="18"/>
                <w:lang w:val="cs-CZ" w:eastAsia="cs-CZ"/>
              </w:rPr>
              <w:t>10</w:t>
            </w:r>
          </w:p>
        </w:tc>
      </w:tr>
      <w:tr w:rsidR="00A85415" w:rsidRPr="009F3E04" w:rsidTr="002E3AE9">
        <w:trPr>
          <w:trHeight w:val="240"/>
          <w:jc w:val="center"/>
        </w:trPr>
        <w:tc>
          <w:tcPr>
            <w:tcW w:w="4252" w:type="dxa"/>
            <w:noWrap/>
            <w:vAlign w:val="center"/>
          </w:tcPr>
          <w:p w:rsidR="00A85415" w:rsidRPr="00E75D0A" w:rsidRDefault="00A85415" w:rsidP="002E3AE9">
            <w:pPr>
              <w:jc w:val="left"/>
              <w:rPr>
                <w:color w:val="000000"/>
                <w:sz w:val="18"/>
                <w:szCs w:val="18"/>
                <w:lang w:eastAsia="cs-CZ"/>
              </w:rPr>
            </w:pPr>
            <w:r>
              <w:rPr>
                <w:color w:val="000000"/>
                <w:sz w:val="18"/>
                <w:szCs w:val="18"/>
                <w:lang w:eastAsia="cs-CZ"/>
              </w:rPr>
              <w:t>Míra defaultu</w:t>
            </w:r>
          </w:p>
        </w:tc>
        <w:tc>
          <w:tcPr>
            <w:tcW w:w="1417" w:type="dxa"/>
            <w:noWrap/>
            <w:vAlign w:val="center"/>
          </w:tcPr>
          <w:p w:rsidR="00A85415" w:rsidRPr="00E75D0A" w:rsidRDefault="00A85415" w:rsidP="002E3AE9">
            <w:pPr>
              <w:jc w:val="right"/>
              <w:rPr>
                <w:color w:val="000000"/>
                <w:sz w:val="18"/>
                <w:szCs w:val="18"/>
                <w:lang w:eastAsia="cs-CZ"/>
              </w:rPr>
            </w:pPr>
            <w:r>
              <w:rPr>
                <w:color w:val="000000"/>
                <w:sz w:val="18"/>
                <w:szCs w:val="18"/>
                <w:lang w:eastAsia="cs-CZ"/>
              </w:rPr>
              <w:t>20 %</w:t>
            </w:r>
          </w:p>
        </w:tc>
      </w:tr>
    </w:tbl>
    <w:p w:rsidR="00A85415" w:rsidRDefault="00A85415" w:rsidP="00A85415">
      <w:pPr>
        <w:pStyle w:val="CaptionIntroductionparagraph"/>
      </w:pPr>
    </w:p>
    <w:tbl>
      <w:tblPr>
        <w:tblStyle w:val="TableGridLight1"/>
        <w:tblW w:w="5673" w:type="dxa"/>
        <w:jc w:val="center"/>
        <w:tblLook w:val="04A0" w:firstRow="1" w:lastRow="0" w:firstColumn="1" w:lastColumn="0" w:noHBand="0" w:noVBand="1"/>
      </w:tblPr>
      <w:tblGrid>
        <w:gridCol w:w="4256"/>
        <w:gridCol w:w="1417"/>
      </w:tblGrid>
      <w:tr w:rsidR="00A85415" w:rsidRPr="009F3E04" w:rsidTr="002E3AE9">
        <w:trPr>
          <w:trHeight w:val="240"/>
          <w:jc w:val="center"/>
        </w:trPr>
        <w:tc>
          <w:tcPr>
            <w:tcW w:w="4256" w:type="dxa"/>
            <w:noWrap/>
            <w:vAlign w:val="center"/>
            <w:hideMark/>
          </w:tcPr>
          <w:p w:rsidR="00A85415" w:rsidRPr="00E75D0A" w:rsidRDefault="00A85415" w:rsidP="002E3AE9">
            <w:pPr>
              <w:jc w:val="left"/>
              <w:rPr>
                <w:color w:val="000000"/>
                <w:sz w:val="18"/>
                <w:szCs w:val="18"/>
                <w:lang w:val="cs-CZ" w:eastAsia="cs-CZ"/>
              </w:rPr>
            </w:pPr>
            <w:r w:rsidRPr="00E75D0A">
              <w:rPr>
                <w:color w:val="000000"/>
                <w:sz w:val="18"/>
                <w:szCs w:val="18"/>
                <w:lang w:val="cs-CZ" w:eastAsia="cs-CZ"/>
              </w:rPr>
              <w:t>Celkem proinvestováno - milník rok 2018</w:t>
            </w:r>
          </w:p>
        </w:tc>
        <w:tc>
          <w:tcPr>
            <w:tcW w:w="1417" w:type="dxa"/>
            <w:noWrap/>
            <w:vAlign w:val="center"/>
            <w:hideMark/>
          </w:tcPr>
          <w:p w:rsidR="00A85415" w:rsidRPr="00E75D0A" w:rsidRDefault="00A85415" w:rsidP="002E3AE9">
            <w:pPr>
              <w:jc w:val="right"/>
              <w:rPr>
                <w:color w:val="000000"/>
                <w:sz w:val="18"/>
                <w:szCs w:val="18"/>
                <w:lang w:val="cs-CZ" w:eastAsia="cs-CZ"/>
              </w:rPr>
            </w:pPr>
            <w:r>
              <w:rPr>
                <w:color w:val="000000"/>
                <w:sz w:val="18"/>
                <w:szCs w:val="18"/>
                <w:lang w:val="cs-CZ" w:eastAsia="cs-CZ"/>
              </w:rPr>
              <w:t>8 227</w:t>
            </w:r>
            <w:r w:rsidRPr="00E75D0A">
              <w:rPr>
                <w:color w:val="000000"/>
                <w:sz w:val="18"/>
                <w:szCs w:val="18"/>
                <w:lang w:val="cs-CZ" w:eastAsia="cs-CZ"/>
              </w:rPr>
              <w:t xml:space="preserve"> mil. Kč</w:t>
            </w:r>
          </w:p>
        </w:tc>
      </w:tr>
      <w:tr w:rsidR="00A85415" w:rsidRPr="009F3E04" w:rsidTr="002E3AE9">
        <w:trPr>
          <w:trHeight w:val="240"/>
          <w:jc w:val="center"/>
        </w:trPr>
        <w:tc>
          <w:tcPr>
            <w:tcW w:w="4256" w:type="dxa"/>
            <w:noWrap/>
            <w:vAlign w:val="center"/>
            <w:hideMark/>
          </w:tcPr>
          <w:p w:rsidR="00A85415" w:rsidRPr="00E75D0A" w:rsidRDefault="00A85415" w:rsidP="002E3AE9">
            <w:pPr>
              <w:jc w:val="left"/>
              <w:rPr>
                <w:color w:val="000000"/>
                <w:sz w:val="18"/>
                <w:szCs w:val="18"/>
                <w:lang w:val="cs-CZ" w:eastAsia="cs-CZ"/>
              </w:rPr>
            </w:pPr>
            <w:r w:rsidRPr="00E75D0A">
              <w:rPr>
                <w:color w:val="000000"/>
                <w:sz w:val="18"/>
                <w:szCs w:val="18"/>
                <w:lang w:val="cs-CZ" w:eastAsia="cs-CZ"/>
              </w:rPr>
              <w:t>Celkem proinvestováno - konec období rok 2023</w:t>
            </w:r>
          </w:p>
        </w:tc>
        <w:tc>
          <w:tcPr>
            <w:tcW w:w="1417" w:type="dxa"/>
            <w:noWrap/>
            <w:vAlign w:val="center"/>
            <w:hideMark/>
          </w:tcPr>
          <w:p w:rsidR="00A85415" w:rsidRPr="00E75D0A" w:rsidRDefault="00A85415" w:rsidP="002E3AE9">
            <w:pPr>
              <w:jc w:val="right"/>
              <w:rPr>
                <w:color w:val="000000"/>
                <w:sz w:val="18"/>
                <w:szCs w:val="18"/>
                <w:lang w:val="cs-CZ" w:eastAsia="cs-CZ"/>
              </w:rPr>
            </w:pPr>
            <w:r>
              <w:rPr>
                <w:color w:val="000000"/>
                <w:sz w:val="18"/>
                <w:szCs w:val="18"/>
                <w:lang w:val="cs-CZ" w:eastAsia="cs-CZ"/>
              </w:rPr>
              <w:t>16 274</w:t>
            </w:r>
            <w:r w:rsidRPr="00E75D0A">
              <w:rPr>
                <w:color w:val="000000"/>
                <w:sz w:val="18"/>
                <w:szCs w:val="18"/>
                <w:lang w:val="cs-CZ" w:eastAsia="cs-CZ"/>
              </w:rPr>
              <w:t xml:space="preserve"> mil. Kč</w:t>
            </w:r>
          </w:p>
        </w:tc>
      </w:tr>
      <w:tr w:rsidR="00A85415" w:rsidRPr="009F3E04" w:rsidTr="002E3AE9">
        <w:trPr>
          <w:trHeight w:val="240"/>
          <w:jc w:val="center"/>
        </w:trPr>
        <w:tc>
          <w:tcPr>
            <w:tcW w:w="4256" w:type="dxa"/>
            <w:noWrap/>
            <w:vAlign w:val="center"/>
            <w:hideMark/>
          </w:tcPr>
          <w:p w:rsidR="00A85415" w:rsidRPr="00E75D0A" w:rsidRDefault="00A85415" w:rsidP="002E3AE9">
            <w:pPr>
              <w:jc w:val="left"/>
              <w:rPr>
                <w:color w:val="000000"/>
                <w:sz w:val="18"/>
                <w:szCs w:val="18"/>
                <w:lang w:val="cs-CZ" w:eastAsia="cs-CZ"/>
              </w:rPr>
            </w:pPr>
            <w:r w:rsidRPr="00E75D0A">
              <w:rPr>
                <w:color w:val="000000"/>
                <w:sz w:val="18"/>
                <w:szCs w:val="18"/>
                <w:lang w:val="cs-CZ" w:eastAsia="cs-CZ"/>
              </w:rPr>
              <w:t>Disponibilní prostředky v roce 2022</w:t>
            </w:r>
          </w:p>
        </w:tc>
        <w:tc>
          <w:tcPr>
            <w:tcW w:w="1417" w:type="dxa"/>
            <w:noWrap/>
            <w:vAlign w:val="center"/>
            <w:hideMark/>
          </w:tcPr>
          <w:p w:rsidR="00A85415" w:rsidRPr="00E75D0A" w:rsidRDefault="00A85415" w:rsidP="002E3AE9">
            <w:pPr>
              <w:jc w:val="right"/>
              <w:rPr>
                <w:color w:val="000000"/>
                <w:sz w:val="18"/>
                <w:szCs w:val="18"/>
                <w:lang w:val="cs-CZ" w:eastAsia="cs-CZ"/>
              </w:rPr>
            </w:pPr>
            <w:r>
              <w:rPr>
                <w:color w:val="000000"/>
                <w:sz w:val="18"/>
                <w:szCs w:val="18"/>
                <w:lang w:val="cs-CZ" w:eastAsia="cs-CZ"/>
              </w:rPr>
              <w:t>2 314</w:t>
            </w:r>
            <w:r w:rsidRPr="00E75D0A">
              <w:rPr>
                <w:color w:val="000000"/>
                <w:sz w:val="18"/>
                <w:szCs w:val="18"/>
                <w:lang w:val="cs-CZ" w:eastAsia="cs-CZ"/>
              </w:rPr>
              <w:t xml:space="preserve"> mil. Kč</w:t>
            </w:r>
          </w:p>
        </w:tc>
      </w:tr>
      <w:tr w:rsidR="00A85415" w:rsidRPr="009F3E04" w:rsidTr="002E3AE9">
        <w:trPr>
          <w:trHeight w:val="240"/>
          <w:jc w:val="center"/>
        </w:trPr>
        <w:tc>
          <w:tcPr>
            <w:tcW w:w="4256" w:type="dxa"/>
            <w:noWrap/>
            <w:vAlign w:val="center"/>
            <w:hideMark/>
          </w:tcPr>
          <w:p w:rsidR="00A85415" w:rsidRPr="00E75D0A" w:rsidRDefault="00A85415" w:rsidP="002E3AE9">
            <w:pPr>
              <w:jc w:val="left"/>
              <w:rPr>
                <w:color w:val="000000"/>
                <w:sz w:val="18"/>
                <w:szCs w:val="18"/>
                <w:lang w:val="cs-CZ" w:eastAsia="cs-CZ"/>
              </w:rPr>
            </w:pPr>
            <w:r w:rsidRPr="00E75D0A">
              <w:rPr>
                <w:color w:val="000000"/>
                <w:sz w:val="18"/>
                <w:szCs w:val="18"/>
                <w:lang w:val="cs-CZ" w:eastAsia="cs-CZ"/>
              </w:rPr>
              <w:t>Přidaná hodnota</w:t>
            </w:r>
          </w:p>
        </w:tc>
        <w:tc>
          <w:tcPr>
            <w:tcW w:w="1417" w:type="dxa"/>
            <w:noWrap/>
            <w:vAlign w:val="center"/>
            <w:hideMark/>
          </w:tcPr>
          <w:p w:rsidR="00A85415" w:rsidRPr="00E75D0A" w:rsidRDefault="00A85415" w:rsidP="002E3AE9">
            <w:pPr>
              <w:jc w:val="right"/>
              <w:rPr>
                <w:color w:val="000000"/>
                <w:sz w:val="18"/>
                <w:szCs w:val="18"/>
                <w:lang w:val="cs-CZ" w:eastAsia="cs-CZ"/>
              </w:rPr>
            </w:pPr>
            <w:r>
              <w:rPr>
                <w:color w:val="000000"/>
                <w:sz w:val="18"/>
                <w:szCs w:val="18"/>
                <w:lang w:val="cs-CZ" w:eastAsia="cs-CZ"/>
              </w:rPr>
              <w:t>4,95</w:t>
            </w:r>
          </w:p>
        </w:tc>
      </w:tr>
      <w:tr w:rsidR="00A85415" w:rsidRPr="009F3E04" w:rsidTr="002E3AE9">
        <w:trPr>
          <w:trHeight w:val="240"/>
          <w:jc w:val="center"/>
        </w:trPr>
        <w:tc>
          <w:tcPr>
            <w:tcW w:w="4256" w:type="dxa"/>
            <w:noWrap/>
            <w:vAlign w:val="center"/>
            <w:hideMark/>
          </w:tcPr>
          <w:p w:rsidR="00A85415" w:rsidRPr="00E75D0A" w:rsidRDefault="00A85415" w:rsidP="002E3AE9">
            <w:pPr>
              <w:jc w:val="left"/>
              <w:rPr>
                <w:color w:val="000000"/>
                <w:sz w:val="18"/>
                <w:szCs w:val="18"/>
                <w:lang w:val="cs-CZ" w:eastAsia="cs-CZ"/>
              </w:rPr>
            </w:pPr>
            <w:r w:rsidRPr="00E75D0A">
              <w:rPr>
                <w:color w:val="000000"/>
                <w:sz w:val="18"/>
                <w:szCs w:val="18"/>
                <w:lang w:val="cs-CZ" w:eastAsia="cs-CZ"/>
              </w:rPr>
              <w:t>Pákový efekt</w:t>
            </w:r>
          </w:p>
        </w:tc>
        <w:tc>
          <w:tcPr>
            <w:tcW w:w="1417" w:type="dxa"/>
            <w:noWrap/>
            <w:vAlign w:val="center"/>
            <w:hideMark/>
          </w:tcPr>
          <w:p w:rsidR="00A85415" w:rsidRPr="00E75D0A" w:rsidRDefault="00A85415" w:rsidP="002E3AE9">
            <w:pPr>
              <w:jc w:val="right"/>
              <w:rPr>
                <w:color w:val="000000"/>
                <w:sz w:val="18"/>
                <w:szCs w:val="18"/>
                <w:lang w:val="cs-CZ" w:eastAsia="cs-CZ"/>
              </w:rPr>
            </w:pPr>
            <w:r w:rsidRPr="00E75D0A">
              <w:rPr>
                <w:color w:val="000000"/>
                <w:sz w:val="18"/>
                <w:szCs w:val="18"/>
                <w:lang w:val="cs-CZ" w:eastAsia="cs-CZ"/>
              </w:rPr>
              <w:t>3,33</w:t>
            </w:r>
          </w:p>
        </w:tc>
      </w:tr>
      <w:tr w:rsidR="00A85415" w:rsidRPr="009F3E04" w:rsidTr="002E3AE9">
        <w:trPr>
          <w:trHeight w:val="240"/>
          <w:jc w:val="center"/>
        </w:trPr>
        <w:tc>
          <w:tcPr>
            <w:tcW w:w="4256" w:type="dxa"/>
            <w:noWrap/>
            <w:vAlign w:val="center"/>
            <w:hideMark/>
          </w:tcPr>
          <w:p w:rsidR="00A85415" w:rsidRPr="00E75D0A" w:rsidRDefault="00A85415" w:rsidP="002E3AE9">
            <w:pPr>
              <w:jc w:val="left"/>
              <w:rPr>
                <w:color w:val="000000"/>
                <w:sz w:val="18"/>
                <w:szCs w:val="18"/>
                <w:lang w:val="cs-CZ" w:eastAsia="cs-CZ"/>
              </w:rPr>
            </w:pPr>
            <w:r w:rsidRPr="00E75D0A">
              <w:rPr>
                <w:color w:val="000000"/>
                <w:sz w:val="18"/>
                <w:szCs w:val="18"/>
                <w:lang w:val="cs-CZ" w:eastAsia="cs-CZ"/>
              </w:rPr>
              <w:t>Revolving</w:t>
            </w:r>
            <w:r>
              <w:rPr>
                <w:color w:val="000000"/>
                <w:sz w:val="18"/>
                <w:szCs w:val="18"/>
                <w:lang w:val="cs-CZ" w:eastAsia="cs-CZ"/>
              </w:rPr>
              <w:t>ový efekt</w:t>
            </w:r>
          </w:p>
        </w:tc>
        <w:tc>
          <w:tcPr>
            <w:tcW w:w="1417" w:type="dxa"/>
            <w:noWrap/>
            <w:vAlign w:val="center"/>
            <w:hideMark/>
          </w:tcPr>
          <w:p w:rsidR="00A85415" w:rsidRPr="00E75D0A" w:rsidRDefault="00A85415" w:rsidP="002E3AE9">
            <w:pPr>
              <w:jc w:val="right"/>
              <w:rPr>
                <w:color w:val="000000"/>
                <w:sz w:val="18"/>
                <w:szCs w:val="18"/>
                <w:lang w:val="cs-CZ" w:eastAsia="cs-CZ"/>
              </w:rPr>
            </w:pPr>
            <w:r>
              <w:rPr>
                <w:color w:val="000000"/>
                <w:sz w:val="18"/>
                <w:szCs w:val="18"/>
                <w:lang w:val="cs-CZ" w:eastAsia="cs-CZ"/>
              </w:rPr>
              <w:t>1 591</w:t>
            </w:r>
            <w:r w:rsidRPr="00E75D0A">
              <w:rPr>
                <w:color w:val="000000"/>
                <w:sz w:val="18"/>
                <w:szCs w:val="18"/>
                <w:lang w:val="cs-CZ" w:eastAsia="cs-CZ"/>
              </w:rPr>
              <w:t xml:space="preserve"> mil. Kč</w:t>
            </w:r>
          </w:p>
        </w:tc>
      </w:tr>
      <w:tr w:rsidR="00A85415" w:rsidRPr="009F3E04" w:rsidTr="002E3AE9">
        <w:trPr>
          <w:trHeight w:val="240"/>
          <w:jc w:val="center"/>
        </w:trPr>
        <w:tc>
          <w:tcPr>
            <w:tcW w:w="4256" w:type="dxa"/>
            <w:noWrap/>
            <w:vAlign w:val="center"/>
          </w:tcPr>
          <w:p w:rsidR="00A85415" w:rsidRPr="00204BB2" w:rsidRDefault="00A85415" w:rsidP="002E3AE9">
            <w:pPr>
              <w:jc w:val="left"/>
              <w:rPr>
                <w:color w:val="000000"/>
                <w:sz w:val="18"/>
                <w:szCs w:val="18"/>
                <w:lang w:eastAsia="cs-CZ"/>
              </w:rPr>
            </w:pPr>
            <w:r w:rsidRPr="00E75D0A">
              <w:rPr>
                <w:color w:val="000000"/>
                <w:sz w:val="18"/>
                <w:szCs w:val="18"/>
                <w:lang w:val="cs-CZ" w:eastAsia="cs-CZ"/>
              </w:rPr>
              <w:t>Revolving</w:t>
            </w:r>
            <w:r>
              <w:rPr>
                <w:color w:val="000000"/>
                <w:sz w:val="18"/>
                <w:szCs w:val="18"/>
                <w:lang w:val="cs-CZ" w:eastAsia="cs-CZ"/>
              </w:rPr>
              <w:t>ový efekt</w:t>
            </w:r>
            <w:r>
              <w:rPr>
                <w:color w:val="000000"/>
                <w:sz w:val="18"/>
                <w:szCs w:val="18"/>
                <w:lang w:eastAsia="cs-CZ"/>
              </w:rPr>
              <w:t>/alokace OPPIK</w:t>
            </w:r>
          </w:p>
        </w:tc>
        <w:tc>
          <w:tcPr>
            <w:tcW w:w="1417" w:type="dxa"/>
            <w:noWrap/>
            <w:vAlign w:val="center"/>
          </w:tcPr>
          <w:p w:rsidR="00A85415" w:rsidRPr="00204BB2" w:rsidRDefault="00A85415" w:rsidP="002E3AE9">
            <w:pPr>
              <w:jc w:val="right"/>
              <w:rPr>
                <w:color w:val="000000"/>
                <w:sz w:val="18"/>
                <w:szCs w:val="18"/>
                <w:lang w:val="cs-CZ" w:eastAsia="cs-CZ"/>
              </w:rPr>
            </w:pPr>
            <w:r>
              <w:rPr>
                <w:color w:val="000000"/>
                <w:sz w:val="18"/>
                <w:szCs w:val="18"/>
                <w:lang w:val="cs-CZ" w:eastAsia="cs-CZ"/>
              </w:rPr>
              <w:t>48,4 %</w:t>
            </w:r>
          </w:p>
        </w:tc>
      </w:tr>
    </w:tbl>
    <w:p w:rsidR="00A85415" w:rsidRDefault="00A85415" w:rsidP="00A85415">
      <w:pPr>
        <w:pStyle w:val="CaptionIntroductionparagraph"/>
      </w:pPr>
    </w:p>
    <w:p w:rsidR="009D2CAE" w:rsidRPr="007C0CDA" w:rsidRDefault="00A85415" w:rsidP="002433DA">
      <w:r>
        <w:t>Modelovaná vysoká míra defaultu má vliv na disponibilní prostředky dostupné po splacení posledního úvěru. Přesto je revolvingový efekt jasně patrný.</w:t>
      </w:r>
    </w:p>
    <w:p w:rsidR="009D2CAE" w:rsidRPr="007C0CDA" w:rsidRDefault="009D2CAE" w:rsidP="00CE3165">
      <w:pPr>
        <w:pStyle w:val="BodyText1"/>
        <w:jc w:val="both"/>
        <w:rPr>
          <w:noProof/>
          <w:lang w:eastAsia="cs-CZ"/>
        </w:rPr>
      </w:pPr>
    </w:p>
    <w:p w:rsidR="009D2CAE" w:rsidRPr="007C0CDA" w:rsidRDefault="009D2CAE" w:rsidP="00CE3165">
      <w:pPr>
        <w:pStyle w:val="BodyText1"/>
        <w:jc w:val="both"/>
        <w:rPr>
          <w:b/>
        </w:rPr>
      </w:pPr>
      <w:r w:rsidRPr="007C0CDA">
        <w:rPr>
          <w:b/>
        </w:rPr>
        <w:t>Záruky</w:t>
      </w:r>
    </w:p>
    <w:p w:rsidR="009D2CAE" w:rsidRPr="007C0CDA" w:rsidRDefault="009D2CAE" w:rsidP="00CE3165">
      <w:r w:rsidRPr="007C0CDA">
        <w:t>Multiplikační a revolvingový efekt záručního instrumentu je přímo závislý na strategii řízení rizika. Modelová kvantifikace výsledků záručních nástrojů v SC 2.1 a její parametry jsou založeny na zkušenostech ze záručních programů OPPI. Počítá se s pákovým efektem 6,5. Při modelové alokaci dojde v celém programovacím období k podpoření až 3300 projektů a vytvoření 5800 pracovních míst. Využitím záruk bude zaktivováno 23 mld. soukromých úvěrových zdrojů. Tímto způsobem očekáváme od záručních nástrojů výrazné podpoření rozvoje malého a středního podnikání v ČR.</w:t>
      </w:r>
    </w:p>
    <w:p w:rsidR="009D2CAE" w:rsidRPr="007C0CDA" w:rsidRDefault="009D2CAE" w:rsidP="00CE3165">
      <w:pPr>
        <w:pStyle w:val="BodyText1"/>
        <w:jc w:val="both"/>
      </w:pPr>
    </w:p>
    <w:tbl>
      <w:tblPr>
        <w:tblW w:w="7080" w:type="dxa"/>
        <w:tblInd w:w="55" w:type="dxa"/>
        <w:tblCellMar>
          <w:left w:w="70" w:type="dxa"/>
          <w:right w:w="70" w:type="dxa"/>
        </w:tblCellMar>
        <w:tblLook w:val="00A0" w:firstRow="1" w:lastRow="0" w:firstColumn="1" w:lastColumn="0" w:noHBand="0" w:noVBand="0"/>
      </w:tblPr>
      <w:tblGrid>
        <w:gridCol w:w="2040"/>
        <w:gridCol w:w="3280"/>
        <w:gridCol w:w="1760"/>
      </w:tblGrid>
      <w:tr w:rsidR="009D2CAE" w:rsidRPr="007C0CDA" w:rsidTr="00A47740">
        <w:trPr>
          <w:trHeight w:val="315"/>
        </w:trPr>
        <w:tc>
          <w:tcPr>
            <w:tcW w:w="2040" w:type="dxa"/>
            <w:tcBorders>
              <w:top w:val="single" w:sz="8" w:space="0" w:color="auto"/>
              <w:left w:val="single" w:sz="8" w:space="0" w:color="auto"/>
              <w:bottom w:val="single" w:sz="8" w:space="0" w:color="auto"/>
              <w:right w:val="nil"/>
            </w:tcBorders>
            <w:noWrap/>
            <w:vAlign w:val="center"/>
          </w:tcPr>
          <w:p w:rsidR="009D2CAE" w:rsidRPr="007C0CDA" w:rsidRDefault="009D2CAE" w:rsidP="00A47740">
            <w:pPr>
              <w:jc w:val="center"/>
              <w:rPr>
                <w:rFonts w:cs="Calibri"/>
                <w:b/>
                <w:bCs/>
                <w:color w:val="000000"/>
                <w:szCs w:val="22"/>
              </w:rPr>
            </w:pPr>
            <w:r w:rsidRPr="007C0CDA">
              <w:rPr>
                <w:rFonts w:cs="Calibri"/>
                <w:b/>
                <w:bCs/>
                <w:color w:val="000000"/>
                <w:szCs w:val="22"/>
              </w:rPr>
              <w:t>FINANČNÍ NÁSTROJ</w:t>
            </w:r>
          </w:p>
        </w:tc>
        <w:tc>
          <w:tcPr>
            <w:tcW w:w="3280" w:type="dxa"/>
            <w:tcBorders>
              <w:top w:val="single" w:sz="8" w:space="0" w:color="auto"/>
              <w:left w:val="single" w:sz="8" w:space="0" w:color="auto"/>
              <w:bottom w:val="single" w:sz="8" w:space="0" w:color="auto"/>
              <w:right w:val="single" w:sz="8" w:space="0" w:color="auto"/>
            </w:tcBorders>
            <w:shd w:val="clear" w:color="000000" w:fill="538DD5"/>
            <w:vAlign w:val="center"/>
          </w:tcPr>
          <w:p w:rsidR="009D2CAE" w:rsidRPr="007C0CDA" w:rsidRDefault="009D2CAE" w:rsidP="00A47740">
            <w:pPr>
              <w:jc w:val="center"/>
              <w:rPr>
                <w:rFonts w:cs="Calibri"/>
                <w:b/>
                <w:bCs/>
                <w:color w:val="FFFFFF"/>
                <w:szCs w:val="22"/>
              </w:rPr>
            </w:pPr>
            <w:r w:rsidRPr="007C0CDA">
              <w:rPr>
                <w:rFonts w:cs="Calibri"/>
                <w:b/>
                <w:bCs/>
                <w:color w:val="FFFFFF"/>
                <w:szCs w:val="22"/>
              </w:rPr>
              <w:t>Typ nástroje</w:t>
            </w:r>
          </w:p>
        </w:tc>
        <w:tc>
          <w:tcPr>
            <w:tcW w:w="1760" w:type="dxa"/>
            <w:tcBorders>
              <w:top w:val="single" w:sz="8" w:space="0" w:color="auto"/>
              <w:left w:val="nil"/>
              <w:bottom w:val="single" w:sz="8" w:space="0" w:color="auto"/>
              <w:right w:val="single" w:sz="8" w:space="0" w:color="auto"/>
            </w:tcBorders>
            <w:noWrap/>
            <w:vAlign w:val="center"/>
          </w:tcPr>
          <w:p w:rsidR="009D2CAE" w:rsidRPr="007C0CDA" w:rsidRDefault="009D2CAE" w:rsidP="00A47740">
            <w:pPr>
              <w:jc w:val="left"/>
              <w:rPr>
                <w:rFonts w:cs="Calibri"/>
                <w:b/>
                <w:bCs/>
                <w:color w:val="000000"/>
                <w:szCs w:val="22"/>
              </w:rPr>
            </w:pPr>
            <w:r w:rsidRPr="007C0CDA">
              <w:rPr>
                <w:rFonts w:cs="Calibri"/>
                <w:b/>
                <w:bCs/>
                <w:color w:val="000000"/>
                <w:szCs w:val="22"/>
              </w:rPr>
              <w:t>Záruka (portfoliová + individuální)</w:t>
            </w:r>
          </w:p>
        </w:tc>
      </w:tr>
      <w:tr w:rsidR="009D2CAE" w:rsidRPr="007C0CDA" w:rsidTr="00A47740">
        <w:trPr>
          <w:trHeight w:val="315"/>
        </w:trPr>
        <w:tc>
          <w:tcPr>
            <w:tcW w:w="2040" w:type="dxa"/>
            <w:tcBorders>
              <w:top w:val="nil"/>
              <w:left w:val="single" w:sz="8" w:space="0" w:color="auto"/>
              <w:bottom w:val="nil"/>
              <w:right w:val="nil"/>
            </w:tcBorders>
            <w:noWrap/>
            <w:vAlign w:val="center"/>
          </w:tcPr>
          <w:p w:rsidR="009D2CAE" w:rsidRPr="007C0CDA" w:rsidRDefault="009D2CAE" w:rsidP="00A47740">
            <w:pPr>
              <w:jc w:val="center"/>
              <w:rPr>
                <w:rFonts w:cs="Calibri"/>
                <w:b/>
                <w:bCs/>
                <w:color w:val="000000"/>
                <w:szCs w:val="22"/>
              </w:rPr>
            </w:pPr>
            <w:r w:rsidRPr="007C0CDA">
              <w:rPr>
                <w:rFonts w:cs="Calibri"/>
                <w:b/>
                <w:bCs/>
                <w:color w:val="000000"/>
                <w:szCs w:val="22"/>
              </w:rPr>
              <w:t>ALOKACE</w:t>
            </w:r>
          </w:p>
        </w:tc>
        <w:tc>
          <w:tcPr>
            <w:tcW w:w="3280" w:type="dxa"/>
            <w:tcBorders>
              <w:top w:val="nil"/>
              <w:left w:val="single" w:sz="8" w:space="0" w:color="auto"/>
              <w:bottom w:val="nil"/>
              <w:right w:val="single" w:sz="8" w:space="0" w:color="auto"/>
            </w:tcBorders>
            <w:shd w:val="clear" w:color="000000" w:fill="000000"/>
            <w:vAlign w:val="center"/>
          </w:tcPr>
          <w:p w:rsidR="009D2CAE" w:rsidRPr="007C0CDA" w:rsidRDefault="009D2CAE" w:rsidP="00A47740">
            <w:pPr>
              <w:jc w:val="center"/>
              <w:rPr>
                <w:rFonts w:cs="Calibri"/>
                <w:b/>
                <w:bCs/>
                <w:color w:val="FFFFFF"/>
                <w:szCs w:val="22"/>
              </w:rPr>
            </w:pPr>
            <w:r w:rsidRPr="007C0CDA">
              <w:rPr>
                <w:rFonts w:cs="Calibri"/>
                <w:b/>
                <w:bCs/>
                <w:color w:val="FFFFFF"/>
                <w:szCs w:val="22"/>
              </w:rPr>
              <w:t>Alokace FN (mil. CZK)</w:t>
            </w:r>
          </w:p>
        </w:tc>
        <w:tc>
          <w:tcPr>
            <w:tcW w:w="1760" w:type="dxa"/>
            <w:tcBorders>
              <w:top w:val="nil"/>
              <w:left w:val="nil"/>
              <w:bottom w:val="nil"/>
              <w:right w:val="single" w:sz="8" w:space="0" w:color="auto"/>
            </w:tcBorders>
            <w:noWrap/>
            <w:vAlign w:val="center"/>
          </w:tcPr>
          <w:p w:rsidR="009D2CAE" w:rsidRPr="007C0CDA" w:rsidRDefault="009D2CAE" w:rsidP="00A47740">
            <w:pPr>
              <w:jc w:val="right"/>
              <w:rPr>
                <w:rFonts w:cs="Calibri"/>
                <w:color w:val="000000"/>
                <w:szCs w:val="22"/>
              </w:rPr>
            </w:pPr>
            <w:r w:rsidRPr="007C0CDA">
              <w:rPr>
                <w:rFonts w:cs="Calibri"/>
                <w:color w:val="000000"/>
                <w:szCs w:val="22"/>
              </w:rPr>
              <w:t>3000</w:t>
            </w:r>
          </w:p>
        </w:tc>
      </w:tr>
      <w:tr w:rsidR="009D2CAE" w:rsidRPr="007C0CDA" w:rsidTr="00A47740">
        <w:trPr>
          <w:trHeight w:val="525"/>
        </w:trPr>
        <w:tc>
          <w:tcPr>
            <w:tcW w:w="2040" w:type="dxa"/>
            <w:vMerge w:val="restart"/>
            <w:tcBorders>
              <w:top w:val="nil"/>
              <w:left w:val="single" w:sz="8" w:space="0" w:color="auto"/>
              <w:bottom w:val="single" w:sz="8" w:space="0" w:color="BFBFBF"/>
              <w:right w:val="nil"/>
            </w:tcBorders>
            <w:noWrap/>
            <w:vAlign w:val="center"/>
          </w:tcPr>
          <w:p w:rsidR="009D2CAE" w:rsidRPr="007C0CDA" w:rsidRDefault="009D2CAE" w:rsidP="00A47740">
            <w:pPr>
              <w:jc w:val="center"/>
              <w:rPr>
                <w:rFonts w:cs="Calibri"/>
                <w:b/>
                <w:bCs/>
                <w:color w:val="000000"/>
                <w:szCs w:val="22"/>
              </w:rPr>
            </w:pPr>
            <w:r w:rsidRPr="007C0CDA">
              <w:rPr>
                <w:rFonts w:cs="Calibri"/>
                <w:b/>
                <w:bCs/>
                <w:color w:val="000000"/>
                <w:szCs w:val="22"/>
              </w:rPr>
              <w:t>ČERPÁNÍ ALOKACE</w:t>
            </w:r>
          </w:p>
        </w:tc>
        <w:tc>
          <w:tcPr>
            <w:tcW w:w="3280" w:type="dxa"/>
            <w:tcBorders>
              <w:top w:val="nil"/>
              <w:left w:val="single" w:sz="8" w:space="0" w:color="auto"/>
              <w:bottom w:val="single" w:sz="8" w:space="0" w:color="auto"/>
              <w:right w:val="single" w:sz="8" w:space="0" w:color="auto"/>
            </w:tcBorders>
            <w:shd w:val="clear" w:color="000000" w:fill="538DD5"/>
            <w:vAlign w:val="center"/>
          </w:tcPr>
          <w:p w:rsidR="009D2CAE" w:rsidRPr="007C0CDA" w:rsidRDefault="009D2CAE" w:rsidP="00A47740">
            <w:pPr>
              <w:jc w:val="center"/>
              <w:rPr>
                <w:rFonts w:cs="Calibri"/>
                <w:b/>
                <w:bCs/>
                <w:color w:val="FFFFFF"/>
                <w:sz w:val="20"/>
              </w:rPr>
            </w:pPr>
            <w:r w:rsidRPr="007C0CDA">
              <w:rPr>
                <w:rFonts w:cs="Calibri"/>
                <w:b/>
                <w:bCs/>
                <w:color w:val="FFFFFF"/>
                <w:sz w:val="20"/>
              </w:rPr>
              <w:t>Veřejné zdroje FN po odečtení MCF  (mil. CZK)</w:t>
            </w:r>
          </w:p>
        </w:tc>
        <w:tc>
          <w:tcPr>
            <w:tcW w:w="1760" w:type="dxa"/>
            <w:tcBorders>
              <w:top w:val="single" w:sz="8" w:space="0" w:color="auto"/>
              <w:left w:val="nil"/>
              <w:bottom w:val="nil"/>
              <w:right w:val="single" w:sz="8" w:space="0" w:color="auto"/>
            </w:tcBorders>
            <w:noWrap/>
            <w:vAlign w:val="center"/>
          </w:tcPr>
          <w:p w:rsidR="009D2CAE" w:rsidRPr="007C0CDA" w:rsidRDefault="009D2CAE" w:rsidP="00A47740">
            <w:pPr>
              <w:jc w:val="right"/>
              <w:rPr>
                <w:rFonts w:cs="Calibri"/>
                <w:color w:val="000000"/>
                <w:szCs w:val="22"/>
              </w:rPr>
            </w:pPr>
            <w:r w:rsidRPr="007C0CDA">
              <w:rPr>
                <w:rFonts w:cs="Calibri"/>
                <w:color w:val="000000"/>
                <w:szCs w:val="22"/>
              </w:rPr>
              <w:t>2700</w:t>
            </w:r>
          </w:p>
        </w:tc>
      </w:tr>
      <w:tr w:rsidR="009D2CAE" w:rsidRPr="007C0CDA" w:rsidTr="00A47740">
        <w:trPr>
          <w:trHeight w:val="525"/>
        </w:trPr>
        <w:tc>
          <w:tcPr>
            <w:tcW w:w="2040" w:type="dxa"/>
            <w:vMerge/>
            <w:tcBorders>
              <w:top w:val="nil"/>
              <w:left w:val="single" w:sz="8" w:space="0" w:color="auto"/>
              <w:bottom w:val="single" w:sz="8" w:space="0" w:color="BFBFBF"/>
              <w:right w:val="nil"/>
            </w:tcBorders>
            <w:vAlign w:val="center"/>
          </w:tcPr>
          <w:p w:rsidR="009D2CAE" w:rsidRPr="007C0CDA" w:rsidRDefault="009D2CAE" w:rsidP="00A47740">
            <w:pPr>
              <w:jc w:val="left"/>
              <w:rPr>
                <w:rFonts w:cs="Calibri"/>
                <w:b/>
                <w:bCs/>
                <w:color w:val="000000"/>
                <w:szCs w:val="22"/>
              </w:rPr>
            </w:pPr>
          </w:p>
        </w:tc>
        <w:tc>
          <w:tcPr>
            <w:tcW w:w="3280" w:type="dxa"/>
            <w:tcBorders>
              <w:top w:val="nil"/>
              <w:left w:val="single" w:sz="8" w:space="0" w:color="auto"/>
              <w:bottom w:val="single" w:sz="8" w:space="0" w:color="auto"/>
              <w:right w:val="single" w:sz="8" w:space="0" w:color="auto"/>
            </w:tcBorders>
            <w:shd w:val="clear" w:color="000000" w:fill="538DD5"/>
            <w:vAlign w:val="center"/>
          </w:tcPr>
          <w:p w:rsidR="009D2CAE" w:rsidRPr="007C0CDA" w:rsidRDefault="009D2CAE" w:rsidP="00A47740">
            <w:pPr>
              <w:jc w:val="center"/>
              <w:rPr>
                <w:rFonts w:cs="Calibri"/>
                <w:b/>
                <w:bCs/>
                <w:color w:val="FFFFFF"/>
                <w:sz w:val="20"/>
              </w:rPr>
            </w:pPr>
            <w:r w:rsidRPr="007C0CDA">
              <w:rPr>
                <w:rFonts w:cs="Calibri"/>
                <w:b/>
                <w:bCs/>
                <w:color w:val="FFFFFF"/>
                <w:sz w:val="20"/>
              </w:rPr>
              <w:t>Pákový efekt na projektech konečných příjemců</w:t>
            </w:r>
          </w:p>
        </w:tc>
        <w:tc>
          <w:tcPr>
            <w:tcW w:w="1760" w:type="dxa"/>
            <w:tcBorders>
              <w:top w:val="nil"/>
              <w:left w:val="nil"/>
              <w:bottom w:val="nil"/>
              <w:right w:val="single" w:sz="8" w:space="0" w:color="auto"/>
            </w:tcBorders>
            <w:noWrap/>
            <w:vAlign w:val="center"/>
          </w:tcPr>
          <w:p w:rsidR="009D2CAE" w:rsidRPr="007C0CDA" w:rsidRDefault="009D2CAE" w:rsidP="00A47740">
            <w:pPr>
              <w:jc w:val="right"/>
              <w:rPr>
                <w:rFonts w:cs="Calibri"/>
                <w:color w:val="000000"/>
                <w:szCs w:val="22"/>
              </w:rPr>
            </w:pPr>
            <w:r w:rsidRPr="007C0CDA">
              <w:rPr>
                <w:rFonts w:cs="Calibri"/>
                <w:color w:val="000000"/>
                <w:szCs w:val="22"/>
              </w:rPr>
              <w:t>6,5</w:t>
            </w:r>
          </w:p>
        </w:tc>
      </w:tr>
      <w:tr w:rsidR="009D2CAE" w:rsidRPr="007C0CDA" w:rsidTr="00A47740">
        <w:trPr>
          <w:trHeight w:val="525"/>
        </w:trPr>
        <w:tc>
          <w:tcPr>
            <w:tcW w:w="2040" w:type="dxa"/>
            <w:vMerge/>
            <w:tcBorders>
              <w:top w:val="nil"/>
              <w:left w:val="single" w:sz="8" w:space="0" w:color="auto"/>
              <w:bottom w:val="single" w:sz="8" w:space="0" w:color="BFBFBF"/>
              <w:right w:val="nil"/>
            </w:tcBorders>
            <w:vAlign w:val="center"/>
          </w:tcPr>
          <w:p w:rsidR="009D2CAE" w:rsidRPr="007C0CDA" w:rsidRDefault="009D2CAE" w:rsidP="00A47740">
            <w:pPr>
              <w:jc w:val="left"/>
              <w:rPr>
                <w:rFonts w:cs="Calibri"/>
                <w:b/>
                <w:bCs/>
                <w:color w:val="000000"/>
                <w:szCs w:val="22"/>
              </w:rPr>
            </w:pPr>
          </w:p>
        </w:tc>
        <w:tc>
          <w:tcPr>
            <w:tcW w:w="3280" w:type="dxa"/>
            <w:tcBorders>
              <w:top w:val="nil"/>
              <w:left w:val="single" w:sz="8" w:space="0" w:color="auto"/>
              <w:bottom w:val="single" w:sz="8" w:space="0" w:color="auto"/>
              <w:right w:val="single" w:sz="8" w:space="0" w:color="auto"/>
            </w:tcBorders>
            <w:shd w:val="clear" w:color="000000" w:fill="538DD5"/>
            <w:vAlign w:val="center"/>
          </w:tcPr>
          <w:p w:rsidR="009D2CAE" w:rsidRPr="007C0CDA" w:rsidRDefault="009D2CAE" w:rsidP="00A47740">
            <w:pPr>
              <w:jc w:val="center"/>
              <w:rPr>
                <w:rFonts w:cs="Calibri"/>
                <w:b/>
                <w:bCs/>
                <w:color w:val="FFFFFF"/>
                <w:sz w:val="20"/>
              </w:rPr>
            </w:pPr>
            <w:r w:rsidRPr="007C0CDA">
              <w:rPr>
                <w:rFonts w:cs="Calibri"/>
                <w:b/>
                <w:bCs/>
                <w:color w:val="FFFFFF"/>
                <w:sz w:val="20"/>
              </w:rPr>
              <w:t>Celkové návratné zdroje na projekty konečných příjemců  (mil. CZK)</w:t>
            </w:r>
          </w:p>
        </w:tc>
        <w:tc>
          <w:tcPr>
            <w:tcW w:w="1760" w:type="dxa"/>
            <w:tcBorders>
              <w:top w:val="nil"/>
              <w:left w:val="nil"/>
              <w:bottom w:val="nil"/>
              <w:right w:val="single" w:sz="8" w:space="0" w:color="auto"/>
            </w:tcBorders>
            <w:noWrap/>
            <w:vAlign w:val="center"/>
          </w:tcPr>
          <w:p w:rsidR="009D2CAE" w:rsidRPr="007C0CDA" w:rsidRDefault="009D2CAE" w:rsidP="00A47740">
            <w:pPr>
              <w:jc w:val="right"/>
              <w:rPr>
                <w:rFonts w:cs="Calibri"/>
                <w:color w:val="000000"/>
                <w:szCs w:val="22"/>
              </w:rPr>
            </w:pPr>
            <w:r w:rsidRPr="007C0CDA">
              <w:rPr>
                <w:rFonts w:cs="Calibri"/>
                <w:color w:val="000000"/>
                <w:szCs w:val="22"/>
              </w:rPr>
              <w:t>17700</w:t>
            </w:r>
          </w:p>
        </w:tc>
      </w:tr>
      <w:tr w:rsidR="009D2CAE" w:rsidRPr="007C0CDA" w:rsidTr="00A47740">
        <w:trPr>
          <w:trHeight w:val="525"/>
        </w:trPr>
        <w:tc>
          <w:tcPr>
            <w:tcW w:w="2040" w:type="dxa"/>
            <w:vMerge/>
            <w:tcBorders>
              <w:top w:val="nil"/>
              <w:left w:val="single" w:sz="8" w:space="0" w:color="auto"/>
              <w:bottom w:val="single" w:sz="8" w:space="0" w:color="BFBFBF"/>
              <w:right w:val="nil"/>
            </w:tcBorders>
            <w:vAlign w:val="center"/>
          </w:tcPr>
          <w:p w:rsidR="009D2CAE" w:rsidRPr="007C0CDA" w:rsidRDefault="009D2CAE" w:rsidP="00A47740">
            <w:pPr>
              <w:jc w:val="left"/>
              <w:rPr>
                <w:rFonts w:cs="Calibri"/>
                <w:b/>
                <w:bCs/>
                <w:color w:val="000000"/>
                <w:szCs w:val="22"/>
              </w:rPr>
            </w:pPr>
          </w:p>
        </w:tc>
        <w:tc>
          <w:tcPr>
            <w:tcW w:w="3280" w:type="dxa"/>
            <w:tcBorders>
              <w:top w:val="nil"/>
              <w:left w:val="single" w:sz="8" w:space="0" w:color="auto"/>
              <w:bottom w:val="single" w:sz="8" w:space="0" w:color="auto"/>
              <w:right w:val="single" w:sz="8" w:space="0" w:color="auto"/>
            </w:tcBorders>
            <w:shd w:val="clear" w:color="000000" w:fill="538DD5"/>
            <w:vAlign w:val="center"/>
          </w:tcPr>
          <w:p w:rsidR="009D2CAE" w:rsidRPr="007C0CDA" w:rsidRDefault="009D2CAE" w:rsidP="00A47740">
            <w:pPr>
              <w:jc w:val="center"/>
              <w:rPr>
                <w:rFonts w:cs="Calibri"/>
                <w:b/>
                <w:bCs/>
                <w:color w:val="FFFFFF"/>
                <w:sz w:val="20"/>
              </w:rPr>
            </w:pPr>
            <w:r w:rsidRPr="007C0CDA">
              <w:rPr>
                <w:rFonts w:cs="Calibri"/>
                <w:b/>
                <w:bCs/>
                <w:color w:val="FFFFFF"/>
                <w:sz w:val="20"/>
              </w:rPr>
              <w:t>Průměrná výše úvěru/investice konečného příjemce  (mil. CZK)</w:t>
            </w:r>
          </w:p>
        </w:tc>
        <w:tc>
          <w:tcPr>
            <w:tcW w:w="1760" w:type="dxa"/>
            <w:tcBorders>
              <w:top w:val="nil"/>
              <w:left w:val="nil"/>
              <w:bottom w:val="nil"/>
              <w:right w:val="single" w:sz="8" w:space="0" w:color="auto"/>
            </w:tcBorders>
            <w:noWrap/>
            <w:vAlign w:val="center"/>
          </w:tcPr>
          <w:p w:rsidR="009D2CAE" w:rsidRPr="007C0CDA" w:rsidRDefault="009D2CAE" w:rsidP="00A47740">
            <w:pPr>
              <w:jc w:val="right"/>
              <w:rPr>
                <w:rFonts w:cs="Calibri"/>
                <w:color w:val="000000"/>
                <w:szCs w:val="22"/>
              </w:rPr>
            </w:pPr>
            <w:r w:rsidRPr="007C0CDA">
              <w:rPr>
                <w:rFonts w:cs="Calibri"/>
                <w:color w:val="000000"/>
                <w:szCs w:val="22"/>
              </w:rPr>
              <w:t>7</w:t>
            </w:r>
          </w:p>
        </w:tc>
      </w:tr>
      <w:tr w:rsidR="009D2CAE" w:rsidRPr="007C0CDA" w:rsidTr="00A47740">
        <w:trPr>
          <w:trHeight w:val="420"/>
        </w:trPr>
        <w:tc>
          <w:tcPr>
            <w:tcW w:w="2040" w:type="dxa"/>
            <w:vMerge/>
            <w:tcBorders>
              <w:top w:val="nil"/>
              <w:left w:val="single" w:sz="8" w:space="0" w:color="auto"/>
              <w:bottom w:val="single" w:sz="8" w:space="0" w:color="BFBFBF"/>
              <w:right w:val="nil"/>
            </w:tcBorders>
            <w:vAlign w:val="center"/>
          </w:tcPr>
          <w:p w:rsidR="009D2CAE" w:rsidRPr="007C0CDA" w:rsidRDefault="009D2CAE" w:rsidP="00A47740">
            <w:pPr>
              <w:jc w:val="left"/>
              <w:rPr>
                <w:rFonts w:cs="Calibri"/>
                <w:b/>
                <w:bCs/>
                <w:color w:val="000000"/>
                <w:szCs w:val="22"/>
              </w:rPr>
            </w:pPr>
          </w:p>
        </w:tc>
        <w:tc>
          <w:tcPr>
            <w:tcW w:w="3280" w:type="dxa"/>
            <w:tcBorders>
              <w:top w:val="nil"/>
              <w:left w:val="single" w:sz="8" w:space="0" w:color="auto"/>
              <w:bottom w:val="single" w:sz="8" w:space="0" w:color="auto"/>
              <w:right w:val="single" w:sz="8" w:space="0" w:color="auto"/>
            </w:tcBorders>
            <w:shd w:val="clear" w:color="000000" w:fill="538DD5"/>
            <w:vAlign w:val="center"/>
          </w:tcPr>
          <w:p w:rsidR="009D2CAE" w:rsidRPr="007C0CDA" w:rsidRDefault="009D2CAE" w:rsidP="00A47740">
            <w:pPr>
              <w:jc w:val="center"/>
              <w:rPr>
                <w:rFonts w:cs="Calibri"/>
                <w:b/>
                <w:bCs/>
                <w:color w:val="FFFFFF"/>
                <w:sz w:val="20"/>
              </w:rPr>
            </w:pPr>
            <w:r w:rsidRPr="007C0CDA">
              <w:rPr>
                <w:rFonts w:cs="Calibri"/>
                <w:b/>
                <w:bCs/>
                <w:color w:val="FFFFFF"/>
                <w:sz w:val="20"/>
              </w:rPr>
              <w:t>Počet projektů konečných příjemců</w:t>
            </w:r>
          </w:p>
        </w:tc>
        <w:tc>
          <w:tcPr>
            <w:tcW w:w="1760" w:type="dxa"/>
            <w:tcBorders>
              <w:top w:val="nil"/>
              <w:left w:val="nil"/>
              <w:bottom w:val="single" w:sz="8" w:space="0" w:color="auto"/>
              <w:right w:val="single" w:sz="8" w:space="0" w:color="auto"/>
            </w:tcBorders>
            <w:noWrap/>
            <w:vAlign w:val="center"/>
          </w:tcPr>
          <w:p w:rsidR="009D2CAE" w:rsidRPr="007C0CDA" w:rsidRDefault="009D2CAE" w:rsidP="00A47740">
            <w:pPr>
              <w:jc w:val="right"/>
              <w:rPr>
                <w:rFonts w:cs="Calibri"/>
                <w:color w:val="000000"/>
                <w:szCs w:val="22"/>
              </w:rPr>
            </w:pPr>
            <w:r w:rsidRPr="007C0CDA">
              <w:rPr>
                <w:rFonts w:cs="Calibri"/>
                <w:color w:val="000000"/>
                <w:szCs w:val="22"/>
              </w:rPr>
              <w:t>2500</w:t>
            </w:r>
          </w:p>
        </w:tc>
      </w:tr>
      <w:tr w:rsidR="009D2CAE" w:rsidRPr="007C0CDA" w:rsidTr="00A47740">
        <w:trPr>
          <w:trHeight w:val="525"/>
        </w:trPr>
        <w:tc>
          <w:tcPr>
            <w:tcW w:w="2040" w:type="dxa"/>
            <w:vMerge w:val="restart"/>
            <w:tcBorders>
              <w:top w:val="nil"/>
              <w:left w:val="single" w:sz="8" w:space="0" w:color="auto"/>
              <w:bottom w:val="nil"/>
              <w:right w:val="nil"/>
            </w:tcBorders>
            <w:vAlign w:val="center"/>
          </w:tcPr>
          <w:p w:rsidR="009D2CAE" w:rsidRPr="007C0CDA" w:rsidRDefault="009D2CAE" w:rsidP="00A47740">
            <w:pPr>
              <w:jc w:val="center"/>
              <w:rPr>
                <w:b/>
                <w:bCs/>
                <w:color w:val="000000"/>
                <w:sz w:val="18"/>
                <w:szCs w:val="18"/>
              </w:rPr>
            </w:pPr>
            <w:r w:rsidRPr="007C0CDA">
              <w:rPr>
                <w:b/>
                <w:bCs/>
                <w:color w:val="000000"/>
                <w:sz w:val="18"/>
                <w:szCs w:val="18"/>
              </w:rPr>
              <w:t>OBRÁTKA</w:t>
            </w:r>
          </w:p>
        </w:tc>
        <w:tc>
          <w:tcPr>
            <w:tcW w:w="3280" w:type="dxa"/>
            <w:tcBorders>
              <w:top w:val="nil"/>
              <w:left w:val="single" w:sz="8" w:space="0" w:color="auto"/>
              <w:bottom w:val="single" w:sz="8" w:space="0" w:color="auto"/>
              <w:right w:val="single" w:sz="8" w:space="0" w:color="auto"/>
            </w:tcBorders>
            <w:shd w:val="clear" w:color="000000" w:fill="000000"/>
            <w:vAlign w:val="center"/>
          </w:tcPr>
          <w:p w:rsidR="009D2CAE" w:rsidRPr="007C0CDA" w:rsidRDefault="009D2CAE" w:rsidP="00A47740">
            <w:pPr>
              <w:jc w:val="center"/>
              <w:rPr>
                <w:rFonts w:cs="Calibri"/>
                <w:b/>
                <w:bCs/>
                <w:color w:val="FFFFFF"/>
                <w:sz w:val="20"/>
              </w:rPr>
            </w:pPr>
            <w:r w:rsidRPr="007C0CDA">
              <w:rPr>
                <w:rFonts w:cs="Calibri"/>
                <w:b/>
                <w:bCs/>
                <w:color w:val="FFFFFF"/>
                <w:sz w:val="20"/>
              </w:rPr>
              <w:t>Veřejné zdroje FN po odečtení MCF, ztrát a grantů  (mil. CZK)</w:t>
            </w:r>
          </w:p>
        </w:tc>
        <w:tc>
          <w:tcPr>
            <w:tcW w:w="1760" w:type="dxa"/>
            <w:tcBorders>
              <w:top w:val="nil"/>
              <w:left w:val="nil"/>
              <w:bottom w:val="nil"/>
              <w:right w:val="single" w:sz="8" w:space="0" w:color="auto"/>
            </w:tcBorders>
            <w:noWrap/>
            <w:vAlign w:val="center"/>
          </w:tcPr>
          <w:p w:rsidR="009D2CAE" w:rsidRPr="007C0CDA" w:rsidRDefault="009D2CAE" w:rsidP="00A47740">
            <w:pPr>
              <w:jc w:val="right"/>
              <w:rPr>
                <w:rFonts w:cs="Calibri"/>
                <w:color w:val="000000"/>
                <w:szCs w:val="22"/>
              </w:rPr>
            </w:pPr>
            <w:r w:rsidRPr="007C0CDA">
              <w:rPr>
                <w:rFonts w:cs="Calibri"/>
                <w:color w:val="000000"/>
                <w:szCs w:val="22"/>
              </w:rPr>
              <w:t>800</w:t>
            </w:r>
          </w:p>
        </w:tc>
      </w:tr>
      <w:tr w:rsidR="009D2CAE" w:rsidRPr="007C0CDA" w:rsidTr="00A47740">
        <w:trPr>
          <w:trHeight w:val="525"/>
        </w:trPr>
        <w:tc>
          <w:tcPr>
            <w:tcW w:w="2040" w:type="dxa"/>
            <w:vMerge/>
            <w:tcBorders>
              <w:top w:val="nil"/>
              <w:left w:val="single" w:sz="8" w:space="0" w:color="auto"/>
              <w:bottom w:val="nil"/>
              <w:right w:val="nil"/>
            </w:tcBorders>
            <w:vAlign w:val="center"/>
          </w:tcPr>
          <w:p w:rsidR="009D2CAE" w:rsidRPr="007C0CDA" w:rsidRDefault="009D2CAE" w:rsidP="00A47740">
            <w:pPr>
              <w:jc w:val="left"/>
              <w:rPr>
                <w:b/>
                <w:bCs/>
                <w:color w:val="000000"/>
                <w:sz w:val="18"/>
                <w:szCs w:val="18"/>
              </w:rPr>
            </w:pPr>
          </w:p>
        </w:tc>
        <w:tc>
          <w:tcPr>
            <w:tcW w:w="3280" w:type="dxa"/>
            <w:tcBorders>
              <w:top w:val="nil"/>
              <w:left w:val="single" w:sz="8" w:space="0" w:color="auto"/>
              <w:bottom w:val="single" w:sz="8" w:space="0" w:color="auto"/>
              <w:right w:val="single" w:sz="8" w:space="0" w:color="auto"/>
            </w:tcBorders>
            <w:shd w:val="clear" w:color="000000" w:fill="000000"/>
            <w:vAlign w:val="center"/>
          </w:tcPr>
          <w:p w:rsidR="009D2CAE" w:rsidRPr="007C0CDA" w:rsidRDefault="009D2CAE" w:rsidP="00A47740">
            <w:pPr>
              <w:jc w:val="center"/>
              <w:rPr>
                <w:rFonts w:cs="Calibri"/>
                <w:b/>
                <w:bCs/>
                <w:color w:val="FFFFFF"/>
                <w:sz w:val="20"/>
              </w:rPr>
            </w:pPr>
            <w:r w:rsidRPr="007C0CDA">
              <w:rPr>
                <w:rFonts w:cs="Calibri"/>
                <w:b/>
                <w:bCs/>
                <w:color w:val="FFFFFF"/>
                <w:sz w:val="20"/>
              </w:rPr>
              <w:t>Pákový efekt na projektech konečných příjemců</w:t>
            </w:r>
          </w:p>
        </w:tc>
        <w:tc>
          <w:tcPr>
            <w:tcW w:w="1760" w:type="dxa"/>
            <w:tcBorders>
              <w:top w:val="nil"/>
              <w:left w:val="nil"/>
              <w:bottom w:val="nil"/>
              <w:right w:val="single" w:sz="8" w:space="0" w:color="auto"/>
            </w:tcBorders>
            <w:noWrap/>
            <w:vAlign w:val="center"/>
          </w:tcPr>
          <w:p w:rsidR="009D2CAE" w:rsidRPr="007C0CDA" w:rsidRDefault="009D2CAE" w:rsidP="00A47740">
            <w:pPr>
              <w:jc w:val="right"/>
              <w:rPr>
                <w:rFonts w:cs="Calibri"/>
                <w:color w:val="000000"/>
                <w:szCs w:val="22"/>
              </w:rPr>
            </w:pPr>
            <w:r w:rsidRPr="007C0CDA">
              <w:rPr>
                <w:rFonts w:cs="Calibri"/>
                <w:color w:val="000000"/>
                <w:szCs w:val="22"/>
              </w:rPr>
              <w:t>6,5</w:t>
            </w:r>
          </w:p>
        </w:tc>
      </w:tr>
      <w:tr w:rsidR="009D2CAE" w:rsidRPr="007C0CDA" w:rsidTr="00A47740">
        <w:trPr>
          <w:trHeight w:val="525"/>
        </w:trPr>
        <w:tc>
          <w:tcPr>
            <w:tcW w:w="2040" w:type="dxa"/>
            <w:vMerge/>
            <w:tcBorders>
              <w:top w:val="nil"/>
              <w:left w:val="single" w:sz="8" w:space="0" w:color="auto"/>
              <w:bottom w:val="nil"/>
              <w:right w:val="nil"/>
            </w:tcBorders>
            <w:vAlign w:val="center"/>
          </w:tcPr>
          <w:p w:rsidR="009D2CAE" w:rsidRPr="007C0CDA" w:rsidRDefault="009D2CAE" w:rsidP="00A47740">
            <w:pPr>
              <w:jc w:val="left"/>
              <w:rPr>
                <w:b/>
                <w:bCs/>
                <w:color w:val="000000"/>
                <w:sz w:val="18"/>
                <w:szCs w:val="18"/>
              </w:rPr>
            </w:pPr>
          </w:p>
        </w:tc>
        <w:tc>
          <w:tcPr>
            <w:tcW w:w="3280" w:type="dxa"/>
            <w:tcBorders>
              <w:top w:val="nil"/>
              <w:left w:val="single" w:sz="8" w:space="0" w:color="auto"/>
              <w:bottom w:val="single" w:sz="8" w:space="0" w:color="auto"/>
              <w:right w:val="single" w:sz="8" w:space="0" w:color="auto"/>
            </w:tcBorders>
            <w:shd w:val="clear" w:color="000000" w:fill="000000"/>
            <w:vAlign w:val="center"/>
          </w:tcPr>
          <w:p w:rsidR="009D2CAE" w:rsidRPr="007C0CDA" w:rsidRDefault="009D2CAE" w:rsidP="00A47740">
            <w:pPr>
              <w:jc w:val="center"/>
              <w:rPr>
                <w:rFonts w:cs="Calibri"/>
                <w:b/>
                <w:bCs/>
                <w:color w:val="FFFFFF"/>
                <w:sz w:val="20"/>
              </w:rPr>
            </w:pPr>
            <w:r w:rsidRPr="007C0CDA">
              <w:rPr>
                <w:rFonts w:cs="Calibri"/>
                <w:b/>
                <w:bCs/>
                <w:color w:val="FFFFFF"/>
                <w:sz w:val="20"/>
              </w:rPr>
              <w:t>Celkové návratné zdroje na projekty konečných příjemců  (mil. CZK)</w:t>
            </w:r>
          </w:p>
        </w:tc>
        <w:tc>
          <w:tcPr>
            <w:tcW w:w="1760" w:type="dxa"/>
            <w:tcBorders>
              <w:top w:val="nil"/>
              <w:left w:val="nil"/>
              <w:bottom w:val="nil"/>
              <w:right w:val="single" w:sz="8" w:space="0" w:color="auto"/>
            </w:tcBorders>
            <w:noWrap/>
            <w:vAlign w:val="center"/>
          </w:tcPr>
          <w:p w:rsidR="009D2CAE" w:rsidRPr="007C0CDA" w:rsidRDefault="009D2CAE" w:rsidP="00A47740">
            <w:pPr>
              <w:jc w:val="right"/>
              <w:rPr>
                <w:rFonts w:cs="Calibri"/>
                <w:color w:val="000000"/>
                <w:szCs w:val="22"/>
              </w:rPr>
            </w:pPr>
            <w:r w:rsidRPr="007C0CDA">
              <w:rPr>
                <w:rFonts w:cs="Calibri"/>
                <w:color w:val="000000"/>
                <w:szCs w:val="22"/>
              </w:rPr>
              <w:t>5300</w:t>
            </w:r>
          </w:p>
        </w:tc>
      </w:tr>
      <w:tr w:rsidR="009D2CAE" w:rsidRPr="007C0CDA" w:rsidTr="00A47740">
        <w:trPr>
          <w:trHeight w:val="525"/>
        </w:trPr>
        <w:tc>
          <w:tcPr>
            <w:tcW w:w="2040" w:type="dxa"/>
            <w:vMerge/>
            <w:tcBorders>
              <w:top w:val="nil"/>
              <w:left w:val="single" w:sz="8" w:space="0" w:color="auto"/>
              <w:bottom w:val="nil"/>
              <w:right w:val="nil"/>
            </w:tcBorders>
            <w:vAlign w:val="center"/>
          </w:tcPr>
          <w:p w:rsidR="009D2CAE" w:rsidRPr="007C0CDA" w:rsidRDefault="009D2CAE" w:rsidP="00A47740">
            <w:pPr>
              <w:jc w:val="left"/>
              <w:rPr>
                <w:b/>
                <w:bCs/>
                <w:color w:val="000000"/>
                <w:sz w:val="18"/>
                <w:szCs w:val="18"/>
              </w:rPr>
            </w:pPr>
          </w:p>
        </w:tc>
        <w:tc>
          <w:tcPr>
            <w:tcW w:w="3280" w:type="dxa"/>
            <w:tcBorders>
              <w:top w:val="nil"/>
              <w:left w:val="single" w:sz="8" w:space="0" w:color="auto"/>
              <w:bottom w:val="single" w:sz="8" w:space="0" w:color="auto"/>
              <w:right w:val="single" w:sz="8" w:space="0" w:color="auto"/>
            </w:tcBorders>
            <w:shd w:val="clear" w:color="000000" w:fill="000000"/>
            <w:vAlign w:val="center"/>
          </w:tcPr>
          <w:p w:rsidR="009D2CAE" w:rsidRPr="007C0CDA" w:rsidRDefault="009D2CAE" w:rsidP="00A47740">
            <w:pPr>
              <w:jc w:val="center"/>
              <w:rPr>
                <w:rFonts w:cs="Calibri"/>
                <w:b/>
                <w:bCs/>
                <w:color w:val="FFFFFF"/>
                <w:sz w:val="20"/>
              </w:rPr>
            </w:pPr>
            <w:r w:rsidRPr="007C0CDA">
              <w:rPr>
                <w:rFonts w:cs="Calibri"/>
                <w:b/>
                <w:bCs/>
                <w:color w:val="FFFFFF"/>
                <w:sz w:val="20"/>
              </w:rPr>
              <w:t>Průměrná výše úvěru/ investice konečného příjemce  (mil. CZK)</w:t>
            </w:r>
          </w:p>
        </w:tc>
        <w:tc>
          <w:tcPr>
            <w:tcW w:w="1760" w:type="dxa"/>
            <w:tcBorders>
              <w:top w:val="nil"/>
              <w:left w:val="nil"/>
              <w:bottom w:val="nil"/>
              <w:right w:val="single" w:sz="8" w:space="0" w:color="auto"/>
            </w:tcBorders>
            <w:noWrap/>
            <w:vAlign w:val="center"/>
          </w:tcPr>
          <w:p w:rsidR="009D2CAE" w:rsidRPr="007C0CDA" w:rsidRDefault="009D2CAE" w:rsidP="00A47740">
            <w:pPr>
              <w:jc w:val="right"/>
              <w:rPr>
                <w:rFonts w:cs="Calibri"/>
                <w:color w:val="000000"/>
                <w:szCs w:val="22"/>
              </w:rPr>
            </w:pPr>
            <w:r w:rsidRPr="007C0CDA">
              <w:rPr>
                <w:rFonts w:cs="Calibri"/>
                <w:color w:val="000000"/>
                <w:szCs w:val="22"/>
              </w:rPr>
              <w:t>7</w:t>
            </w:r>
          </w:p>
        </w:tc>
      </w:tr>
      <w:tr w:rsidR="009D2CAE" w:rsidRPr="007C0CDA" w:rsidTr="00A47740">
        <w:trPr>
          <w:trHeight w:val="315"/>
        </w:trPr>
        <w:tc>
          <w:tcPr>
            <w:tcW w:w="2040" w:type="dxa"/>
            <w:vMerge/>
            <w:tcBorders>
              <w:top w:val="nil"/>
              <w:left w:val="single" w:sz="8" w:space="0" w:color="auto"/>
              <w:bottom w:val="nil"/>
              <w:right w:val="nil"/>
            </w:tcBorders>
            <w:vAlign w:val="center"/>
          </w:tcPr>
          <w:p w:rsidR="009D2CAE" w:rsidRPr="007C0CDA" w:rsidRDefault="009D2CAE" w:rsidP="00A47740">
            <w:pPr>
              <w:jc w:val="left"/>
              <w:rPr>
                <w:b/>
                <w:bCs/>
                <w:color w:val="000000"/>
                <w:sz w:val="18"/>
                <w:szCs w:val="18"/>
              </w:rPr>
            </w:pPr>
          </w:p>
        </w:tc>
        <w:tc>
          <w:tcPr>
            <w:tcW w:w="3280" w:type="dxa"/>
            <w:tcBorders>
              <w:top w:val="nil"/>
              <w:left w:val="single" w:sz="8" w:space="0" w:color="auto"/>
              <w:bottom w:val="single" w:sz="8" w:space="0" w:color="auto"/>
              <w:right w:val="single" w:sz="8" w:space="0" w:color="auto"/>
            </w:tcBorders>
            <w:shd w:val="clear" w:color="000000" w:fill="000000"/>
            <w:vAlign w:val="center"/>
          </w:tcPr>
          <w:p w:rsidR="009D2CAE" w:rsidRPr="007C0CDA" w:rsidRDefault="009D2CAE" w:rsidP="00A47740">
            <w:pPr>
              <w:jc w:val="center"/>
              <w:rPr>
                <w:rFonts w:cs="Calibri"/>
                <w:b/>
                <w:bCs/>
                <w:color w:val="FFFFFF"/>
                <w:sz w:val="20"/>
              </w:rPr>
            </w:pPr>
            <w:r w:rsidRPr="007C0CDA">
              <w:rPr>
                <w:rFonts w:cs="Calibri"/>
                <w:b/>
                <w:bCs/>
                <w:color w:val="FFFFFF"/>
                <w:sz w:val="20"/>
              </w:rPr>
              <w:t>Počet projektů konečných příjemců</w:t>
            </w:r>
          </w:p>
        </w:tc>
        <w:tc>
          <w:tcPr>
            <w:tcW w:w="1760" w:type="dxa"/>
            <w:tcBorders>
              <w:top w:val="nil"/>
              <w:left w:val="nil"/>
              <w:bottom w:val="nil"/>
              <w:right w:val="single" w:sz="8" w:space="0" w:color="auto"/>
            </w:tcBorders>
            <w:noWrap/>
            <w:vAlign w:val="center"/>
          </w:tcPr>
          <w:p w:rsidR="009D2CAE" w:rsidRPr="007C0CDA" w:rsidRDefault="009D2CAE" w:rsidP="00A47740">
            <w:pPr>
              <w:jc w:val="right"/>
              <w:rPr>
                <w:rFonts w:cs="Calibri"/>
                <w:color w:val="000000"/>
                <w:szCs w:val="22"/>
              </w:rPr>
            </w:pPr>
            <w:r w:rsidRPr="007C0CDA">
              <w:rPr>
                <w:rFonts w:cs="Calibri"/>
                <w:color w:val="000000"/>
                <w:szCs w:val="22"/>
              </w:rPr>
              <w:t>760</w:t>
            </w:r>
          </w:p>
        </w:tc>
      </w:tr>
      <w:tr w:rsidR="009D2CAE" w:rsidRPr="007C0CDA" w:rsidTr="00A47740">
        <w:trPr>
          <w:trHeight w:val="525"/>
        </w:trPr>
        <w:tc>
          <w:tcPr>
            <w:tcW w:w="2040" w:type="dxa"/>
            <w:vMerge w:val="restart"/>
            <w:tcBorders>
              <w:top w:val="nil"/>
              <w:left w:val="single" w:sz="8" w:space="0" w:color="auto"/>
              <w:bottom w:val="single" w:sz="8" w:space="0" w:color="000000"/>
              <w:right w:val="nil"/>
            </w:tcBorders>
            <w:noWrap/>
            <w:vAlign w:val="center"/>
          </w:tcPr>
          <w:p w:rsidR="009D2CAE" w:rsidRPr="007C0CDA" w:rsidRDefault="009D2CAE" w:rsidP="00A47740">
            <w:pPr>
              <w:jc w:val="center"/>
              <w:rPr>
                <w:rFonts w:cs="Calibri"/>
                <w:b/>
                <w:bCs/>
                <w:color w:val="000000"/>
                <w:szCs w:val="22"/>
              </w:rPr>
            </w:pPr>
            <w:r w:rsidRPr="007C0CDA">
              <w:rPr>
                <w:rFonts w:cs="Calibri"/>
                <w:b/>
                <w:bCs/>
                <w:color w:val="000000"/>
                <w:szCs w:val="22"/>
              </w:rPr>
              <w:t>CELKEM 2015-2023</w:t>
            </w:r>
          </w:p>
        </w:tc>
        <w:tc>
          <w:tcPr>
            <w:tcW w:w="3280" w:type="dxa"/>
            <w:tcBorders>
              <w:top w:val="nil"/>
              <w:left w:val="single" w:sz="8" w:space="0" w:color="auto"/>
              <w:bottom w:val="single" w:sz="8" w:space="0" w:color="auto"/>
              <w:right w:val="single" w:sz="8" w:space="0" w:color="auto"/>
            </w:tcBorders>
            <w:shd w:val="clear" w:color="000000" w:fill="538DD5"/>
            <w:vAlign w:val="center"/>
          </w:tcPr>
          <w:p w:rsidR="009D2CAE" w:rsidRPr="007C0CDA" w:rsidRDefault="009D2CAE" w:rsidP="00A47740">
            <w:pPr>
              <w:jc w:val="center"/>
              <w:rPr>
                <w:rFonts w:cs="Calibri"/>
                <w:b/>
                <w:bCs/>
                <w:color w:val="FFFFFF"/>
                <w:sz w:val="20"/>
              </w:rPr>
            </w:pPr>
            <w:r w:rsidRPr="007C0CDA">
              <w:rPr>
                <w:rFonts w:cs="Calibri"/>
                <w:b/>
                <w:bCs/>
                <w:color w:val="FFFFFF"/>
                <w:sz w:val="20"/>
              </w:rPr>
              <w:t>Celkové návratné zdroje na projekty konečných příjemců  (mil. CZK)</w:t>
            </w:r>
          </w:p>
        </w:tc>
        <w:tc>
          <w:tcPr>
            <w:tcW w:w="1760" w:type="dxa"/>
            <w:tcBorders>
              <w:top w:val="single" w:sz="8" w:space="0" w:color="auto"/>
              <w:left w:val="nil"/>
              <w:bottom w:val="nil"/>
              <w:right w:val="single" w:sz="8" w:space="0" w:color="auto"/>
            </w:tcBorders>
            <w:noWrap/>
            <w:vAlign w:val="center"/>
          </w:tcPr>
          <w:p w:rsidR="009D2CAE" w:rsidRPr="007C0CDA" w:rsidRDefault="009D2CAE" w:rsidP="00A47740">
            <w:pPr>
              <w:jc w:val="right"/>
              <w:rPr>
                <w:rFonts w:cs="Calibri"/>
                <w:color w:val="000000"/>
                <w:szCs w:val="22"/>
              </w:rPr>
            </w:pPr>
            <w:r w:rsidRPr="007C0CDA">
              <w:rPr>
                <w:rFonts w:cs="Calibri"/>
                <w:color w:val="000000"/>
                <w:szCs w:val="22"/>
              </w:rPr>
              <w:t>23000</w:t>
            </w:r>
          </w:p>
        </w:tc>
      </w:tr>
      <w:tr w:rsidR="009D2CAE" w:rsidRPr="007C0CDA" w:rsidTr="00A47740">
        <w:trPr>
          <w:trHeight w:val="315"/>
        </w:trPr>
        <w:tc>
          <w:tcPr>
            <w:tcW w:w="2040" w:type="dxa"/>
            <w:vMerge/>
            <w:tcBorders>
              <w:top w:val="nil"/>
              <w:left w:val="single" w:sz="8" w:space="0" w:color="auto"/>
              <w:bottom w:val="single" w:sz="8" w:space="0" w:color="000000"/>
              <w:right w:val="nil"/>
            </w:tcBorders>
            <w:vAlign w:val="center"/>
          </w:tcPr>
          <w:p w:rsidR="009D2CAE" w:rsidRPr="007C0CDA" w:rsidRDefault="009D2CAE" w:rsidP="00A47740">
            <w:pPr>
              <w:jc w:val="left"/>
              <w:rPr>
                <w:rFonts w:cs="Calibri"/>
                <w:b/>
                <w:bCs/>
                <w:color w:val="000000"/>
                <w:szCs w:val="22"/>
              </w:rPr>
            </w:pPr>
          </w:p>
        </w:tc>
        <w:tc>
          <w:tcPr>
            <w:tcW w:w="3280" w:type="dxa"/>
            <w:tcBorders>
              <w:top w:val="nil"/>
              <w:left w:val="single" w:sz="8" w:space="0" w:color="auto"/>
              <w:bottom w:val="single" w:sz="8" w:space="0" w:color="auto"/>
              <w:right w:val="single" w:sz="8" w:space="0" w:color="auto"/>
            </w:tcBorders>
            <w:shd w:val="clear" w:color="000000" w:fill="538DD5"/>
            <w:vAlign w:val="center"/>
          </w:tcPr>
          <w:p w:rsidR="009D2CAE" w:rsidRPr="007C0CDA" w:rsidRDefault="009D2CAE" w:rsidP="00A47740">
            <w:pPr>
              <w:jc w:val="center"/>
              <w:rPr>
                <w:rFonts w:cs="Calibri"/>
                <w:b/>
                <w:bCs/>
                <w:color w:val="FFFFFF"/>
                <w:sz w:val="20"/>
              </w:rPr>
            </w:pPr>
            <w:r w:rsidRPr="007C0CDA">
              <w:rPr>
                <w:rFonts w:cs="Calibri"/>
                <w:b/>
                <w:bCs/>
                <w:color w:val="FFFFFF"/>
                <w:sz w:val="20"/>
              </w:rPr>
              <w:t>Celkové soukromé zdroje  (mil. CZK)</w:t>
            </w:r>
          </w:p>
        </w:tc>
        <w:tc>
          <w:tcPr>
            <w:tcW w:w="1760" w:type="dxa"/>
            <w:tcBorders>
              <w:top w:val="nil"/>
              <w:left w:val="nil"/>
              <w:bottom w:val="nil"/>
              <w:right w:val="single" w:sz="8" w:space="0" w:color="auto"/>
            </w:tcBorders>
            <w:noWrap/>
            <w:vAlign w:val="center"/>
          </w:tcPr>
          <w:p w:rsidR="009D2CAE" w:rsidRPr="007C0CDA" w:rsidRDefault="009D2CAE" w:rsidP="00A47740">
            <w:pPr>
              <w:jc w:val="right"/>
              <w:rPr>
                <w:rFonts w:cs="Calibri"/>
                <w:color w:val="000000"/>
                <w:szCs w:val="22"/>
              </w:rPr>
            </w:pPr>
            <w:r w:rsidRPr="007C0CDA">
              <w:rPr>
                <w:rFonts w:cs="Calibri"/>
                <w:color w:val="000000"/>
                <w:szCs w:val="22"/>
              </w:rPr>
              <w:t>23000</w:t>
            </w:r>
          </w:p>
        </w:tc>
      </w:tr>
      <w:tr w:rsidR="009D2CAE" w:rsidRPr="007C0CDA" w:rsidTr="00A47740">
        <w:trPr>
          <w:trHeight w:val="315"/>
        </w:trPr>
        <w:tc>
          <w:tcPr>
            <w:tcW w:w="2040" w:type="dxa"/>
            <w:vMerge/>
            <w:tcBorders>
              <w:top w:val="nil"/>
              <w:left w:val="single" w:sz="8" w:space="0" w:color="auto"/>
              <w:bottom w:val="single" w:sz="8" w:space="0" w:color="000000"/>
              <w:right w:val="nil"/>
            </w:tcBorders>
            <w:vAlign w:val="center"/>
          </w:tcPr>
          <w:p w:rsidR="009D2CAE" w:rsidRPr="007C0CDA" w:rsidRDefault="009D2CAE" w:rsidP="00A47740">
            <w:pPr>
              <w:jc w:val="left"/>
              <w:rPr>
                <w:rFonts w:cs="Calibri"/>
                <w:b/>
                <w:bCs/>
                <w:color w:val="000000"/>
                <w:szCs w:val="22"/>
              </w:rPr>
            </w:pPr>
          </w:p>
        </w:tc>
        <w:tc>
          <w:tcPr>
            <w:tcW w:w="3280" w:type="dxa"/>
            <w:tcBorders>
              <w:top w:val="nil"/>
              <w:left w:val="single" w:sz="8" w:space="0" w:color="auto"/>
              <w:bottom w:val="single" w:sz="8" w:space="0" w:color="auto"/>
              <w:right w:val="single" w:sz="8" w:space="0" w:color="auto"/>
            </w:tcBorders>
            <w:shd w:val="clear" w:color="000000" w:fill="538DD5"/>
            <w:vAlign w:val="center"/>
          </w:tcPr>
          <w:p w:rsidR="009D2CAE" w:rsidRPr="007C0CDA" w:rsidRDefault="009D2CAE" w:rsidP="00A47740">
            <w:pPr>
              <w:jc w:val="center"/>
              <w:rPr>
                <w:rFonts w:cs="Calibri"/>
                <w:b/>
                <w:bCs/>
                <w:color w:val="FFFFFF"/>
                <w:sz w:val="20"/>
              </w:rPr>
            </w:pPr>
            <w:r w:rsidRPr="007C0CDA">
              <w:rPr>
                <w:rFonts w:cs="Calibri"/>
                <w:b/>
                <w:bCs/>
                <w:color w:val="FFFFFF"/>
                <w:sz w:val="20"/>
              </w:rPr>
              <w:t>Počet projektů konečných příjemců</w:t>
            </w:r>
          </w:p>
        </w:tc>
        <w:tc>
          <w:tcPr>
            <w:tcW w:w="1760" w:type="dxa"/>
            <w:tcBorders>
              <w:top w:val="nil"/>
              <w:left w:val="nil"/>
              <w:bottom w:val="nil"/>
              <w:right w:val="single" w:sz="8" w:space="0" w:color="auto"/>
            </w:tcBorders>
            <w:noWrap/>
            <w:vAlign w:val="center"/>
          </w:tcPr>
          <w:p w:rsidR="009D2CAE" w:rsidRPr="007C0CDA" w:rsidRDefault="009D2CAE" w:rsidP="00A47740">
            <w:pPr>
              <w:jc w:val="right"/>
              <w:rPr>
                <w:rFonts w:cs="Calibri"/>
                <w:color w:val="000000"/>
                <w:szCs w:val="22"/>
              </w:rPr>
            </w:pPr>
            <w:r w:rsidRPr="007C0CDA">
              <w:rPr>
                <w:rFonts w:cs="Calibri"/>
                <w:color w:val="000000"/>
                <w:szCs w:val="22"/>
              </w:rPr>
              <w:t>3300</w:t>
            </w:r>
          </w:p>
        </w:tc>
      </w:tr>
      <w:tr w:rsidR="009D2CAE" w:rsidRPr="007C0CDA" w:rsidTr="00A47740">
        <w:trPr>
          <w:trHeight w:val="315"/>
        </w:trPr>
        <w:tc>
          <w:tcPr>
            <w:tcW w:w="2040" w:type="dxa"/>
            <w:vMerge/>
            <w:tcBorders>
              <w:top w:val="nil"/>
              <w:left w:val="single" w:sz="8" w:space="0" w:color="auto"/>
              <w:bottom w:val="single" w:sz="8" w:space="0" w:color="000000"/>
              <w:right w:val="nil"/>
            </w:tcBorders>
            <w:vAlign w:val="center"/>
          </w:tcPr>
          <w:p w:rsidR="009D2CAE" w:rsidRPr="007C0CDA" w:rsidRDefault="009D2CAE" w:rsidP="00A47740">
            <w:pPr>
              <w:jc w:val="left"/>
              <w:rPr>
                <w:rFonts w:cs="Calibri"/>
                <w:b/>
                <w:bCs/>
                <w:color w:val="000000"/>
                <w:szCs w:val="22"/>
              </w:rPr>
            </w:pPr>
          </w:p>
        </w:tc>
        <w:tc>
          <w:tcPr>
            <w:tcW w:w="3280" w:type="dxa"/>
            <w:tcBorders>
              <w:top w:val="nil"/>
              <w:left w:val="single" w:sz="8" w:space="0" w:color="auto"/>
              <w:bottom w:val="single" w:sz="8" w:space="0" w:color="auto"/>
              <w:right w:val="single" w:sz="8" w:space="0" w:color="auto"/>
            </w:tcBorders>
            <w:shd w:val="clear" w:color="000000" w:fill="538DD5"/>
            <w:vAlign w:val="center"/>
          </w:tcPr>
          <w:p w:rsidR="009D2CAE" w:rsidRPr="007C0CDA" w:rsidRDefault="009D2CAE" w:rsidP="00A47740">
            <w:pPr>
              <w:jc w:val="center"/>
              <w:rPr>
                <w:rFonts w:cs="Calibri"/>
                <w:b/>
                <w:bCs/>
                <w:color w:val="FFFFFF"/>
                <w:sz w:val="20"/>
              </w:rPr>
            </w:pPr>
            <w:r w:rsidRPr="007C0CDA">
              <w:rPr>
                <w:rFonts w:cs="Calibri"/>
                <w:b/>
                <w:bCs/>
                <w:color w:val="FFFFFF"/>
                <w:sz w:val="20"/>
              </w:rPr>
              <w:t>Počet vytvořených pracovních míst</w:t>
            </w:r>
          </w:p>
        </w:tc>
        <w:tc>
          <w:tcPr>
            <w:tcW w:w="1760" w:type="dxa"/>
            <w:tcBorders>
              <w:top w:val="nil"/>
              <w:left w:val="nil"/>
              <w:bottom w:val="single" w:sz="8" w:space="0" w:color="auto"/>
              <w:right w:val="single" w:sz="8" w:space="0" w:color="auto"/>
            </w:tcBorders>
            <w:noWrap/>
            <w:vAlign w:val="center"/>
          </w:tcPr>
          <w:p w:rsidR="009D2CAE" w:rsidRPr="007C0CDA" w:rsidRDefault="009D2CAE" w:rsidP="00A47740">
            <w:pPr>
              <w:jc w:val="right"/>
              <w:rPr>
                <w:rFonts w:cs="Calibri"/>
                <w:color w:val="000000"/>
                <w:szCs w:val="22"/>
              </w:rPr>
            </w:pPr>
            <w:r w:rsidRPr="007C0CDA">
              <w:rPr>
                <w:rFonts w:cs="Calibri"/>
                <w:color w:val="000000"/>
                <w:szCs w:val="22"/>
              </w:rPr>
              <w:t>5800</w:t>
            </w:r>
          </w:p>
        </w:tc>
      </w:tr>
    </w:tbl>
    <w:p w:rsidR="009D2CAE" w:rsidRPr="007C0CDA" w:rsidRDefault="009D2CAE" w:rsidP="00CE3165">
      <w:pPr>
        <w:pStyle w:val="BodyText1"/>
        <w:jc w:val="both"/>
      </w:pPr>
    </w:p>
    <w:p w:rsidR="009D2CAE" w:rsidRPr="007C0CDA" w:rsidRDefault="009D2CAE" w:rsidP="00CE3165">
      <w:pPr>
        <w:rPr>
          <w:noProof/>
        </w:rPr>
      </w:pPr>
    </w:p>
    <w:p w:rsidR="009D2CAE" w:rsidRPr="007C0CDA" w:rsidRDefault="009D2CAE" w:rsidP="00CE3165">
      <w:pPr>
        <w:pStyle w:val="BodyText1"/>
        <w:rPr>
          <w:b/>
          <w:color w:val="auto"/>
        </w:rPr>
      </w:pPr>
      <w:r w:rsidRPr="007C0CDA">
        <w:rPr>
          <w:b/>
          <w:color w:val="auto"/>
        </w:rPr>
        <w:t>Rizikový kapitál</w:t>
      </w:r>
    </w:p>
    <w:p w:rsidR="009D2CAE" w:rsidRPr="007C0CDA" w:rsidRDefault="009D2CAE" w:rsidP="00CE3165">
      <w:r w:rsidRPr="007C0CDA">
        <w:t>Modelový příklad a jeho parametry vycházejí ze zkušeností z přípravy projektu Seed fond v minulém období. Je předpokládáno rozdělení alokace do podfondů orientovaných na nejranější fáze a pokročilejší fáze rizikového financování v poměru 1:2. Tomu odpovídá i pákový efekt, daný poměrem soukromých koinvestic ke zdrojům ze strukturálních fondů. Za programové období se počítá s podpořením až 111 projektů, na základě jejichž úspěchu či neúspěchu se vrátí revolvované prostředky do fondu i pro použití v dalším období.Celkem je dle modelových předpokladů počítáno až s 2,3 mld. Kč investovaných prostředků s využitím nástroje rizikového kapitálu.</w:t>
      </w:r>
    </w:p>
    <w:p w:rsidR="009D2CAE" w:rsidRPr="007C0CDA" w:rsidRDefault="009D2CAE" w:rsidP="00CE3165">
      <w:pPr>
        <w:pStyle w:val="BodyText1"/>
      </w:pPr>
    </w:p>
    <w:tbl>
      <w:tblPr>
        <w:tblW w:w="8620" w:type="dxa"/>
        <w:tblInd w:w="55" w:type="dxa"/>
        <w:tblCellMar>
          <w:left w:w="70" w:type="dxa"/>
          <w:right w:w="70" w:type="dxa"/>
        </w:tblCellMar>
        <w:tblLook w:val="00A0" w:firstRow="1" w:lastRow="0" w:firstColumn="1" w:lastColumn="0" w:noHBand="0" w:noVBand="0"/>
      </w:tblPr>
      <w:tblGrid>
        <w:gridCol w:w="2040"/>
        <w:gridCol w:w="3280"/>
        <w:gridCol w:w="1760"/>
        <w:gridCol w:w="1540"/>
      </w:tblGrid>
      <w:tr w:rsidR="009D2CAE" w:rsidRPr="007C0CDA" w:rsidTr="00A47740">
        <w:trPr>
          <w:trHeight w:val="315"/>
        </w:trPr>
        <w:tc>
          <w:tcPr>
            <w:tcW w:w="2040" w:type="dxa"/>
            <w:tcBorders>
              <w:top w:val="single" w:sz="8" w:space="0" w:color="auto"/>
              <w:left w:val="single" w:sz="8" w:space="0" w:color="auto"/>
              <w:bottom w:val="single" w:sz="8" w:space="0" w:color="auto"/>
              <w:right w:val="nil"/>
            </w:tcBorders>
            <w:noWrap/>
            <w:vAlign w:val="bottom"/>
          </w:tcPr>
          <w:p w:rsidR="009D2CAE" w:rsidRPr="007C0CDA" w:rsidRDefault="009D2CAE" w:rsidP="00A47740">
            <w:pPr>
              <w:jc w:val="center"/>
              <w:rPr>
                <w:rFonts w:cs="Calibri"/>
                <w:b/>
                <w:bCs/>
                <w:color w:val="000000"/>
                <w:szCs w:val="22"/>
              </w:rPr>
            </w:pPr>
            <w:r w:rsidRPr="007C0CDA">
              <w:rPr>
                <w:rFonts w:cs="Calibri"/>
                <w:b/>
                <w:bCs/>
                <w:color w:val="000000"/>
                <w:szCs w:val="22"/>
              </w:rPr>
              <w:t>FINANČNÍ NÁSTROJ</w:t>
            </w:r>
          </w:p>
        </w:tc>
        <w:tc>
          <w:tcPr>
            <w:tcW w:w="3280" w:type="dxa"/>
            <w:tcBorders>
              <w:top w:val="single" w:sz="8" w:space="0" w:color="auto"/>
              <w:left w:val="single" w:sz="8" w:space="0" w:color="auto"/>
              <w:bottom w:val="single" w:sz="8" w:space="0" w:color="auto"/>
              <w:right w:val="single" w:sz="8" w:space="0" w:color="auto"/>
            </w:tcBorders>
            <w:shd w:val="clear" w:color="000000" w:fill="538DD5"/>
            <w:vAlign w:val="bottom"/>
          </w:tcPr>
          <w:p w:rsidR="009D2CAE" w:rsidRPr="007C0CDA" w:rsidRDefault="009D2CAE" w:rsidP="00A47740">
            <w:pPr>
              <w:jc w:val="center"/>
              <w:rPr>
                <w:rFonts w:cs="Calibri"/>
                <w:b/>
                <w:bCs/>
                <w:color w:val="FFFFFF"/>
                <w:szCs w:val="22"/>
              </w:rPr>
            </w:pPr>
            <w:r w:rsidRPr="007C0CDA">
              <w:rPr>
                <w:rFonts w:cs="Calibri"/>
                <w:b/>
                <w:bCs/>
                <w:color w:val="FFFFFF"/>
                <w:szCs w:val="22"/>
              </w:rPr>
              <w:t>Typ nástroje</w:t>
            </w:r>
          </w:p>
        </w:tc>
        <w:tc>
          <w:tcPr>
            <w:tcW w:w="1760" w:type="dxa"/>
            <w:tcBorders>
              <w:top w:val="single" w:sz="8" w:space="0" w:color="auto"/>
              <w:left w:val="nil"/>
              <w:bottom w:val="single" w:sz="8" w:space="0" w:color="auto"/>
              <w:right w:val="nil"/>
            </w:tcBorders>
            <w:noWrap/>
            <w:vAlign w:val="bottom"/>
          </w:tcPr>
          <w:p w:rsidR="009D2CAE" w:rsidRPr="007C0CDA" w:rsidRDefault="009D2CAE" w:rsidP="00A47740">
            <w:pPr>
              <w:jc w:val="left"/>
              <w:rPr>
                <w:rFonts w:cs="Calibri"/>
                <w:b/>
                <w:bCs/>
                <w:color w:val="000000"/>
                <w:szCs w:val="22"/>
              </w:rPr>
            </w:pPr>
            <w:r w:rsidRPr="007C0CDA">
              <w:rPr>
                <w:rFonts w:cs="Calibri"/>
                <w:b/>
                <w:bCs/>
                <w:color w:val="000000"/>
                <w:szCs w:val="22"/>
              </w:rPr>
              <w:t>Seed a start-up kapitál</w:t>
            </w:r>
          </w:p>
        </w:tc>
        <w:tc>
          <w:tcPr>
            <w:tcW w:w="1540" w:type="dxa"/>
            <w:tcBorders>
              <w:top w:val="single" w:sz="8" w:space="0" w:color="auto"/>
              <w:left w:val="single" w:sz="8" w:space="0" w:color="auto"/>
              <w:bottom w:val="single" w:sz="8" w:space="0" w:color="auto"/>
              <w:right w:val="single" w:sz="8" w:space="0" w:color="auto"/>
            </w:tcBorders>
            <w:shd w:val="clear" w:color="000000" w:fill="DAEEF3"/>
            <w:noWrap/>
            <w:vAlign w:val="bottom"/>
          </w:tcPr>
          <w:p w:rsidR="009D2CAE" w:rsidRPr="007C0CDA" w:rsidRDefault="009D2CAE" w:rsidP="00A47740">
            <w:pPr>
              <w:jc w:val="left"/>
              <w:rPr>
                <w:rFonts w:cs="Calibri"/>
                <w:b/>
                <w:bCs/>
                <w:color w:val="000000"/>
                <w:szCs w:val="22"/>
              </w:rPr>
            </w:pPr>
            <w:r w:rsidRPr="007C0CDA">
              <w:rPr>
                <w:rFonts w:cs="Calibri"/>
                <w:b/>
                <w:bCs/>
                <w:color w:val="000000"/>
                <w:szCs w:val="22"/>
              </w:rPr>
              <w:t>Investice na rozšíření</w:t>
            </w:r>
          </w:p>
        </w:tc>
      </w:tr>
      <w:tr w:rsidR="009D2CAE" w:rsidRPr="007C0CDA" w:rsidTr="00A47740">
        <w:trPr>
          <w:trHeight w:val="315"/>
        </w:trPr>
        <w:tc>
          <w:tcPr>
            <w:tcW w:w="2040" w:type="dxa"/>
            <w:tcBorders>
              <w:top w:val="nil"/>
              <w:left w:val="single" w:sz="8" w:space="0" w:color="auto"/>
              <w:bottom w:val="nil"/>
              <w:right w:val="nil"/>
            </w:tcBorders>
            <w:noWrap/>
            <w:vAlign w:val="bottom"/>
          </w:tcPr>
          <w:p w:rsidR="009D2CAE" w:rsidRPr="007C0CDA" w:rsidRDefault="009D2CAE" w:rsidP="00A47740">
            <w:pPr>
              <w:jc w:val="center"/>
              <w:rPr>
                <w:rFonts w:cs="Calibri"/>
                <w:b/>
                <w:bCs/>
                <w:color w:val="000000"/>
                <w:szCs w:val="22"/>
              </w:rPr>
            </w:pPr>
            <w:r w:rsidRPr="007C0CDA">
              <w:rPr>
                <w:rFonts w:cs="Calibri"/>
                <w:b/>
                <w:bCs/>
                <w:color w:val="000000"/>
                <w:szCs w:val="22"/>
              </w:rPr>
              <w:t>ALOKACE</w:t>
            </w:r>
          </w:p>
        </w:tc>
        <w:tc>
          <w:tcPr>
            <w:tcW w:w="3280" w:type="dxa"/>
            <w:tcBorders>
              <w:top w:val="nil"/>
              <w:left w:val="single" w:sz="8" w:space="0" w:color="auto"/>
              <w:bottom w:val="nil"/>
              <w:right w:val="single" w:sz="8" w:space="0" w:color="auto"/>
            </w:tcBorders>
            <w:shd w:val="clear" w:color="000000" w:fill="000000"/>
            <w:vAlign w:val="bottom"/>
          </w:tcPr>
          <w:p w:rsidR="009D2CAE" w:rsidRPr="007C0CDA" w:rsidRDefault="009D2CAE" w:rsidP="00A47740">
            <w:pPr>
              <w:jc w:val="center"/>
              <w:rPr>
                <w:rFonts w:cs="Calibri"/>
                <w:b/>
                <w:bCs/>
                <w:color w:val="FFFFFF"/>
                <w:szCs w:val="22"/>
              </w:rPr>
            </w:pPr>
            <w:r w:rsidRPr="007C0CDA">
              <w:rPr>
                <w:rFonts w:cs="Calibri"/>
                <w:b/>
                <w:bCs/>
                <w:color w:val="FFFFFF"/>
                <w:szCs w:val="22"/>
              </w:rPr>
              <w:t>Alokace FN (mil. CZK)</w:t>
            </w:r>
          </w:p>
        </w:tc>
        <w:tc>
          <w:tcPr>
            <w:tcW w:w="1760" w:type="dxa"/>
            <w:tcBorders>
              <w:top w:val="nil"/>
              <w:left w:val="nil"/>
              <w:bottom w:val="nil"/>
              <w:right w:val="nil"/>
            </w:tcBorders>
            <w:noWrap/>
            <w:vAlign w:val="bottom"/>
          </w:tcPr>
          <w:p w:rsidR="009D2CAE" w:rsidRPr="007C0CDA" w:rsidRDefault="009D2CAE" w:rsidP="00A47740">
            <w:pPr>
              <w:jc w:val="right"/>
              <w:rPr>
                <w:rFonts w:cs="Calibri"/>
                <w:color w:val="000000"/>
                <w:szCs w:val="22"/>
              </w:rPr>
            </w:pPr>
            <w:r w:rsidRPr="007C0CDA">
              <w:rPr>
                <w:rFonts w:cs="Calibri"/>
                <w:color w:val="000000"/>
                <w:szCs w:val="22"/>
              </w:rPr>
              <w:t>280</w:t>
            </w:r>
          </w:p>
        </w:tc>
        <w:tc>
          <w:tcPr>
            <w:tcW w:w="1540" w:type="dxa"/>
            <w:tcBorders>
              <w:top w:val="nil"/>
              <w:left w:val="single" w:sz="8" w:space="0" w:color="auto"/>
              <w:bottom w:val="nil"/>
              <w:right w:val="single" w:sz="8" w:space="0" w:color="auto"/>
            </w:tcBorders>
            <w:noWrap/>
            <w:vAlign w:val="bottom"/>
          </w:tcPr>
          <w:p w:rsidR="009D2CAE" w:rsidRPr="007C0CDA" w:rsidRDefault="009D2CAE" w:rsidP="00A47740">
            <w:pPr>
              <w:jc w:val="right"/>
              <w:rPr>
                <w:rFonts w:cs="Calibri"/>
                <w:color w:val="000000"/>
                <w:szCs w:val="22"/>
              </w:rPr>
            </w:pPr>
            <w:r w:rsidRPr="007C0CDA">
              <w:rPr>
                <w:rFonts w:cs="Calibri"/>
                <w:color w:val="000000"/>
                <w:szCs w:val="22"/>
              </w:rPr>
              <w:t>550</w:t>
            </w:r>
          </w:p>
        </w:tc>
      </w:tr>
      <w:tr w:rsidR="009D2CAE" w:rsidRPr="007C0CDA" w:rsidTr="00A47740">
        <w:trPr>
          <w:trHeight w:val="525"/>
        </w:trPr>
        <w:tc>
          <w:tcPr>
            <w:tcW w:w="2040" w:type="dxa"/>
            <w:vMerge w:val="restart"/>
            <w:tcBorders>
              <w:top w:val="nil"/>
              <w:left w:val="single" w:sz="8" w:space="0" w:color="auto"/>
              <w:bottom w:val="single" w:sz="8" w:space="0" w:color="BFBFBF"/>
              <w:right w:val="nil"/>
            </w:tcBorders>
            <w:noWrap/>
            <w:vAlign w:val="center"/>
          </w:tcPr>
          <w:p w:rsidR="009D2CAE" w:rsidRPr="007C0CDA" w:rsidRDefault="009D2CAE" w:rsidP="00A47740">
            <w:pPr>
              <w:jc w:val="center"/>
              <w:rPr>
                <w:rFonts w:cs="Calibri"/>
                <w:b/>
                <w:bCs/>
                <w:color w:val="000000"/>
                <w:szCs w:val="22"/>
              </w:rPr>
            </w:pPr>
            <w:r w:rsidRPr="007C0CDA">
              <w:rPr>
                <w:rFonts w:cs="Calibri"/>
                <w:b/>
                <w:bCs/>
                <w:color w:val="000000"/>
                <w:szCs w:val="22"/>
              </w:rPr>
              <w:lastRenderedPageBreak/>
              <w:t>ČERPÁNÍ ALOKACE</w:t>
            </w:r>
          </w:p>
        </w:tc>
        <w:tc>
          <w:tcPr>
            <w:tcW w:w="3280" w:type="dxa"/>
            <w:tcBorders>
              <w:top w:val="nil"/>
              <w:left w:val="single" w:sz="8" w:space="0" w:color="auto"/>
              <w:bottom w:val="single" w:sz="8" w:space="0" w:color="auto"/>
              <w:right w:val="single" w:sz="8" w:space="0" w:color="auto"/>
            </w:tcBorders>
            <w:shd w:val="clear" w:color="000000" w:fill="538DD5"/>
            <w:vAlign w:val="center"/>
          </w:tcPr>
          <w:p w:rsidR="009D2CAE" w:rsidRPr="007C0CDA" w:rsidRDefault="009D2CAE" w:rsidP="00A47740">
            <w:pPr>
              <w:jc w:val="center"/>
              <w:rPr>
                <w:rFonts w:cs="Calibri"/>
                <w:b/>
                <w:bCs/>
                <w:color w:val="FFFFFF"/>
                <w:sz w:val="20"/>
              </w:rPr>
            </w:pPr>
            <w:r w:rsidRPr="007C0CDA">
              <w:rPr>
                <w:rFonts w:cs="Calibri"/>
                <w:b/>
                <w:bCs/>
                <w:color w:val="FFFFFF"/>
                <w:sz w:val="20"/>
              </w:rPr>
              <w:t>Veřejné zdroje FN po odečtení MCF  (mil. CZK)</w:t>
            </w:r>
          </w:p>
        </w:tc>
        <w:tc>
          <w:tcPr>
            <w:tcW w:w="1760" w:type="dxa"/>
            <w:tcBorders>
              <w:top w:val="nil"/>
              <w:left w:val="nil"/>
              <w:bottom w:val="nil"/>
              <w:right w:val="nil"/>
            </w:tcBorders>
            <w:noWrap/>
            <w:vAlign w:val="bottom"/>
          </w:tcPr>
          <w:p w:rsidR="009D2CAE" w:rsidRPr="007C0CDA" w:rsidRDefault="009D2CAE" w:rsidP="00A47740">
            <w:pPr>
              <w:jc w:val="right"/>
              <w:rPr>
                <w:rFonts w:cs="Calibri"/>
                <w:color w:val="000000"/>
                <w:szCs w:val="22"/>
              </w:rPr>
            </w:pPr>
            <w:r w:rsidRPr="007C0CDA">
              <w:rPr>
                <w:rFonts w:cs="Calibri"/>
                <w:color w:val="000000"/>
                <w:szCs w:val="22"/>
              </w:rPr>
              <w:t>220</w:t>
            </w:r>
          </w:p>
        </w:tc>
        <w:tc>
          <w:tcPr>
            <w:tcW w:w="1540" w:type="dxa"/>
            <w:tcBorders>
              <w:top w:val="nil"/>
              <w:left w:val="single" w:sz="8" w:space="0" w:color="auto"/>
              <w:bottom w:val="nil"/>
              <w:right w:val="single" w:sz="8" w:space="0" w:color="auto"/>
            </w:tcBorders>
            <w:shd w:val="clear" w:color="000000" w:fill="DAEEF3"/>
            <w:noWrap/>
            <w:vAlign w:val="bottom"/>
          </w:tcPr>
          <w:p w:rsidR="009D2CAE" w:rsidRPr="007C0CDA" w:rsidRDefault="009D2CAE" w:rsidP="00A47740">
            <w:pPr>
              <w:jc w:val="right"/>
              <w:rPr>
                <w:rFonts w:cs="Calibri"/>
                <w:color w:val="000000"/>
                <w:szCs w:val="22"/>
              </w:rPr>
            </w:pPr>
            <w:r w:rsidRPr="007C0CDA">
              <w:rPr>
                <w:rFonts w:cs="Calibri"/>
                <w:color w:val="000000"/>
                <w:szCs w:val="22"/>
              </w:rPr>
              <w:t>440</w:t>
            </w:r>
          </w:p>
        </w:tc>
      </w:tr>
      <w:tr w:rsidR="009D2CAE" w:rsidRPr="007C0CDA" w:rsidTr="00A47740">
        <w:trPr>
          <w:trHeight w:val="525"/>
        </w:trPr>
        <w:tc>
          <w:tcPr>
            <w:tcW w:w="2040" w:type="dxa"/>
            <w:vMerge/>
            <w:tcBorders>
              <w:top w:val="nil"/>
              <w:left w:val="single" w:sz="8" w:space="0" w:color="auto"/>
              <w:bottom w:val="single" w:sz="8" w:space="0" w:color="BFBFBF"/>
              <w:right w:val="nil"/>
            </w:tcBorders>
            <w:vAlign w:val="center"/>
          </w:tcPr>
          <w:p w:rsidR="009D2CAE" w:rsidRPr="007C0CDA" w:rsidRDefault="009D2CAE" w:rsidP="00A47740">
            <w:pPr>
              <w:jc w:val="left"/>
              <w:rPr>
                <w:rFonts w:cs="Calibri"/>
                <w:b/>
                <w:bCs/>
                <w:color w:val="000000"/>
                <w:szCs w:val="22"/>
              </w:rPr>
            </w:pPr>
          </w:p>
        </w:tc>
        <w:tc>
          <w:tcPr>
            <w:tcW w:w="3280" w:type="dxa"/>
            <w:tcBorders>
              <w:top w:val="nil"/>
              <w:left w:val="single" w:sz="8" w:space="0" w:color="auto"/>
              <w:bottom w:val="single" w:sz="8" w:space="0" w:color="auto"/>
              <w:right w:val="single" w:sz="8" w:space="0" w:color="auto"/>
            </w:tcBorders>
            <w:shd w:val="clear" w:color="000000" w:fill="538DD5"/>
            <w:vAlign w:val="center"/>
          </w:tcPr>
          <w:p w:rsidR="009D2CAE" w:rsidRPr="007C0CDA" w:rsidRDefault="009D2CAE" w:rsidP="00A47740">
            <w:pPr>
              <w:jc w:val="center"/>
              <w:rPr>
                <w:rFonts w:cs="Calibri"/>
                <w:b/>
                <w:bCs/>
                <w:color w:val="FFFFFF"/>
                <w:sz w:val="20"/>
              </w:rPr>
            </w:pPr>
            <w:r w:rsidRPr="007C0CDA">
              <w:rPr>
                <w:rFonts w:cs="Calibri"/>
                <w:b/>
                <w:bCs/>
                <w:color w:val="FFFFFF"/>
                <w:sz w:val="20"/>
              </w:rPr>
              <w:t>Pákový efekt na projektech konečných příjemců</w:t>
            </w:r>
          </w:p>
        </w:tc>
        <w:tc>
          <w:tcPr>
            <w:tcW w:w="1760" w:type="dxa"/>
            <w:tcBorders>
              <w:top w:val="nil"/>
              <w:left w:val="nil"/>
              <w:bottom w:val="nil"/>
              <w:right w:val="nil"/>
            </w:tcBorders>
            <w:noWrap/>
            <w:vAlign w:val="bottom"/>
          </w:tcPr>
          <w:p w:rsidR="009D2CAE" w:rsidRPr="007C0CDA" w:rsidRDefault="009D2CAE" w:rsidP="00A47740">
            <w:pPr>
              <w:jc w:val="right"/>
              <w:rPr>
                <w:rFonts w:cs="Calibri"/>
                <w:color w:val="000000"/>
                <w:szCs w:val="22"/>
              </w:rPr>
            </w:pPr>
            <w:r w:rsidRPr="007C0CDA">
              <w:rPr>
                <w:rFonts w:cs="Calibri"/>
                <w:color w:val="000000"/>
                <w:szCs w:val="22"/>
              </w:rPr>
              <w:t>2</w:t>
            </w:r>
          </w:p>
        </w:tc>
        <w:tc>
          <w:tcPr>
            <w:tcW w:w="1540" w:type="dxa"/>
            <w:tcBorders>
              <w:top w:val="nil"/>
              <w:left w:val="single" w:sz="8" w:space="0" w:color="auto"/>
              <w:bottom w:val="nil"/>
              <w:right w:val="single" w:sz="8" w:space="0" w:color="auto"/>
            </w:tcBorders>
            <w:noWrap/>
            <w:vAlign w:val="bottom"/>
          </w:tcPr>
          <w:p w:rsidR="009D2CAE" w:rsidRPr="007C0CDA" w:rsidRDefault="009D2CAE" w:rsidP="00A47740">
            <w:pPr>
              <w:jc w:val="right"/>
              <w:rPr>
                <w:rFonts w:cs="Calibri"/>
                <w:color w:val="000000"/>
                <w:szCs w:val="22"/>
              </w:rPr>
            </w:pPr>
            <w:r w:rsidRPr="007C0CDA">
              <w:rPr>
                <w:rFonts w:cs="Calibri"/>
                <w:color w:val="000000"/>
                <w:szCs w:val="22"/>
              </w:rPr>
              <w:t>3</w:t>
            </w:r>
          </w:p>
        </w:tc>
      </w:tr>
      <w:tr w:rsidR="009D2CAE" w:rsidRPr="007C0CDA" w:rsidTr="00A47740">
        <w:trPr>
          <w:trHeight w:val="525"/>
        </w:trPr>
        <w:tc>
          <w:tcPr>
            <w:tcW w:w="2040" w:type="dxa"/>
            <w:vMerge/>
            <w:tcBorders>
              <w:top w:val="nil"/>
              <w:left w:val="single" w:sz="8" w:space="0" w:color="auto"/>
              <w:bottom w:val="single" w:sz="8" w:space="0" w:color="BFBFBF"/>
              <w:right w:val="nil"/>
            </w:tcBorders>
            <w:vAlign w:val="center"/>
          </w:tcPr>
          <w:p w:rsidR="009D2CAE" w:rsidRPr="007C0CDA" w:rsidRDefault="009D2CAE" w:rsidP="00A47740">
            <w:pPr>
              <w:jc w:val="left"/>
              <w:rPr>
                <w:rFonts w:cs="Calibri"/>
                <w:b/>
                <w:bCs/>
                <w:color w:val="000000"/>
                <w:szCs w:val="22"/>
              </w:rPr>
            </w:pPr>
          </w:p>
        </w:tc>
        <w:tc>
          <w:tcPr>
            <w:tcW w:w="3280" w:type="dxa"/>
            <w:tcBorders>
              <w:top w:val="nil"/>
              <w:left w:val="single" w:sz="8" w:space="0" w:color="auto"/>
              <w:bottom w:val="single" w:sz="8" w:space="0" w:color="auto"/>
              <w:right w:val="single" w:sz="8" w:space="0" w:color="auto"/>
            </w:tcBorders>
            <w:shd w:val="clear" w:color="000000" w:fill="538DD5"/>
            <w:vAlign w:val="center"/>
          </w:tcPr>
          <w:p w:rsidR="009D2CAE" w:rsidRPr="007C0CDA" w:rsidRDefault="009D2CAE" w:rsidP="00A47740">
            <w:pPr>
              <w:jc w:val="center"/>
              <w:rPr>
                <w:rFonts w:cs="Calibri"/>
                <w:b/>
                <w:bCs/>
                <w:color w:val="FFFFFF"/>
                <w:sz w:val="20"/>
              </w:rPr>
            </w:pPr>
            <w:r w:rsidRPr="007C0CDA">
              <w:rPr>
                <w:rFonts w:cs="Calibri"/>
                <w:b/>
                <w:bCs/>
                <w:color w:val="FFFFFF"/>
                <w:sz w:val="20"/>
              </w:rPr>
              <w:t>Celkové návratné zdroje na projekty konečných příjemců  (mil. CZK)</w:t>
            </w:r>
          </w:p>
        </w:tc>
        <w:tc>
          <w:tcPr>
            <w:tcW w:w="1760" w:type="dxa"/>
            <w:tcBorders>
              <w:top w:val="nil"/>
              <w:left w:val="nil"/>
              <w:bottom w:val="nil"/>
              <w:right w:val="nil"/>
            </w:tcBorders>
            <w:noWrap/>
            <w:vAlign w:val="bottom"/>
          </w:tcPr>
          <w:p w:rsidR="009D2CAE" w:rsidRPr="007C0CDA" w:rsidRDefault="009D2CAE" w:rsidP="00A47740">
            <w:pPr>
              <w:jc w:val="right"/>
              <w:rPr>
                <w:rFonts w:cs="Calibri"/>
                <w:color w:val="000000"/>
                <w:szCs w:val="22"/>
              </w:rPr>
            </w:pPr>
            <w:r w:rsidRPr="007C0CDA">
              <w:rPr>
                <w:rFonts w:cs="Calibri"/>
                <w:color w:val="000000"/>
                <w:szCs w:val="22"/>
              </w:rPr>
              <w:t>440</w:t>
            </w:r>
          </w:p>
        </w:tc>
        <w:tc>
          <w:tcPr>
            <w:tcW w:w="1540" w:type="dxa"/>
            <w:tcBorders>
              <w:top w:val="nil"/>
              <w:left w:val="single" w:sz="8" w:space="0" w:color="auto"/>
              <w:bottom w:val="nil"/>
              <w:right w:val="single" w:sz="8" w:space="0" w:color="auto"/>
            </w:tcBorders>
            <w:shd w:val="clear" w:color="000000" w:fill="DAEEF3"/>
            <w:noWrap/>
            <w:vAlign w:val="bottom"/>
          </w:tcPr>
          <w:p w:rsidR="009D2CAE" w:rsidRPr="007C0CDA" w:rsidRDefault="009D2CAE" w:rsidP="00A47740">
            <w:pPr>
              <w:jc w:val="right"/>
              <w:rPr>
                <w:rFonts w:cs="Calibri"/>
                <w:color w:val="000000"/>
                <w:szCs w:val="22"/>
              </w:rPr>
            </w:pPr>
            <w:r w:rsidRPr="007C0CDA">
              <w:rPr>
                <w:rFonts w:cs="Calibri"/>
                <w:color w:val="000000"/>
                <w:szCs w:val="22"/>
              </w:rPr>
              <w:t>1300</w:t>
            </w:r>
          </w:p>
        </w:tc>
      </w:tr>
      <w:tr w:rsidR="009D2CAE" w:rsidRPr="007C0CDA" w:rsidTr="00A47740">
        <w:trPr>
          <w:trHeight w:val="525"/>
        </w:trPr>
        <w:tc>
          <w:tcPr>
            <w:tcW w:w="2040" w:type="dxa"/>
            <w:vMerge/>
            <w:tcBorders>
              <w:top w:val="nil"/>
              <w:left w:val="single" w:sz="8" w:space="0" w:color="auto"/>
              <w:bottom w:val="single" w:sz="8" w:space="0" w:color="BFBFBF"/>
              <w:right w:val="nil"/>
            </w:tcBorders>
            <w:vAlign w:val="center"/>
          </w:tcPr>
          <w:p w:rsidR="009D2CAE" w:rsidRPr="007C0CDA" w:rsidRDefault="009D2CAE" w:rsidP="00A47740">
            <w:pPr>
              <w:jc w:val="left"/>
              <w:rPr>
                <w:rFonts w:cs="Calibri"/>
                <w:b/>
                <w:bCs/>
                <w:color w:val="000000"/>
                <w:szCs w:val="22"/>
              </w:rPr>
            </w:pPr>
          </w:p>
        </w:tc>
        <w:tc>
          <w:tcPr>
            <w:tcW w:w="3280" w:type="dxa"/>
            <w:tcBorders>
              <w:top w:val="nil"/>
              <w:left w:val="single" w:sz="8" w:space="0" w:color="auto"/>
              <w:bottom w:val="single" w:sz="8" w:space="0" w:color="auto"/>
              <w:right w:val="single" w:sz="8" w:space="0" w:color="auto"/>
            </w:tcBorders>
            <w:shd w:val="clear" w:color="000000" w:fill="538DD5"/>
            <w:vAlign w:val="center"/>
          </w:tcPr>
          <w:p w:rsidR="009D2CAE" w:rsidRPr="007C0CDA" w:rsidRDefault="009D2CAE" w:rsidP="00A47740">
            <w:pPr>
              <w:jc w:val="center"/>
              <w:rPr>
                <w:rFonts w:cs="Calibri"/>
                <w:b/>
                <w:bCs/>
                <w:color w:val="FFFFFF"/>
                <w:sz w:val="20"/>
              </w:rPr>
            </w:pPr>
            <w:r w:rsidRPr="007C0CDA">
              <w:rPr>
                <w:rFonts w:cs="Calibri"/>
                <w:b/>
                <w:bCs/>
                <w:color w:val="FFFFFF"/>
                <w:sz w:val="20"/>
              </w:rPr>
              <w:t>Průměrná výše úvěru/investice konečného příjemce  (mil. CZK)</w:t>
            </w:r>
          </w:p>
        </w:tc>
        <w:tc>
          <w:tcPr>
            <w:tcW w:w="1760" w:type="dxa"/>
            <w:tcBorders>
              <w:top w:val="nil"/>
              <w:left w:val="nil"/>
              <w:bottom w:val="nil"/>
              <w:right w:val="nil"/>
            </w:tcBorders>
            <w:noWrap/>
            <w:vAlign w:val="bottom"/>
          </w:tcPr>
          <w:p w:rsidR="009D2CAE" w:rsidRPr="007C0CDA" w:rsidRDefault="009D2CAE" w:rsidP="00A47740">
            <w:pPr>
              <w:jc w:val="right"/>
              <w:rPr>
                <w:rFonts w:cs="Calibri"/>
                <w:color w:val="000000"/>
                <w:szCs w:val="22"/>
              </w:rPr>
            </w:pPr>
            <w:r w:rsidRPr="007C0CDA">
              <w:rPr>
                <w:rFonts w:cs="Calibri"/>
                <w:color w:val="000000"/>
                <w:szCs w:val="22"/>
              </w:rPr>
              <w:t>17</w:t>
            </w:r>
          </w:p>
        </w:tc>
        <w:tc>
          <w:tcPr>
            <w:tcW w:w="1540" w:type="dxa"/>
            <w:tcBorders>
              <w:top w:val="nil"/>
              <w:left w:val="single" w:sz="8" w:space="0" w:color="auto"/>
              <w:bottom w:val="nil"/>
              <w:right w:val="single" w:sz="8" w:space="0" w:color="auto"/>
            </w:tcBorders>
            <w:noWrap/>
            <w:vAlign w:val="bottom"/>
          </w:tcPr>
          <w:p w:rsidR="009D2CAE" w:rsidRPr="007C0CDA" w:rsidRDefault="009D2CAE" w:rsidP="00A47740">
            <w:pPr>
              <w:jc w:val="right"/>
              <w:rPr>
                <w:rFonts w:cs="Calibri"/>
                <w:color w:val="000000"/>
                <w:szCs w:val="22"/>
              </w:rPr>
            </w:pPr>
            <w:r w:rsidRPr="007C0CDA">
              <w:rPr>
                <w:rFonts w:cs="Calibri"/>
                <w:color w:val="000000"/>
                <w:szCs w:val="22"/>
              </w:rPr>
              <w:t>23</w:t>
            </w:r>
          </w:p>
        </w:tc>
      </w:tr>
      <w:tr w:rsidR="009D2CAE" w:rsidRPr="007C0CDA" w:rsidTr="00A47740">
        <w:trPr>
          <w:trHeight w:val="420"/>
        </w:trPr>
        <w:tc>
          <w:tcPr>
            <w:tcW w:w="2040" w:type="dxa"/>
            <w:vMerge/>
            <w:tcBorders>
              <w:top w:val="nil"/>
              <w:left w:val="single" w:sz="8" w:space="0" w:color="auto"/>
              <w:bottom w:val="single" w:sz="8" w:space="0" w:color="BFBFBF"/>
              <w:right w:val="nil"/>
            </w:tcBorders>
            <w:vAlign w:val="center"/>
          </w:tcPr>
          <w:p w:rsidR="009D2CAE" w:rsidRPr="007C0CDA" w:rsidRDefault="009D2CAE" w:rsidP="00A47740">
            <w:pPr>
              <w:jc w:val="left"/>
              <w:rPr>
                <w:rFonts w:cs="Calibri"/>
                <w:b/>
                <w:bCs/>
                <w:color w:val="000000"/>
                <w:szCs w:val="22"/>
              </w:rPr>
            </w:pPr>
          </w:p>
        </w:tc>
        <w:tc>
          <w:tcPr>
            <w:tcW w:w="3280" w:type="dxa"/>
            <w:tcBorders>
              <w:top w:val="nil"/>
              <w:left w:val="single" w:sz="8" w:space="0" w:color="auto"/>
              <w:bottom w:val="single" w:sz="8" w:space="0" w:color="auto"/>
              <w:right w:val="single" w:sz="8" w:space="0" w:color="auto"/>
            </w:tcBorders>
            <w:shd w:val="clear" w:color="000000" w:fill="538DD5"/>
            <w:vAlign w:val="center"/>
          </w:tcPr>
          <w:p w:rsidR="009D2CAE" w:rsidRPr="007C0CDA" w:rsidRDefault="009D2CAE" w:rsidP="00A47740">
            <w:pPr>
              <w:jc w:val="center"/>
              <w:rPr>
                <w:rFonts w:cs="Calibri"/>
                <w:b/>
                <w:bCs/>
                <w:color w:val="FFFFFF"/>
                <w:sz w:val="20"/>
              </w:rPr>
            </w:pPr>
            <w:r w:rsidRPr="007C0CDA">
              <w:rPr>
                <w:rFonts w:cs="Calibri"/>
                <w:b/>
                <w:bCs/>
                <w:color w:val="FFFFFF"/>
                <w:sz w:val="20"/>
              </w:rPr>
              <w:t>Počet projektů konečných příjemců</w:t>
            </w:r>
          </w:p>
        </w:tc>
        <w:tc>
          <w:tcPr>
            <w:tcW w:w="1760" w:type="dxa"/>
            <w:tcBorders>
              <w:top w:val="nil"/>
              <w:left w:val="nil"/>
              <w:bottom w:val="nil"/>
              <w:right w:val="nil"/>
            </w:tcBorders>
            <w:noWrap/>
            <w:vAlign w:val="bottom"/>
          </w:tcPr>
          <w:p w:rsidR="009D2CAE" w:rsidRPr="007C0CDA" w:rsidRDefault="009D2CAE" w:rsidP="00A47740">
            <w:pPr>
              <w:jc w:val="right"/>
              <w:rPr>
                <w:rFonts w:cs="Calibri"/>
                <w:color w:val="000000"/>
                <w:szCs w:val="22"/>
              </w:rPr>
            </w:pPr>
            <w:r w:rsidRPr="007C0CDA">
              <w:rPr>
                <w:rFonts w:cs="Calibri"/>
                <w:color w:val="000000"/>
                <w:szCs w:val="22"/>
              </w:rPr>
              <w:t>26</w:t>
            </w:r>
          </w:p>
        </w:tc>
        <w:tc>
          <w:tcPr>
            <w:tcW w:w="1540" w:type="dxa"/>
            <w:tcBorders>
              <w:top w:val="nil"/>
              <w:left w:val="single" w:sz="8" w:space="0" w:color="auto"/>
              <w:bottom w:val="nil"/>
              <w:right w:val="single" w:sz="8" w:space="0" w:color="auto"/>
            </w:tcBorders>
            <w:shd w:val="clear" w:color="000000" w:fill="DAEEF3"/>
            <w:noWrap/>
            <w:vAlign w:val="bottom"/>
          </w:tcPr>
          <w:p w:rsidR="009D2CAE" w:rsidRPr="007C0CDA" w:rsidRDefault="009D2CAE" w:rsidP="00A47740">
            <w:pPr>
              <w:jc w:val="right"/>
              <w:rPr>
                <w:rFonts w:cs="Calibri"/>
                <w:color w:val="000000"/>
                <w:szCs w:val="22"/>
              </w:rPr>
            </w:pPr>
            <w:r w:rsidRPr="007C0CDA">
              <w:rPr>
                <w:rFonts w:cs="Calibri"/>
                <w:color w:val="000000"/>
                <w:szCs w:val="22"/>
              </w:rPr>
              <w:t>58</w:t>
            </w:r>
          </w:p>
        </w:tc>
      </w:tr>
      <w:tr w:rsidR="009D2CAE" w:rsidRPr="007C0CDA" w:rsidTr="00A47740">
        <w:trPr>
          <w:trHeight w:val="525"/>
        </w:trPr>
        <w:tc>
          <w:tcPr>
            <w:tcW w:w="2040" w:type="dxa"/>
            <w:vMerge w:val="restart"/>
            <w:tcBorders>
              <w:top w:val="nil"/>
              <w:left w:val="single" w:sz="8" w:space="0" w:color="auto"/>
              <w:bottom w:val="nil"/>
              <w:right w:val="nil"/>
            </w:tcBorders>
            <w:vAlign w:val="center"/>
          </w:tcPr>
          <w:p w:rsidR="009D2CAE" w:rsidRPr="007C0CDA" w:rsidRDefault="009D2CAE" w:rsidP="00A47740">
            <w:pPr>
              <w:jc w:val="center"/>
              <w:rPr>
                <w:b/>
                <w:bCs/>
                <w:color w:val="000000"/>
                <w:sz w:val="18"/>
                <w:szCs w:val="18"/>
              </w:rPr>
            </w:pPr>
            <w:r w:rsidRPr="007C0CDA">
              <w:rPr>
                <w:b/>
                <w:bCs/>
                <w:color w:val="000000"/>
                <w:sz w:val="18"/>
                <w:szCs w:val="18"/>
              </w:rPr>
              <w:t>OBRÁTKA</w:t>
            </w:r>
          </w:p>
        </w:tc>
        <w:tc>
          <w:tcPr>
            <w:tcW w:w="3280" w:type="dxa"/>
            <w:tcBorders>
              <w:top w:val="nil"/>
              <w:left w:val="single" w:sz="8" w:space="0" w:color="auto"/>
              <w:bottom w:val="single" w:sz="8" w:space="0" w:color="auto"/>
              <w:right w:val="single" w:sz="8" w:space="0" w:color="auto"/>
            </w:tcBorders>
            <w:shd w:val="clear" w:color="000000" w:fill="000000"/>
            <w:vAlign w:val="center"/>
          </w:tcPr>
          <w:p w:rsidR="009D2CAE" w:rsidRPr="007C0CDA" w:rsidRDefault="009D2CAE" w:rsidP="00A47740">
            <w:pPr>
              <w:jc w:val="center"/>
              <w:rPr>
                <w:rFonts w:cs="Calibri"/>
                <w:b/>
                <w:bCs/>
                <w:color w:val="FFFFFF"/>
                <w:sz w:val="20"/>
              </w:rPr>
            </w:pPr>
            <w:r w:rsidRPr="007C0CDA">
              <w:rPr>
                <w:rFonts w:cs="Calibri"/>
                <w:b/>
                <w:bCs/>
                <w:color w:val="FFFFFF"/>
                <w:sz w:val="20"/>
              </w:rPr>
              <w:t>Veřejné zdroje FN po odečtení MCF, ztrát a grantů  (mil. CZK)</w:t>
            </w:r>
          </w:p>
        </w:tc>
        <w:tc>
          <w:tcPr>
            <w:tcW w:w="1760" w:type="dxa"/>
            <w:tcBorders>
              <w:top w:val="nil"/>
              <w:left w:val="nil"/>
              <w:bottom w:val="nil"/>
              <w:right w:val="nil"/>
            </w:tcBorders>
            <w:noWrap/>
            <w:vAlign w:val="bottom"/>
          </w:tcPr>
          <w:p w:rsidR="009D2CAE" w:rsidRPr="007C0CDA" w:rsidRDefault="009D2CAE" w:rsidP="00A47740">
            <w:pPr>
              <w:jc w:val="right"/>
              <w:rPr>
                <w:rFonts w:cs="Calibri"/>
                <w:color w:val="000000"/>
                <w:szCs w:val="22"/>
              </w:rPr>
            </w:pPr>
            <w:r w:rsidRPr="007C0CDA">
              <w:rPr>
                <w:rFonts w:cs="Calibri"/>
                <w:color w:val="000000"/>
                <w:szCs w:val="22"/>
              </w:rPr>
              <w:t>77</w:t>
            </w:r>
          </w:p>
        </w:tc>
        <w:tc>
          <w:tcPr>
            <w:tcW w:w="1540" w:type="dxa"/>
            <w:tcBorders>
              <w:top w:val="nil"/>
              <w:left w:val="single" w:sz="8" w:space="0" w:color="auto"/>
              <w:bottom w:val="nil"/>
              <w:right w:val="single" w:sz="8" w:space="0" w:color="auto"/>
            </w:tcBorders>
            <w:noWrap/>
            <w:vAlign w:val="bottom"/>
          </w:tcPr>
          <w:p w:rsidR="009D2CAE" w:rsidRPr="007C0CDA" w:rsidRDefault="009D2CAE" w:rsidP="00A47740">
            <w:pPr>
              <w:jc w:val="right"/>
              <w:rPr>
                <w:rFonts w:cs="Calibri"/>
                <w:color w:val="000000"/>
                <w:szCs w:val="22"/>
              </w:rPr>
            </w:pPr>
            <w:r w:rsidRPr="007C0CDA">
              <w:rPr>
                <w:rFonts w:cs="Calibri"/>
                <w:color w:val="000000"/>
                <w:szCs w:val="22"/>
              </w:rPr>
              <w:t>132</w:t>
            </w:r>
          </w:p>
        </w:tc>
      </w:tr>
      <w:tr w:rsidR="009D2CAE" w:rsidRPr="007C0CDA" w:rsidTr="00A47740">
        <w:trPr>
          <w:trHeight w:val="525"/>
        </w:trPr>
        <w:tc>
          <w:tcPr>
            <w:tcW w:w="2040" w:type="dxa"/>
            <w:vMerge/>
            <w:tcBorders>
              <w:top w:val="nil"/>
              <w:left w:val="single" w:sz="8" w:space="0" w:color="auto"/>
              <w:bottom w:val="nil"/>
              <w:right w:val="nil"/>
            </w:tcBorders>
            <w:vAlign w:val="center"/>
          </w:tcPr>
          <w:p w:rsidR="009D2CAE" w:rsidRPr="007C0CDA" w:rsidRDefault="009D2CAE" w:rsidP="00A47740">
            <w:pPr>
              <w:jc w:val="left"/>
              <w:rPr>
                <w:b/>
                <w:bCs/>
                <w:color w:val="000000"/>
                <w:sz w:val="18"/>
                <w:szCs w:val="18"/>
              </w:rPr>
            </w:pPr>
          </w:p>
        </w:tc>
        <w:tc>
          <w:tcPr>
            <w:tcW w:w="3280" w:type="dxa"/>
            <w:tcBorders>
              <w:top w:val="nil"/>
              <w:left w:val="single" w:sz="8" w:space="0" w:color="auto"/>
              <w:bottom w:val="single" w:sz="8" w:space="0" w:color="auto"/>
              <w:right w:val="single" w:sz="8" w:space="0" w:color="auto"/>
            </w:tcBorders>
            <w:shd w:val="clear" w:color="000000" w:fill="000000"/>
            <w:vAlign w:val="center"/>
          </w:tcPr>
          <w:p w:rsidR="009D2CAE" w:rsidRPr="007C0CDA" w:rsidRDefault="009D2CAE" w:rsidP="00A47740">
            <w:pPr>
              <w:jc w:val="center"/>
              <w:rPr>
                <w:rFonts w:cs="Calibri"/>
                <w:b/>
                <w:bCs/>
                <w:color w:val="FFFFFF"/>
                <w:sz w:val="20"/>
              </w:rPr>
            </w:pPr>
            <w:r w:rsidRPr="007C0CDA">
              <w:rPr>
                <w:rFonts w:cs="Calibri"/>
                <w:b/>
                <w:bCs/>
                <w:color w:val="FFFFFF"/>
                <w:sz w:val="20"/>
              </w:rPr>
              <w:t>Pákový efekt na projektech konečných příjemců</w:t>
            </w:r>
          </w:p>
        </w:tc>
        <w:tc>
          <w:tcPr>
            <w:tcW w:w="1760" w:type="dxa"/>
            <w:tcBorders>
              <w:top w:val="nil"/>
              <w:left w:val="nil"/>
              <w:bottom w:val="nil"/>
              <w:right w:val="nil"/>
            </w:tcBorders>
            <w:noWrap/>
            <w:vAlign w:val="bottom"/>
          </w:tcPr>
          <w:p w:rsidR="009D2CAE" w:rsidRPr="007C0CDA" w:rsidRDefault="009D2CAE" w:rsidP="00A47740">
            <w:pPr>
              <w:jc w:val="right"/>
              <w:rPr>
                <w:rFonts w:cs="Calibri"/>
                <w:color w:val="000000"/>
                <w:szCs w:val="22"/>
              </w:rPr>
            </w:pPr>
            <w:r w:rsidRPr="007C0CDA">
              <w:rPr>
                <w:rFonts w:cs="Calibri"/>
                <w:color w:val="000000"/>
                <w:szCs w:val="22"/>
              </w:rPr>
              <w:t>2,0</w:t>
            </w:r>
          </w:p>
        </w:tc>
        <w:tc>
          <w:tcPr>
            <w:tcW w:w="1540" w:type="dxa"/>
            <w:tcBorders>
              <w:top w:val="nil"/>
              <w:left w:val="single" w:sz="8" w:space="0" w:color="auto"/>
              <w:bottom w:val="nil"/>
              <w:right w:val="single" w:sz="8" w:space="0" w:color="auto"/>
            </w:tcBorders>
            <w:shd w:val="clear" w:color="000000" w:fill="DAEEF3"/>
            <w:noWrap/>
            <w:vAlign w:val="bottom"/>
          </w:tcPr>
          <w:p w:rsidR="009D2CAE" w:rsidRPr="007C0CDA" w:rsidRDefault="009D2CAE" w:rsidP="00A47740">
            <w:pPr>
              <w:jc w:val="right"/>
              <w:rPr>
                <w:rFonts w:cs="Calibri"/>
                <w:color w:val="000000"/>
                <w:szCs w:val="22"/>
              </w:rPr>
            </w:pPr>
            <w:r w:rsidRPr="007C0CDA">
              <w:rPr>
                <w:rFonts w:cs="Calibri"/>
                <w:color w:val="000000"/>
                <w:szCs w:val="22"/>
              </w:rPr>
              <w:t>3,0</w:t>
            </w:r>
          </w:p>
        </w:tc>
      </w:tr>
      <w:tr w:rsidR="009D2CAE" w:rsidRPr="007C0CDA" w:rsidTr="00A47740">
        <w:trPr>
          <w:trHeight w:val="525"/>
        </w:trPr>
        <w:tc>
          <w:tcPr>
            <w:tcW w:w="2040" w:type="dxa"/>
            <w:vMerge/>
            <w:tcBorders>
              <w:top w:val="nil"/>
              <w:left w:val="single" w:sz="8" w:space="0" w:color="auto"/>
              <w:bottom w:val="nil"/>
              <w:right w:val="nil"/>
            </w:tcBorders>
            <w:vAlign w:val="center"/>
          </w:tcPr>
          <w:p w:rsidR="009D2CAE" w:rsidRPr="007C0CDA" w:rsidRDefault="009D2CAE" w:rsidP="00A47740">
            <w:pPr>
              <w:jc w:val="left"/>
              <w:rPr>
                <w:b/>
                <w:bCs/>
                <w:color w:val="000000"/>
                <w:sz w:val="18"/>
                <w:szCs w:val="18"/>
              </w:rPr>
            </w:pPr>
          </w:p>
        </w:tc>
        <w:tc>
          <w:tcPr>
            <w:tcW w:w="3280" w:type="dxa"/>
            <w:tcBorders>
              <w:top w:val="nil"/>
              <w:left w:val="single" w:sz="8" w:space="0" w:color="auto"/>
              <w:bottom w:val="single" w:sz="8" w:space="0" w:color="auto"/>
              <w:right w:val="single" w:sz="8" w:space="0" w:color="auto"/>
            </w:tcBorders>
            <w:shd w:val="clear" w:color="000000" w:fill="000000"/>
            <w:vAlign w:val="center"/>
          </w:tcPr>
          <w:p w:rsidR="009D2CAE" w:rsidRPr="007C0CDA" w:rsidRDefault="009D2CAE" w:rsidP="00A47740">
            <w:pPr>
              <w:jc w:val="center"/>
              <w:rPr>
                <w:rFonts w:cs="Calibri"/>
                <w:b/>
                <w:bCs/>
                <w:color w:val="FFFFFF"/>
                <w:sz w:val="20"/>
              </w:rPr>
            </w:pPr>
            <w:r w:rsidRPr="007C0CDA">
              <w:rPr>
                <w:rFonts w:cs="Calibri"/>
                <w:b/>
                <w:bCs/>
                <w:color w:val="FFFFFF"/>
                <w:sz w:val="20"/>
              </w:rPr>
              <w:t>Celkové návratné zdroje na projekty konečných příjemců  (mil. CZK)</w:t>
            </w:r>
          </w:p>
        </w:tc>
        <w:tc>
          <w:tcPr>
            <w:tcW w:w="1760" w:type="dxa"/>
            <w:tcBorders>
              <w:top w:val="nil"/>
              <w:left w:val="nil"/>
              <w:bottom w:val="nil"/>
              <w:right w:val="nil"/>
            </w:tcBorders>
            <w:noWrap/>
            <w:vAlign w:val="bottom"/>
          </w:tcPr>
          <w:p w:rsidR="009D2CAE" w:rsidRPr="007C0CDA" w:rsidRDefault="009D2CAE" w:rsidP="00A47740">
            <w:pPr>
              <w:jc w:val="right"/>
              <w:rPr>
                <w:rFonts w:cs="Calibri"/>
                <w:color w:val="000000"/>
                <w:szCs w:val="22"/>
              </w:rPr>
            </w:pPr>
            <w:r w:rsidRPr="007C0CDA">
              <w:rPr>
                <w:rFonts w:cs="Calibri"/>
                <w:color w:val="000000"/>
                <w:szCs w:val="22"/>
              </w:rPr>
              <w:t>150</w:t>
            </w:r>
          </w:p>
        </w:tc>
        <w:tc>
          <w:tcPr>
            <w:tcW w:w="1540" w:type="dxa"/>
            <w:tcBorders>
              <w:top w:val="nil"/>
              <w:left w:val="single" w:sz="8" w:space="0" w:color="auto"/>
              <w:bottom w:val="nil"/>
              <w:right w:val="single" w:sz="8" w:space="0" w:color="auto"/>
            </w:tcBorders>
            <w:noWrap/>
            <w:vAlign w:val="bottom"/>
          </w:tcPr>
          <w:p w:rsidR="009D2CAE" w:rsidRPr="007C0CDA" w:rsidRDefault="009D2CAE" w:rsidP="00A47740">
            <w:pPr>
              <w:jc w:val="right"/>
              <w:rPr>
                <w:rFonts w:cs="Calibri"/>
                <w:color w:val="000000"/>
                <w:szCs w:val="22"/>
              </w:rPr>
            </w:pPr>
            <w:r w:rsidRPr="007C0CDA">
              <w:rPr>
                <w:rFonts w:cs="Calibri"/>
                <w:color w:val="000000"/>
                <w:szCs w:val="22"/>
              </w:rPr>
              <w:t>400</w:t>
            </w:r>
          </w:p>
        </w:tc>
      </w:tr>
      <w:tr w:rsidR="009D2CAE" w:rsidRPr="007C0CDA" w:rsidTr="00A47740">
        <w:trPr>
          <w:trHeight w:val="525"/>
        </w:trPr>
        <w:tc>
          <w:tcPr>
            <w:tcW w:w="2040" w:type="dxa"/>
            <w:vMerge/>
            <w:tcBorders>
              <w:top w:val="nil"/>
              <w:left w:val="single" w:sz="8" w:space="0" w:color="auto"/>
              <w:bottom w:val="nil"/>
              <w:right w:val="nil"/>
            </w:tcBorders>
            <w:vAlign w:val="center"/>
          </w:tcPr>
          <w:p w:rsidR="009D2CAE" w:rsidRPr="007C0CDA" w:rsidRDefault="009D2CAE" w:rsidP="00A47740">
            <w:pPr>
              <w:jc w:val="left"/>
              <w:rPr>
                <w:b/>
                <w:bCs/>
                <w:color w:val="000000"/>
                <w:sz w:val="18"/>
                <w:szCs w:val="18"/>
              </w:rPr>
            </w:pPr>
          </w:p>
        </w:tc>
        <w:tc>
          <w:tcPr>
            <w:tcW w:w="3280" w:type="dxa"/>
            <w:tcBorders>
              <w:top w:val="nil"/>
              <w:left w:val="single" w:sz="8" w:space="0" w:color="auto"/>
              <w:bottom w:val="single" w:sz="8" w:space="0" w:color="auto"/>
              <w:right w:val="single" w:sz="8" w:space="0" w:color="auto"/>
            </w:tcBorders>
            <w:shd w:val="clear" w:color="000000" w:fill="000000"/>
            <w:vAlign w:val="center"/>
          </w:tcPr>
          <w:p w:rsidR="009D2CAE" w:rsidRPr="007C0CDA" w:rsidRDefault="009D2CAE" w:rsidP="00A47740">
            <w:pPr>
              <w:jc w:val="center"/>
              <w:rPr>
                <w:rFonts w:cs="Calibri"/>
                <w:b/>
                <w:bCs/>
                <w:color w:val="FFFFFF"/>
                <w:sz w:val="20"/>
              </w:rPr>
            </w:pPr>
            <w:r w:rsidRPr="007C0CDA">
              <w:rPr>
                <w:rFonts w:cs="Calibri"/>
                <w:b/>
                <w:bCs/>
                <w:color w:val="FFFFFF"/>
                <w:sz w:val="20"/>
              </w:rPr>
              <w:t>Průměrná výše úvěru/ investice konečného příjemce  (mil. CZK)</w:t>
            </w:r>
          </w:p>
        </w:tc>
        <w:tc>
          <w:tcPr>
            <w:tcW w:w="1760" w:type="dxa"/>
            <w:tcBorders>
              <w:top w:val="nil"/>
              <w:left w:val="nil"/>
              <w:bottom w:val="nil"/>
              <w:right w:val="nil"/>
            </w:tcBorders>
            <w:noWrap/>
            <w:vAlign w:val="bottom"/>
          </w:tcPr>
          <w:p w:rsidR="009D2CAE" w:rsidRPr="007C0CDA" w:rsidRDefault="009D2CAE" w:rsidP="00A47740">
            <w:pPr>
              <w:jc w:val="right"/>
              <w:rPr>
                <w:rFonts w:cs="Calibri"/>
                <w:color w:val="000000"/>
                <w:szCs w:val="22"/>
              </w:rPr>
            </w:pPr>
            <w:r w:rsidRPr="007C0CDA">
              <w:rPr>
                <w:rFonts w:cs="Calibri"/>
                <w:color w:val="000000"/>
                <w:szCs w:val="22"/>
              </w:rPr>
              <w:t>17</w:t>
            </w:r>
          </w:p>
        </w:tc>
        <w:tc>
          <w:tcPr>
            <w:tcW w:w="1540" w:type="dxa"/>
            <w:tcBorders>
              <w:top w:val="nil"/>
              <w:left w:val="single" w:sz="8" w:space="0" w:color="auto"/>
              <w:bottom w:val="nil"/>
              <w:right w:val="single" w:sz="8" w:space="0" w:color="auto"/>
            </w:tcBorders>
            <w:shd w:val="clear" w:color="000000" w:fill="DAEEF3"/>
            <w:noWrap/>
            <w:vAlign w:val="bottom"/>
          </w:tcPr>
          <w:p w:rsidR="009D2CAE" w:rsidRPr="007C0CDA" w:rsidRDefault="009D2CAE" w:rsidP="00A47740">
            <w:pPr>
              <w:jc w:val="right"/>
              <w:rPr>
                <w:rFonts w:cs="Calibri"/>
                <w:color w:val="000000"/>
                <w:szCs w:val="22"/>
              </w:rPr>
            </w:pPr>
            <w:r w:rsidRPr="007C0CDA">
              <w:rPr>
                <w:rFonts w:cs="Calibri"/>
                <w:color w:val="000000"/>
                <w:szCs w:val="22"/>
              </w:rPr>
              <w:t>23</w:t>
            </w:r>
          </w:p>
        </w:tc>
      </w:tr>
      <w:tr w:rsidR="009D2CAE" w:rsidRPr="007C0CDA" w:rsidTr="00A47740">
        <w:trPr>
          <w:trHeight w:val="315"/>
        </w:trPr>
        <w:tc>
          <w:tcPr>
            <w:tcW w:w="2040" w:type="dxa"/>
            <w:vMerge/>
            <w:tcBorders>
              <w:top w:val="nil"/>
              <w:left w:val="single" w:sz="8" w:space="0" w:color="auto"/>
              <w:bottom w:val="nil"/>
              <w:right w:val="nil"/>
            </w:tcBorders>
            <w:vAlign w:val="center"/>
          </w:tcPr>
          <w:p w:rsidR="009D2CAE" w:rsidRPr="007C0CDA" w:rsidRDefault="009D2CAE" w:rsidP="00A47740">
            <w:pPr>
              <w:jc w:val="left"/>
              <w:rPr>
                <w:b/>
                <w:bCs/>
                <w:color w:val="000000"/>
                <w:sz w:val="18"/>
                <w:szCs w:val="18"/>
              </w:rPr>
            </w:pPr>
          </w:p>
        </w:tc>
        <w:tc>
          <w:tcPr>
            <w:tcW w:w="3280" w:type="dxa"/>
            <w:tcBorders>
              <w:top w:val="nil"/>
              <w:left w:val="single" w:sz="8" w:space="0" w:color="auto"/>
              <w:bottom w:val="single" w:sz="8" w:space="0" w:color="auto"/>
              <w:right w:val="single" w:sz="8" w:space="0" w:color="auto"/>
            </w:tcBorders>
            <w:shd w:val="clear" w:color="000000" w:fill="000000"/>
            <w:vAlign w:val="center"/>
          </w:tcPr>
          <w:p w:rsidR="009D2CAE" w:rsidRPr="007C0CDA" w:rsidRDefault="009D2CAE" w:rsidP="00A47740">
            <w:pPr>
              <w:jc w:val="center"/>
              <w:rPr>
                <w:rFonts w:cs="Calibri"/>
                <w:b/>
                <w:bCs/>
                <w:color w:val="FFFFFF"/>
                <w:sz w:val="20"/>
              </w:rPr>
            </w:pPr>
            <w:r w:rsidRPr="007C0CDA">
              <w:rPr>
                <w:rFonts w:cs="Calibri"/>
                <w:b/>
                <w:bCs/>
                <w:color w:val="FFFFFF"/>
                <w:sz w:val="20"/>
              </w:rPr>
              <w:t>Počet projektů konečných příjemců</w:t>
            </w:r>
          </w:p>
        </w:tc>
        <w:tc>
          <w:tcPr>
            <w:tcW w:w="1760" w:type="dxa"/>
            <w:tcBorders>
              <w:top w:val="nil"/>
              <w:left w:val="nil"/>
              <w:bottom w:val="nil"/>
              <w:right w:val="nil"/>
            </w:tcBorders>
            <w:noWrap/>
            <w:vAlign w:val="bottom"/>
          </w:tcPr>
          <w:p w:rsidR="009D2CAE" w:rsidRPr="007C0CDA" w:rsidRDefault="009D2CAE" w:rsidP="00A47740">
            <w:pPr>
              <w:jc w:val="right"/>
              <w:rPr>
                <w:rFonts w:cs="Calibri"/>
                <w:color w:val="000000"/>
                <w:szCs w:val="22"/>
              </w:rPr>
            </w:pPr>
            <w:r w:rsidRPr="007C0CDA">
              <w:rPr>
                <w:rFonts w:cs="Calibri"/>
                <w:color w:val="000000"/>
                <w:szCs w:val="22"/>
              </w:rPr>
              <w:t>9</w:t>
            </w:r>
          </w:p>
        </w:tc>
        <w:tc>
          <w:tcPr>
            <w:tcW w:w="1540" w:type="dxa"/>
            <w:tcBorders>
              <w:top w:val="nil"/>
              <w:left w:val="single" w:sz="8" w:space="0" w:color="auto"/>
              <w:bottom w:val="nil"/>
              <w:right w:val="single" w:sz="8" w:space="0" w:color="auto"/>
            </w:tcBorders>
            <w:noWrap/>
            <w:vAlign w:val="bottom"/>
          </w:tcPr>
          <w:p w:rsidR="009D2CAE" w:rsidRPr="007C0CDA" w:rsidRDefault="009D2CAE" w:rsidP="00A47740">
            <w:pPr>
              <w:jc w:val="right"/>
              <w:rPr>
                <w:rFonts w:cs="Calibri"/>
                <w:color w:val="000000"/>
                <w:szCs w:val="22"/>
              </w:rPr>
            </w:pPr>
            <w:r w:rsidRPr="007C0CDA">
              <w:rPr>
                <w:rFonts w:cs="Calibri"/>
                <w:color w:val="000000"/>
                <w:szCs w:val="22"/>
              </w:rPr>
              <w:t>17</w:t>
            </w:r>
          </w:p>
        </w:tc>
      </w:tr>
      <w:tr w:rsidR="009D2CAE" w:rsidRPr="007C0CDA" w:rsidTr="00A47740">
        <w:trPr>
          <w:trHeight w:val="525"/>
        </w:trPr>
        <w:tc>
          <w:tcPr>
            <w:tcW w:w="2040" w:type="dxa"/>
            <w:vMerge w:val="restart"/>
            <w:tcBorders>
              <w:top w:val="nil"/>
              <w:left w:val="single" w:sz="8" w:space="0" w:color="auto"/>
              <w:bottom w:val="single" w:sz="8" w:space="0" w:color="000000"/>
              <w:right w:val="single" w:sz="8" w:space="0" w:color="auto"/>
            </w:tcBorders>
            <w:noWrap/>
            <w:vAlign w:val="center"/>
          </w:tcPr>
          <w:p w:rsidR="009D2CAE" w:rsidRPr="007C0CDA" w:rsidRDefault="009D2CAE" w:rsidP="00A47740">
            <w:pPr>
              <w:jc w:val="center"/>
              <w:rPr>
                <w:rFonts w:cs="Calibri"/>
                <w:b/>
                <w:bCs/>
                <w:color w:val="000000"/>
                <w:szCs w:val="22"/>
              </w:rPr>
            </w:pPr>
            <w:r w:rsidRPr="007C0CDA">
              <w:rPr>
                <w:rFonts w:cs="Calibri"/>
                <w:b/>
                <w:bCs/>
                <w:color w:val="000000"/>
                <w:szCs w:val="22"/>
              </w:rPr>
              <w:t>CELKEM 2015-2023</w:t>
            </w:r>
          </w:p>
        </w:tc>
        <w:tc>
          <w:tcPr>
            <w:tcW w:w="3280" w:type="dxa"/>
            <w:tcBorders>
              <w:top w:val="nil"/>
              <w:left w:val="nil"/>
              <w:bottom w:val="single" w:sz="8" w:space="0" w:color="auto"/>
              <w:right w:val="single" w:sz="8" w:space="0" w:color="auto"/>
            </w:tcBorders>
            <w:shd w:val="clear" w:color="000000" w:fill="538DD5"/>
            <w:vAlign w:val="center"/>
          </w:tcPr>
          <w:p w:rsidR="009D2CAE" w:rsidRPr="007C0CDA" w:rsidRDefault="009D2CAE" w:rsidP="00A47740">
            <w:pPr>
              <w:jc w:val="center"/>
              <w:rPr>
                <w:rFonts w:cs="Calibri"/>
                <w:b/>
                <w:bCs/>
                <w:color w:val="FFFFFF"/>
                <w:sz w:val="20"/>
              </w:rPr>
            </w:pPr>
            <w:r w:rsidRPr="007C0CDA">
              <w:rPr>
                <w:rFonts w:cs="Calibri"/>
                <w:b/>
                <w:bCs/>
                <w:color w:val="FFFFFF"/>
                <w:sz w:val="20"/>
              </w:rPr>
              <w:t>Celkové návratné zdroje na projekty konečných příjemců  (mil. CZK)</w:t>
            </w:r>
          </w:p>
        </w:tc>
        <w:tc>
          <w:tcPr>
            <w:tcW w:w="1760" w:type="dxa"/>
            <w:tcBorders>
              <w:top w:val="nil"/>
              <w:left w:val="nil"/>
              <w:bottom w:val="nil"/>
              <w:right w:val="nil"/>
            </w:tcBorders>
            <w:noWrap/>
            <w:vAlign w:val="bottom"/>
          </w:tcPr>
          <w:p w:rsidR="009D2CAE" w:rsidRPr="007C0CDA" w:rsidRDefault="009D2CAE" w:rsidP="00A47740">
            <w:pPr>
              <w:jc w:val="right"/>
              <w:rPr>
                <w:rFonts w:cs="Calibri"/>
                <w:color w:val="000000"/>
                <w:szCs w:val="22"/>
              </w:rPr>
            </w:pPr>
            <w:r w:rsidRPr="007C0CDA">
              <w:rPr>
                <w:rFonts w:cs="Calibri"/>
                <w:color w:val="000000"/>
                <w:szCs w:val="22"/>
              </w:rPr>
              <w:t>594</w:t>
            </w:r>
          </w:p>
        </w:tc>
        <w:tc>
          <w:tcPr>
            <w:tcW w:w="1540" w:type="dxa"/>
            <w:tcBorders>
              <w:top w:val="nil"/>
              <w:left w:val="single" w:sz="8" w:space="0" w:color="auto"/>
              <w:bottom w:val="nil"/>
              <w:right w:val="single" w:sz="8" w:space="0" w:color="auto"/>
            </w:tcBorders>
            <w:shd w:val="clear" w:color="000000" w:fill="DAEEF3"/>
            <w:noWrap/>
            <w:vAlign w:val="bottom"/>
          </w:tcPr>
          <w:p w:rsidR="009D2CAE" w:rsidRPr="007C0CDA" w:rsidRDefault="009D2CAE" w:rsidP="00A47740">
            <w:pPr>
              <w:jc w:val="right"/>
              <w:rPr>
                <w:rFonts w:cs="Calibri"/>
                <w:color w:val="000000"/>
                <w:szCs w:val="22"/>
              </w:rPr>
            </w:pPr>
            <w:r w:rsidRPr="007C0CDA">
              <w:rPr>
                <w:rFonts w:cs="Calibri"/>
                <w:color w:val="000000"/>
                <w:szCs w:val="22"/>
              </w:rPr>
              <w:t>1700</w:t>
            </w:r>
          </w:p>
        </w:tc>
      </w:tr>
      <w:tr w:rsidR="009D2CAE" w:rsidRPr="007C0CDA" w:rsidTr="00A47740">
        <w:trPr>
          <w:trHeight w:val="315"/>
        </w:trPr>
        <w:tc>
          <w:tcPr>
            <w:tcW w:w="2040" w:type="dxa"/>
            <w:vMerge/>
            <w:tcBorders>
              <w:top w:val="nil"/>
              <w:left w:val="single" w:sz="8" w:space="0" w:color="auto"/>
              <w:bottom w:val="single" w:sz="8" w:space="0" w:color="000000"/>
              <w:right w:val="single" w:sz="8" w:space="0" w:color="auto"/>
            </w:tcBorders>
            <w:vAlign w:val="center"/>
          </w:tcPr>
          <w:p w:rsidR="009D2CAE" w:rsidRPr="007C0CDA" w:rsidRDefault="009D2CAE" w:rsidP="00A47740">
            <w:pPr>
              <w:jc w:val="left"/>
              <w:rPr>
                <w:rFonts w:cs="Calibri"/>
                <w:b/>
                <w:bCs/>
                <w:color w:val="000000"/>
                <w:szCs w:val="22"/>
              </w:rPr>
            </w:pPr>
          </w:p>
        </w:tc>
        <w:tc>
          <w:tcPr>
            <w:tcW w:w="3280" w:type="dxa"/>
            <w:tcBorders>
              <w:top w:val="nil"/>
              <w:left w:val="nil"/>
              <w:bottom w:val="single" w:sz="8" w:space="0" w:color="auto"/>
              <w:right w:val="single" w:sz="8" w:space="0" w:color="auto"/>
            </w:tcBorders>
            <w:shd w:val="clear" w:color="000000" w:fill="538DD5"/>
            <w:vAlign w:val="center"/>
          </w:tcPr>
          <w:p w:rsidR="009D2CAE" w:rsidRPr="007C0CDA" w:rsidRDefault="009D2CAE" w:rsidP="00A47740">
            <w:pPr>
              <w:jc w:val="center"/>
              <w:rPr>
                <w:rFonts w:cs="Calibri"/>
                <w:b/>
                <w:bCs/>
                <w:color w:val="FFFFFF"/>
                <w:sz w:val="20"/>
              </w:rPr>
            </w:pPr>
            <w:r w:rsidRPr="007C0CDA">
              <w:rPr>
                <w:rFonts w:cs="Calibri"/>
                <w:b/>
                <w:bCs/>
                <w:color w:val="FFFFFF"/>
                <w:sz w:val="20"/>
              </w:rPr>
              <w:t>Celkové soukromé zdroje  (mil. CZK)</w:t>
            </w:r>
          </w:p>
        </w:tc>
        <w:tc>
          <w:tcPr>
            <w:tcW w:w="1760" w:type="dxa"/>
            <w:tcBorders>
              <w:top w:val="nil"/>
              <w:left w:val="nil"/>
              <w:bottom w:val="nil"/>
              <w:right w:val="nil"/>
            </w:tcBorders>
            <w:noWrap/>
            <w:vAlign w:val="bottom"/>
          </w:tcPr>
          <w:p w:rsidR="009D2CAE" w:rsidRPr="007C0CDA" w:rsidRDefault="009D2CAE" w:rsidP="00A47740">
            <w:pPr>
              <w:jc w:val="right"/>
              <w:rPr>
                <w:rFonts w:cs="Calibri"/>
                <w:color w:val="000000"/>
                <w:szCs w:val="22"/>
              </w:rPr>
            </w:pPr>
            <w:r w:rsidRPr="007C0CDA">
              <w:rPr>
                <w:rFonts w:cs="Calibri"/>
                <w:color w:val="000000"/>
                <w:szCs w:val="22"/>
              </w:rPr>
              <w:t>300</w:t>
            </w:r>
          </w:p>
        </w:tc>
        <w:tc>
          <w:tcPr>
            <w:tcW w:w="1540" w:type="dxa"/>
            <w:tcBorders>
              <w:top w:val="nil"/>
              <w:left w:val="single" w:sz="8" w:space="0" w:color="auto"/>
              <w:bottom w:val="nil"/>
              <w:right w:val="single" w:sz="8" w:space="0" w:color="auto"/>
            </w:tcBorders>
            <w:noWrap/>
            <w:vAlign w:val="bottom"/>
          </w:tcPr>
          <w:p w:rsidR="009D2CAE" w:rsidRPr="007C0CDA" w:rsidRDefault="009D2CAE" w:rsidP="00A47740">
            <w:pPr>
              <w:jc w:val="right"/>
              <w:rPr>
                <w:rFonts w:cs="Calibri"/>
                <w:color w:val="000000"/>
                <w:szCs w:val="22"/>
              </w:rPr>
            </w:pPr>
            <w:r w:rsidRPr="007C0CDA">
              <w:rPr>
                <w:rFonts w:cs="Calibri"/>
                <w:color w:val="000000"/>
                <w:szCs w:val="22"/>
              </w:rPr>
              <w:t>1150</w:t>
            </w:r>
          </w:p>
        </w:tc>
      </w:tr>
      <w:tr w:rsidR="009D2CAE" w:rsidRPr="007C0CDA" w:rsidTr="00A47740">
        <w:trPr>
          <w:trHeight w:val="315"/>
        </w:trPr>
        <w:tc>
          <w:tcPr>
            <w:tcW w:w="2040" w:type="dxa"/>
            <w:vMerge/>
            <w:tcBorders>
              <w:top w:val="nil"/>
              <w:left w:val="single" w:sz="8" w:space="0" w:color="auto"/>
              <w:bottom w:val="single" w:sz="8" w:space="0" w:color="000000"/>
              <w:right w:val="single" w:sz="8" w:space="0" w:color="auto"/>
            </w:tcBorders>
            <w:vAlign w:val="center"/>
          </w:tcPr>
          <w:p w:rsidR="009D2CAE" w:rsidRPr="007C0CDA" w:rsidRDefault="009D2CAE" w:rsidP="00A47740">
            <w:pPr>
              <w:jc w:val="left"/>
              <w:rPr>
                <w:rFonts w:cs="Calibri"/>
                <w:b/>
                <w:bCs/>
                <w:color w:val="000000"/>
                <w:szCs w:val="22"/>
              </w:rPr>
            </w:pPr>
          </w:p>
        </w:tc>
        <w:tc>
          <w:tcPr>
            <w:tcW w:w="3280" w:type="dxa"/>
            <w:tcBorders>
              <w:top w:val="nil"/>
              <w:left w:val="nil"/>
              <w:bottom w:val="single" w:sz="8" w:space="0" w:color="auto"/>
              <w:right w:val="single" w:sz="8" w:space="0" w:color="auto"/>
            </w:tcBorders>
            <w:shd w:val="clear" w:color="000000" w:fill="538DD5"/>
            <w:vAlign w:val="center"/>
          </w:tcPr>
          <w:p w:rsidR="009D2CAE" w:rsidRPr="007C0CDA" w:rsidRDefault="009D2CAE" w:rsidP="00A47740">
            <w:pPr>
              <w:jc w:val="center"/>
              <w:rPr>
                <w:rFonts w:cs="Calibri"/>
                <w:b/>
                <w:bCs/>
                <w:color w:val="FFFFFF"/>
                <w:sz w:val="20"/>
              </w:rPr>
            </w:pPr>
            <w:r w:rsidRPr="007C0CDA">
              <w:rPr>
                <w:rFonts w:cs="Calibri"/>
                <w:b/>
                <w:bCs/>
                <w:color w:val="FFFFFF"/>
                <w:sz w:val="20"/>
              </w:rPr>
              <w:t>Počet projektů konečných příjemců</w:t>
            </w:r>
          </w:p>
        </w:tc>
        <w:tc>
          <w:tcPr>
            <w:tcW w:w="1760" w:type="dxa"/>
            <w:tcBorders>
              <w:top w:val="nil"/>
              <w:left w:val="nil"/>
              <w:bottom w:val="single" w:sz="8" w:space="0" w:color="auto"/>
              <w:right w:val="nil"/>
            </w:tcBorders>
            <w:noWrap/>
            <w:vAlign w:val="bottom"/>
          </w:tcPr>
          <w:p w:rsidR="009D2CAE" w:rsidRPr="007C0CDA" w:rsidRDefault="009D2CAE" w:rsidP="00A47740">
            <w:pPr>
              <w:jc w:val="right"/>
              <w:rPr>
                <w:rFonts w:cs="Calibri"/>
                <w:color w:val="000000"/>
                <w:szCs w:val="22"/>
              </w:rPr>
            </w:pPr>
            <w:r w:rsidRPr="007C0CDA">
              <w:rPr>
                <w:rFonts w:cs="Calibri"/>
                <w:color w:val="000000"/>
                <w:szCs w:val="22"/>
              </w:rPr>
              <w:t>36</w:t>
            </w:r>
          </w:p>
        </w:tc>
        <w:tc>
          <w:tcPr>
            <w:tcW w:w="1540" w:type="dxa"/>
            <w:tcBorders>
              <w:top w:val="nil"/>
              <w:left w:val="single" w:sz="8" w:space="0" w:color="auto"/>
              <w:bottom w:val="single" w:sz="8" w:space="0" w:color="auto"/>
              <w:right w:val="single" w:sz="8" w:space="0" w:color="auto"/>
            </w:tcBorders>
            <w:shd w:val="clear" w:color="000000" w:fill="DAEEF3"/>
            <w:noWrap/>
            <w:vAlign w:val="bottom"/>
          </w:tcPr>
          <w:p w:rsidR="009D2CAE" w:rsidRPr="007C0CDA" w:rsidRDefault="009D2CAE" w:rsidP="00A47740">
            <w:pPr>
              <w:jc w:val="right"/>
              <w:rPr>
                <w:rFonts w:cs="Calibri"/>
                <w:color w:val="000000"/>
                <w:szCs w:val="22"/>
              </w:rPr>
            </w:pPr>
            <w:r w:rsidRPr="007C0CDA">
              <w:rPr>
                <w:rFonts w:cs="Calibri"/>
                <w:color w:val="000000"/>
                <w:szCs w:val="22"/>
              </w:rPr>
              <w:t>75</w:t>
            </w:r>
          </w:p>
        </w:tc>
      </w:tr>
    </w:tbl>
    <w:p w:rsidR="009D2CAE" w:rsidRPr="007C0CDA" w:rsidRDefault="009D2CAE" w:rsidP="00CE3165">
      <w:pPr>
        <w:rPr>
          <w:b/>
          <w:color w:val="00A1DE"/>
          <w:sz w:val="24"/>
          <w:szCs w:val="22"/>
        </w:rPr>
      </w:pPr>
    </w:p>
    <w:p w:rsidR="009D2CAE" w:rsidRPr="007C0CDA" w:rsidRDefault="009D2CAE" w:rsidP="00CE3165">
      <w:r w:rsidRPr="007C0CDA">
        <w:t>Kromě kvantifikovaných přímých výsledků nástroje rizikového kapitálu je očekávaným výsledkem této podpory též celkové oživení investiční aktivity v oblasti rizikového kapitálu v ČR na straně příjemců i poskytovatelů. Předpokládá se zvýšení počtu aktivních soukromých investičních fondů, růst povědomí o rizikovém kapitálu ve společnosti i větší počet nadějných nových projektů. Pro zvýšení deal-flow je nezbytné provázání s kapitálovým nástrojem v oblasti 1.2 Proof-of-concept.</w:t>
      </w:r>
    </w:p>
    <w:p w:rsidR="009D2CAE" w:rsidRPr="007C0CDA" w:rsidRDefault="009D2CAE" w:rsidP="00CE3165">
      <w:pPr>
        <w:jc w:val="left"/>
        <w:rPr>
          <w:noProof/>
        </w:rPr>
      </w:pPr>
    </w:p>
    <w:p w:rsidR="009D2CAE" w:rsidRPr="007C0CDA" w:rsidRDefault="009D2CAE" w:rsidP="00433BD7">
      <w:pPr>
        <w:pStyle w:val="Nadpis2"/>
      </w:pPr>
      <w:bookmarkStart w:id="790" w:name="_Toc416384042"/>
      <w:bookmarkStart w:id="791" w:name="_Toc416448028"/>
      <w:bookmarkStart w:id="792" w:name="_Toc416384043"/>
      <w:bookmarkStart w:id="793" w:name="_Toc416448029"/>
      <w:bookmarkStart w:id="794" w:name="_Toc416384044"/>
      <w:bookmarkStart w:id="795" w:name="_Toc416448030"/>
      <w:bookmarkStart w:id="796" w:name="_Toc416384045"/>
      <w:bookmarkStart w:id="797" w:name="_Toc416448031"/>
      <w:bookmarkStart w:id="798" w:name="_Toc416448032"/>
      <w:bookmarkEnd w:id="790"/>
      <w:bookmarkEnd w:id="791"/>
      <w:bookmarkEnd w:id="792"/>
      <w:bookmarkEnd w:id="793"/>
      <w:bookmarkEnd w:id="794"/>
      <w:bookmarkEnd w:id="795"/>
      <w:bookmarkEnd w:id="796"/>
      <w:bookmarkEnd w:id="797"/>
      <w:r w:rsidRPr="007C0CDA">
        <w:t>SC 2.3</w:t>
      </w:r>
      <w:bookmarkEnd w:id="798"/>
    </w:p>
    <w:p w:rsidR="009D2CAE" w:rsidRPr="007C0CDA" w:rsidRDefault="009D2CAE" w:rsidP="00433BD7">
      <w:pPr>
        <w:pStyle w:val="Nadpis3"/>
      </w:pPr>
      <w:bookmarkStart w:id="799" w:name="_Toc416448033"/>
      <w:r w:rsidRPr="007C0CDA">
        <w:t>Odůvodnění volby oblasti podpory a návrhu nástroje</w:t>
      </w:r>
      <w:bookmarkEnd w:id="799"/>
    </w:p>
    <w:p w:rsidR="009D2CAE" w:rsidRPr="007C0CDA" w:rsidRDefault="009D2CAE" w:rsidP="00483DA7">
      <w:r w:rsidRPr="007C0CDA">
        <w:t xml:space="preserve">Na základě tržní analýzy sektoru průmyslových brownfieldů (BF) a vyhodnocení dotazníkového šetření potencionálních investičních projektů ve sledované oblasti vykazuje specifický cíl </w:t>
      </w:r>
      <w:r w:rsidRPr="007C0CDA">
        <w:rPr>
          <w:b/>
        </w:rPr>
        <w:t>2.3 – “</w:t>
      </w:r>
      <w:r w:rsidRPr="007C0CDA">
        <w:rPr>
          <w:rFonts w:cs="Arial"/>
          <w:b/>
          <w:szCs w:val="19"/>
        </w:rPr>
        <w:t>Zvýšit využitelnost infrastruktury pro podnikání</w:t>
      </w:r>
      <w:r w:rsidRPr="007C0CDA">
        <w:rPr>
          <w:b/>
        </w:rPr>
        <w:t>“</w:t>
      </w:r>
      <w:r w:rsidRPr="007C0CDA">
        <w:t xml:space="preserve"> potenciál pro zapojení finančních nástrojů. Kromě vysokého potenciálu regenerovat a rekonstruovat nevyužívané a zastaralé nemovitosti ze strany soukromých subjektů (MSP), by mělo být pro ŘO hlavní motivaci také zvýšit pákový efekt alokovaných zdrojů přes finanční nástroje. Alokace oproti minulému období klesla o téměř 65 %, což motivuje k vyššímu využití uvěrového mechanismu. </w:t>
      </w:r>
    </w:p>
    <w:p w:rsidR="009D2CAE" w:rsidRPr="007C0CDA" w:rsidRDefault="009D2CAE" w:rsidP="00483DA7">
      <w:pPr>
        <w:pStyle w:val="BodyText1"/>
      </w:pPr>
    </w:p>
    <w:p w:rsidR="009D2CAE" w:rsidRPr="007C0CDA" w:rsidRDefault="009D2CAE" w:rsidP="00483DA7">
      <w:r w:rsidRPr="007C0CDA">
        <w:t xml:space="preserve">V minulém období programu dosahovala poptávka několikanásobku vyčleněné alokace a bez veřejné podpory by se realizoval pouze omezený počet projektů. Pokud nedojde k zúženému definování brownfieldu, navrhuje Deloitte Advisory použít úvěrový nástroj. </w:t>
      </w:r>
    </w:p>
    <w:p w:rsidR="009D2CAE" w:rsidRPr="007C0CDA" w:rsidRDefault="009D2CAE" w:rsidP="00483DA7">
      <w:pPr>
        <w:pStyle w:val="BodyText1"/>
        <w:jc w:val="both"/>
      </w:pPr>
    </w:p>
    <w:p w:rsidR="009D2CAE" w:rsidRPr="007C0CDA" w:rsidRDefault="009D2CAE" w:rsidP="00483DA7">
      <w:r w:rsidRPr="007C0CDA">
        <w:t xml:space="preserve">Zvýhodněné úvěry budou mít pozitivní dopad na snížení záborů půdy pro výstavbu greenfieldů,  umožní konečným příjemcům v zanedbaném areálu investovat do rekonstrukce větší části areálu a také přitáhnout pozornost developerů do méně rentabilních projektů regenerace/revitalizace brownfieldů. Budování nadstandardních průmyslových zón je také v souladu s koncepci připravované </w:t>
      </w:r>
      <w:r w:rsidRPr="007C0CDA">
        <w:lastRenderedPageBreak/>
        <w:t>národní strategie pro regeneraci brownfieldů. Tento nástroj se doporučuje aplikovat pro soukromé projekty s vyšší výnosností (dle IRR nebo doby návratnosti investice). Alternativou je kapitálový finanční nástroj, který by umožnil snáze regenerovat větší projekty celých brownfields prostřednictvím projektových SPV a poskytnutí projektového financování.</w:t>
      </w:r>
    </w:p>
    <w:p w:rsidR="009D2CAE" w:rsidRPr="007C0CDA" w:rsidRDefault="009D2CAE" w:rsidP="00483DA7">
      <w:pPr>
        <w:jc w:val="left"/>
      </w:pPr>
      <w:r w:rsidRPr="007C0CDA">
        <w:br w:type="page"/>
      </w:r>
    </w:p>
    <w:p w:rsidR="009D2CAE" w:rsidRPr="002433DA" w:rsidRDefault="009D2CAE" w:rsidP="002433DA">
      <w:pPr>
        <w:rPr>
          <w:b/>
        </w:rPr>
      </w:pPr>
    </w:p>
    <w:p w:rsidR="009D2CAE" w:rsidRPr="007C0CDA" w:rsidRDefault="009D2CAE" w:rsidP="00433BD7">
      <w:pPr>
        <w:pStyle w:val="Nadpis3"/>
      </w:pPr>
      <w:bookmarkStart w:id="800" w:name="_Toc416448034"/>
      <w:r w:rsidRPr="007C0CDA">
        <w:t>Schéma fungování navrhovaného finančního nástroje</w:t>
      </w:r>
      <w:bookmarkEnd w:id="800"/>
    </w:p>
    <w:p w:rsidR="009D2CAE" w:rsidRPr="007C0CDA" w:rsidRDefault="009D2CAE" w:rsidP="00483DA7">
      <w:pPr>
        <w:pStyle w:val="CaptionIntroductionparagraph"/>
      </w:pPr>
      <w:r w:rsidRPr="007C0CDA">
        <w:t>Úvěrový nástroj</w:t>
      </w:r>
    </w:p>
    <w:p w:rsidR="009D2CAE" w:rsidRPr="007C0CDA" w:rsidRDefault="009D2CAE" w:rsidP="00483DA7">
      <w:pPr>
        <w:jc w:val="center"/>
      </w:pPr>
    </w:p>
    <w:p w:rsidR="009D2CAE" w:rsidRPr="007C0CDA" w:rsidRDefault="009D2CAE" w:rsidP="00483DA7">
      <w:pPr>
        <w:jc w:val="center"/>
      </w:pPr>
    </w:p>
    <w:p w:rsidR="009D2CAE" w:rsidRPr="007C0CDA" w:rsidRDefault="00C41E93" w:rsidP="00483DA7">
      <w:pPr>
        <w:jc w:val="center"/>
      </w:pPr>
      <w:r w:rsidRPr="00C41E93">
        <w:drawing>
          <wp:inline distT="0" distB="0" distL="0" distR="0" wp14:anchorId="30061CE2" wp14:editId="758EE955">
            <wp:extent cx="4571999" cy="3124200"/>
            <wp:effectExtent l="0" t="0" r="635" b="0"/>
            <wp:docPr id="11651" name="Obrázek 1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b="8889"/>
                    <a:stretch/>
                  </pic:blipFill>
                  <pic:spPr bwMode="auto">
                    <a:xfrm>
                      <a:off x="0" y="0"/>
                      <a:ext cx="4572638" cy="3124636"/>
                    </a:xfrm>
                    <a:prstGeom prst="rect">
                      <a:avLst/>
                    </a:prstGeom>
                    <a:ln>
                      <a:noFill/>
                    </a:ln>
                    <a:extLst>
                      <a:ext uri="{53640926-AAD7-44D8-BBD7-CCE9431645EC}">
                        <a14:shadowObscured xmlns:a14="http://schemas.microsoft.com/office/drawing/2010/main"/>
                      </a:ext>
                    </a:extLst>
                  </pic:spPr>
                </pic:pic>
              </a:graphicData>
            </a:graphic>
          </wp:inline>
        </w:drawing>
      </w:r>
    </w:p>
    <w:p w:rsidR="009D2CAE" w:rsidRPr="007C0CDA" w:rsidRDefault="009D2CAE" w:rsidP="00483DA7">
      <w:pPr>
        <w:pStyle w:val="CaptionIntroductionparagraph"/>
      </w:pPr>
    </w:p>
    <w:p w:rsidR="009D2CAE" w:rsidRPr="002433DA" w:rsidRDefault="009D2CAE" w:rsidP="002433DA">
      <w:pPr>
        <w:rPr>
          <w:b/>
        </w:rPr>
      </w:pPr>
    </w:p>
    <w:p w:rsidR="009D2CAE" w:rsidRPr="007C0CDA" w:rsidRDefault="009D2CAE" w:rsidP="00433BD7">
      <w:pPr>
        <w:pStyle w:val="Nadpis3"/>
      </w:pPr>
      <w:bookmarkStart w:id="801" w:name="_Toc416448035"/>
      <w:r w:rsidRPr="007C0CDA">
        <w:t>Základní parametry finančního nástroje</w:t>
      </w:r>
      <w:bookmarkEnd w:id="801"/>
    </w:p>
    <w:p w:rsidR="009D2CAE" w:rsidRPr="007C0CDA" w:rsidRDefault="009D2CAE" w:rsidP="00D67A40">
      <w:pPr>
        <w:pStyle w:val="CaptionIntroductionparagraph"/>
      </w:pPr>
      <w:r w:rsidRPr="007C0CDA">
        <w:t>Úvěrový nástroj</w:t>
      </w:r>
    </w:p>
    <w:p w:rsidR="009D2CAE" w:rsidRPr="007C0CDA" w:rsidRDefault="009D2CAE" w:rsidP="00D67A40"/>
    <w:tbl>
      <w:tblPr>
        <w:tblW w:w="0" w:type="auto"/>
        <w:tblBorders>
          <w:top w:val="single" w:sz="4" w:space="0" w:color="92D400"/>
          <w:bottom w:val="single" w:sz="4" w:space="0" w:color="92D400"/>
          <w:insideH w:val="single" w:sz="4" w:space="0" w:color="92D400"/>
        </w:tblBorders>
        <w:tblCellMar>
          <w:top w:w="28" w:type="dxa"/>
          <w:left w:w="28" w:type="dxa"/>
          <w:bottom w:w="28" w:type="dxa"/>
          <w:right w:w="28" w:type="dxa"/>
        </w:tblCellMar>
        <w:tblLook w:val="00A0" w:firstRow="1" w:lastRow="0" w:firstColumn="1" w:lastColumn="0" w:noHBand="0" w:noVBand="0"/>
      </w:tblPr>
      <w:tblGrid>
        <w:gridCol w:w="2282"/>
        <w:gridCol w:w="6788"/>
      </w:tblGrid>
      <w:tr w:rsidR="009D2CAE" w:rsidRPr="007C0CDA" w:rsidTr="00A84116">
        <w:tc>
          <w:tcPr>
            <w:tcW w:w="2282" w:type="dxa"/>
            <w:shd w:val="clear" w:color="auto" w:fill="ECFFC3"/>
          </w:tcPr>
          <w:p w:rsidR="009D2CAE" w:rsidRPr="007C0CDA" w:rsidRDefault="009D2CAE" w:rsidP="00A84116">
            <w:pPr>
              <w:rPr>
                <w:b/>
              </w:rPr>
            </w:pPr>
          </w:p>
        </w:tc>
        <w:tc>
          <w:tcPr>
            <w:tcW w:w="6788" w:type="dxa"/>
            <w:shd w:val="clear" w:color="auto" w:fill="ECFFC3"/>
          </w:tcPr>
          <w:p w:rsidR="009D2CAE" w:rsidRPr="007C0CDA" w:rsidRDefault="009D2CAE" w:rsidP="00A84116">
            <w:pPr>
              <w:ind w:left="38"/>
              <w:rPr>
                <w:b/>
              </w:rPr>
            </w:pPr>
          </w:p>
        </w:tc>
      </w:tr>
      <w:tr w:rsidR="009D2CAE" w:rsidRPr="007C0CDA" w:rsidTr="00A84116">
        <w:tc>
          <w:tcPr>
            <w:tcW w:w="2282" w:type="dxa"/>
            <w:shd w:val="clear" w:color="auto" w:fill="92D400"/>
            <w:noWrap/>
          </w:tcPr>
          <w:p w:rsidR="009D2CAE" w:rsidRPr="007C0CDA" w:rsidRDefault="009D2CAE" w:rsidP="00A84116">
            <w:pPr>
              <w:jc w:val="left"/>
              <w:rPr>
                <w:b/>
                <w:color w:val="FFFFFF"/>
              </w:rPr>
            </w:pPr>
            <w:r w:rsidRPr="007C0CDA">
              <w:rPr>
                <w:b/>
                <w:color w:val="FFFFFF"/>
              </w:rPr>
              <w:t>Cíle finančního nástroje</w:t>
            </w:r>
          </w:p>
        </w:tc>
        <w:tc>
          <w:tcPr>
            <w:tcW w:w="6788" w:type="dxa"/>
            <w:shd w:val="clear" w:color="auto" w:fill="FFFFFF"/>
            <w:noWrap/>
          </w:tcPr>
          <w:p w:rsidR="009D2CAE" w:rsidRPr="007C0CDA" w:rsidRDefault="009D2CAE" w:rsidP="00A84116">
            <w:r w:rsidRPr="007C0CDA">
              <w:t>Odstranit definovanou tržní mezeru v dostupnosti finančních prostředků pro konečného příjemce. Tržní mezera se projevuje formou nákladové mezery, kde náklady na pořízení a následnou regeneraci nemovitosti převyšuji např. prodejní cenu zrekonstruovaného objektu. Sledovaným cílem je zamezit záboru orné půdy pro účely investiční výstavby (greenfield) a regenerovat nevyužívané a zchátralé areály (brownfield).</w:t>
            </w:r>
          </w:p>
        </w:tc>
      </w:tr>
      <w:tr w:rsidR="009D2CAE" w:rsidRPr="007C0CDA" w:rsidTr="00A84116">
        <w:tc>
          <w:tcPr>
            <w:tcW w:w="2282" w:type="dxa"/>
            <w:shd w:val="clear" w:color="auto" w:fill="92D400"/>
            <w:noWrap/>
          </w:tcPr>
          <w:p w:rsidR="009D2CAE" w:rsidRPr="007C0CDA" w:rsidRDefault="009D2CAE" w:rsidP="00A84116">
            <w:pPr>
              <w:jc w:val="left"/>
              <w:rPr>
                <w:b/>
                <w:color w:val="FFFFFF"/>
              </w:rPr>
            </w:pPr>
            <w:r w:rsidRPr="007C0CDA">
              <w:rPr>
                <w:b/>
                <w:color w:val="FFFFFF"/>
              </w:rPr>
              <w:t>Definice a kritéria způsobilých projektů</w:t>
            </w:r>
          </w:p>
        </w:tc>
        <w:tc>
          <w:tcPr>
            <w:tcW w:w="6788" w:type="dxa"/>
            <w:shd w:val="clear" w:color="auto" w:fill="FFFFFF"/>
            <w:noWrap/>
          </w:tcPr>
          <w:p w:rsidR="009D2CAE" w:rsidRPr="007C0CDA" w:rsidRDefault="009D2CAE" w:rsidP="002433DA">
            <w:r w:rsidRPr="007C0CDA">
              <w:t>Finanční nástroj lze použít na projekty realizace stavebně-technických opatření na technicky nevyhovujících podnikatelských nemovitostech (investice do výrobních prostor).</w:t>
            </w:r>
          </w:p>
          <w:p w:rsidR="009D2CAE" w:rsidRPr="007C0CDA" w:rsidRDefault="009D2CAE" w:rsidP="00A84116"/>
          <w:p w:rsidR="009D2CAE" w:rsidRPr="007C0CDA" w:rsidRDefault="009D2CAE" w:rsidP="00A84116">
            <w:pPr>
              <w:rPr>
                <w:b/>
              </w:rPr>
            </w:pPr>
            <w:r w:rsidRPr="007C0CDA">
              <w:t>Základní podmínkou způsobilosti projektů bude rekonstrukce určené velikosti podlahové plochy nebo prostoru při zachování původní výroby (kromě zemědělské výroby) nebo poskytování služby v objektu.</w:t>
            </w:r>
          </w:p>
        </w:tc>
      </w:tr>
      <w:tr w:rsidR="009D2CAE" w:rsidRPr="007C0CDA" w:rsidTr="00A84116">
        <w:tc>
          <w:tcPr>
            <w:tcW w:w="2282" w:type="dxa"/>
            <w:shd w:val="clear" w:color="auto" w:fill="92D400"/>
            <w:noWrap/>
          </w:tcPr>
          <w:p w:rsidR="009D2CAE" w:rsidRPr="007C0CDA" w:rsidRDefault="009D2CAE" w:rsidP="00A84116">
            <w:pPr>
              <w:jc w:val="left"/>
              <w:rPr>
                <w:b/>
                <w:color w:val="FFFFFF"/>
              </w:rPr>
            </w:pPr>
            <w:r w:rsidRPr="007C0CDA">
              <w:rPr>
                <w:b/>
                <w:color w:val="FFFFFF"/>
              </w:rPr>
              <w:t>Forma podpory</w:t>
            </w:r>
          </w:p>
        </w:tc>
        <w:tc>
          <w:tcPr>
            <w:tcW w:w="6788" w:type="dxa"/>
            <w:shd w:val="clear" w:color="auto" w:fill="FFFFFF"/>
            <w:noWrap/>
          </w:tcPr>
          <w:p w:rsidR="009D2CAE" w:rsidRPr="007C0CDA" w:rsidRDefault="009D2CAE" w:rsidP="008E4E77">
            <w:pPr>
              <w:spacing w:after="120"/>
              <w:rPr>
                <w:rFonts w:cs="Calibri"/>
                <w:szCs w:val="22"/>
              </w:rPr>
            </w:pPr>
            <w:r w:rsidRPr="007C0CDA">
              <w:rPr>
                <w:rFonts w:cs="Calibri"/>
                <w:szCs w:val="22"/>
              </w:rPr>
              <w:t>Kombinovaná podpora</w:t>
            </w:r>
          </w:p>
          <w:p w:rsidR="009D2CAE" w:rsidRPr="007C0CDA" w:rsidRDefault="009D2CAE" w:rsidP="008E4E77">
            <w:pPr>
              <w:spacing w:after="120"/>
              <w:rPr>
                <w:rFonts w:cs="Calibri"/>
                <w:szCs w:val="22"/>
              </w:rPr>
            </w:pPr>
            <w:r w:rsidRPr="007C0CDA">
              <w:rPr>
                <w:rFonts w:cs="Calibri"/>
                <w:szCs w:val="22"/>
              </w:rPr>
              <w:t>Zvýhodněný úvěr se sníženou úrokovou sazbou a delší dobou splatnosti, případně odkladem splátek</w:t>
            </w:r>
          </w:p>
          <w:p w:rsidR="009D2CAE" w:rsidRPr="007C0CDA" w:rsidRDefault="009D2CAE">
            <w:pPr>
              <w:spacing w:after="120"/>
            </w:pPr>
            <w:r w:rsidRPr="007C0CDA">
              <w:rPr>
                <w:rFonts w:cs="Calibri"/>
                <w:szCs w:val="22"/>
              </w:rPr>
              <w:lastRenderedPageBreak/>
              <w:t>Finanční příspěvek na projektovou přípravu</w:t>
            </w:r>
          </w:p>
        </w:tc>
      </w:tr>
      <w:tr w:rsidR="009D2CAE" w:rsidRPr="007C0CDA" w:rsidTr="00A84116">
        <w:tc>
          <w:tcPr>
            <w:tcW w:w="2282" w:type="dxa"/>
            <w:shd w:val="clear" w:color="auto" w:fill="92D400"/>
            <w:noWrap/>
          </w:tcPr>
          <w:p w:rsidR="009D2CAE" w:rsidRPr="007C0CDA" w:rsidRDefault="009D2CAE" w:rsidP="00A84116">
            <w:pPr>
              <w:jc w:val="left"/>
              <w:rPr>
                <w:b/>
                <w:color w:val="FFFFFF"/>
              </w:rPr>
            </w:pPr>
            <w:r w:rsidRPr="007C0CDA">
              <w:rPr>
                <w:b/>
                <w:color w:val="FFFFFF"/>
              </w:rPr>
              <w:lastRenderedPageBreak/>
              <w:t>Výše podpory</w:t>
            </w:r>
          </w:p>
        </w:tc>
        <w:tc>
          <w:tcPr>
            <w:tcW w:w="6788" w:type="dxa"/>
            <w:shd w:val="clear" w:color="auto" w:fill="FFFFFF"/>
            <w:noWrap/>
          </w:tcPr>
          <w:p w:rsidR="009D2CAE" w:rsidRPr="007C0CDA" w:rsidRDefault="009D2CAE" w:rsidP="00A84116">
            <w:r w:rsidRPr="007C0CDA">
              <w:t>Úvěry ve výši 1 až 200 mil. Kč, až do výše 80 % způsobilých výdajů projektu. Pro všechny regiony NUTS 2 (kromě Prahy) platí intenzity podpory 35/45 %.</w:t>
            </w:r>
          </w:p>
          <w:p w:rsidR="009D2CAE" w:rsidRPr="007C0CDA" w:rsidRDefault="009D2CAE" w:rsidP="00A84116"/>
          <w:p w:rsidR="009D2CAE" w:rsidRPr="007C0CDA" w:rsidRDefault="009D2CAE" w:rsidP="00A84116">
            <w:r w:rsidRPr="007C0CDA">
              <w:t>Finanční nástroj může umožnit asymetrickou dělbu zisku nebo ztrát se soukromými spoluinvestory.</w:t>
            </w:r>
          </w:p>
          <w:p w:rsidR="009D2CAE" w:rsidRPr="007C0CDA" w:rsidRDefault="009D2CAE" w:rsidP="00A84116"/>
          <w:p w:rsidR="009D2CAE" w:rsidRPr="007C0CDA" w:rsidRDefault="009D2CAE" w:rsidP="00A84116">
            <w:r w:rsidRPr="007C0CDA">
              <w:rPr>
                <w:b/>
              </w:rPr>
              <w:t>S ohledem na prioritu zapojení co nejvyššího pákového efektu a s povinností předejít možnému efektu vytěsnění doporučuje Deloitte Advisory cílení podílu OP PIK zdrojů v menším než 40% poměru způsobilých výdajů</w:t>
            </w:r>
            <w:r w:rsidRPr="007C0CDA">
              <w:t xml:space="preserve"> s tím, že zbylá část investice je pokryta buď zdroji spolufinancujících subjektů, nebo vlastními zdroji žadatele.</w:t>
            </w:r>
          </w:p>
        </w:tc>
      </w:tr>
      <w:tr w:rsidR="009D2CAE" w:rsidRPr="007C0CDA" w:rsidTr="00A84116">
        <w:tc>
          <w:tcPr>
            <w:tcW w:w="2282" w:type="dxa"/>
            <w:shd w:val="clear" w:color="auto" w:fill="92D400"/>
            <w:noWrap/>
          </w:tcPr>
          <w:p w:rsidR="009D2CAE" w:rsidRPr="007C0CDA" w:rsidRDefault="009D2CAE" w:rsidP="00A84116">
            <w:pPr>
              <w:jc w:val="left"/>
              <w:rPr>
                <w:b/>
                <w:color w:val="FFFFFF"/>
              </w:rPr>
            </w:pPr>
            <w:r w:rsidRPr="007C0CDA">
              <w:rPr>
                <w:b/>
                <w:color w:val="FFFFFF"/>
              </w:rPr>
              <w:t>Základní parametry poskytované podpory</w:t>
            </w:r>
          </w:p>
        </w:tc>
        <w:tc>
          <w:tcPr>
            <w:tcW w:w="6788" w:type="dxa"/>
            <w:shd w:val="clear" w:color="auto" w:fill="FFFFFF"/>
            <w:noWrap/>
          </w:tcPr>
          <w:p w:rsidR="009D2CAE" w:rsidRPr="007C0CDA" w:rsidRDefault="009D2CAE" w:rsidP="00A84116">
            <w:r w:rsidRPr="007C0CDA">
              <w:t xml:space="preserve">U projektů podléhajících veřejné podpoře bude respektována maximální výše intenzity podpory a minimální povinná míra zapojení spolufinancování – platné po přepočtení podpory skrze hrubý grantový ekvivalent (dále také HGE) – max. 40 %. </w:t>
            </w:r>
          </w:p>
          <w:p w:rsidR="009D2CAE" w:rsidRPr="007C0CDA" w:rsidRDefault="009D2CAE" w:rsidP="00A84116"/>
          <w:p w:rsidR="009D2CAE" w:rsidRPr="007C0CDA" w:rsidRDefault="009D2CAE" w:rsidP="00A84116">
            <w:r w:rsidRPr="007C0CDA">
              <w:t xml:space="preserve">Z dotazníkového šetření vyplývá aktuální průměrná úroková sazba pro MSP je cca 3,9 % p.a.Deloitte Advisory dle dosavadních analýz navrhuje úrokovou míru FN pro konečného příjemce maximálně ve výši 2% p.a. – pro dosažení takto nízké sazby je nezbytné, aby sazba fondu byla maximálně 1%. </w:t>
            </w:r>
          </w:p>
        </w:tc>
      </w:tr>
      <w:tr w:rsidR="009D2CAE" w:rsidRPr="007C0CDA" w:rsidTr="00A84116">
        <w:tc>
          <w:tcPr>
            <w:tcW w:w="2282" w:type="dxa"/>
            <w:shd w:val="clear" w:color="auto" w:fill="92D400"/>
            <w:noWrap/>
          </w:tcPr>
          <w:p w:rsidR="009D2CAE" w:rsidRPr="007C0CDA" w:rsidRDefault="009D2CAE" w:rsidP="00A84116">
            <w:pPr>
              <w:jc w:val="left"/>
              <w:rPr>
                <w:b/>
                <w:color w:val="FFFFFF"/>
              </w:rPr>
            </w:pPr>
            <w:r w:rsidRPr="007C0CDA">
              <w:rPr>
                <w:b/>
                <w:color w:val="FFFFFF"/>
              </w:rPr>
              <w:t>Kroky k aktivizaci soukromých finančních zdrojů</w:t>
            </w:r>
          </w:p>
        </w:tc>
        <w:tc>
          <w:tcPr>
            <w:tcW w:w="6788" w:type="dxa"/>
            <w:shd w:val="clear" w:color="auto" w:fill="FFFFFF"/>
            <w:noWrap/>
          </w:tcPr>
          <w:p w:rsidR="009D2CAE" w:rsidRPr="007C0CDA" w:rsidRDefault="009D2CAE" w:rsidP="00A84116">
            <w:r w:rsidRPr="007C0CDA">
              <w:t>Dle dosavadních jednání se zainteresovanými skupinami na přípravě OP PIK 2014-2020 byla identifikována potřeba povzbuzení potenciálních spolufinancujících subjektů k zapojení se do budovaných struktur na úrovni jednotlivých projektů. Míra zapojení veřejných zdrojů – podíl je nutné nastavit na základě diskuze se zainteresovanými subjekty a potenciálními spolufinancujícími subjekty .</w:t>
            </w:r>
          </w:p>
        </w:tc>
      </w:tr>
      <w:tr w:rsidR="009D2CAE" w:rsidRPr="007C0CDA" w:rsidTr="00A84116">
        <w:tc>
          <w:tcPr>
            <w:tcW w:w="2282" w:type="dxa"/>
            <w:shd w:val="clear" w:color="auto" w:fill="92D400"/>
            <w:noWrap/>
          </w:tcPr>
          <w:p w:rsidR="009D2CAE" w:rsidRPr="007C0CDA" w:rsidRDefault="009D2CAE" w:rsidP="00A84116">
            <w:pPr>
              <w:jc w:val="left"/>
              <w:rPr>
                <w:b/>
                <w:color w:val="FFFFFF"/>
              </w:rPr>
            </w:pPr>
            <w:r w:rsidRPr="007C0CDA">
              <w:rPr>
                <w:b/>
                <w:color w:val="FFFFFF"/>
              </w:rPr>
              <w:t>Očekávaná alokace</w:t>
            </w:r>
          </w:p>
        </w:tc>
        <w:tc>
          <w:tcPr>
            <w:tcW w:w="6788" w:type="dxa"/>
            <w:shd w:val="clear" w:color="auto" w:fill="FFFFFF"/>
            <w:noWrap/>
          </w:tcPr>
          <w:p w:rsidR="009D2CAE" w:rsidRPr="007C0CDA" w:rsidRDefault="009D2CAE">
            <w:r w:rsidRPr="007C0CDA">
              <w:t>Navrhujeme zapojení nejvýše 30 % alokace SC 2.3 na finanční nástroj fondového či úvěrového typu. Zbytek alokace je účelné vynaložit na tržně nerealizovatelné BF formou dotací.</w:t>
            </w:r>
          </w:p>
        </w:tc>
      </w:tr>
    </w:tbl>
    <w:p w:rsidR="009D2CAE" w:rsidRPr="007C0CDA" w:rsidRDefault="009D2CAE" w:rsidP="00D67A40"/>
    <w:p w:rsidR="009D2CAE" w:rsidRPr="007C0CDA" w:rsidRDefault="009D2CAE" w:rsidP="00433BD7">
      <w:pPr>
        <w:pStyle w:val="Nadpis3"/>
      </w:pPr>
      <w:bookmarkStart w:id="802" w:name="_Toc416448036"/>
      <w:r w:rsidRPr="007C0CDA">
        <w:t>Posouzení zkušeností získaných v minulosti</w:t>
      </w:r>
      <w:bookmarkEnd w:id="802"/>
    </w:p>
    <w:p w:rsidR="009D2CAE" w:rsidRPr="007C0CDA" w:rsidRDefault="009D2CAE" w:rsidP="00D67A40">
      <w:pPr>
        <w:pStyle w:val="Vtneslovannadpis"/>
        <w:rPr>
          <w:lang w:eastAsia="en-US"/>
        </w:rPr>
      </w:pPr>
      <w:r w:rsidRPr="007C0CDA">
        <w:rPr>
          <w:lang w:eastAsia="en-US"/>
        </w:rPr>
        <w:t>Dosavadní podpora a analýza veřejných zdrojů financování</w:t>
      </w:r>
    </w:p>
    <w:p w:rsidR="009D2CAE" w:rsidRPr="007C0CDA" w:rsidRDefault="009D2CAE" w:rsidP="00D67A40">
      <w:pPr>
        <w:pStyle w:val="Odstavecseseznamem"/>
        <w:rPr>
          <w:lang w:eastAsia="en-US"/>
        </w:rPr>
      </w:pPr>
    </w:p>
    <w:p w:rsidR="009D2CAE" w:rsidRPr="007C0CDA" w:rsidRDefault="009D2CAE" w:rsidP="00D67A40">
      <w:pPr>
        <w:pStyle w:val="Neslovannadpisy"/>
        <w:rPr>
          <w:lang w:eastAsia="en-US"/>
        </w:rPr>
      </w:pPr>
      <w:r w:rsidRPr="007C0CDA">
        <w:rPr>
          <w:lang w:eastAsia="en-US"/>
        </w:rPr>
        <w:t>Veřejné domácí zdroje</w:t>
      </w:r>
    </w:p>
    <w:p w:rsidR="009D2CAE" w:rsidRPr="007C0CDA" w:rsidRDefault="009D2CAE" w:rsidP="00D67A40">
      <w:pPr>
        <w:jc w:val="left"/>
        <w:rPr>
          <w:rFonts w:ascii="Times New Roman" w:hAnsi="Times New Roman"/>
          <w:sz w:val="24"/>
        </w:rPr>
      </w:pPr>
      <w:r w:rsidRPr="007C0CDA">
        <w:rPr>
          <w:b/>
          <w:lang w:eastAsia="en-US"/>
        </w:rPr>
        <w:t>Program na podporu podnikatelských nemovitostí a infrastruktury 2006–2010 (PPNI ČR)</w:t>
      </w:r>
      <w:r w:rsidRPr="007C0CDA">
        <w:rPr>
          <w:lang w:eastAsia="en-US"/>
        </w:rPr>
        <w:t xml:space="preserve"> fungoval v období 2006 – 2014 v gesci MPO a byl financován ze zdrojů po privatizaci. Obsahoval podprogram  </w:t>
      </w:r>
      <w:r w:rsidRPr="007C0CDA">
        <w:rPr>
          <w:i/>
          <w:u w:val="single"/>
          <w:lang w:eastAsia="en-US"/>
        </w:rPr>
        <w:t>Regenerace nevyužívaných území – Brownfieldů</w:t>
      </w:r>
      <w:r w:rsidRPr="007C0CDA">
        <w:rPr>
          <w:lang w:eastAsia="en-US"/>
        </w:rPr>
        <w:t xml:space="preserve"> s využitím FN</w:t>
      </w:r>
      <w:r w:rsidRPr="007C0CDA">
        <w:rPr>
          <w:rStyle w:val="Znakapoznpodarou"/>
        </w:rPr>
        <w:footnoteReference w:id="36"/>
      </w:r>
    </w:p>
    <w:p w:rsidR="009D2CAE" w:rsidRPr="007C0CDA" w:rsidRDefault="009D2CAE" w:rsidP="00D67A40">
      <w:pPr>
        <w:pStyle w:val="Odstavecseseznamem"/>
        <w:numPr>
          <w:ilvl w:val="0"/>
          <w:numId w:val="2"/>
        </w:numPr>
        <w:rPr>
          <w:lang w:eastAsia="en-US"/>
        </w:rPr>
      </w:pPr>
      <w:r w:rsidRPr="007C0CDA">
        <w:rPr>
          <w:lang w:eastAsia="en-US"/>
        </w:rPr>
        <w:t xml:space="preserve"> (přímá dotace, dotace na hrazení úroků, dotace na hrazení splátek jistiny a návratná finanční výpomoc). Celková alokace dotačního programu byla stanovená v roce 2007 na 250 mil. Kč. </w:t>
      </w:r>
    </w:p>
    <w:p w:rsidR="009D2CAE" w:rsidRPr="007C0CDA" w:rsidRDefault="009D2CAE" w:rsidP="00D67A40">
      <w:pPr>
        <w:rPr>
          <w:lang w:eastAsia="en-US"/>
        </w:rPr>
      </w:pPr>
    </w:p>
    <w:p w:rsidR="009D2CAE" w:rsidRPr="007C0CDA" w:rsidRDefault="009D2CAE" w:rsidP="00D67A40">
      <w:pPr>
        <w:pStyle w:val="Odstavecseseznamem"/>
        <w:numPr>
          <w:ilvl w:val="0"/>
          <w:numId w:val="2"/>
        </w:numPr>
        <w:rPr>
          <w:lang w:eastAsia="en-US"/>
        </w:rPr>
      </w:pPr>
      <w:r w:rsidRPr="007C0CDA">
        <w:rPr>
          <w:b/>
          <w:lang w:eastAsia="en-US"/>
        </w:rPr>
        <w:lastRenderedPageBreak/>
        <w:t>Program na podporu úprav bývalých vojenských areálů k obecnímu využití</w:t>
      </w:r>
      <w:r w:rsidRPr="007C0CDA">
        <w:rPr>
          <w:lang w:eastAsia="en-US"/>
        </w:rPr>
        <w:t xml:space="preserve"> - je v gesci Ministerstva pro místní rozvoj (MMR) a v roce 2012 obhospodařoval finanční prostředky ve výši 114 mil. Kč.</w:t>
      </w:r>
    </w:p>
    <w:p w:rsidR="009D2CAE" w:rsidRPr="007C0CDA" w:rsidRDefault="009D2CAE" w:rsidP="00D67A40">
      <w:pPr>
        <w:ind w:left="360"/>
        <w:rPr>
          <w:lang w:eastAsia="en-US"/>
        </w:rPr>
      </w:pPr>
      <w:r w:rsidRPr="007C0CDA">
        <w:rPr>
          <w:lang w:eastAsia="en-US"/>
        </w:rPr>
        <w:t>V případě národních veřejných programů pro financování regenerace BF předpokládáme vyčerpaní dotací určených pro danou oblast ve výši stanovené na každý rok. Zdroje určené pro financování projektů v jednotlivých krajích jsou přerozděleny na vytipované projekty v průběhu roku, proto očekáváme nulový převis poptávky.</w:t>
      </w:r>
    </w:p>
    <w:p w:rsidR="009D2CAE" w:rsidRPr="007C0CDA" w:rsidRDefault="009D2CAE" w:rsidP="00D67A40"/>
    <w:p w:rsidR="009D2CAE" w:rsidRPr="007C0CDA" w:rsidRDefault="009D2CAE" w:rsidP="00D67A40"/>
    <w:p w:rsidR="009D2CAE" w:rsidRPr="007C0CDA" w:rsidRDefault="009D2CAE" w:rsidP="00D67A40">
      <w:r w:rsidRPr="007C0CDA">
        <w:t>Jediná zkušenost s finančním nástrojem v ČR je bývalý holdingový fond JESSICA v Moravskoslezském kraji vytvořený za účelem investování do Fondu rozvoje měst (FRM). Od 1. 1. 2014 v rámci Úřadu regionální rady Moravskoslezsko oddělení finančního nástroje JESSICA. V jeho kompetenci je udělovat zvýhodněné úvěry, záruky nebo vstupy formou vlastního kapitálu z hlediska způsobilých nákladů. Finance mohou podnikatelé získat na regeneraci brownfieldů pro výrobní, logistické a obchodní účely nebo veřejné služby. Další podporované oblasti jsou sociální služby, včetně domovů pro seniory, vzdělávání (kromě vysokých škol), zdravotnická infrastruktura a rozvoj cestovního ruchu</w:t>
      </w:r>
      <w:r w:rsidRPr="007C0CDA">
        <w:rPr>
          <w:rStyle w:val="Znakapoznpodarou"/>
          <w:b/>
          <w:color w:val="00A1DE"/>
          <w:szCs w:val="22"/>
        </w:rPr>
        <w:footnoteReference w:id="37"/>
      </w:r>
      <w:r w:rsidRPr="007C0CDA">
        <w:t>.</w:t>
      </w:r>
    </w:p>
    <w:p w:rsidR="009D2CAE" w:rsidRPr="007C0CDA" w:rsidRDefault="009D2CAE" w:rsidP="00D67A40">
      <w:pPr>
        <w:pStyle w:val="Highlight1"/>
      </w:pPr>
    </w:p>
    <w:p w:rsidR="009D2CAE" w:rsidRPr="007C0CDA" w:rsidRDefault="009D2CAE" w:rsidP="00D67A40">
      <w:pPr>
        <w:pStyle w:val="BodyText1"/>
        <w:rPr>
          <w:b/>
        </w:rPr>
      </w:pPr>
      <w:r w:rsidRPr="007C0CDA">
        <w:rPr>
          <w:b/>
        </w:rPr>
        <w:t>Zahraniční zkušenosti schémat státní pomoci regeneraci brownfields a rekonstrukcím podnikatelských nemovitostí:</w:t>
      </w:r>
    </w:p>
    <w:p w:rsidR="009D2CAE" w:rsidRPr="007C0CDA" w:rsidRDefault="009D2CAE" w:rsidP="00D67A40">
      <w:pPr>
        <w:pStyle w:val="BodyText1"/>
        <w:rPr>
          <w:b/>
        </w:rPr>
      </w:pPr>
    </w:p>
    <w:p w:rsidR="009D2CAE" w:rsidRPr="007C0CDA" w:rsidRDefault="009D2CAE" w:rsidP="00D67A40">
      <w:pPr>
        <w:pStyle w:val="Highlight1"/>
      </w:pPr>
      <w:r w:rsidRPr="007C0CDA">
        <w:t>Německo</w:t>
      </w:r>
      <w:r w:rsidRPr="007C0CDA">
        <w:rPr>
          <w:rStyle w:val="Znakapoznpodarou"/>
        </w:rPr>
        <w:footnoteReference w:id="38"/>
      </w:r>
    </w:p>
    <w:p w:rsidR="009D2CAE" w:rsidRPr="007C0CDA" w:rsidRDefault="009D2CAE" w:rsidP="00D67A40">
      <w:r w:rsidRPr="007C0CDA">
        <w:t>Snahy o vybudování legislativních a institucionálních nástrojů pro regeneraci zanedbaných a vyčleněných ploch se již od sedmdesátých let objevovaly převážně v regionech, kde byl rozšířen těžební a metalurgický průmysl, který byl postupně utlumován. Institucionální nástroje pro regeneraci BF se inspirovaly legislativou pro poválečnou bytovou výstavbu a rozvoj měst. Velmi úspěšnými nástroji na řízení veškerých procesů během regenerace BF se staly tzv. pozemkové rozvojové společnosti. Například v Severním Porýní – Vestfálsku, které je známé jako oblast uhlí a ocele, učinila kroky k zamezení vzniku opuštěných a zanedbaných lokalit Společnost pro rozvoj spolkové země (</w:t>
      </w:r>
      <w:r w:rsidRPr="007C0CDA">
        <w:rPr>
          <w:i/>
        </w:rPr>
        <w:t>Landesentwicklungsgesellschaft Nordrhein-Westfalen</w:t>
      </w:r>
      <w:r w:rsidRPr="007C0CDA">
        <w:t xml:space="preserve"> - LEG NRW). Ke společnosti patří ekonomický</w:t>
      </w:r>
      <w:r w:rsidRPr="007C0CDA">
        <w:rPr>
          <w:rStyle w:val="Znakapoznpodarou"/>
        </w:rPr>
        <w:footnoteReference w:id="39"/>
      </w:r>
      <w:r w:rsidRPr="007C0CDA">
        <w:t xml:space="preserve"> nástroj v podobě pozemkového fondu s revolvingovým charakterem, tzn., že všechny zisky z prodeje regenerovaných ploch se musí reinvestovat zpátky do fondu. Fond byl založen v roce 1979 s kapitálem 500 mil. DEM zemskou vládou a svěřen do správy LEG NRW. LEG NRW je soukromoprávní s.r.o. vlastněná spolkovou zemí, zemskými bankami, městy a regionálními radami. LEG NRW pohltil 4 ostatní společnosti a při krizi bytové výstavby rozšířil působnost na celý spolkový stát. </w:t>
      </w:r>
    </w:p>
    <w:p w:rsidR="009D2CAE" w:rsidRPr="007C0CDA" w:rsidRDefault="009D2CAE" w:rsidP="00D67A40">
      <w:pPr>
        <w:pStyle w:val="BodyText1"/>
        <w:jc w:val="both"/>
      </w:pPr>
    </w:p>
    <w:p w:rsidR="009D2CAE" w:rsidRPr="007C0CDA" w:rsidRDefault="009D2CAE" w:rsidP="00D67A40">
      <w:r w:rsidRPr="007C0CDA">
        <w:t>Fond se řídí směrnicí, která upravuje podmínky nákupu, vyčistění a přípravy degradovaných ploch. Fond může koupit pozemky v případě, že:</w:t>
      </w:r>
    </w:p>
    <w:p w:rsidR="009D2CAE" w:rsidRPr="007C0CDA" w:rsidRDefault="009D2CAE" w:rsidP="00D67A40">
      <w:pPr>
        <w:pStyle w:val="Odstavecseseznamem"/>
        <w:numPr>
          <w:ilvl w:val="0"/>
          <w:numId w:val="51"/>
        </w:numPr>
      </w:pPr>
      <w:r w:rsidRPr="007C0CDA">
        <w:t>vlastník ukončil původní obchodní, průmyslové či dopravní využívání pozemku,</w:t>
      </w:r>
    </w:p>
    <w:p w:rsidR="009D2CAE" w:rsidRPr="007C0CDA" w:rsidRDefault="009D2CAE" w:rsidP="00D67A40">
      <w:pPr>
        <w:pStyle w:val="Odstavecseseznamem"/>
        <w:numPr>
          <w:ilvl w:val="0"/>
          <w:numId w:val="51"/>
        </w:numPr>
      </w:pPr>
      <w:r w:rsidRPr="007C0CDA">
        <w:t>pozemky jsou překážkou v rozvoji města či obce, či představují závažný ekologický problém,</w:t>
      </w:r>
    </w:p>
    <w:p w:rsidR="009D2CAE" w:rsidRPr="007C0CDA" w:rsidRDefault="009D2CAE" w:rsidP="00D67A40">
      <w:pPr>
        <w:pStyle w:val="Odstavecseseznamem"/>
        <w:numPr>
          <w:ilvl w:val="0"/>
          <w:numId w:val="51"/>
        </w:numPr>
      </w:pPr>
      <w:r w:rsidRPr="007C0CDA">
        <w:t>novým uspořádáním a využitím ploch se předejde spotřebě nezastavěných ploch nebo dojde k vyčištění území.</w:t>
      </w:r>
    </w:p>
    <w:p w:rsidR="009D2CAE" w:rsidRPr="007C0CDA" w:rsidRDefault="009D2CAE" w:rsidP="00D67A40">
      <w:pPr>
        <w:pStyle w:val="BodyText1"/>
        <w:jc w:val="both"/>
      </w:pPr>
    </w:p>
    <w:p w:rsidR="009D2CAE" w:rsidRPr="007C0CDA" w:rsidRDefault="009D2CAE" w:rsidP="00D67A40">
      <w:r w:rsidRPr="007C0CDA">
        <w:t xml:space="preserve">Nominace na nákup ploch podávají podle zákona o samosprávách obce nebo sdružení obcí, které kompletuji žádost, pořizuji fotografie, srovnávají součinnost s územním rozvojem, posuzují schopnost obce podílet se na financování (při veřejném využití) a zároveň se snaží získat souhlas vlastníka plochy/nemovitosti. Poté je žádost předložena zástupci zemské vlády, který kontroluje ekologické škody, soulad s územním plánem, průmyslové dědictví, regionální cíle atd. Zemský premiér podává </w:t>
      </w:r>
      <w:r w:rsidRPr="007C0CDA">
        <w:lastRenderedPageBreak/>
        <w:t xml:space="preserve">návrh na výkup pozemků na Ministerstvo pro rozvoj, bydlení a dopravu NRW (MRBD) a na Ministerstvo financi NRW a LEG NRW. Hlavní rozhodovací pravomoc má MRBD, které uděluje souhlas LEG NRW k nákupu. </w:t>
      </w:r>
    </w:p>
    <w:p w:rsidR="009D2CAE" w:rsidRPr="007C0CDA" w:rsidRDefault="009D2CAE" w:rsidP="00D67A40"/>
    <w:p w:rsidR="009D2CAE" w:rsidRPr="007C0CDA" w:rsidRDefault="009D2CAE" w:rsidP="00D67A40">
      <w:r w:rsidRPr="007C0CDA">
        <w:t>LEG NRW spolupracuje s obcemi, aby byl zaručen soulad s obecní vizí a do procesu rozhodování byli zapojeni i obyvatelé. Je na rozhodnutí obce, jestli se rozhodně převzít plánovací činnost, marketingový a projektový management nebo i ty přenechá LEG NRW (v tomto případě musí hradit obec 10% nákladů). Obce mají předkupní právo na připravené plochy a vyjadřují se k nabídkám ke koupi. Tato pozemková politika zaručuje rychlé znovuvyužití, dodržení záměru a zamezení spekulacím. Fond získal mezi lety 1984 – 2005 až 2650 ha ploch, z nichž již většina byla zregenerována (57% na zelené veřejné plochy). Od roku 1988 začaly fondy využívat veřejné dotační prostředky a od roku 1989 také strukturální fondy EU.</w:t>
      </w:r>
    </w:p>
    <w:p w:rsidR="009D2CAE" w:rsidRPr="007C0CDA" w:rsidRDefault="009D2CAE" w:rsidP="00D67A40">
      <w:pPr>
        <w:pStyle w:val="BodyText1"/>
        <w:jc w:val="both"/>
      </w:pPr>
    </w:p>
    <w:p w:rsidR="009D2CAE" w:rsidRPr="007C0CDA" w:rsidRDefault="009D2CAE" w:rsidP="00D67A40">
      <w:pPr>
        <w:pStyle w:val="BodyText1"/>
        <w:jc w:val="both"/>
      </w:pPr>
      <w:r w:rsidRPr="007C0CDA">
        <w:t xml:space="preserve">Původ výdajů v roce 2004 byla následující: </w:t>
      </w:r>
    </w:p>
    <w:p w:rsidR="009D2CAE" w:rsidRPr="007C0CDA" w:rsidRDefault="009D2CAE" w:rsidP="00D67A40">
      <w:pPr>
        <w:pStyle w:val="BodyText1"/>
        <w:numPr>
          <w:ilvl w:val="0"/>
          <w:numId w:val="32"/>
        </w:numPr>
        <w:jc w:val="both"/>
      </w:pPr>
      <w:r w:rsidRPr="007C0CDA">
        <w:t>dotace 47 %,</w:t>
      </w:r>
    </w:p>
    <w:p w:rsidR="009D2CAE" w:rsidRPr="007C0CDA" w:rsidRDefault="009D2CAE" w:rsidP="00D67A40">
      <w:pPr>
        <w:pStyle w:val="BodyText1"/>
        <w:numPr>
          <w:ilvl w:val="0"/>
          <w:numId w:val="32"/>
        </w:numPr>
        <w:jc w:val="both"/>
      </w:pPr>
      <w:r w:rsidRPr="007C0CDA">
        <w:t>zisky 19 %,</w:t>
      </w:r>
    </w:p>
    <w:p w:rsidR="009D2CAE" w:rsidRPr="007C0CDA" w:rsidRDefault="009D2CAE" w:rsidP="00D67A40">
      <w:pPr>
        <w:pStyle w:val="BodyText1"/>
        <w:numPr>
          <w:ilvl w:val="0"/>
          <w:numId w:val="32"/>
        </w:numPr>
        <w:jc w:val="both"/>
      </w:pPr>
      <w:r w:rsidRPr="007C0CDA">
        <w:t>jiné zdroje (fondy obce a hutní fondy) 29 %,</w:t>
      </w:r>
    </w:p>
    <w:p w:rsidR="009D2CAE" w:rsidRPr="007C0CDA" w:rsidRDefault="009D2CAE" w:rsidP="00D67A40">
      <w:pPr>
        <w:pStyle w:val="BodyText1"/>
        <w:numPr>
          <w:ilvl w:val="0"/>
          <w:numId w:val="32"/>
        </w:numPr>
        <w:jc w:val="both"/>
      </w:pPr>
      <w:r w:rsidRPr="007C0CDA">
        <w:t>příspěvky obcí 5 %.</w:t>
      </w:r>
    </w:p>
    <w:p w:rsidR="009D2CAE" w:rsidRPr="007C0CDA" w:rsidRDefault="009D2CAE" w:rsidP="00D67A40">
      <w:pPr>
        <w:pStyle w:val="BodyText1"/>
        <w:jc w:val="both"/>
      </w:pPr>
    </w:p>
    <w:p w:rsidR="009D2CAE" w:rsidRPr="007C0CDA" w:rsidRDefault="009D2CAE" w:rsidP="00D67A40">
      <w:r w:rsidRPr="007C0CDA">
        <w:t>Multiplikační efekt fondu dosáhl za celou svou historii hodnoty 5-8. V posledních letech se posiluje pravomoc obcí při řízení průběhu regenerace pozemkovým fondem. Pro posouzení dopadu investice mohou obce před rozhodnutím vycházet z výsledků kvantitativních ukazatelů, které hodnotí výši investice na vznik jednoho pracovního místa nebo počet vzniklých pracovních míst na 1 ha regenerované plochy.</w:t>
      </w:r>
    </w:p>
    <w:p w:rsidR="009D2CAE" w:rsidRPr="007C0CDA" w:rsidRDefault="009D2CAE" w:rsidP="00D67A40">
      <w:pPr>
        <w:pStyle w:val="BodyText1"/>
        <w:jc w:val="both"/>
      </w:pPr>
    </w:p>
    <w:p w:rsidR="009D2CAE" w:rsidRPr="007C0CDA" w:rsidRDefault="009D2CAE" w:rsidP="00D67A40">
      <w:pPr>
        <w:pStyle w:val="Highlight1"/>
      </w:pPr>
      <w:r w:rsidRPr="007C0CDA">
        <w:t>Francie</w:t>
      </w:r>
      <w:r w:rsidRPr="007C0CDA">
        <w:rPr>
          <w:rStyle w:val="Znakapoznpodarou"/>
        </w:rPr>
        <w:footnoteReference w:id="40"/>
      </w:r>
    </w:p>
    <w:p w:rsidR="009D2CAE" w:rsidRPr="007C0CDA" w:rsidRDefault="009D2CAE" w:rsidP="00D67A40">
      <w:pPr>
        <w:pStyle w:val="BodyText1"/>
        <w:jc w:val="both"/>
      </w:pPr>
    </w:p>
    <w:p w:rsidR="009D2CAE" w:rsidRPr="007C0CDA" w:rsidRDefault="009D2CAE" w:rsidP="00D67A40">
      <w:r w:rsidRPr="007C0CDA">
        <w:t>Francie má po Německu a Velké Británii třetí největší výměru starých nevyužívaných areálů různého minulého využití. Podobně jako v Německu se i ve Francii používá jako jeden z nástrojů pozemková společnost. Druhým nástrojem je důkladně propracované regionální plánování, jehož součástí je identifikace a prioritizace lokalit určených k regeneraci a veřejné podpoře. Přístup Francie k regeneraci je silně decentralizován, na centrální úrovni neexistuje žádný národní plán jako v ČR. Obce či spíše regiony nesou odpovědnost za rekonverzi opuštěných ploch a za rozvoj svého území.</w:t>
      </w:r>
    </w:p>
    <w:p w:rsidR="009D2CAE" w:rsidRPr="007C0CDA" w:rsidRDefault="009D2CAE" w:rsidP="00D67A40"/>
    <w:p w:rsidR="009D2CAE" w:rsidRPr="007C0CDA" w:rsidRDefault="009D2CAE" w:rsidP="00D67A40">
      <w:r w:rsidRPr="007C0CDA">
        <w:t>Legislativní nástroj definující přístup k regeneraci zanedbaných, nevyužívaných nebo vyloučených ploch/oblastí je obecná politika, která prioritizuje zóny dle citlivosti. Zóny ohrožené vyloučením</w:t>
      </w:r>
      <w:r w:rsidRPr="007C0CDA">
        <w:rPr>
          <w:rStyle w:val="Znakapoznpodarou"/>
        </w:rPr>
        <w:footnoteReference w:id="41"/>
      </w:r>
      <w:r w:rsidRPr="007C0CDA">
        <w:t xml:space="preserve"> se nazývají Urbanisticky citlivé zóny (</w:t>
      </w:r>
      <w:r w:rsidRPr="007C0CDA">
        <w:rPr>
          <w:i/>
        </w:rPr>
        <w:t>Zone Urbaine Sensible</w:t>
      </w:r>
      <w:r w:rsidRPr="007C0CDA">
        <w:t xml:space="preserve"> - ZUS). Realizace Národního programu pro městskou regeneraci (</w:t>
      </w:r>
      <w:r w:rsidRPr="007C0CDA">
        <w:rPr>
          <w:i/>
        </w:rPr>
        <w:t>Programme national pour la rénovation urbaine</w:t>
      </w:r>
      <w:r w:rsidRPr="007C0CDA">
        <w:t xml:space="preserve"> - PNRU) byla svěřená Národní agentuře pro městskou renovaci (</w:t>
      </w:r>
      <w:r w:rsidRPr="007C0CDA">
        <w:rPr>
          <w:i/>
        </w:rPr>
        <w:t>Agence Nationale pour la Renovation Urbaine</w:t>
      </w:r>
      <w:r w:rsidRPr="007C0CDA">
        <w:t xml:space="preserve"> - ANRU), která se zabývá právě urbanistickým začleňováním městských části spolu s budováním veřejných ploch pro společenské vyžití.</w:t>
      </w:r>
    </w:p>
    <w:p w:rsidR="009D2CAE" w:rsidRPr="007C0CDA" w:rsidRDefault="009D2CAE" w:rsidP="00D67A40">
      <w:pPr>
        <w:rPr>
          <w:b/>
        </w:rPr>
      </w:pPr>
    </w:p>
    <w:p w:rsidR="009D2CAE" w:rsidRPr="007C0CDA" w:rsidRDefault="009D2CAE" w:rsidP="00D67A40">
      <w:r w:rsidRPr="007C0CDA">
        <w:t>Mezi instituce vytvořené pro regeneraci brownfieldů patří Smíšená společnost (</w:t>
      </w:r>
      <w:r w:rsidRPr="007C0CDA">
        <w:rPr>
          <w:i/>
        </w:rPr>
        <w:t>Société d’économie mixte</w:t>
      </w:r>
      <w:r w:rsidRPr="007C0CDA">
        <w:t xml:space="preserve"> - SME). Jedná se o akciovou společnost založenou za účelem regenerace jednoho či více projektů a její kapitál drží převážně místní samosprávy (51 % - 85 %). Vlastníky zbylé části mohou být soukromí investoři nebo francouzská státní banka CDC (Caisse de dépôts et consignations), která velice často spolupracuje s regiony. Při průmyslových projektech jsou partnery majitelé pozemků, regiony, stát.</w:t>
      </w:r>
    </w:p>
    <w:p w:rsidR="009D2CAE" w:rsidRPr="007C0CDA" w:rsidRDefault="009D2CAE" w:rsidP="00D67A40"/>
    <w:p w:rsidR="009D2CAE" w:rsidRPr="007C0CDA" w:rsidRDefault="009D2CAE" w:rsidP="00D67A40">
      <w:r w:rsidRPr="007C0CDA">
        <w:t xml:space="preserve">Veřejná pozemková organizace (Établissement public foncier - EPF) je nejdůležitější institucí, která napomáhá při organizaci nákupu, úpravě pozemků, správě regenerovaných objektů a případném </w:t>
      </w:r>
      <w:r w:rsidRPr="007C0CDA">
        <w:lastRenderedPageBreak/>
        <w:t>následném prodeji koncovému zájemci. Pod úpravou se rozumí demolice, zazelenění a terénní úpravy. EPF nemůže budovat infrastrukturu, pořizovat dokumentaci a rozparcelovat pozemek. Organizace předpřipraví pozemek a místní samosprávy jej následně od ní odkoupí k realizaci projektu. Zdrojem příjmů EPF jsou speciální rozvojová daň, daň ze zastavěného a nezastavěného území, daň z bydlení a daň obchodní (max. 20€ na osobu ročně). Dalšími zdroji jsou dotace od státu, místních samospráv, EU a dalších veřejných či soukromých organizací. Financuje se též externím dluhovým financováním či zisky z prodeje regenerovaných pozemků.</w:t>
      </w:r>
      <w:r w:rsidRPr="007C0CDA">
        <w:rPr>
          <w:rStyle w:val="Znakapoznpodarou"/>
        </w:rPr>
        <w:footnoteReference w:id="42"/>
      </w:r>
    </w:p>
    <w:p w:rsidR="009D2CAE" w:rsidRPr="007C0CDA" w:rsidRDefault="009D2CAE" w:rsidP="00D67A40">
      <w:pPr>
        <w:pStyle w:val="BodyText1"/>
        <w:jc w:val="both"/>
      </w:pPr>
    </w:p>
    <w:p w:rsidR="009D2CAE" w:rsidRPr="007C0CDA" w:rsidRDefault="009D2CAE" w:rsidP="00D67A40">
      <w:pPr>
        <w:pStyle w:val="Highlight1"/>
      </w:pPr>
      <w:r w:rsidRPr="007C0CDA">
        <w:t>Velká Británie</w:t>
      </w:r>
      <w:r w:rsidRPr="007C0CDA">
        <w:rPr>
          <w:rStyle w:val="Znakapoznpodarou"/>
        </w:rPr>
        <w:footnoteReference w:id="43"/>
      </w:r>
    </w:p>
    <w:p w:rsidR="009D2CAE" w:rsidRPr="007C0CDA" w:rsidRDefault="009D2CAE" w:rsidP="00D67A40">
      <w:pPr>
        <w:pStyle w:val="BodyText1"/>
      </w:pPr>
    </w:p>
    <w:p w:rsidR="009D2CAE" w:rsidRPr="007C0CDA" w:rsidRDefault="009D2CAE" w:rsidP="00D67A40">
      <w:pPr>
        <w:rPr>
          <w:lang w:eastAsia="en-US"/>
        </w:rPr>
      </w:pPr>
      <w:r w:rsidRPr="007C0CDA">
        <w:rPr>
          <w:lang w:eastAsia="en-US"/>
        </w:rPr>
        <w:t>Ve Velké Británii jsou vzhledem k její nejdelší industriální historii také největší zkušenosti a nejpropracovanější strategie pro regeneraci nevyužívaných ploch. Téměř vždy se jedná o kombinaci soukromých a veřejných investic, jejichž slučitelnost je pevně dána záměrem uvedeným v příslušné územně plánovací smlouvě. Vždy je k financování dle možností využíváno Strukturálních fondů Evropské Unie. Do rozhodování je zapojená veřejnost formou diskuzí, besed a workshopů, čímž si investor i dotčené strany vytvářejí pozitivnější vztah k projektu.</w:t>
      </w:r>
    </w:p>
    <w:p w:rsidR="009D2CAE" w:rsidRPr="007C0CDA" w:rsidRDefault="009D2CAE" w:rsidP="00D67A40">
      <w:pPr>
        <w:pStyle w:val="Zkladntext21"/>
        <w:jc w:val="both"/>
        <w:rPr>
          <w:rFonts w:ascii="Arial" w:hAnsi="Arial" w:cs="Times New Roman"/>
          <w:color w:val="000000"/>
          <w:sz w:val="19"/>
          <w:szCs w:val="48"/>
          <w:lang w:eastAsia="en-US"/>
        </w:rPr>
      </w:pPr>
    </w:p>
    <w:p w:rsidR="009D2CAE" w:rsidRPr="007C0CDA" w:rsidRDefault="009D2CAE" w:rsidP="00D67A40">
      <w:pPr>
        <w:rPr>
          <w:lang w:eastAsia="en-US"/>
        </w:rPr>
      </w:pPr>
      <w:r w:rsidRPr="007C0CDA">
        <w:rPr>
          <w:lang w:eastAsia="en-US"/>
        </w:rPr>
        <w:t>Existuje Národní strategie brownfieldů (</w:t>
      </w:r>
      <w:r w:rsidRPr="007C0CDA">
        <w:rPr>
          <w:i/>
          <w:lang w:eastAsia="en-US"/>
        </w:rPr>
        <w:t>National Brownfield Strategy</w:t>
      </w:r>
      <w:r w:rsidRPr="007C0CDA">
        <w:rPr>
          <w:lang w:eastAsia="en-US"/>
        </w:rPr>
        <w:t>), která je řízena na nejnižším stupni. Jejím primárním zaměřením je regenerace opuštěných průmyslových, skladových a jiných areálů a také obytných ploch, které splňují kritéria vyloučených urbanistických oblastí s nerozvinutými veřejnými službami. Jádro systému tvoří 4 instituce:</w:t>
      </w:r>
    </w:p>
    <w:p w:rsidR="009D2CAE" w:rsidRPr="007C0CDA" w:rsidRDefault="009D2CAE" w:rsidP="00D67A40">
      <w:pPr>
        <w:pStyle w:val="Bulletslevel1"/>
        <w:jc w:val="left"/>
        <w:rPr>
          <w:lang w:val="cs-CZ"/>
        </w:rPr>
      </w:pPr>
      <w:r w:rsidRPr="007C0CDA">
        <w:rPr>
          <w:lang w:val="cs-CZ"/>
        </w:rPr>
        <w:t>Department for Communities and local government – ministerstvo odpovědné za legislativní podporu brownfieldů a vyloučených oblastí</w:t>
      </w:r>
    </w:p>
    <w:p w:rsidR="009D2CAE" w:rsidRPr="007C0CDA" w:rsidRDefault="009D2CAE" w:rsidP="00D67A40">
      <w:pPr>
        <w:pStyle w:val="Bulletslevel1"/>
        <w:jc w:val="left"/>
        <w:rPr>
          <w:lang w:val="cs-CZ"/>
        </w:rPr>
      </w:pPr>
      <w:r w:rsidRPr="007C0CDA">
        <w:rPr>
          <w:lang w:val="cs-CZ"/>
        </w:rPr>
        <w:t>Homes and communities agency – národní agentura zodpovědná za obnovu bydlení, regeneraci zanedbaných území a zároveň poradní orgán vlády pro otázky regenerace a revitalizace</w:t>
      </w:r>
    </w:p>
    <w:p w:rsidR="009D2CAE" w:rsidRPr="007C0CDA" w:rsidRDefault="009D2CAE" w:rsidP="00D67A40">
      <w:pPr>
        <w:pStyle w:val="Bulletslevel1"/>
        <w:jc w:val="left"/>
        <w:rPr>
          <w:lang w:val="cs-CZ"/>
        </w:rPr>
      </w:pPr>
      <w:r w:rsidRPr="007C0CDA">
        <w:rPr>
          <w:lang w:val="cs-CZ"/>
        </w:rPr>
        <w:t>Regionální rozvojové agentury (RDA) – vytvářejí strategie obnovy bydlení pro daný region, poskytují poradenství pro místní úřady, zajišťují koordinaci investičních záměru apod.</w:t>
      </w:r>
    </w:p>
    <w:p w:rsidR="009D2CAE" w:rsidRPr="007C0CDA" w:rsidRDefault="009D2CAE" w:rsidP="00D67A40">
      <w:pPr>
        <w:pStyle w:val="Bulletslevel1"/>
        <w:jc w:val="left"/>
        <w:rPr>
          <w:lang w:val="cs-CZ"/>
        </w:rPr>
      </w:pPr>
      <w:r w:rsidRPr="007C0CDA">
        <w:rPr>
          <w:lang w:val="cs-CZ"/>
        </w:rPr>
        <w:t>Místní plánovací úřady – jejích úkolem je identifikovat tzv. „recyklovatelné“ plochy a navrhovat nástroje, které napomáhají regeneraci (zmiňované níže).</w:t>
      </w:r>
    </w:p>
    <w:p w:rsidR="009D2CAE" w:rsidRPr="007C0CDA" w:rsidRDefault="009D2CAE" w:rsidP="00D67A40">
      <w:pPr>
        <w:pStyle w:val="Bulletslevel1"/>
        <w:numPr>
          <w:ilvl w:val="0"/>
          <w:numId w:val="0"/>
        </w:numPr>
        <w:rPr>
          <w:lang w:val="cs-CZ"/>
        </w:rPr>
      </w:pPr>
      <w:r w:rsidRPr="007C0CDA">
        <w:rPr>
          <w:b/>
          <w:lang w:val="cs-CZ"/>
        </w:rPr>
        <w:t>Urban regeneration companies (URC)</w:t>
      </w:r>
      <w:r w:rsidRPr="007C0CDA">
        <w:rPr>
          <w:lang w:val="cs-CZ"/>
        </w:rPr>
        <w:t xml:space="preserve"> – jsou založené v spolupráci s RDA a místními úřady a jejich úkolem je sjednocovat partnery z veřejného a soukromého sektoru. Organizují spolupráci mezi zainteresovanými subjekty, koordinují investiční plány a lákají nové investice pomocí účelné podpory a regenerace. </w:t>
      </w:r>
    </w:p>
    <w:p w:rsidR="009D2CAE" w:rsidRPr="007C0CDA" w:rsidRDefault="009D2CAE" w:rsidP="00D67A40">
      <w:pPr>
        <w:pStyle w:val="BodyText1"/>
        <w:jc w:val="both"/>
      </w:pPr>
    </w:p>
    <w:p w:rsidR="009D2CAE" w:rsidRPr="007C0CDA" w:rsidRDefault="009D2CAE" w:rsidP="00D67A40">
      <w:pPr>
        <w:pStyle w:val="BodyText1"/>
        <w:jc w:val="both"/>
      </w:pPr>
      <w:r w:rsidRPr="007C0CDA">
        <w:rPr>
          <w:b/>
        </w:rPr>
        <w:t>Urban development companies (UDC)</w:t>
      </w:r>
      <w:r w:rsidRPr="007C0CDA">
        <w:t xml:space="preserve"> - zpřístupnění pozemků a staveb pro jejich další efektivní využití, podpora rozvoje stávajícího i nového průmyslu a obchodu, vytvoření atraktivního prostředí a zajištění podmínek pro bydlení a sociální vyžití pro udržení obyvatelstva v dané lokalitě. K tomuto účelu mohou UDC nabývat, držet a spravovat pozemky a jiný majetek pro jeho rekultivaci (disponují právem na vyvlastnění pozemku), mohou provádět stavební práce, zajišťovat inženýrské sítě, vykonávat různé činnosti spojené s regenerací území. Finance na svůj provoz čerpají prostřednictvím Department for Communities and Local Government (do roku 2008 z English Partnerships).</w:t>
      </w:r>
    </w:p>
    <w:p w:rsidR="009D2CAE" w:rsidRPr="007C0CDA" w:rsidRDefault="009D2CAE" w:rsidP="00D67A40">
      <w:pPr>
        <w:pStyle w:val="Bulletslevel1"/>
        <w:numPr>
          <w:ilvl w:val="0"/>
          <w:numId w:val="0"/>
        </w:numPr>
        <w:rPr>
          <w:lang w:val="cs-CZ"/>
        </w:rPr>
      </w:pPr>
      <w:r w:rsidRPr="007C0CDA">
        <w:rPr>
          <w:lang w:val="cs-CZ"/>
        </w:rPr>
        <w:t>Další zapojené instituce (veřejné/soukromé) v problematice BF jsou:</w:t>
      </w:r>
    </w:p>
    <w:p w:rsidR="009D2CAE" w:rsidRPr="007C0CDA" w:rsidRDefault="009D2CAE" w:rsidP="00D67A40">
      <w:pPr>
        <w:pStyle w:val="Bulletslevel1"/>
        <w:numPr>
          <w:ilvl w:val="0"/>
          <w:numId w:val="33"/>
        </w:numPr>
        <w:rPr>
          <w:lang w:val="cs-CZ"/>
        </w:rPr>
      </w:pPr>
      <w:r w:rsidRPr="007C0CDA">
        <w:rPr>
          <w:lang w:val="cs-CZ"/>
        </w:rPr>
        <w:t>instituce zapojené do regenerace kontaminovaných území,</w:t>
      </w:r>
    </w:p>
    <w:p w:rsidR="009D2CAE" w:rsidRPr="007C0CDA" w:rsidRDefault="009D2CAE" w:rsidP="00D67A40">
      <w:pPr>
        <w:pStyle w:val="Bulletslevel1"/>
        <w:numPr>
          <w:ilvl w:val="0"/>
          <w:numId w:val="33"/>
        </w:numPr>
        <w:rPr>
          <w:lang w:val="cs-CZ"/>
        </w:rPr>
      </w:pPr>
      <w:r w:rsidRPr="007C0CDA">
        <w:rPr>
          <w:lang w:val="cs-CZ"/>
        </w:rPr>
        <w:t>Groundwork Trust a další veřejné instituce.</w:t>
      </w:r>
    </w:p>
    <w:p w:rsidR="009D2CAE" w:rsidRPr="007C0CDA" w:rsidRDefault="009D2CAE" w:rsidP="00D67A40">
      <w:pPr>
        <w:pStyle w:val="Bulletslevel1"/>
        <w:numPr>
          <w:ilvl w:val="0"/>
          <w:numId w:val="0"/>
        </w:numPr>
        <w:ind w:left="720"/>
        <w:rPr>
          <w:lang w:val="cs-CZ"/>
        </w:rPr>
      </w:pPr>
    </w:p>
    <w:p w:rsidR="009D2CAE" w:rsidRPr="007C0CDA" w:rsidRDefault="009D2CAE" w:rsidP="00D67A40">
      <w:r w:rsidRPr="007C0CDA">
        <w:t>Nástroje podpory regenerace: brownfields strategie na regionální až místní úrovni s důrazem na jejich postavení v prostorových plánech. Politika zelených pásů, vyvlastnění v zájmu regenerace, finanční úlevy, možnosti a programy na regeneraci území/brownfields. Potenciální zájemci o BF si mohou zjistit informace o nabídkách ve 4 databázích.</w:t>
      </w:r>
    </w:p>
    <w:p w:rsidR="009D2CAE" w:rsidRPr="007C0CDA" w:rsidRDefault="009D2CAE" w:rsidP="00D67A40">
      <w:pPr>
        <w:pStyle w:val="Highlight1"/>
      </w:pPr>
    </w:p>
    <w:p w:rsidR="004D2522" w:rsidRPr="00884A21" w:rsidRDefault="004D2522" w:rsidP="002433DA">
      <w:r>
        <w:t xml:space="preserve">Závěrem analýzy domácích a zahraničních zkušenosti s regenerací a revitalizací zanedbaných průmyslových či jiných ploch je zjištění, že v Německu, Francii a Velké Británii se pro projekty využívají spíš kapitálové vstupy, pozemkové společnosti nebo PPP projekty. Nicméně, z těchto zkušeností je patrné, že soukromé (zaměřené na výrobu, služby a obchod) projekty menší a střední velikosti dosáhnou na financování pomoci komerčního dluhového financování. Zmiňované nástroje lze použit po projekty, kdy původní majitel zanechal původní využití areálu/plochy a je v zájmu obce, města nebo kraje (společenský zájem), aby takto zanedbané území změnilo svůj vzhled nebo společenskou funkci. Rizikem pro soukromé investory je nákladová mezera, který by šlo odstranit poskytnutím dotace na primární fází projektu, která nevytváří zisk a na výstavbu nemovitosti a infrastruktury, která už slouží k podnikatelské činnosti poskytovat zvýhodněný úvěr. </w:t>
      </w:r>
    </w:p>
    <w:p w:rsidR="009D2CAE" w:rsidRPr="002433DA" w:rsidRDefault="009D2CAE" w:rsidP="002433DA">
      <w:pPr>
        <w:rPr>
          <w:b/>
        </w:rPr>
      </w:pPr>
    </w:p>
    <w:p w:rsidR="009D2CAE" w:rsidRPr="007C0CDA" w:rsidRDefault="009D2CAE" w:rsidP="00433BD7">
      <w:pPr>
        <w:pStyle w:val="Nadpis3"/>
      </w:pPr>
      <w:bookmarkStart w:id="803" w:name="_Toc416448037"/>
      <w:r w:rsidRPr="007C0CDA">
        <w:t>Očekávané výsledky finančního nástroje</w:t>
      </w:r>
      <w:bookmarkEnd w:id="803"/>
    </w:p>
    <w:p w:rsidR="009D2CAE" w:rsidRPr="007C0CDA" w:rsidRDefault="009D2CAE" w:rsidP="00D67A40">
      <w:pPr>
        <w:pStyle w:val="CaptionIntroductionparagraph"/>
      </w:pPr>
      <w:r w:rsidRPr="007C0CDA">
        <w:t>SC 2.3</w:t>
      </w:r>
    </w:p>
    <w:p w:rsidR="009D2CAE" w:rsidRPr="007C0CDA" w:rsidRDefault="009D2CAE" w:rsidP="00D67A40">
      <w:pPr>
        <w:pStyle w:val="BodyText1"/>
      </w:pPr>
    </w:p>
    <w:p w:rsidR="009D2CAE" w:rsidRPr="007C0CDA" w:rsidRDefault="009D2CAE" w:rsidP="00D67A40">
      <w:r w:rsidRPr="007C0CDA">
        <w:t>V modelu fungování úvěrového nástroje Deloitte Advisory abstrahuje od úrokového zisku, ztrát a poplatků za správu spolufinancujícího subjektu. Revolvingový efekt je znázorněn grafickou interpretací jako suma prostředků, které by musel fond obdržet na konci primárního investičního cyklu, aby mohl realizovat sekundární investice, které financuje právě revolving. Údaje v grafu jsou uvedeny v mil. Kč na modelové alokace Deloitte Advisory.</w:t>
      </w:r>
    </w:p>
    <w:p w:rsidR="009D2CAE" w:rsidRPr="007C0CDA" w:rsidRDefault="002D1138" w:rsidP="00D67A40">
      <w:r>
        <w:rPr>
          <w:noProof/>
        </w:rPr>
        <w:drawing>
          <wp:inline distT="0" distB="0" distL="0" distR="0" wp14:anchorId="7B5F538F" wp14:editId="1315A1D1">
            <wp:extent cx="2943225" cy="1762125"/>
            <wp:effectExtent l="0" t="0" r="9525" b="952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43225" cy="1762125"/>
                    </a:xfrm>
                    <a:prstGeom prst="rect">
                      <a:avLst/>
                    </a:prstGeom>
                    <a:noFill/>
                    <a:ln>
                      <a:noFill/>
                    </a:ln>
                  </pic:spPr>
                </pic:pic>
              </a:graphicData>
            </a:graphic>
          </wp:inline>
        </w:drawing>
      </w:r>
    </w:p>
    <w:p w:rsidR="009D2CAE" w:rsidRPr="007C0CDA" w:rsidRDefault="009D2CAE" w:rsidP="002433DA">
      <w:pPr>
        <w:pStyle w:val="Nadpis2"/>
        <w:keepLines w:val="0"/>
        <w:numPr>
          <w:ilvl w:val="1"/>
          <w:numId w:val="28"/>
        </w:numPr>
        <w:overflowPunct/>
        <w:autoSpaceDE/>
        <w:autoSpaceDN/>
        <w:adjustRightInd/>
        <w:spacing w:before="240"/>
        <w:ind w:left="578" w:hanging="578"/>
        <w:jc w:val="left"/>
        <w:textAlignment w:val="auto"/>
      </w:pPr>
      <w:bookmarkStart w:id="804" w:name="_Toc414464609"/>
    </w:p>
    <w:p w:rsidR="009D2CAE" w:rsidRPr="007C0CDA" w:rsidRDefault="009D2CAE" w:rsidP="002433DA">
      <w:pPr>
        <w:pStyle w:val="Nadpis2"/>
      </w:pPr>
      <w:bookmarkStart w:id="805" w:name="_Toc416448038"/>
      <w:bookmarkEnd w:id="804"/>
      <w:r w:rsidRPr="007C0CDA">
        <w:t>SC 3.1</w:t>
      </w:r>
      <w:bookmarkEnd w:id="805"/>
    </w:p>
    <w:p w:rsidR="009D2CAE" w:rsidRPr="007C0CDA" w:rsidRDefault="009D2CAE" w:rsidP="002433DA">
      <w:pPr>
        <w:pStyle w:val="Nadpis3"/>
      </w:pPr>
      <w:bookmarkStart w:id="806" w:name="_Toc414464610"/>
      <w:bookmarkStart w:id="807" w:name="_Toc416448039"/>
      <w:r w:rsidRPr="007C0CDA">
        <w:t>Odůvodnění volby oblasti podpory a návrhu nástroje</w:t>
      </w:r>
      <w:bookmarkEnd w:id="806"/>
      <w:bookmarkEnd w:id="807"/>
    </w:p>
    <w:p w:rsidR="009D2CAE" w:rsidRPr="007C0CDA" w:rsidRDefault="00553B77" w:rsidP="00CE3165">
      <w:r>
        <w:t>Na základě tržní analýzy spatřujeme p</w:t>
      </w:r>
      <w:r w:rsidR="009D2CAE" w:rsidRPr="007C0CDA">
        <w:t>otenciál na využití zvýhodněných úvěrů</w:t>
      </w:r>
      <w:r>
        <w:t xml:space="preserve"> primárně v případě malých vodních elektráren (MVE)</w:t>
      </w:r>
      <w:r w:rsidR="009D2CAE" w:rsidRPr="007C0CDA">
        <w:t>, které i pro nově zapojené zdroje budou moci čerpat provozní podporu na výkup elektřiny – na rozdíl od ostatních OZE.</w:t>
      </w:r>
      <w:r w:rsidR="00E50FD8">
        <w:t xml:space="preserve"> I zde je však v mnoha případech vhodné motivovat větší investiční aktivitu v rekonstrukci starých zdrojů, která je nákladná a může být problematická z hlediska návratnosti a získání financování. </w:t>
      </w:r>
      <w:r w:rsidR="009D2CAE" w:rsidRPr="007C0CDA">
        <w:t xml:space="preserve"> Zvýhodněný úvěr by ulehčil přístup k financování a jeho cenu a může tak pomoci větší investiční aktivitě v této oblasti. Komplikací v tomto ohledu je možnost kombinace provozní a investiční podpory, která v případě OZE limituje i použití dotací.</w:t>
      </w:r>
    </w:p>
    <w:p w:rsidR="009D2CAE" w:rsidRDefault="009D2CAE" w:rsidP="00CE3165"/>
    <w:p w:rsidR="009D2CAE" w:rsidRPr="00183F1E" w:rsidRDefault="009D2CAE" w:rsidP="00CE3165">
      <w:r w:rsidRPr="002433DA">
        <w:rPr>
          <w:b/>
        </w:rPr>
        <w:t>Na základě požadavku EK je v textu OP PIK uvedena zásadní podmínka pro projekty obnovitelných zdrojů energie.</w:t>
      </w:r>
      <w:r w:rsidRPr="007C0CDA">
        <w:t xml:space="preserve"> Z důvodu eliminace hrozící překompenzace podpory je zakázána kombinace provozní a investiční podpory. Nicméně při kombinaci zvýhodněného úvěru a provozní podpory je riziko překompenzace minimální a proto </w:t>
      </w:r>
      <w:r w:rsidRPr="002433DA">
        <w:rPr>
          <w:b/>
        </w:rPr>
        <w:t xml:space="preserve">doporučujeme požádat EK o změnu textace této podmínky, tak </w:t>
      </w:r>
      <w:r w:rsidRPr="002433DA">
        <w:rPr>
          <w:b/>
        </w:rPr>
        <w:lastRenderedPageBreak/>
        <w:t>aby se vztahovala pouze na investiční dotaci</w:t>
      </w:r>
      <w:r w:rsidRPr="007C0CDA">
        <w:t>.</w:t>
      </w:r>
      <w:r w:rsidR="00C52ECE">
        <w:t xml:space="preserve"> Tím by se umožnilo podporovat tyto zařízení na racionálnější, návratné bázi.</w:t>
      </w:r>
    </w:p>
    <w:p w:rsidR="009D2CAE" w:rsidRPr="007C0CDA" w:rsidRDefault="009D2CAE" w:rsidP="00CE3165"/>
    <w:p w:rsidR="00553B77" w:rsidRPr="007C0CDA" w:rsidRDefault="00553B77" w:rsidP="00553B77">
      <w:r>
        <w:t>Navrhovaná podpora by měla formu kombinace zvýhodněného úvěru s delší dobou splatnosti, případně odkladem splácení</w:t>
      </w:r>
      <w:r w:rsidR="006C47F2">
        <w:t xml:space="preserve">, příspěvku na přípravu projektu a podmíněného příspěvku na platbu úroků. </w:t>
      </w:r>
      <w:r w:rsidRPr="007C0CDA">
        <w:t>Úvěrový nástroj je návratnou formou podpory, částečně nenávratnou se stává pouze v případě defaultu úvěru. Administrace podpořených úvěrů bude plně v gesci spolufinancujícího subjektu, se kterým budou koneční příjemci vstupovat do přímého smluvního vztahu.</w:t>
      </w:r>
    </w:p>
    <w:p w:rsidR="009D2CAE" w:rsidRPr="007C0CDA" w:rsidRDefault="009D2CAE" w:rsidP="002433DA">
      <w:pPr>
        <w:pStyle w:val="Nadpis3"/>
      </w:pPr>
      <w:bookmarkStart w:id="808" w:name="_Toc416448041"/>
      <w:bookmarkStart w:id="809" w:name="_Toc416448043"/>
      <w:bookmarkStart w:id="810" w:name="_Toc416448045"/>
      <w:bookmarkStart w:id="811" w:name="_Toc416448047"/>
      <w:bookmarkStart w:id="812" w:name="_Toc416448049"/>
      <w:bookmarkStart w:id="813" w:name="_Toc416448051"/>
      <w:bookmarkStart w:id="814" w:name="_Toc416448053"/>
      <w:bookmarkStart w:id="815" w:name="_Toc416448055"/>
      <w:bookmarkStart w:id="816" w:name="_Toc416448056"/>
      <w:bookmarkStart w:id="817" w:name="_Toc416384054"/>
      <w:bookmarkStart w:id="818" w:name="_Toc416448057"/>
      <w:bookmarkStart w:id="819" w:name="_Toc416384055"/>
      <w:bookmarkStart w:id="820" w:name="_Toc416448058"/>
      <w:bookmarkStart w:id="821" w:name="_Toc416384056"/>
      <w:bookmarkStart w:id="822" w:name="_Toc416448059"/>
      <w:bookmarkStart w:id="823" w:name="_Toc416384057"/>
      <w:bookmarkStart w:id="824" w:name="_Toc416448060"/>
      <w:bookmarkStart w:id="825" w:name="_Toc416384058"/>
      <w:bookmarkStart w:id="826" w:name="_Toc416448061"/>
      <w:bookmarkStart w:id="827" w:name="_Toc414464611"/>
      <w:bookmarkStart w:id="828" w:name="_Toc416448062"/>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r w:rsidRPr="007C0CDA">
        <w:t>Schéma fungování navrhovaného finančního nástroje</w:t>
      </w:r>
      <w:bookmarkEnd w:id="827"/>
      <w:bookmarkEnd w:id="828"/>
    </w:p>
    <w:p w:rsidR="009D2CAE" w:rsidRPr="007C0CDA" w:rsidRDefault="009D2CAE" w:rsidP="00CE3165">
      <w:pPr>
        <w:jc w:val="center"/>
      </w:pPr>
    </w:p>
    <w:p w:rsidR="009D2CAE" w:rsidRPr="007C0CDA" w:rsidRDefault="009D2CAE" w:rsidP="00CE3165"/>
    <w:p w:rsidR="009D2CAE" w:rsidRPr="007C0CDA" w:rsidRDefault="00C41E93" w:rsidP="00CE3165">
      <w:pPr>
        <w:jc w:val="center"/>
      </w:pPr>
      <w:r w:rsidRPr="00C41E93">
        <w:rPr>
          <w:noProof/>
        </w:rPr>
        <w:t xml:space="preserve"> </w:t>
      </w:r>
      <w:r w:rsidRPr="00C41E93">
        <w:drawing>
          <wp:inline distT="0" distB="0" distL="0" distR="0" wp14:anchorId="470E026B" wp14:editId="7F7FA147">
            <wp:extent cx="4571999" cy="3105150"/>
            <wp:effectExtent l="0" t="0" r="635" b="0"/>
            <wp:docPr id="11653" name="Obrázek 1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b="9445"/>
                    <a:stretch/>
                  </pic:blipFill>
                  <pic:spPr bwMode="auto">
                    <a:xfrm>
                      <a:off x="0" y="0"/>
                      <a:ext cx="4572638" cy="3105584"/>
                    </a:xfrm>
                    <a:prstGeom prst="rect">
                      <a:avLst/>
                    </a:prstGeom>
                    <a:ln>
                      <a:noFill/>
                    </a:ln>
                    <a:extLst>
                      <a:ext uri="{53640926-AAD7-44D8-BBD7-CCE9431645EC}">
                        <a14:shadowObscured xmlns:a14="http://schemas.microsoft.com/office/drawing/2010/main"/>
                      </a:ext>
                    </a:extLst>
                  </pic:spPr>
                </pic:pic>
              </a:graphicData>
            </a:graphic>
          </wp:inline>
        </w:drawing>
      </w:r>
    </w:p>
    <w:p w:rsidR="009D2CAE" w:rsidRPr="007C0CDA" w:rsidRDefault="009D2CAE" w:rsidP="00CE3165">
      <w:pPr>
        <w:rPr>
          <w:b/>
          <w:color w:val="00A1DE"/>
          <w:sz w:val="24"/>
          <w:szCs w:val="22"/>
        </w:rPr>
      </w:pPr>
    </w:p>
    <w:p w:rsidR="009D2CAE" w:rsidRPr="007C0CDA" w:rsidRDefault="009D2CAE" w:rsidP="002433DA">
      <w:pPr>
        <w:pStyle w:val="Nadpis3"/>
      </w:pPr>
      <w:bookmarkStart w:id="829" w:name="_Toc416384060"/>
      <w:bookmarkStart w:id="830" w:name="_Toc416448063"/>
      <w:bookmarkStart w:id="831" w:name="_Toc416384061"/>
      <w:bookmarkStart w:id="832" w:name="_Toc416448064"/>
      <w:bookmarkStart w:id="833" w:name="_Toc416384062"/>
      <w:bookmarkStart w:id="834" w:name="_Toc416448065"/>
      <w:bookmarkStart w:id="835" w:name="_Toc416384063"/>
      <w:bookmarkStart w:id="836" w:name="_Toc416448066"/>
      <w:bookmarkStart w:id="837" w:name="_Toc416384064"/>
      <w:bookmarkStart w:id="838" w:name="_Toc416448067"/>
      <w:bookmarkStart w:id="839" w:name="_Toc416384065"/>
      <w:bookmarkStart w:id="840" w:name="_Toc416448068"/>
      <w:bookmarkStart w:id="841" w:name="_Toc416384066"/>
      <w:bookmarkStart w:id="842" w:name="_Toc416448069"/>
      <w:bookmarkStart w:id="843" w:name="_Toc414464612"/>
      <w:bookmarkStart w:id="844" w:name="_Toc416448070"/>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r w:rsidRPr="007C0CDA">
        <w:t>Základní parametry finančního nástroje</w:t>
      </w:r>
      <w:bookmarkEnd w:id="843"/>
      <w:bookmarkEnd w:id="844"/>
    </w:p>
    <w:p w:rsidR="009D2CAE" w:rsidRPr="007C0CDA" w:rsidRDefault="009D2CAE" w:rsidP="00CE3165">
      <w:pPr>
        <w:pStyle w:val="CaptionIntroductionparagraph"/>
      </w:pPr>
      <w:r w:rsidRPr="007C0CDA">
        <w:t xml:space="preserve">Úvěrový nástroj </w:t>
      </w:r>
    </w:p>
    <w:p w:rsidR="009D2CAE" w:rsidRPr="007C0CDA" w:rsidRDefault="009D2CAE" w:rsidP="00CE3165"/>
    <w:tbl>
      <w:tblPr>
        <w:tblW w:w="0" w:type="auto"/>
        <w:tblBorders>
          <w:top w:val="single" w:sz="4" w:space="0" w:color="92D400"/>
          <w:bottom w:val="single" w:sz="4" w:space="0" w:color="92D400"/>
          <w:insideH w:val="single" w:sz="4" w:space="0" w:color="92D400"/>
        </w:tblBorders>
        <w:tblCellMar>
          <w:top w:w="28" w:type="dxa"/>
          <w:left w:w="28" w:type="dxa"/>
          <w:bottom w:w="28" w:type="dxa"/>
          <w:right w:w="28" w:type="dxa"/>
        </w:tblCellMar>
        <w:tblLook w:val="00A0" w:firstRow="1" w:lastRow="0" w:firstColumn="1" w:lastColumn="0" w:noHBand="0" w:noVBand="0"/>
      </w:tblPr>
      <w:tblGrid>
        <w:gridCol w:w="2282"/>
        <w:gridCol w:w="6788"/>
      </w:tblGrid>
      <w:tr w:rsidR="009D2CAE" w:rsidRPr="007C0CDA" w:rsidTr="00A47740">
        <w:tc>
          <w:tcPr>
            <w:tcW w:w="2282" w:type="dxa"/>
            <w:shd w:val="clear" w:color="auto" w:fill="ECFFC3"/>
          </w:tcPr>
          <w:p w:rsidR="009D2CAE" w:rsidRPr="007C0CDA" w:rsidRDefault="009D2CAE" w:rsidP="00A47740">
            <w:pPr>
              <w:rPr>
                <w:b/>
              </w:rPr>
            </w:pPr>
          </w:p>
        </w:tc>
        <w:tc>
          <w:tcPr>
            <w:tcW w:w="6788" w:type="dxa"/>
            <w:shd w:val="clear" w:color="auto" w:fill="ECFFC3"/>
          </w:tcPr>
          <w:p w:rsidR="009D2CAE" w:rsidRPr="007C0CDA" w:rsidRDefault="009D2CAE" w:rsidP="00A47740">
            <w:pPr>
              <w:ind w:left="38"/>
              <w:rPr>
                <w:b/>
              </w:rPr>
            </w:pPr>
          </w:p>
        </w:tc>
      </w:tr>
      <w:tr w:rsidR="009D2CAE" w:rsidRPr="007C0CDA" w:rsidTr="00A47740">
        <w:tc>
          <w:tcPr>
            <w:tcW w:w="2282" w:type="dxa"/>
            <w:shd w:val="clear" w:color="auto" w:fill="92D400"/>
            <w:noWrap/>
          </w:tcPr>
          <w:p w:rsidR="009D2CAE" w:rsidRPr="007C0CDA" w:rsidRDefault="009D2CAE" w:rsidP="00A47740">
            <w:pPr>
              <w:rPr>
                <w:b/>
                <w:color w:val="FFFFFF"/>
              </w:rPr>
            </w:pPr>
            <w:r w:rsidRPr="007C0CDA">
              <w:rPr>
                <w:b/>
                <w:color w:val="FFFFFF"/>
              </w:rPr>
              <w:t>Cíle finančního nástroje</w:t>
            </w:r>
          </w:p>
        </w:tc>
        <w:tc>
          <w:tcPr>
            <w:tcW w:w="6788" w:type="dxa"/>
            <w:shd w:val="clear" w:color="auto" w:fill="FFFFFF"/>
            <w:noWrap/>
          </w:tcPr>
          <w:p w:rsidR="009D2CAE" w:rsidRPr="007C0CDA" w:rsidRDefault="009D2CAE" w:rsidP="00A47740">
            <w:r w:rsidRPr="007C0CDA">
              <w:t xml:space="preserve">Odstranit definovanou tržní mezeru v dostupnosti finančních prostředků pro konečného příjemce. Toho bude dosaženo poskytnutím zvýhodněného úvěru spolu s příspěvkem na úhradu zpracování energetického auditu. </w:t>
            </w:r>
          </w:p>
        </w:tc>
      </w:tr>
      <w:tr w:rsidR="009D2CAE" w:rsidRPr="007C0CDA" w:rsidTr="00A47740">
        <w:tc>
          <w:tcPr>
            <w:tcW w:w="2282" w:type="dxa"/>
            <w:shd w:val="clear" w:color="auto" w:fill="92D400"/>
            <w:noWrap/>
          </w:tcPr>
          <w:p w:rsidR="009D2CAE" w:rsidRPr="007C0CDA" w:rsidRDefault="009D2CAE" w:rsidP="00A47740">
            <w:pPr>
              <w:jc w:val="left"/>
              <w:rPr>
                <w:b/>
                <w:color w:val="FFFFFF"/>
              </w:rPr>
            </w:pPr>
            <w:r w:rsidRPr="007C0CDA">
              <w:rPr>
                <w:b/>
                <w:color w:val="FFFFFF"/>
              </w:rPr>
              <w:t>Definice a kritéria způsobilých projektů</w:t>
            </w:r>
          </w:p>
        </w:tc>
        <w:tc>
          <w:tcPr>
            <w:tcW w:w="6788" w:type="dxa"/>
            <w:shd w:val="clear" w:color="auto" w:fill="FFFFFF"/>
            <w:noWrap/>
          </w:tcPr>
          <w:p w:rsidR="009D2CAE" w:rsidRPr="007C0CDA" w:rsidRDefault="009D2CAE" w:rsidP="002433DA">
            <w:pPr>
              <w:pStyle w:val="Odstavecseseznamem"/>
            </w:pPr>
            <w:r w:rsidRPr="007C0CDA">
              <w:t>Výstavba nových nebo rekonstrukce stávajících výroben elektřiny v podobě malých vodních elektráren (do 10 MW instalovaného výkonu)</w:t>
            </w:r>
          </w:p>
        </w:tc>
      </w:tr>
      <w:tr w:rsidR="009D2CAE" w:rsidRPr="007C0CDA" w:rsidTr="00A47740">
        <w:tc>
          <w:tcPr>
            <w:tcW w:w="2282" w:type="dxa"/>
            <w:shd w:val="clear" w:color="auto" w:fill="92D400"/>
            <w:noWrap/>
          </w:tcPr>
          <w:p w:rsidR="009D2CAE" w:rsidRPr="007C0CDA" w:rsidRDefault="009D2CAE" w:rsidP="00A47740">
            <w:pPr>
              <w:rPr>
                <w:b/>
                <w:color w:val="FFFFFF"/>
              </w:rPr>
            </w:pPr>
            <w:r w:rsidRPr="007C0CDA">
              <w:rPr>
                <w:b/>
                <w:color w:val="FFFFFF"/>
              </w:rPr>
              <w:t>Forma podpory</w:t>
            </w:r>
          </w:p>
        </w:tc>
        <w:tc>
          <w:tcPr>
            <w:tcW w:w="6788" w:type="dxa"/>
            <w:shd w:val="clear" w:color="auto" w:fill="FFFFFF"/>
            <w:noWrap/>
          </w:tcPr>
          <w:p w:rsidR="009D2CAE" w:rsidRPr="007C0CDA" w:rsidRDefault="009D2CAE" w:rsidP="008E4E77">
            <w:pPr>
              <w:spacing w:after="120"/>
              <w:rPr>
                <w:rFonts w:cs="Calibri"/>
                <w:szCs w:val="22"/>
              </w:rPr>
            </w:pPr>
            <w:r w:rsidRPr="007C0CDA">
              <w:rPr>
                <w:rFonts w:cs="Calibri"/>
                <w:szCs w:val="22"/>
              </w:rPr>
              <w:t>Kombinovaná podpora</w:t>
            </w:r>
          </w:p>
          <w:p w:rsidR="009D2CAE" w:rsidRPr="007C0CDA" w:rsidRDefault="009D2CAE" w:rsidP="008E4E77">
            <w:pPr>
              <w:spacing w:after="120"/>
              <w:rPr>
                <w:rFonts w:cs="Calibri"/>
                <w:szCs w:val="22"/>
              </w:rPr>
            </w:pPr>
            <w:r w:rsidRPr="007C0CDA">
              <w:rPr>
                <w:rFonts w:cs="Calibri"/>
                <w:szCs w:val="22"/>
              </w:rPr>
              <w:t>Zvýhodněný úvěr se sníženou úrokovou sazbou a delší dobou splatnosti</w:t>
            </w:r>
          </w:p>
          <w:p w:rsidR="009D2CAE" w:rsidRPr="007C0CDA" w:rsidRDefault="009D2CAE" w:rsidP="008E4E77">
            <w:pPr>
              <w:spacing w:after="120"/>
              <w:rPr>
                <w:rFonts w:cs="Calibri"/>
                <w:szCs w:val="22"/>
              </w:rPr>
            </w:pPr>
            <w:r w:rsidRPr="007C0CDA">
              <w:rPr>
                <w:rFonts w:cs="Calibri"/>
                <w:szCs w:val="22"/>
              </w:rPr>
              <w:t>Finanční příspěvek na úhradu úroků (subvence úrokové sazby – finanční příspěvek) za podmínky dosažení požadovaných výsledků</w:t>
            </w:r>
          </w:p>
          <w:p w:rsidR="009D2CAE" w:rsidRPr="007C0CDA" w:rsidRDefault="009D2CAE">
            <w:pPr>
              <w:rPr>
                <w:b/>
                <w:color w:val="FF0000"/>
              </w:rPr>
            </w:pPr>
            <w:r w:rsidRPr="007C0CDA">
              <w:rPr>
                <w:rFonts w:cs="Calibri"/>
                <w:szCs w:val="22"/>
              </w:rPr>
              <w:t>Úhrada nákladů na energetický audit a ověření úspory (finanční příspěvek)</w:t>
            </w:r>
          </w:p>
        </w:tc>
      </w:tr>
      <w:tr w:rsidR="009D2CAE" w:rsidRPr="007C0CDA" w:rsidTr="00A47740">
        <w:tc>
          <w:tcPr>
            <w:tcW w:w="2282" w:type="dxa"/>
            <w:shd w:val="clear" w:color="auto" w:fill="92D400"/>
            <w:noWrap/>
          </w:tcPr>
          <w:p w:rsidR="009D2CAE" w:rsidRPr="007C0CDA" w:rsidRDefault="009D2CAE" w:rsidP="00A47740">
            <w:pPr>
              <w:rPr>
                <w:b/>
                <w:color w:val="FFFFFF"/>
              </w:rPr>
            </w:pPr>
            <w:r w:rsidRPr="007C0CDA">
              <w:rPr>
                <w:b/>
                <w:color w:val="FFFFFF"/>
              </w:rPr>
              <w:lastRenderedPageBreak/>
              <w:t>Výše podpory</w:t>
            </w:r>
          </w:p>
        </w:tc>
        <w:tc>
          <w:tcPr>
            <w:tcW w:w="6788" w:type="dxa"/>
            <w:shd w:val="clear" w:color="auto" w:fill="FFFFFF"/>
            <w:noWrap/>
          </w:tcPr>
          <w:p w:rsidR="009D2CAE" w:rsidRPr="007C0CDA" w:rsidRDefault="009D2CAE" w:rsidP="00A47740">
            <w:r w:rsidRPr="007C0CDA">
              <w:t>Úvěr a subvence úrokové sazby se budou pohybovat v rozpětí 0,5 – 250 mil. Kč.</w:t>
            </w:r>
          </w:p>
        </w:tc>
      </w:tr>
      <w:tr w:rsidR="009D2CAE" w:rsidRPr="007C0CDA" w:rsidTr="00A47740">
        <w:tc>
          <w:tcPr>
            <w:tcW w:w="2282" w:type="dxa"/>
            <w:shd w:val="clear" w:color="auto" w:fill="92D400"/>
            <w:noWrap/>
          </w:tcPr>
          <w:p w:rsidR="009D2CAE" w:rsidRPr="007C0CDA" w:rsidRDefault="009D2CAE" w:rsidP="00A47740">
            <w:pPr>
              <w:rPr>
                <w:b/>
                <w:color w:val="FFFFFF"/>
              </w:rPr>
            </w:pPr>
            <w:r w:rsidRPr="007C0CDA">
              <w:rPr>
                <w:b/>
                <w:color w:val="FFFFFF"/>
              </w:rPr>
              <w:t>Základní parametry poskytované podpory</w:t>
            </w:r>
          </w:p>
        </w:tc>
        <w:tc>
          <w:tcPr>
            <w:tcW w:w="6788" w:type="dxa"/>
            <w:shd w:val="clear" w:color="auto" w:fill="FFFFFF"/>
            <w:noWrap/>
          </w:tcPr>
          <w:p w:rsidR="009D2CAE" w:rsidRPr="007C0CDA" w:rsidRDefault="009D2CAE" w:rsidP="00A47740">
            <w:r w:rsidRPr="007C0CDA">
              <w:t>Doporučujeme snížení úrokové míry pro konečného příjemce na polovinu tržní úrokové míry formou zapojení finančního nástroje i úvěru soukromé úvěrující instituce. Pro dosažené takto nízké sazby je nezbytné, aby úroková sazba fondu byla co nejnižší.</w:t>
            </w:r>
          </w:p>
        </w:tc>
      </w:tr>
      <w:tr w:rsidR="009D2CAE" w:rsidRPr="007C0CDA" w:rsidTr="00A47740">
        <w:tc>
          <w:tcPr>
            <w:tcW w:w="2282" w:type="dxa"/>
            <w:shd w:val="clear" w:color="auto" w:fill="92D400"/>
            <w:noWrap/>
          </w:tcPr>
          <w:p w:rsidR="009D2CAE" w:rsidRPr="007C0CDA" w:rsidRDefault="009D2CAE" w:rsidP="00A47740">
            <w:pPr>
              <w:rPr>
                <w:b/>
                <w:color w:val="FFFFFF"/>
              </w:rPr>
            </w:pPr>
            <w:r w:rsidRPr="007C0CDA">
              <w:rPr>
                <w:b/>
                <w:color w:val="FFFFFF"/>
              </w:rPr>
              <w:t>Kroky k aktivizaci soukromých finančních zdrojů</w:t>
            </w:r>
          </w:p>
        </w:tc>
        <w:tc>
          <w:tcPr>
            <w:tcW w:w="6788" w:type="dxa"/>
            <w:shd w:val="clear" w:color="auto" w:fill="FFFFFF"/>
            <w:noWrap/>
          </w:tcPr>
          <w:p w:rsidR="009D2CAE" w:rsidRPr="007C0CDA" w:rsidRDefault="009D2CAE" w:rsidP="00A47740">
            <w:r w:rsidRPr="007C0CDA">
              <w:t>Dle dosavadních jednání se zainteresovanými skupinami na přípravě OP PIK2014-2020 byla identifikována potřeba povzbuzení potenciálních spolufinancujících subjektů k zapojení se do budovaných struktur, ať již na úrovni fondu, nebo na úrovni jednotlivých projektů. Jako motivační nástroje pro zapojení spolufinancujících subjektů lze využít zejména následující:</w:t>
            </w:r>
          </w:p>
          <w:p w:rsidR="009D2CAE" w:rsidRPr="007C0CDA" w:rsidRDefault="009D2CAE" w:rsidP="002433DA">
            <w:pPr>
              <w:pStyle w:val="Odstavecseseznamem"/>
              <w:numPr>
                <w:ilvl w:val="0"/>
                <w:numId w:val="35"/>
              </w:numPr>
              <w:overflowPunct/>
              <w:autoSpaceDE/>
              <w:autoSpaceDN/>
              <w:adjustRightInd/>
              <w:ind w:left="412" w:hanging="141"/>
              <w:textAlignment w:val="auto"/>
            </w:pPr>
            <w:r w:rsidRPr="007C0CDA">
              <w:t xml:space="preserve">Míra zapojení veřejných zdrojů – podíl je nutné nastavit na základě diskuze se zainteresovanými subjekty a potenciálními spolufinancujícími subjekty </w:t>
            </w:r>
          </w:p>
          <w:p w:rsidR="009D2CAE" w:rsidRPr="007C0CDA" w:rsidRDefault="009D2CAE" w:rsidP="002433DA">
            <w:pPr>
              <w:pStyle w:val="Odstavecseseznamem"/>
              <w:numPr>
                <w:ilvl w:val="0"/>
                <w:numId w:val="35"/>
              </w:numPr>
              <w:overflowPunct/>
              <w:autoSpaceDE/>
              <w:autoSpaceDN/>
              <w:adjustRightInd/>
              <w:ind w:left="412" w:hanging="141"/>
              <w:textAlignment w:val="auto"/>
            </w:pPr>
            <w:r w:rsidRPr="007C0CDA">
              <w:t>Ručení za případné ztráty projektu do výše sjednaného limitu first piece loss;</w:t>
            </w:r>
          </w:p>
          <w:p w:rsidR="009D2CAE" w:rsidRPr="007C0CDA" w:rsidRDefault="009D2CAE" w:rsidP="002433DA">
            <w:pPr>
              <w:pStyle w:val="Odstavecseseznamem"/>
              <w:numPr>
                <w:ilvl w:val="0"/>
                <w:numId w:val="35"/>
              </w:numPr>
              <w:overflowPunct/>
              <w:autoSpaceDE/>
              <w:autoSpaceDN/>
              <w:adjustRightInd/>
              <w:ind w:left="412" w:hanging="141"/>
              <w:textAlignment w:val="auto"/>
            </w:pPr>
            <w:r w:rsidRPr="007C0CDA">
              <w:t>Zvýhodněné dělení přijatých úroků ve prospěch spolufinancujícího subjektu do stanovené výše.</w:t>
            </w:r>
          </w:p>
          <w:p w:rsidR="009D2CAE" w:rsidRPr="007C0CDA" w:rsidRDefault="009D2CAE" w:rsidP="00A47740">
            <w:pPr>
              <w:pStyle w:val="Odstavecseseznamem"/>
            </w:pPr>
          </w:p>
        </w:tc>
      </w:tr>
      <w:tr w:rsidR="009D2CAE" w:rsidRPr="007C0CDA" w:rsidTr="00A47740">
        <w:tc>
          <w:tcPr>
            <w:tcW w:w="2282" w:type="dxa"/>
            <w:shd w:val="clear" w:color="auto" w:fill="92D400"/>
            <w:noWrap/>
          </w:tcPr>
          <w:p w:rsidR="009D2CAE" w:rsidRPr="007C0CDA" w:rsidRDefault="009D2CAE" w:rsidP="00A47740">
            <w:pPr>
              <w:rPr>
                <w:b/>
                <w:color w:val="FFFFFF"/>
              </w:rPr>
            </w:pPr>
            <w:r w:rsidRPr="007C0CDA">
              <w:rPr>
                <w:b/>
                <w:color w:val="FFFFFF"/>
              </w:rPr>
              <w:t>Očekávaná alokace</w:t>
            </w:r>
          </w:p>
        </w:tc>
        <w:tc>
          <w:tcPr>
            <w:tcW w:w="6788" w:type="dxa"/>
            <w:shd w:val="clear" w:color="auto" w:fill="FFFFFF"/>
            <w:noWrap/>
          </w:tcPr>
          <w:p w:rsidR="009D2CAE" w:rsidRPr="007C0CDA" w:rsidRDefault="009D2CAE" w:rsidP="00A47740">
            <w:r w:rsidRPr="007C0CDA">
              <w:t>SC 3.1</w:t>
            </w:r>
          </w:p>
          <w:p w:rsidR="009D2CAE" w:rsidRPr="007C0CDA" w:rsidRDefault="009D2CAE" w:rsidP="00A47740">
            <w:r w:rsidRPr="007C0CDA">
              <w:t>Deloitte Advisory doporučuje úvěrový finanční nástroj využít pro až 10-30  % alokace podporovaných aktivit specifického cíle 3.1.</w:t>
            </w:r>
          </w:p>
          <w:p w:rsidR="009D2CAE" w:rsidRPr="007C0CDA" w:rsidRDefault="009D2CAE" w:rsidP="00A47740"/>
          <w:p w:rsidR="009D2CAE" w:rsidRPr="007C0CDA" w:rsidRDefault="009D2CAE">
            <w:r w:rsidRPr="007C0CDA">
              <w:t>V případě realizovatelné kombinovatelnosti zvýhodněného úvěru s menší mírou dotace je možné alokaci FN zvýšit a využít zvýhodněné úvěry u všech projektů.</w:t>
            </w:r>
          </w:p>
        </w:tc>
      </w:tr>
    </w:tbl>
    <w:p w:rsidR="009D2CAE" w:rsidRPr="007C0CDA" w:rsidRDefault="009D2CAE" w:rsidP="00CE3165"/>
    <w:p w:rsidR="009D2CAE" w:rsidRPr="007C0CDA" w:rsidRDefault="009D2CAE" w:rsidP="002433DA">
      <w:pPr>
        <w:pStyle w:val="Nadpis3"/>
      </w:pPr>
      <w:bookmarkStart w:id="845" w:name="_Toc414464613"/>
      <w:bookmarkStart w:id="846" w:name="_Toc416448071"/>
      <w:r w:rsidRPr="007C0CDA">
        <w:t>Očekávané výsledky finančního nástroje</w:t>
      </w:r>
      <w:bookmarkEnd w:id="845"/>
      <w:bookmarkEnd w:id="846"/>
    </w:p>
    <w:p w:rsidR="002F7B85" w:rsidRPr="006B596C" w:rsidRDefault="002F7B85" w:rsidP="002F7B85">
      <w:pPr>
        <w:pStyle w:val="BodyText1"/>
        <w:jc w:val="both"/>
      </w:pPr>
      <w:r>
        <w:t>Subjekty vystupující v schématu financování podpory výroby energie z OZE jsou spolufinancující subjekty finančního trhu a účelně vytvořený fond, který bude řídit úvěrový finanční nástroj. Maximální výše financování způsobilých nákladů je 100 %, takže koncový příjemci budou muset zbytek investice, v případě nepřidělení maximální možné podpory, financovat z vlastních nebo externích zdrojů, které tvoří další dodatečné zdroje vytvořené v ekonomice.</w:t>
      </w:r>
    </w:p>
    <w:p w:rsidR="002F7B85" w:rsidRDefault="002F7B85" w:rsidP="002F7B85">
      <w:pPr>
        <w:pStyle w:val="BodyText1"/>
      </w:pPr>
    </w:p>
    <w:p w:rsidR="002F7B85" w:rsidRDefault="002F7B85" w:rsidP="002F7B85">
      <w:pPr>
        <w:jc w:val="center"/>
        <w:rPr>
          <w:noProof/>
        </w:rPr>
      </w:pPr>
      <w:r>
        <w:rPr>
          <w:noProof/>
        </w:rPr>
        <w:lastRenderedPageBreak/>
        <w:drawing>
          <wp:inline distT="0" distB="0" distL="0" distR="0" wp14:anchorId="677DA7A7" wp14:editId="5A959BFD">
            <wp:extent cx="4584700" cy="2755900"/>
            <wp:effectExtent l="0" t="0" r="6350" b="6350"/>
            <wp:docPr id="11932" name="Picture 1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2F7B85" w:rsidRDefault="002F7B85" w:rsidP="002F7B85"/>
    <w:p w:rsidR="002F7B85" w:rsidRDefault="002F7B85" w:rsidP="002F7B85"/>
    <w:p w:rsidR="002F7B85" w:rsidRDefault="002F7B85" w:rsidP="002F7B85">
      <w:r>
        <w:t xml:space="preserve">Legenda: </w:t>
      </w:r>
    </w:p>
    <w:p w:rsidR="002F7B85" w:rsidRDefault="002F7B85" w:rsidP="002F7B85">
      <w:pPr>
        <w:pStyle w:val="Odstavecseseznamem"/>
        <w:numPr>
          <w:ilvl w:val="0"/>
          <w:numId w:val="76"/>
        </w:numPr>
        <w:overflowPunct/>
        <w:autoSpaceDE/>
        <w:autoSpaceDN/>
        <w:adjustRightInd/>
        <w:contextualSpacing w:val="0"/>
        <w:textAlignment w:val="auto"/>
      </w:pPr>
      <w:r>
        <w:t>Modré sloupce representují postupné čerpání alokace OPPIK, vyčleněné v rámci sledovaného specifického cíle pro finanční nástroj.</w:t>
      </w:r>
    </w:p>
    <w:p w:rsidR="002F7B85" w:rsidRDefault="002F7B85" w:rsidP="002F7B85">
      <w:pPr>
        <w:pStyle w:val="Odstavecseseznamem"/>
        <w:numPr>
          <w:ilvl w:val="0"/>
          <w:numId w:val="76"/>
        </w:numPr>
        <w:overflowPunct/>
        <w:autoSpaceDE/>
        <w:autoSpaceDN/>
        <w:adjustRightInd/>
        <w:contextualSpacing w:val="0"/>
        <w:textAlignment w:val="auto"/>
      </w:pPr>
      <w:r>
        <w:t>Zelené sloupce representují čerpání zdrojů, které byly vráceny v rámci splátek jistiny a úroků poskytnutých zdrojů původní alokace. K čerpání těchto zdrojů dochází bezprostředně po vyčerpání původní alokace určené pro IFN. Znázornění je provedeno reverzně, kdy první sloupec znázorňuje celkovou výši vyčerpaných revolvingových zdrojů za programové období, čerpání v jednotlivých letech representuje rozdíl mezi sloupcem „x a x+1“.</w:t>
      </w:r>
    </w:p>
    <w:p w:rsidR="002F7B85" w:rsidRDefault="002F7B85" w:rsidP="002F7B85">
      <w:pPr>
        <w:pStyle w:val="Odstavecseseznamem"/>
        <w:numPr>
          <w:ilvl w:val="0"/>
          <w:numId w:val="76"/>
        </w:numPr>
        <w:overflowPunct/>
        <w:autoSpaceDE/>
        <w:autoSpaceDN/>
        <w:adjustRightInd/>
        <w:contextualSpacing w:val="0"/>
        <w:textAlignment w:val="auto"/>
      </w:pPr>
      <w:r>
        <w:t>Modrá křivka representuje kumulaci navrácených zdrojů v absolutní výši.</w:t>
      </w:r>
    </w:p>
    <w:p w:rsidR="002F7B85" w:rsidRDefault="002F7B85" w:rsidP="002F7B85">
      <w:pPr>
        <w:tabs>
          <w:tab w:val="left" w:pos="1050"/>
          <w:tab w:val="left" w:pos="1680"/>
        </w:tabs>
        <w:rPr>
          <w:noProof/>
        </w:rPr>
      </w:pPr>
      <w:r>
        <w:rPr>
          <w:noProof/>
        </w:rPr>
        <w:tab/>
      </w:r>
    </w:p>
    <w:tbl>
      <w:tblPr>
        <w:tblStyle w:val="TableGridLight1"/>
        <w:tblW w:w="5613" w:type="dxa"/>
        <w:jc w:val="center"/>
        <w:tblLook w:val="04A0" w:firstRow="1" w:lastRow="0" w:firstColumn="1" w:lastColumn="0" w:noHBand="0" w:noVBand="1"/>
      </w:tblPr>
      <w:tblGrid>
        <w:gridCol w:w="4252"/>
        <w:gridCol w:w="1361"/>
      </w:tblGrid>
      <w:tr w:rsidR="002F7B85" w:rsidRPr="009F3E04" w:rsidTr="002E3AE9">
        <w:trPr>
          <w:trHeight w:val="240"/>
          <w:jc w:val="center"/>
        </w:trPr>
        <w:tc>
          <w:tcPr>
            <w:tcW w:w="4252" w:type="dxa"/>
            <w:noWrap/>
            <w:vAlign w:val="center"/>
            <w:hideMark/>
          </w:tcPr>
          <w:p w:rsidR="002F7B85" w:rsidRPr="00E75D0A" w:rsidRDefault="002F7B85" w:rsidP="002E3AE9">
            <w:pPr>
              <w:jc w:val="left"/>
              <w:rPr>
                <w:color w:val="000000"/>
                <w:sz w:val="18"/>
                <w:szCs w:val="18"/>
                <w:lang w:val="cs-CZ" w:eastAsia="cs-CZ"/>
              </w:rPr>
            </w:pPr>
            <w:r w:rsidRPr="00E75D0A">
              <w:rPr>
                <w:color w:val="000000"/>
                <w:sz w:val="18"/>
                <w:szCs w:val="18"/>
                <w:lang w:val="cs-CZ" w:eastAsia="cs-CZ"/>
              </w:rPr>
              <w:t>Alokace OPPIK (mil. Kč)</w:t>
            </w:r>
          </w:p>
        </w:tc>
        <w:tc>
          <w:tcPr>
            <w:tcW w:w="1361" w:type="dxa"/>
            <w:noWrap/>
            <w:vAlign w:val="center"/>
            <w:hideMark/>
          </w:tcPr>
          <w:p w:rsidR="002F7B85" w:rsidRPr="00E75D0A" w:rsidRDefault="002F7B85" w:rsidP="002E3AE9">
            <w:pPr>
              <w:jc w:val="right"/>
              <w:rPr>
                <w:color w:val="000000"/>
                <w:sz w:val="18"/>
                <w:szCs w:val="18"/>
                <w:lang w:val="cs-CZ" w:eastAsia="cs-CZ"/>
              </w:rPr>
            </w:pPr>
            <w:r>
              <w:rPr>
                <w:color w:val="000000"/>
                <w:sz w:val="18"/>
                <w:szCs w:val="18"/>
                <w:lang w:val="cs-CZ" w:eastAsia="cs-CZ"/>
              </w:rPr>
              <w:t>442</w:t>
            </w:r>
          </w:p>
        </w:tc>
      </w:tr>
      <w:tr w:rsidR="002F7B85" w:rsidRPr="009F3E04" w:rsidTr="002E3AE9">
        <w:trPr>
          <w:trHeight w:val="240"/>
          <w:jc w:val="center"/>
        </w:trPr>
        <w:tc>
          <w:tcPr>
            <w:tcW w:w="4252" w:type="dxa"/>
            <w:noWrap/>
            <w:vAlign w:val="center"/>
            <w:hideMark/>
          </w:tcPr>
          <w:p w:rsidR="002F7B85" w:rsidRPr="00E75D0A" w:rsidRDefault="002F7B85" w:rsidP="002E3AE9">
            <w:pPr>
              <w:jc w:val="left"/>
              <w:rPr>
                <w:color w:val="000000"/>
                <w:sz w:val="18"/>
                <w:szCs w:val="18"/>
                <w:lang w:val="cs-CZ" w:eastAsia="cs-CZ"/>
              </w:rPr>
            </w:pPr>
            <w:r w:rsidRPr="00E75D0A">
              <w:rPr>
                <w:color w:val="000000"/>
                <w:sz w:val="18"/>
                <w:szCs w:val="18"/>
                <w:lang w:val="cs-CZ" w:eastAsia="cs-CZ"/>
              </w:rPr>
              <w:t>Úrok zdrojů poskytovaných z OPPIK</w:t>
            </w:r>
          </w:p>
        </w:tc>
        <w:tc>
          <w:tcPr>
            <w:tcW w:w="1361" w:type="dxa"/>
            <w:noWrap/>
            <w:vAlign w:val="center"/>
            <w:hideMark/>
          </w:tcPr>
          <w:p w:rsidR="002F7B85" w:rsidRPr="00E75D0A" w:rsidRDefault="002F7B85" w:rsidP="002E3AE9">
            <w:pPr>
              <w:jc w:val="right"/>
              <w:rPr>
                <w:color w:val="000000"/>
                <w:sz w:val="18"/>
                <w:szCs w:val="18"/>
                <w:lang w:val="cs-CZ" w:eastAsia="cs-CZ"/>
              </w:rPr>
            </w:pPr>
            <w:r w:rsidRPr="00E75D0A">
              <w:rPr>
                <w:color w:val="000000"/>
                <w:sz w:val="18"/>
                <w:szCs w:val="18"/>
                <w:lang w:val="cs-CZ" w:eastAsia="cs-CZ"/>
              </w:rPr>
              <w:t>0,50 %</w:t>
            </w:r>
          </w:p>
        </w:tc>
      </w:tr>
      <w:tr w:rsidR="002F7B85" w:rsidRPr="009F3E04" w:rsidTr="002E3AE9">
        <w:trPr>
          <w:trHeight w:val="240"/>
          <w:jc w:val="center"/>
        </w:trPr>
        <w:tc>
          <w:tcPr>
            <w:tcW w:w="4252" w:type="dxa"/>
            <w:noWrap/>
            <w:vAlign w:val="center"/>
            <w:hideMark/>
          </w:tcPr>
          <w:p w:rsidR="002F7B85" w:rsidRPr="00E75D0A" w:rsidRDefault="002F7B85" w:rsidP="002E3AE9">
            <w:pPr>
              <w:jc w:val="left"/>
              <w:rPr>
                <w:color w:val="000000"/>
                <w:sz w:val="18"/>
                <w:szCs w:val="18"/>
                <w:lang w:val="cs-CZ" w:eastAsia="cs-CZ"/>
              </w:rPr>
            </w:pPr>
            <w:r w:rsidRPr="00E75D0A">
              <w:rPr>
                <w:color w:val="000000"/>
                <w:sz w:val="18"/>
                <w:szCs w:val="18"/>
                <w:lang w:val="cs-CZ" w:eastAsia="cs-CZ"/>
              </w:rPr>
              <w:t>Požadovaný úrok spolufinancujícího subjektu</w:t>
            </w:r>
          </w:p>
        </w:tc>
        <w:tc>
          <w:tcPr>
            <w:tcW w:w="1361" w:type="dxa"/>
            <w:noWrap/>
            <w:vAlign w:val="center"/>
            <w:hideMark/>
          </w:tcPr>
          <w:p w:rsidR="002F7B85" w:rsidRPr="00E75D0A" w:rsidRDefault="002F7B85" w:rsidP="002E3AE9">
            <w:pPr>
              <w:jc w:val="right"/>
              <w:rPr>
                <w:color w:val="000000"/>
                <w:sz w:val="18"/>
                <w:szCs w:val="18"/>
                <w:lang w:val="cs-CZ" w:eastAsia="cs-CZ"/>
              </w:rPr>
            </w:pPr>
            <w:r>
              <w:rPr>
                <w:color w:val="000000"/>
                <w:sz w:val="18"/>
                <w:szCs w:val="18"/>
                <w:lang w:val="cs-CZ" w:eastAsia="cs-CZ"/>
              </w:rPr>
              <w:t>2,00</w:t>
            </w:r>
            <w:r w:rsidRPr="00E75D0A">
              <w:rPr>
                <w:color w:val="000000"/>
                <w:sz w:val="18"/>
                <w:szCs w:val="18"/>
                <w:lang w:val="cs-CZ" w:eastAsia="cs-CZ"/>
              </w:rPr>
              <w:t xml:space="preserve"> %</w:t>
            </w:r>
          </w:p>
        </w:tc>
      </w:tr>
      <w:tr w:rsidR="002F7B85" w:rsidRPr="009F3E04" w:rsidTr="002E3AE9">
        <w:trPr>
          <w:trHeight w:val="240"/>
          <w:jc w:val="center"/>
        </w:trPr>
        <w:tc>
          <w:tcPr>
            <w:tcW w:w="4252" w:type="dxa"/>
            <w:noWrap/>
            <w:vAlign w:val="center"/>
            <w:hideMark/>
          </w:tcPr>
          <w:p w:rsidR="002F7B85" w:rsidRPr="00E75D0A" w:rsidRDefault="002F7B85" w:rsidP="002E3AE9">
            <w:pPr>
              <w:jc w:val="left"/>
              <w:rPr>
                <w:color w:val="000000"/>
                <w:sz w:val="18"/>
                <w:szCs w:val="18"/>
                <w:lang w:val="cs-CZ" w:eastAsia="cs-CZ"/>
              </w:rPr>
            </w:pPr>
            <w:r w:rsidRPr="00E75D0A">
              <w:rPr>
                <w:color w:val="000000"/>
                <w:sz w:val="18"/>
                <w:szCs w:val="18"/>
                <w:lang w:val="cs-CZ" w:eastAsia="cs-CZ"/>
              </w:rPr>
              <w:t>Limit výše výsledné úrokové míry úvěru příjemci</w:t>
            </w:r>
          </w:p>
        </w:tc>
        <w:tc>
          <w:tcPr>
            <w:tcW w:w="1361" w:type="dxa"/>
            <w:noWrap/>
            <w:vAlign w:val="center"/>
            <w:hideMark/>
          </w:tcPr>
          <w:p w:rsidR="002F7B85" w:rsidRPr="00E75D0A" w:rsidRDefault="002F7B85" w:rsidP="002E3AE9">
            <w:pPr>
              <w:jc w:val="right"/>
              <w:rPr>
                <w:color w:val="000000"/>
                <w:sz w:val="18"/>
                <w:szCs w:val="18"/>
                <w:lang w:val="cs-CZ" w:eastAsia="cs-CZ"/>
              </w:rPr>
            </w:pPr>
            <w:r>
              <w:rPr>
                <w:color w:val="000000"/>
                <w:sz w:val="18"/>
                <w:szCs w:val="18"/>
                <w:lang w:val="cs-CZ" w:eastAsia="cs-CZ"/>
              </w:rPr>
              <w:t>1</w:t>
            </w:r>
            <w:r w:rsidRPr="00E75D0A">
              <w:rPr>
                <w:color w:val="000000"/>
                <w:sz w:val="18"/>
                <w:szCs w:val="18"/>
                <w:lang w:val="cs-CZ" w:eastAsia="cs-CZ"/>
              </w:rPr>
              <w:t xml:space="preserve"> %</w:t>
            </w:r>
          </w:p>
        </w:tc>
      </w:tr>
      <w:tr w:rsidR="002F7B85" w:rsidRPr="009F3E04" w:rsidTr="002E3AE9">
        <w:trPr>
          <w:trHeight w:val="240"/>
          <w:jc w:val="center"/>
        </w:trPr>
        <w:tc>
          <w:tcPr>
            <w:tcW w:w="4252" w:type="dxa"/>
            <w:noWrap/>
            <w:vAlign w:val="center"/>
            <w:hideMark/>
          </w:tcPr>
          <w:p w:rsidR="002F7B85" w:rsidRPr="00E75D0A" w:rsidRDefault="002F7B85" w:rsidP="002E3AE9">
            <w:pPr>
              <w:jc w:val="left"/>
              <w:rPr>
                <w:color w:val="000000"/>
                <w:sz w:val="18"/>
                <w:szCs w:val="18"/>
                <w:lang w:val="cs-CZ" w:eastAsia="cs-CZ"/>
              </w:rPr>
            </w:pPr>
            <w:r w:rsidRPr="00E75D0A">
              <w:rPr>
                <w:color w:val="000000"/>
                <w:sz w:val="18"/>
                <w:szCs w:val="18"/>
                <w:lang w:val="cs-CZ" w:eastAsia="cs-CZ"/>
              </w:rPr>
              <w:t>Míra zapojení spolufinancujícího subjektu</w:t>
            </w:r>
          </w:p>
        </w:tc>
        <w:tc>
          <w:tcPr>
            <w:tcW w:w="1361" w:type="dxa"/>
            <w:noWrap/>
            <w:vAlign w:val="center"/>
            <w:hideMark/>
          </w:tcPr>
          <w:p w:rsidR="002F7B85" w:rsidRPr="00E75D0A" w:rsidRDefault="002F7B85" w:rsidP="002E3AE9">
            <w:pPr>
              <w:jc w:val="right"/>
              <w:rPr>
                <w:color w:val="000000"/>
                <w:sz w:val="18"/>
                <w:szCs w:val="18"/>
                <w:lang w:val="cs-CZ" w:eastAsia="cs-CZ"/>
              </w:rPr>
            </w:pPr>
            <w:r>
              <w:rPr>
                <w:color w:val="000000"/>
                <w:sz w:val="18"/>
                <w:szCs w:val="18"/>
                <w:lang w:val="cs-CZ" w:eastAsia="cs-CZ"/>
              </w:rPr>
              <w:t>33,33</w:t>
            </w:r>
            <w:r w:rsidRPr="00E75D0A">
              <w:rPr>
                <w:color w:val="000000"/>
                <w:sz w:val="18"/>
                <w:szCs w:val="18"/>
                <w:lang w:val="cs-CZ" w:eastAsia="cs-CZ"/>
              </w:rPr>
              <w:t xml:space="preserve"> %</w:t>
            </w:r>
          </w:p>
        </w:tc>
      </w:tr>
      <w:tr w:rsidR="002F7B85" w:rsidRPr="009F3E04" w:rsidTr="002E3AE9">
        <w:trPr>
          <w:trHeight w:val="240"/>
          <w:jc w:val="center"/>
        </w:trPr>
        <w:tc>
          <w:tcPr>
            <w:tcW w:w="4252" w:type="dxa"/>
            <w:noWrap/>
            <w:vAlign w:val="center"/>
            <w:hideMark/>
          </w:tcPr>
          <w:p w:rsidR="002F7B85" w:rsidRPr="00E75D0A" w:rsidRDefault="002F7B85" w:rsidP="002E3AE9">
            <w:pPr>
              <w:jc w:val="left"/>
              <w:rPr>
                <w:color w:val="000000"/>
                <w:sz w:val="18"/>
                <w:szCs w:val="18"/>
                <w:lang w:val="cs-CZ" w:eastAsia="cs-CZ"/>
              </w:rPr>
            </w:pPr>
            <w:r w:rsidRPr="00E75D0A">
              <w:rPr>
                <w:color w:val="000000"/>
                <w:sz w:val="18"/>
                <w:szCs w:val="18"/>
                <w:lang w:val="cs-CZ" w:eastAsia="cs-CZ"/>
              </w:rPr>
              <w:t>Splatnost úvěru</w:t>
            </w:r>
          </w:p>
        </w:tc>
        <w:tc>
          <w:tcPr>
            <w:tcW w:w="1361" w:type="dxa"/>
            <w:noWrap/>
            <w:vAlign w:val="center"/>
            <w:hideMark/>
          </w:tcPr>
          <w:p w:rsidR="002F7B85" w:rsidRPr="00E75D0A" w:rsidRDefault="002F7B85" w:rsidP="002E3AE9">
            <w:pPr>
              <w:jc w:val="right"/>
              <w:rPr>
                <w:color w:val="000000"/>
                <w:sz w:val="18"/>
                <w:szCs w:val="18"/>
                <w:lang w:val="cs-CZ" w:eastAsia="cs-CZ"/>
              </w:rPr>
            </w:pPr>
            <w:r>
              <w:rPr>
                <w:color w:val="000000"/>
                <w:sz w:val="18"/>
                <w:szCs w:val="18"/>
                <w:lang w:val="cs-CZ" w:eastAsia="cs-CZ"/>
              </w:rPr>
              <w:t>5</w:t>
            </w:r>
          </w:p>
        </w:tc>
      </w:tr>
    </w:tbl>
    <w:p w:rsidR="002F7B85" w:rsidRDefault="002F7B85" w:rsidP="002F7B85"/>
    <w:tbl>
      <w:tblPr>
        <w:tblStyle w:val="TableGridLight1"/>
        <w:tblW w:w="5617" w:type="dxa"/>
        <w:jc w:val="center"/>
        <w:tblLook w:val="04A0" w:firstRow="1" w:lastRow="0" w:firstColumn="1" w:lastColumn="0" w:noHBand="0" w:noVBand="1"/>
      </w:tblPr>
      <w:tblGrid>
        <w:gridCol w:w="4256"/>
        <w:gridCol w:w="1361"/>
      </w:tblGrid>
      <w:tr w:rsidR="002F7B85" w:rsidRPr="009F3E04" w:rsidTr="002E3AE9">
        <w:trPr>
          <w:trHeight w:val="240"/>
          <w:jc w:val="center"/>
        </w:trPr>
        <w:tc>
          <w:tcPr>
            <w:tcW w:w="4256" w:type="dxa"/>
            <w:noWrap/>
            <w:vAlign w:val="center"/>
            <w:hideMark/>
          </w:tcPr>
          <w:p w:rsidR="002F7B85" w:rsidRPr="00E75D0A" w:rsidRDefault="002F7B85" w:rsidP="002E3AE9">
            <w:pPr>
              <w:keepNext/>
              <w:jc w:val="left"/>
              <w:rPr>
                <w:color w:val="000000"/>
                <w:sz w:val="18"/>
                <w:szCs w:val="18"/>
                <w:lang w:val="cs-CZ" w:eastAsia="cs-CZ"/>
              </w:rPr>
            </w:pPr>
            <w:r w:rsidRPr="00E75D0A">
              <w:rPr>
                <w:color w:val="000000"/>
                <w:sz w:val="18"/>
                <w:szCs w:val="18"/>
                <w:lang w:val="cs-CZ" w:eastAsia="cs-CZ"/>
              </w:rPr>
              <w:t>Celkem proinvestováno - milník rok 2018</w:t>
            </w:r>
          </w:p>
        </w:tc>
        <w:tc>
          <w:tcPr>
            <w:tcW w:w="1361" w:type="dxa"/>
            <w:noWrap/>
            <w:vAlign w:val="center"/>
            <w:hideMark/>
          </w:tcPr>
          <w:p w:rsidR="002F7B85" w:rsidRPr="00E75D0A" w:rsidRDefault="002F7B85" w:rsidP="002E3AE9">
            <w:pPr>
              <w:keepNext/>
              <w:jc w:val="right"/>
              <w:rPr>
                <w:color w:val="000000"/>
                <w:sz w:val="18"/>
                <w:szCs w:val="18"/>
                <w:lang w:val="cs-CZ" w:eastAsia="cs-CZ"/>
              </w:rPr>
            </w:pPr>
            <w:r>
              <w:rPr>
                <w:color w:val="000000"/>
                <w:sz w:val="18"/>
                <w:szCs w:val="18"/>
                <w:lang w:val="cs-CZ" w:eastAsia="cs-CZ"/>
              </w:rPr>
              <w:t xml:space="preserve"> 662</w:t>
            </w:r>
            <w:r w:rsidRPr="00E75D0A">
              <w:rPr>
                <w:color w:val="000000"/>
                <w:sz w:val="18"/>
                <w:szCs w:val="18"/>
                <w:lang w:val="cs-CZ" w:eastAsia="cs-CZ"/>
              </w:rPr>
              <w:t xml:space="preserve"> mil. Kč</w:t>
            </w:r>
          </w:p>
        </w:tc>
      </w:tr>
      <w:tr w:rsidR="002F7B85" w:rsidRPr="009F3E04" w:rsidTr="002E3AE9">
        <w:trPr>
          <w:trHeight w:val="240"/>
          <w:jc w:val="center"/>
        </w:trPr>
        <w:tc>
          <w:tcPr>
            <w:tcW w:w="4256" w:type="dxa"/>
            <w:noWrap/>
            <w:vAlign w:val="center"/>
            <w:hideMark/>
          </w:tcPr>
          <w:p w:rsidR="002F7B85" w:rsidRPr="00E75D0A" w:rsidRDefault="002F7B85" w:rsidP="002E3AE9">
            <w:pPr>
              <w:keepNext/>
              <w:jc w:val="left"/>
              <w:rPr>
                <w:color w:val="000000"/>
                <w:sz w:val="18"/>
                <w:szCs w:val="18"/>
                <w:lang w:val="cs-CZ" w:eastAsia="cs-CZ"/>
              </w:rPr>
            </w:pPr>
            <w:r w:rsidRPr="00E75D0A">
              <w:rPr>
                <w:color w:val="000000"/>
                <w:sz w:val="18"/>
                <w:szCs w:val="18"/>
                <w:lang w:val="cs-CZ" w:eastAsia="cs-CZ"/>
              </w:rPr>
              <w:t>Celkem proinvestováno - konec období rok 2023</w:t>
            </w:r>
          </w:p>
        </w:tc>
        <w:tc>
          <w:tcPr>
            <w:tcW w:w="1361" w:type="dxa"/>
            <w:noWrap/>
            <w:vAlign w:val="center"/>
            <w:hideMark/>
          </w:tcPr>
          <w:p w:rsidR="002F7B85" w:rsidRPr="00E75D0A" w:rsidRDefault="002F7B85" w:rsidP="002E3AE9">
            <w:pPr>
              <w:keepNext/>
              <w:jc w:val="right"/>
              <w:rPr>
                <w:color w:val="000000"/>
                <w:sz w:val="18"/>
                <w:szCs w:val="18"/>
                <w:lang w:val="cs-CZ" w:eastAsia="cs-CZ"/>
              </w:rPr>
            </w:pPr>
            <w:r>
              <w:rPr>
                <w:color w:val="000000"/>
                <w:sz w:val="18"/>
                <w:szCs w:val="18"/>
                <w:lang w:val="cs-CZ" w:eastAsia="cs-CZ"/>
              </w:rPr>
              <w:t>1 758</w:t>
            </w:r>
            <w:r w:rsidRPr="00E75D0A">
              <w:rPr>
                <w:color w:val="000000"/>
                <w:sz w:val="18"/>
                <w:szCs w:val="18"/>
                <w:lang w:val="cs-CZ" w:eastAsia="cs-CZ"/>
              </w:rPr>
              <w:t xml:space="preserve"> mil. Kč</w:t>
            </w:r>
          </w:p>
        </w:tc>
      </w:tr>
      <w:tr w:rsidR="002F7B85" w:rsidRPr="009F3E04" w:rsidTr="002E3AE9">
        <w:trPr>
          <w:trHeight w:val="240"/>
          <w:jc w:val="center"/>
        </w:trPr>
        <w:tc>
          <w:tcPr>
            <w:tcW w:w="4256" w:type="dxa"/>
            <w:noWrap/>
            <w:vAlign w:val="center"/>
            <w:hideMark/>
          </w:tcPr>
          <w:p w:rsidR="002F7B85" w:rsidRPr="00793F87" w:rsidRDefault="002F7B85" w:rsidP="002E3AE9">
            <w:pPr>
              <w:keepNext/>
              <w:jc w:val="left"/>
              <w:rPr>
                <w:color w:val="000000"/>
                <w:sz w:val="18"/>
                <w:szCs w:val="18"/>
                <w:lang w:val="cs-CZ" w:eastAsia="cs-CZ"/>
              </w:rPr>
            </w:pPr>
            <w:r w:rsidRPr="00793F87">
              <w:rPr>
                <w:color w:val="000000"/>
                <w:sz w:val="18"/>
                <w:szCs w:val="18"/>
                <w:lang w:val="cs-CZ" w:eastAsia="cs-CZ"/>
              </w:rPr>
              <w:t>Disponibilní prostředky v roce 2027</w:t>
            </w:r>
          </w:p>
        </w:tc>
        <w:tc>
          <w:tcPr>
            <w:tcW w:w="1361" w:type="dxa"/>
            <w:noWrap/>
            <w:vAlign w:val="center"/>
            <w:hideMark/>
          </w:tcPr>
          <w:p w:rsidR="002F7B85" w:rsidRPr="00793F87" w:rsidRDefault="002F7B85" w:rsidP="002E3AE9">
            <w:pPr>
              <w:keepNext/>
              <w:jc w:val="right"/>
              <w:rPr>
                <w:color w:val="000000"/>
                <w:sz w:val="18"/>
                <w:szCs w:val="18"/>
                <w:lang w:val="cs-CZ" w:eastAsia="cs-CZ"/>
              </w:rPr>
            </w:pPr>
            <w:r>
              <w:rPr>
                <w:color w:val="000000"/>
                <w:sz w:val="18"/>
                <w:szCs w:val="18"/>
                <w:lang w:val="cs-CZ" w:eastAsia="cs-CZ"/>
              </w:rPr>
              <w:t>442</w:t>
            </w:r>
            <w:r w:rsidRPr="00793F87">
              <w:rPr>
                <w:color w:val="000000"/>
                <w:sz w:val="18"/>
                <w:szCs w:val="18"/>
                <w:lang w:val="cs-CZ" w:eastAsia="cs-CZ"/>
              </w:rPr>
              <w:t xml:space="preserve"> mil. Kč</w:t>
            </w:r>
          </w:p>
        </w:tc>
      </w:tr>
      <w:tr w:rsidR="002F7B85" w:rsidRPr="009F3E04" w:rsidTr="002E3AE9">
        <w:trPr>
          <w:trHeight w:val="240"/>
          <w:jc w:val="center"/>
        </w:trPr>
        <w:tc>
          <w:tcPr>
            <w:tcW w:w="4256" w:type="dxa"/>
            <w:noWrap/>
            <w:vAlign w:val="center"/>
            <w:hideMark/>
          </w:tcPr>
          <w:p w:rsidR="002F7B85" w:rsidRPr="00E75D0A" w:rsidRDefault="002F7B85" w:rsidP="002E3AE9">
            <w:pPr>
              <w:keepNext/>
              <w:jc w:val="left"/>
              <w:rPr>
                <w:color w:val="000000"/>
                <w:sz w:val="18"/>
                <w:szCs w:val="18"/>
                <w:lang w:val="cs-CZ" w:eastAsia="cs-CZ"/>
              </w:rPr>
            </w:pPr>
            <w:r w:rsidRPr="00E75D0A">
              <w:rPr>
                <w:color w:val="000000"/>
                <w:sz w:val="18"/>
                <w:szCs w:val="18"/>
                <w:lang w:val="cs-CZ" w:eastAsia="cs-CZ"/>
              </w:rPr>
              <w:t>Přidaná hodnota</w:t>
            </w:r>
          </w:p>
        </w:tc>
        <w:tc>
          <w:tcPr>
            <w:tcW w:w="1361" w:type="dxa"/>
            <w:noWrap/>
            <w:vAlign w:val="center"/>
            <w:hideMark/>
          </w:tcPr>
          <w:p w:rsidR="002F7B85" w:rsidRPr="00E75D0A" w:rsidRDefault="002F7B85" w:rsidP="002E3AE9">
            <w:pPr>
              <w:keepNext/>
              <w:jc w:val="right"/>
              <w:rPr>
                <w:color w:val="000000"/>
                <w:sz w:val="18"/>
                <w:szCs w:val="18"/>
                <w:lang w:val="cs-CZ" w:eastAsia="cs-CZ"/>
              </w:rPr>
            </w:pPr>
            <w:r>
              <w:rPr>
                <w:color w:val="000000"/>
                <w:sz w:val="18"/>
                <w:szCs w:val="18"/>
                <w:lang w:val="cs-CZ" w:eastAsia="cs-CZ"/>
              </w:rPr>
              <w:t>3,98</w:t>
            </w:r>
          </w:p>
        </w:tc>
      </w:tr>
      <w:tr w:rsidR="002F7B85" w:rsidRPr="009F3E04" w:rsidTr="002E3AE9">
        <w:trPr>
          <w:trHeight w:val="240"/>
          <w:jc w:val="center"/>
        </w:trPr>
        <w:tc>
          <w:tcPr>
            <w:tcW w:w="4256" w:type="dxa"/>
            <w:noWrap/>
            <w:vAlign w:val="center"/>
            <w:hideMark/>
          </w:tcPr>
          <w:p w:rsidR="002F7B85" w:rsidRPr="00E75D0A" w:rsidRDefault="002F7B85" w:rsidP="002E3AE9">
            <w:pPr>
              <w:keepNext/>
              <w:jc w:val="left"/>
              <w:rPr>
                <w:color w:val="000000"/>
                <w:sz w:val="18"/>
                <w:szCs w:val="18"/>
                <w:lang w:val="cs-CZ" w:eastAsia="cs-CZ"/>
              </w:rPr>
            </w:pPr>
            <w:r w:rsidRPr="00E75D0A">
              <w:rPr>
                <w:color w:val="000000"/>
                <w:sz w:val="18"/>
                <w:szCs w:val="18"/>
                <w:lang w:val="cs-CZ" w:eastAsia="cs-CZ"/>
              </w:rPr>
              <w:t>Pákový efekt</w:t>
            </w:r>
          </w:p>
        </w:tc>
        <w:tc>
          <w:tcPr>
            <w:tcW w:w="1361" w:type="dxa"/>
            <w:noWrap/>
            <w:vAlign w:val="center"/>
            <w:hideMark/>
          </w:tcPr>
          <w:p w:rsidR="002F7B85" w:rsidRPr="00E75D0A" w:rsidRDefault="002F7B85" w:rsidP="002E3AE9">
            <w:pPr>
              <w:keepNext/>
              <w:jc w:val="right"/>
              <w:rPr>
                <w:color w:val="000000"/>
                <w:sz w:val="18"/>
                <w:szCs w:val="18"/>
                <w:lang w:val="cs-CZ" w:eastAsia="cs-CZ"/>
              </w:rPr>
            </w:pPr>
            <w:r>
              <w:rPr>
                <w:color w:val="000000"/>
                <w:sz w:val="18"/>
                <w:szCs w:val="18"/>
                <w:lang w:val="cs-CZ" w:eastAsia="cs-CZ"/>
              </w:rPr>
              <w:t>1,5</w:t>
            </w:r>
          </w:p>
        </w:tc>
      </w:tr>
      <w:tr w:rsidR="002F7B85" w:rsidRPr="009F3E04" w:rsidTr="002E3AE9">
        <w:trPr>
          <w:trHeight w:val="240"/>
          <w:jc w:val="center"/>
        </w:trPr>
        <w:tc>
          <w:tcPr>
            <w:tcW w:w="4256" w:type="dxa"/>
            <w:noWrap/>
            <w:vAlign w:val="center"/>
            <w:hideMark/>
          </w:tcPr>
          <w:p w:rsidR="002F7B85" w:rsidRPr="00E75D0A" w:rsidRDefault="002F7B85" w:rsidP="002E3AE9">
            <w:pPr>
              <w:keepNext/>
              <w:jc w:val="left"/>
              <w:rPr>
                <w:color w:val="000000"/>
                <w:sz w:val="18"/>
                <w:szCs w:val="18"/>
                <w:lang w:val="cs-CZ" w:eastAsia="cs-CZ"/>
              </w:rPr>
            </w:pPr>
            <w:r w:rsidRPr="00E75D0A">
              <w:rPr>
                <w:color w:val="000000"/>
                <w:sz w:val="18"/>
                <w:szCs w:val="18"/>
                <w:lang w:val="cs-CZ" w:eastAsia="cs-CZ"/>
              </w:rPr>
              <w:t>Revolving</w:t>
            </w:r>
            <w:r>
              <w:rPr>
                <w:color w:val="000000"/>
                <w:sz w:val="18"/>
                <w:szCs w:val="18"/>
                <w:lang w:val="cs-CZ" w:eastAsia="cs-CZ"/>
              </w:rPr>
              <w:t>ový efekt</w:t>
            </w:r>
          </w:p>
        </w:tc>
        <w:tc>
          <w:tcPr>
            <w:tcW w:w="1361" w:type="dxa"/>
            <w:noWrap/>
            <w:vAlign w:val="center"/>
            <w:hideMark/>
          </w:tcPr>
          <w:p w:rsidR="002F7B85" w:rsidRPr="00E75D0A" w:rsidRDefault="002F7B85" w:rsidP="002E3AE9">
            <w:pPr>
              <w:keepNext/>
              <w:jc w:val="right"/>
              <w:rPr>
                <w:color w:val="000000"/>
                <w:sz w:val="18"/>
                <w:szCs w:val="18"/>
                <w:lang w:val="cs-CZ" w:eastAsia="cs-CZ"/>
              </w:rPr>
            </w:pPr>
            <w:r>
              <w:rPr>
                <w:color w:val="000000"/>
                <w:sz w:val="18"/>
                <w:szCs w:val="18"/>
                <w:lang w:val="cs-CZ" w:eastAsia="cs-CZ"/>
              </w:rPr>
              <w:t>731</w:t>
            </w:r>
            <w:r w:rsidRPr="00E75D0A">
              <w:rPr>
                <w:color w:val="000000"/>
                <w:sz w:val="18"/>
                <w:szCs w:val="18"/>
                <w:lang w:val="cs-CZ" w:eastAsia="cs-CZ"/>
              </w:rPr>
              <w:t xml:space="preserve"> mil. Kč</w:t>
            </w:r>
          </w:p>
        </w:tc>
      </w:tr>
      <w:tr w:rsidR="002F7B85" w:rsidRPr="009F3E04" w:rsidTr="002E3AE9">
        <w:trPr>
          <w:trHeight w:val="240"/>
          <w:jc w:val="center"/>
        </w:trPr>
        <w:tc>
          <w:tcPr>
            <w:tcW w:w="4256" w:type="dxa"/>
            <w:noWrap/>
            <w:vAlign w:val="center"/>
          </w:tcPr>
          <w:p w:rsidR="002F7B85" w:rsidRPr="00E75D0A" w:rsidRDefault="002F7B85" w:rsidP="002E3AE9">
            <w:pPr>
              <w:keepNext/>
              <w:jc w:val="left"/>
              <w:rPr>
                <w:color w:val="000000"/>
                <w:sz w:val="18"/>
                <w:szCs w:val="18"/>
                <w:lang w:eastAsia="cs-CZ"/>
              </w:rPr>
            </w:pPr>
            <w:r w:rsidRPr="00E75D0A">
              <w:rPr>
                <w:color w:val="000000"/>
                <w:sz w:val="18"/>
                <w:szCs w:val="18"/>
                <w:lang w:val="cs-CZ" w:eastAsia="cs-CZ"/>
              </w:rPr>
              <w:t>Revolving</w:t>
            </w:r>
            <w:r>
              <w:rPr>
                <w:color w:val="000000"/>
                <w:sz w:val="18"/>
                <w:szCs w:val="18"/>
                <w:lang w:val="cs-CZ" w:eastAsia="cs-CZ"/>
              </w:rPr>
              <w:t>ový efekt/ alokace OPPIK</w:t>
            </w:r>
          </w:p>
        </w:tc>
        <w:tc>
          <w:tcPr>
            <w:tcW w:w="1361" w:type="dxa"/>
            <w:noWrap/>
            <w:vAlign w:val="center"/>
          </w:tcPr>
          <w:p w:rsidR="002F7B85" w:rsidRDefault="002F7B85" w:rsidP="002E3AE9">
            <w:pPr>
              <w:keepNext/>
              <w:jc w:val="right"/>
              <w:rPr>
                <w:color w:val="000000"/>
                <w:sz w:val="18"/>
                <w:szCs w:val="18"/>
                <w:lang w:eastAsia="cs-CZ"/>
              </w:rPr>
            </w:pPr>
            <w:r>
              <w:rPr>
                <w:color w:val="000000"/>
                <w:sz w:val="18"/>
                <w:szCs w:val="18"/>
                <w:lang w:eastAsia="cs-CZ"/>
              </w:rPr>
              <w:t>165,4 %</w:t>
            </w:r>
          </w:p>
        </w:tc>
      </w:tr>
    </w:tbl>
    <w:p w:rsidR="002F7B85" w:rsidRDefault="002F7B85" w:rsidP="002F7B85">
      <w:pPr>
        <w:pStyle w:val="BodyText1"/>
        <w:jc w:val="both"/>
      </w:pPr>
    </w:p>
    <w:p w:rsidR="002F7B85" w:rsidRDefault="002F7B85" w:rsidP="002F7B85">
      <w:pPr>
        <w:pStyle w:val="BodyText1"/>
      </w:pPr>
      <w:r>
        <w:t xml:space="preserve">Revolvingový efekt, tj. kolik prostředků bude vytvořeno dodatečně splácením úvěrů a bude je možnost proinvestovat v rámci sekundárního investičního cyklu je </w:t>
      </w:r>
      <w:r w:rsidRPr="003210A2">
        <w:rPr>
          <w:b/>
        </w:rPr>
        <w:t>731 mil. Kč</w:t>
      </w:r>
      <w:r>
        <w:rPr>
          <w:b/>
        </w:rPr>
        <w:t xml:space="preserve">, </w:t>
      </w:r>
      <w:r w:rsidRPr="00274B43">
        <w:t>což odpovíd</w:t>
      </w:r>
      <w:r>
        <w:t>á</w:t>
      </w:r>
      <w:r w:rsidRPr="00274B43">
        <w:t xml:space="preserve"> podílu na alokaci ve výši </w:t>
      </w:r>
      <w:r>
        <w:t>165,4 %.</w:t>
      </w:r>
    </w:p>
    <w:p w:rsidR="002F7B85" w:rsidRDefault="002F7B85" w:rsidP="002F7B85">
      <w:pPr>
        <w:pStyle w:val="BodyText1"/>
      </w:pPr>
    </w:p>
    <w:p w:rsidR="002F7B85" w:rsidRDefault="002F7B85" w:rsidP="002F7B85">
      <w:r>
        <w:t>Následující model uvádí výsledky stejně nastaveného nástroje v případě, že by došlo k defaultu 20 % úvěrových případů v prvním roce splácení.</w:t>
      </w:r>
    </w:p>
    <w:p w:rsidR="002F7B85" w:rsidRDefault="002F7B85" w:rsidP="002F7B85">
      <w:pPr>
        <w:pStyle w:val="BodyText1"/>
      </w:pPr>
    </w:p>
    <w:p w:rsidR="002F7B85" w:rsidRPr="00274B43" w:rsidRDefault="002F7B85" w:rsidP="002F7B85">
      <w:pPr>
        <w:pStyle w:val="BodyText1"/>
        <w:jc w:val="center"/>
      </w:pPr>
      <w:r>
        <w:rPr>
          <w:b/>
          <w:noProof/>
          <w:lang w:eastAsia="cs-CZ"/>
        </w:rPr>
        <w:lastRenderedPageBreak/>
        <w:drawing>
          <wp:inline distT="0" distB="0" distL="0" distR="0" wp14:anchorId="76FECD50" wp14:editId="28175BF7">
            <wp:extent cx="4584700" cy="2755900"/>
            <wp:effectExtent l="0" t="0" r="6350" b="6350"/>
            <wp:docPr id="11934" name="Picture 1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2F7B85" w:rsidRDefault="002F7B85" w:rsidP="002F7B85">
      <w:pPr>
        <w:pStyle w:val="CaptionIntroductionparagraph"/>
      </w:pPr>
    </w:p>
    <w:tbl>
      <w:tblPr>
        <w:tblStyle w:val="TableGridLight1"/>
        <w:tblW w:w="5613" w:type="dxa"/>
        <w:jc w:val="center"/>
        <w:tblLook w:val="04A0" w:firstRow="1" w:lastRow="0" w:firstColumn="1" w:lastColumn="0" w:noHBand="0" w:noVBand="1"/>
      </w:tblPr>
      <w:tblGrid>
        <w:gridCol w:w="4252"/>
        <w:gridCol w:w="1361"/>
      </w:tblGrid>
      <w:tr w:rsidR="002F7B85" w:rsidRPr="009F3E04" w:rsidTr="002E3AE9">
        <w:trPr>
          <w:trHeight w:val="240"/>
          <w:jc w:val="center"/>
        </w:trPr>
        <w:tc>
          <w:tcPr>
            <w:tcW w:w="4252" w:type="dxa"/>
            <w:noWrap/>
            <w:vAlign w:val="center"/>
            <w:hideMark/>
          </w:tcPr>
          <w:p w:rsidR="002F7B85" w:rsidRPr="00E75D0A" w:rsidRDefault="002F7B85" w:rsidP="002E3AE9">
            <w:pPr>
              <w:jc w:val="left"/>
              <w:rPr>
                <w:color w:val="000000"/>
                <w:sz w:val="18"/>
                <w:szCs w:val="18"/>
                <w:lang w:val="cs-CZ" w:eastAsia="cs-CZ"/>
              </w:rPr>
            </w:pPr>
            <w:r w:rsidRPr="00E75D0A">
              <w:rPr>
                <w:color w:val="000000"/>
                <w:sz w:val="18"/>
                <w:szCs w:val="18"/>
                <w:lang w:val="cs-CZ" w:eastAsia="cs-CZ"/>
              </w:rPr>
              <w:t>Alokace OPPIK (mil. Kč)</w:t>
            </w:r>
          </w:p>
        </w:tc>
        <w:tc>
          <w:tcPr>
            <w:tcW w:w="1361" w:type="dxa"/>
            <w:noWrap/>
            <w:vAlign w:val="center"/>
            <w:hideMark/>
          </w:tcPr>
          <w:p w:rsidR="002F7B85" w:rsidRPr="00E75D0A" w:rsidRDefault="002F7B85" w:rsidP="002E3AE9">
            <w:pPr>
              <w:jc w:val="right"/>
              <w:rPr>
                <w:color w:val="000000"/>
                <w:sz w:val="18"/>
                <w:szCs w:val="18"/>
                <w:lang w:val="cs-CZ" w:eastAsia="cs-CZ"/>
              </w:rPr>
            </w:pPr>
            <w:r>
              <w:rPr>
                <w:color w:val="000000"/>
                <w:sz w:val="18"/>
                <w:szCs w:val="18"/>
                <w:lang w:val="cs-CZ" w:eastAsia="cs-CZ"/>
              </w:rPr>
              <w:t>442</w:t>
            </w:r>
          </w:p>
        </w:tc>
      </w:tr>
      <w:tr w:rsidR="002F7B85" w:rsidRPr="009F3E04" w:rsidTr="002E3AE9">
        <w:trPr>
          <w:trHeight w:val="240"/>
          <w:jc w:val="center"/>
        </w:trPr>
        <w:tc>
          <w:tcPr>
            <w:tcW w:w="4252" w:type="dxa"/>
            <w:noWrap/>
            <w:vAlign w:val="center"/>
            <w:hideMark/>
          </w:tcPr>
          <w:p w:rsidR="002F7B85" w:rsidRPr="00E75D0A" w:rsidRDefault="002F7B85" w:rsidP="002E3AE9">
            <w:pPr>
              <w:jc w:val="left"/>
              <w:rPr>
                <w:color w:val="000000"/>
                <w:sz w:val="18"/>
                <w:szCs w:val="18"/>
                <w:lang w:val="cs-CZ" w:eastAsia="cs-CZ"/>
              </w:rPr>
            </w:pPr>
            <w:r w:rsidRPr="00E75D0A">
              <w:rPr>
                <w:color w:val="000000"/>
                <w:sz w:val="18"/>
                <w:szCs w:val="18"/>
                <w:lang w:val="cs-CZ" w:eastAsia="cs-CZ"/>
              </w:rPr>
              <w:t>Úrok zdrojů poskytovaných z OPPIK</w:t>
            </w:r>
          </w:p>
        </w:tc>
        <w:tc>
          <w:tcPr>
            <w:tcW w:w="1361" w:type="dxa"/>
            <w:noWrap/>
            <w:vAlign w:val="center"/>
            <w:hideMark/>
          </w:tcPr>
          <w:p w:rsidR="002F7B85" w:rsidRPr="00E75D0A" w:rsidRDefault="002F7B85" w:rsidP="002E3AE9">
            <w:pPr>
              <w:jc w:val="right"/>
              <w:rPr>
                <w:color w:val="000000"/>
                <w:sz w:val="18"/>
                <w:szCs w:val="18"/>
                <w:lang w:val="cs-CZ" w:eastAsia="cs-CZ"/>
              </w:rPr>
            </w:pPr>
            <w:r w:rsidRPr="00E75D0A">
              <w:rPr>
                <w:color w:val="000000"/>
                <w:sz w:val="18"/>
                <w:szCs w:val="18"/>
                <w:lang w:val="cs-CZ" w:eastAsia="cs-CZ"/>
              </w:rPr>
              <w:t>0,50 %</w:t>
            </w:r>
          </w:p>
        </w:tc>
      </w:tr>
      <w:tr w:rsidR="002F7B85" w:rsidRPr="009F3E04" w:rsidTr="002E3AE9">
        <w:trPr>
          <w:trHeight w:val="240"/>
          <w:jc w:val="center"/>
        </w:trPr>
        <w:tc>
          <w:tcPr>
            <w:tcW w:w="4252" w:type="dxa"/>
            <w:noWrap/>
            <w:vAlign w:val="center"/>
            <w:hideMark/>
          </w:tcPr>
          <w:p w:rsidR="002F7B85" w:rsidRPr="00E75D0A" w:rsidRDefault="002F7B85" w:rsidP="002E3AE9">
            <w:pPr>
              <w:jc w:val="left"/>
              <w:rPr>
                <w:color w:val="000000"/>
                <w:sz w:val="18"/>
                <w:szCs w:val="18"/>
                <w:lang w:val="cs-CZ" w:eastAsia="cs-CZ"/>
              </w:rPr>
            </w:pPr>
            <w:r w:rsidRPr="00E75D0A">
              <w:rPr>
                <w:color w:val="000000"/>
                <w:sz w:val="18"/>
                <w:szCs w:val="18"/>
                <w:lang w:val="cs-CZ" w:eastAsia="cs-CZ"/>
              </w:rPr>
              <w:t>Požadovaný úrok spolufinancujícího subjektu</w:t>
            </w:r>
          </w:p>
        </w:tc>
        <w:tc>
          <w:tcPr>
            <w:tcW w:w="1361" w:type="dxa"/>
            <w:noWrap/>
            <w:vAlign w:val="center"/>
            <w:hideMark/>
          </w:tcPr>
          <w:p w:rsidR="002F7B85" w:rsidRPr="00E75D0A" w:rsidRDefault="002F7B85" w:rsidP="002E3AE9">
            <w:pPr>
              <w:jc w:val="right"/>
              <w:rPr>
                <w:color w:val="000000"/>
                <w:sz w:val="18"/>
                <w:szCs w:val="18"/>
                <w:lang w:val="cs-CZ" w:eastAsia="cs-CZ"/>
              </w:rPr>
            </w:pPr>
            <w:r>
              <w:rPr>
                <w:color w:val="000000"/>
                <w:sz w:val="18"/>
                <w:szCs w:val="18"/>
                <w:lang w:val="cs-CZ" w:eastAsia="cs-CZ"/>
              </w:rPr>
              <w:t>2,00</w:t>
            </w:r>
            <w:r w:rsidRPr="00E75D0A">
              <w:rPr>
                <w:color w:val="000000"/>
                <w:sz w:val="18"/>
                <w:szCs w:val="18"/>
                <w:lang w:val="cs-CZ" w:eastAsia="cs-CZ"/>
              </w:rPr>
              <w:t xml:space="preserve"> %</w:t>
            </w:r>
          </w:p>
        </w:tc>
      </w:tr>
      <w:tr w:rsidR="002F7B85" w:rsidRPr="009F3E04" w:rsidTr="002E3AE9">
        <w:trPr>
          <w:trHeight w:val="240"/>
          <w:jc w:val="center"/>
        </w:trPr>
        <w:tc>
          <w:tcPr>
            <w:tcW w:w="4252" w:type="dxa"/>
            <w:noWrap/>
            <w:vAlign w:val="center"/>
            <w:hideMark/>
          </w:tcPr>
          <w:p w:rsidR="002F7B85" w:rsidRPr="00E75D0A" w:rsidRDefault="002F7B85" w:rsidP="002E3AE9">
            <w:pPr>
              <w:jc w:val="left"/>
              <w:rPr>
                <w:color w:val="000000"/>
                <w:sz w:val="18"/>
                <w:szCs w:val="18"/>
                <w:lang w:val="cs-CZ" w:eastAsia="cs-CZ"/>
              </w:rPr>
            </w:pPr>
            <w:r w:rsidRPr="00E75D0A">
              <w:rPr>
                <w:color w:val="000000"/>
                <w:sz w:val="18"/>
                <w:szCs w:val="18"/>
                <w:lang w:val="cs-CZ" w:eastAsia="cs-CZ"/>
              </w:rPr>
              <w:t>Limit výše výsledné úrokové míry úvěru příjemci</w:t>
            </w:r>
          </w:p>
        </w:tc>
        <w:tc>
          <w:tcPr>
            <w:tcW w:w="1361" w:type="dxa"/>
            <w:noWrap/>
            <w:vAlign w:val="center"/>
            <w:hideMark/>
          </w:tcPr>
          <w:p w:rsidR="002F7B85" w:rsidRPr="00E75D0A" w:rsidRDefault="002F7B85" w:rsidP="002E3AE9">
            <w:pPr>
              <w:jc w:val="right"/>
              <w:rPr>
                <w:color w:val="000000"/>
                <w:sz w:val="18"/>
                <w:szCs w:val="18"/>
                <w:lang w:val="cs-CZ" w:eastAsia="cs-CZ"/>
              </w:rPr>
            </w:pPr>
            <w:r>
              <w:rPr>
                <w:color w:val="000000"/>
                <w:sz w:val="18"/>
                <w:szCs w:val="18"/>
                <w:lang w:val="cs-CZ" w:eastAsia="cs-CZ"/>
              </w:rPr>
              <w:t>1</w:t>
            </w:r>
            <w:r w:rsidRPr="00E75D0A">
              <w:rPr>
                <w:color w:val="000000"/>
                <w:sz w:val="18"/>
                <w:szCs w:val="18"/>
                <w:lang w:val="cs-CZ" w:eastAsia="cs-CZ"/>
              </w:rPr>
              <w:t xml:space="preserve"> %</w:t>
            </w:r>
          </w:p>
        </w:tc>
      </w:tr>
      <w:tr w:rsidR="002F7B85" w:rsidRPr="009F3E04" w:rsidTr="002E3AE9">
        <w:trPr>
          <w:trHeight w:val="240"/>
          <w:jc w:val="center"/>
        </w:trPr>
        <w:tc>
          <w:tcPr>
            <w:tcW w:w="4252" w:type="dxa"/>
            <w:noWrap/>
            <w:vAlign w:val="center"/>
            <w:hideMark/>
          </w:tcPr>
          <w:p w:rsidR="002F7B85" w:rsidRPr="00E75D0A" w:rsidRDefault="002F7B85" w:rsidP="002E3AE9">
            <w:pPr>
              <w:jc w:val="left"/>
              <w:rPr>
                <w:color w:val="000000"/>
                <w:sz w:val="18"/>
                <w:szCs w:val="18"/>
                <w:lang w:val="cs-CZ" w:eastAsia="cs-CZ"/>
              </w:rPr>
            </w:pPr>
            <w:r w:rsidRPr="00E75D0A">
              <w:rPr>
                <w:color w:val="000000"/>
                <w:sz w:val="18"/>
                <w:szCs w:val="18"/>
                <w:lang w:val="cs-CZ" w:eastAsia="cs-CZ"/>
              </w:rPr>
              <w:t>Míra zapojení spolufinancujícího subjektu</w:t>
            </w:r>
          </w:p>
        </w:tc>
        <w:tc>
          <w:tcPr>
            <w:tcW w:w="1361" w:type="dxa"/>
            <w:noWrap/>
            <w:vAlign w:val="center"/>
            <w:hideMark/>
          </w:tcPr>
          <w:p w:rsidR="002F7B85" w:rsidRPr="00E75D0A" w:rsidRDefault="002F7B85" w:rsidP="002E3AE9">
            <w:pPr>
              <w:jc w:val="right"/>
              <w:rPr>
                <w:color w:val="000000"/>
                <w:sz w:val="18"/>
                <w:szCs w:val="18"/>
                <w:lang w:val="cs-CZ" w:eastAsia="cs-CZ"/>
              </w:rPr>
            </w:pPr>
            <w:r>
              <w:rPr>
                <w:color w:val="000000"/>
                <w:sz w:val="18"/>
                <w:szCs w:val="18"/>
                <w:lang w:val="cs-CZ" w:eastAsia="cs-CZ"/>
              </w:rPr>
              <w:t>33,33</w:t>
            </w:r>
            <w:r w:rsidRPr="00E75D0A">
              <w:rPr>
                <w:color w:val="000000"/>
                <w:sz w:val="18"/>
                <w:szCs w:val="18"/>
                <w:lang w:val="cs-CZ" w:eastAsia="cs-CZ"/>
              </w:rPr>
              <w:t xml:space="preserve"> %</w:t>
            </w:r>
          </w:p>
        </w:tc>
      </w:tr>
      <w:tr w:rsidR="002F7B85" w:rsidRPr="009F3E04" w:rsidTr="002E3AE9">
        <w:trPr>
          <w:trHeight w:val="240"/>
          <w:jc w:val="center"/>
        </w:trPr>
        <w:tc>
          <w:tcPr>
            <w:tcW w:w="4252" w:type="dxa"/>
            <w:noWrap/>
            <w:vAlign w:val="center"/>
            <w:hideMark/>
          </w:tcPr>
          <w:p w:rsidR="002F7B85" w:rsidRPr="00E75D0A" w:rsidRDefault="002F7B85" w:rsidP="002E3AE9">
            <w:pPr>
              <w:jc w:val="left"/>
              <w:rPr>
                <w:color w:val="000000"/>
                <w:sz w:val="18"/>
                <w:szCs w:val="18"/>
                <w:lang w:val="cs-CZ" w:eastAsia="cs-CZ"/>
              </w:rPr>
            </w:pPr>
            <w:r w:rsidRPr="00E75D0A">
              <w:rPr>
                <w:color w:val="000000"/>
                <w:sz w:val="18"/>
                <w:szCs w:val="18"/>
                <w:lang w:val="cs-CZ" w:eastAsia="cs-CZ"/>
              </w:rPr>
              <w:t>Splatnost úvěru</w:t>
            </w:r>
          </w:p>
        </w:tc>
        <w:tc>
          <w:tcPr>
            <w:tcW w:w="1361" w:type="dxa"/>
            <w:noWrap/>
            <w:vAlign w:val="center"/>
            <w:hideMark/>
          </w:tcPr>
          <w:p w:rsidR="002F7B85" w:rsidRPr="00E75D0A" w:rsidRDefault="002F7B85" w:rsidP="002E3AE9">
            <w:pPr>
              <w:jc w:val="right"/>
              <w:rPr>
                <w:color w:val="000000"/>
                <w:sz w:val="18"/>
                <w:szCs w:val="18"/>
                <w:lang w:val="cs-CZ" w:eastAsia="cs-CZ"/>
              </w:rPr>
            </w:pPr>
            <w:r>
              <w:rPr>
                <w:color w:val="000000"/>
                <w:sz w:val="18"/>
                <w:szCs w:val="18"/>
                <w:lang w:val="cs-CZ" w:eastAsia="cs-CZ"/>
              </w:rPr>
              <w:t>5</w:t>
            </w:r>
          </w:p>
        </w:tc>
      </w:tr>
    </w:tbl>
    <w:p w:rsidR="002F7B85" w:rsidRDefault="002F7B85" w:rsidP="002F7B85">
      <w:pPr>
        <w:pStyle w:val="CaptionIntroductionparagraph"/>
      </w:pPr>
    </w:p>
    <w:tbl>
      <w:tblPr>
        <w:tblStyle w:val="TableGridLight1"/>
        <w:tblW w:w="5617" w:type="dxa"/>
        <w:jc w:val="center"/>
        <w:tblLook w:val="04A0" w:firstRow="1" w:lastRow="0" w:firstColumn="1" w:lastColumn="0" w:noHBand="0" w:noVBand="1"/>
      </w:tblPr>
      <w:tblGrid>
        <w:gridCol w:w="4256"/>
        <w:gridCol w:w="1361"/>
      </w:tblGrid>
      <w:tr w:rsidR="002F7B85" w:rsidRPr="009F3E04" w:rsidTr="002E3AE9">
        <w:trPr>
          <w:trHeight w:val="240"/>
          <w:jc w:val="center"/>
        </w:trPr>
        <w:tc>
          <w:tcPr>
            <w:tcW w:w="4256" w:type="dxa"/>
            <w:noWrap/>
            <w:vAlign w:val="center"/>
            <w:hideMark/>
          </w:tcPr>
          <w:p w:rsidR="002F7B85" w:rsidRPr="00E75D0A" w:rsidRDefault="002F7B85" w:rsidP="002E3AE9">
            <w:pPr>
              <w:keepNext/>
              <w:jc w:val="left"/>
              <w:rPr>
                <w:color w:val="000000"/>
                <w:sz w:val="18"/>
                <w:szCs w:val="18"/>
                <w:lang w:val="cs-CZ" w:eastAsia="cs-CZ"/>
              </w:rPr>
            </w:pPr>
            <w:r w:rsidRPr="00E75D0A">
              <w:rPr>
                <w:color w:val="000000"/>
                <w:sz w:val="18"/>
                <w:szCs w:val="18"/>
                <w:lang w:val="cs-CZ" w:eastAsia="cs-CZ"/>
              </w:rPr>
              <w:t>Celkem proinvestováno - milník rok 2018</w:t>
            </w:r>
          </w:p>
        </w:tc>
        <w:tc>
          <w:tcPr>
            <w:tcW w:w="1361" w:type="dxa"/>
            <w:noWrap/>
            <w:vAlign w:val="center"/>
            <w:hideMark/>
          </w:tcPr>
          <w:p w:rsidR="002F7B85" w:rsidRPr="00E75D0A" w:rsidRDefault="002F7B85" w:rsidP="002E3AE9">
            <w:pPr>
              <w:keepNext/>
              <w:jc w:val="right"/>
              <w:rPr>
                <w:color w:val="000000"/>
                <w:sz w:val="18"/>
                <w:szCs w:val="18"/>
                <w:lang w:val="cs-CZ" w:eastAsia="cs-CZ"/>
              </w:rPr>
            </w:pPr>
            <w:r>
              <w:rPr>
                <w:color w:val="000000"/>
                <w:sz w:val="18"/>
                <w:szCs w:val="18"/>
                <w:lang w:val="cs-CZ" w:eastAsia="cs-CZ"/>
              </w:rPr>
              <w:t xml:space="preserve"> 662</w:t>
            </w:r>
            <w:r w:rsidRPr="00E75D0A">
              <w:rPr>
                <w:color w:val="000000"/>
                <w:sz w:val="18"/>
                <w:szCs w:val="18"/>
                <w:lang w:val="cs-CZ" w:eastAsia="cs-CZ"/>
              </w:rPr>
              <w:t xml:space="preserve"> mil. Kč</w:t>
            </w:r>
          </w:p>
        </w:tc>
      </w:tr>
      <w:tr w:rsidR="002F7B85" w:rsidRPr="009F3E04" w:rsidTr="002E3AE9">
        <w:trPr>
          <w:trHeight w:val="240"/>
          <w:jc w:val="center"/>
        </w:trPr>
        <w:tc>
          <w:tcPr>
            <w:tcW w:w="4256" w:type="dxa"/>
            <w:noWrap/>
            <w:vAlign w:val="center"/>
            <w:hideMark/>
          </w:tcPr>
          <w:p w:rsidR="002F7B85" w:rsidRPr="00E75D0A" w:rsidRDefault="002F7B85" w:rsidP="002E3AE9">
            <w:pPr>
              <w:keepNext/>
              <w:jc w:val="left"/>
              <w:rPr>
                <w:color w:val="000000"/>
                <w:sz w:val="18"/>
                <w:szCs w:val="18"/>
                <w:lang w:val="cs-CZ" w:eastAsia="cs-CZ"/>
              </w:rPr>
            </w:pPr>
            <w:r w:rsidRPr="00E75D0A">
              <w:rPr>
                <w:color w:val="000000"/>
                <w:sz w:val="18"/>
                <w:szCs w:val="18"/>
                <w:lang w:val="cs-CZ" w:eastAsia="cs-CZ"/>
              </w:rPr>
              <w:t>Celkem proinvestováno - konec období rok 2023</w:t>
            </w:r>
          </w:p>
        </w:tc>
        <w:tc>
          <w:tcPr>
            <w:tcW w:w="1361" w:type="dxa"/>
            <w:noWrap/>
            <w:vAlign w:val="center"/>
            <w:hideMark/>
          </w:tcPr>
          <w:p w:rsidR="002F7B85" w:rsidRPr="00E75D0A" w:rsidRDefault="002F7B85" w:rsidP="002E3AE9">
            <w:pPr>
              <w:keepNext/>
              <w:jc w:val="right"/>
              <w:rPr>
                <w:color w:val="000000"/>
                <w:sz w:val="18"/>
                <w:szCs w:val="18"/>
                <w:lang w:val="cs-CZ" w:eastAsia="cs-CZ"/>
              </w:rPr>
            </w:pPr>
            <w:r>
              <w:rPr>
                <w:color w:val="000000"/>
                <w:sz w:val="18"/>
                <w:szCs w:val="18"/>
                <w:lang w:val="cs-CZ" w:eastAsia="cs-CZ"/>
              </w:rPr>
              <w:t>1 466</w:t>
            </w:r>
            <w:r w:rsidRPr="00E75D0A">
              <w:rPr>
                <w:color w:val="000000"/>
                <w:sz w:val="18"/>
                <w:szCs w:val="18"/>
                <w:lang w:val="cs-CZ" w:eastAsia="cs-CZ"/>
              </w:rPr>
              <w:t xml:space="preserve"> mil. Kč</w:t>
            </w:r>
          </w:p>
        </w:tc>
      </w:tr>
      <w:tr w:rsidR="002F7B85" w:rsidRPr="009F3E04" w:rsidTr="002E3AE9">
        <w:trPr>
          <w:trHeight w:val="240"/>
          <w:jc w:val="center"/>
        </w:trPr>
        <w:tc>
          <w:tcPr>
            <w:tcW w:w="4256" w:type="dxa"/>
            <w:noWrap/>
            <w:vAlign w:val="center"/>
            <w:hideMark/>
          </w:tcPr>
          <w:p w:rsidR="002F7B85" w:rsidRPr="00793F87" w:rsidRDefault="002F7B85" w:rsidP="002E3AE9">
            <w:pPr>
              <w:keepNext/>
              <w:jc w:val="left"/>
              <w:rPr>
                <w:color w:val="000000"/>
                <w:sz w:val="18"/>
                <w:szCs w:val="18"/>
                <w:lang w:val="cs-CZ" w:eastAsia="cs-CZ"/>
              </w:rPr>
            </w:pPr>
            <w:r w:rsidRPr="00793F87">
              <w:rPr>
                <w:color w:val="000000"/>
                <w:sz w:val="18"/>
                <w:szCs w:val="18"/>
                <w:lang w:val="cs-CZ" w:eastAsia="cs-CZ"/>
              </w:rPr>
              <w:t>Disponibilní prostředky v roce 2027</w:t>
            </w:r>
          </w:p>
        </w:tc>
        <w:tc>
          <w:tcPr>
            <w:tcW w:w="1361" w:type="dxa"/>
            <w:noWrap/>
            <w:vAlign w:val="center"/>
            <w:hideMark/>
          </w:tcPr>
          <w:p w:rsidR="002F7B85" w:rsidRPr="00793F87" w:rsidRDefault="002F7B85" w:rsidP="002E3AE9">
            <w:pPr>
              <w:keepNext/>
              <w:jc w:val="right"/>
              <w:rPr>
                <w:color w:val="000000"/>
                <w:sz w:val="18"/>
                <w:szCs w:val="18"/>
                <w:lang w:val="cs-CZ" w:eastAsia="cs-CZ"/>
              </w:rPr>
            </w:pPr>
            <w:r>
              <w:rPr>
                <w:color w:val="000000"/>
                <w:sz w:val="18"/>
                <w:szCs w:val="18"/>
                <w:lang w:val="cs-CZ" w:eastAsia="cs-CZ"/>
              </w:rPr>
              <w:t>264</w:t>
            </w:r>
            <w:r w:rsidRPr="00793F87">
              <w:rPr>
                <w:color w:val="000000"/>
                <w:sz w:val="18"/>
                <w:szCs w:val="18"/>
                <w:lang w:val="cs-CZ" w:eastAsia="cs-CZ"/>
              </w:rPr>
              <w:t xml:space="preserve"> mil. Kč</w:t>
            </w:r>
          </w:p>
        </w:tc>
      </w:tr>
      <w:tr w:rsidR="002F7B85" w:rsidRPr="009F3E04" w:rsidTr="002E3AE9">
        <w:trPr>
          <w:trHeight w:val="240"/>
          <w:jc w:val="center"/>
        </w:trPr>
        <w:tc>
          <w:tcPr>
            <w:tcW w:w="4256" w:type="dxa"/>
            <w:noWrap/>
            <w:vAlign w:val="center"/>
            <w:hideMark/>
          </w:tcPr>
          <w:p w:rsidR="002F7B85" w:rsidRPr="00E75D0A" w:rsidRDefault="002F7B85" w:rsidP="002E3AE9">
            <w:pPr>
              <w:keepNext/>
              <w:jc w:val="left"/>
              <w:rPr>
                <w:color w:val="000000"/>
                <w:sz w:val="18"/>
                <w:szCs w:val="18"/>
                <w:lang w:val="cs-CZ" w:eastAsia="cs-CZ"/>
              </w:rPr>
            </w:pPr>
            <w:r w:rsidRPr="00E75D0A">
              <w:rPr>
                <w:color w:val="000000"/>
                <w:sz w:val="18"/>
                <w:szCs w:val="18"/>
                <w:lang w:val="cs-CZ" w:eastAsia="cs-CZ"/>
              </w:rPr>
              <w:t>Přidaná hodnota</w:t>
            </w:r>
          </w:p>
        </w:tc>
        <w:tc>
          <w:tcPr>
            <w:tcW w:w="1361" w:type="dxa"/>
            <w:noWrap/>
            <w:vAlign w:val="center"/>
            <w:hideMark/>
          </w:tcPr>
          <w:p w:rsidR="002F7B85" w:rsidRPr="00E75D0A" w:rsidRDefault="002F7B85" w:rsidP="002E3AE9">
            <w:pPr>
              <w:keepNext/>
              <w:jc w:val="right"/>
              <w:rPr>
                <w:color w:val="000000"/>
                <w:sz w:val="18"/>
                <w:szCs w:val="18"/>
                <w:lang w:val="cs-CZ" w:eastAsia="cs-CZ"/>
              </w:rPr>
            </w:pPr>
            <w:r>
              <w:rPr>
                <w:color w:val="000000"/>
                <w:sz w:val="18"/>
                <w:szCs w:val="18"/>
                <w:lang w:val="cs-CZ" w:eastAsia="cs-CZ"/>
              </w:rPr>
              <w:t>3,32</w:t>
            </w:r>
          </w:p>
        </w:tc>
      </w:tr>
      <w:tr w:rsidR="002F7B85" w:rsidRPr="009F3E04" w:rsidTr="002E3AE9">
        <w:trPr>
          <w:trHeight w:val="240"/>
          <w:jc w:val="center"/>
        </w:trPr>
        <w:tc>
          <w:tcPr>
            <w:tcW w:w="4256" w:type="dxa"/>
            <w:noWrap/>
            <w:vAlign w:val="center"/>
            <w:hideMark/>
          </w:tcPr>
          <w:p w:rsidR="002F7B85" w:rsidRPr="00E75D0A" w:rsidRDefault="002F7B85" w:rsidP="002E3AE9">
            <w:pPr>
              <w:keepNext/>
              <w:jc w:val="left"/>
              <w:rPr>
                <w:color w:val="000000"/>
                <w:sz w:val="18"/>
                <w:szCs w:val="18"/>
                <w:lang w:val="cs-CZ" w:eastAsia="cs-CZ"/>
              </w:rPr>
            </w:pPr>
            <w:r w:rsidRPr="00E75D0A">
              <w:rPr>
                <w:color w:val="000000"/>
                <w:sz w:val="18"/>
                <w:szCs w:val="18"/>
                <w:lang w:val="cs-CZ" w:eastAsia="cs-CZ"/>
              </w:rPr>
              <w:t>Pákový efekt</w:t>
            </w:r>
          </w:p>
        </w:tc>
        <w:tc>
          <w:tcPr>
            <w:tcW w:w="1361" w:type="dxa"/>
            <w:noWrap/>
            <w:vAlign w:val="center"/>
            <w:hideMark/>
          </w:tcPr>
          <w:p w:rsidR="002F7B85" w:rsidRPr="00E75D0A" w:rsidRDefault="002F7B85" w:rsidP="002E3AE9">
            <w:pPr>
              <w:keepNext/>
              <w:jc w:val="right"/>
              <w:rPr>
                <w:color w:val="000000"/>
                <w:sz w:val="18"/>
                <w:szCs w:val="18"/>
                <w:lang w:val="cs-CZ" w:eastAsia="cs-CZ"/>
              </w:rPr>
            </w:pPr>
            <w:r>
              <w:rPr>
                <w:color w:val="000000"/>
                <w:sz w:val="18"/>
                <w:szCs w:val="18"/>
                <w:lang w:val="cs-CZ" w:eastAsia="cs-CZ"/>
              </w:rPr>
              <w:t>1,5</w:t>
            </w:r>
          </w:p>
        </w:tc>
      </w:tr>
      <w:tr w:rsidR="002F7B85" w:rsidRPr="009F3E04" w:rsidTr="002E3AE9">
        <w:trPr>
          <w:trHeight w:val="240"/>
          <w:jc w:val="center"/>
        </w:trPr>
        <w:tc>
          <w:tcPr>
            <w:tcW w:w="4256" w:type="dxa"/>
            <w:noWrap/>
            <w:vAlign w:val="center"/>
            <w:hideMark/>
          </w:tcPr>
          <w:p w:rsidR="002F7B85" w:rsidRPr="00E75D0A" w:rsidRDefault="002F7B85" w:rsidP="002E3AE9">
            <w:pPr>
              <w:keepNext/>
              <w:jc w:val="left"/>
              <w:rPr>
                <w:color w:val="000000"/>
                <w:sz w:val="18"/>
                <w:szCs w:val="18"/>
                <w:lang w:val="cs-CZ" w:eastAsia="cs-CZ"/>
              </w:rPr>
            </w:pPr>
            <w:r w:rsidRPr="00E75D0A">
              <w:rPr>
                <w:color w:val="000000"/>
                <w:sz w:val="18"/>
                <w:szCs w:val="18"/>
                <w:lang w:val="cs-CZ" w:eastAsia="cs-CZ"/>
              </w:rPr>
              <w:t>Revolving</w:t>
            </w:r>
            <w:r>
              <w:rPr>
                <w:color w:val="000000"/>
                <w:sz w:val="18"/>
                <w:szCs w:val="18"/>
                <w:lang w:val="cs-CZ" w:eastAsia="cs-CZ"/>
              </w:rPr>
              <w:t>ový efekt</w:t>
            </w:r>
          </w:p>
        </w:tc>
        <w:tc>
          <w:tcPr>
            <w:tcW w:w="1361" w:type="dxa"/>
            <w:noWrap/>
            <w:vAlign w:val="center"/>
            <w:hideMark/>
          </w:tcPr>
          <w:p w:rsidR="002F7B85" w:rsidRPr="00E75D0A" w:rsidRDefault="002F7B85" w:rsidP="002E3AE9">
            <w:pPr>
              <w:keepNext/>
              <w:jc w:val="right"/>
              <w:rPr>
                <w:color w:val="000000"/>
                <w:sz w:val="18"/>
                <w:szCs w:val="18"/>
                <w:lang w:val="cs-CZ" w:eastAsia="cs-CZ"/>
              </w:rPr>
            </w:pPr>
            <w:r>
              <w:rPr>
                <w:color w:val="000000"/>
                <w:sz w:val="18"/>
                <w:szCs w:val="18"/>
                <w:lang w:val="cs-CZ" w:eastAsia="cs-CZ"/>
              </w:rPr>
              <w:t>536</w:t>
            </w:r>
            <w:r w:rsidRPr="00E75D0A">
              <w:rPr>
                <w:color w:val="000000"/>
                <w:sz w:val="18"/>
                <w:szCs w:val="18"/>
                <w:lang w:val="cs-CZ" w:eastAsia="cs-CZ"/>
              </w:rPr>
              <w:t xml:space="preserve"> mil. Kč</w:t>
            </w:r>
          </w:p>
        </w:tc>
      </w:tr>
      <w:tr w:rsidR="002F7B85" w:rsidRPr="009F3E04" w:rsidTr="002E3AE9">
        <w:trPr>
          <w:trHeight w:val="240"/>
          <w:jc w:val="center"/>
        </w:trPr>
        <w:tc>
          <w:tcPr>
            <w:tcW w:w="4256" w:type="dxa"/>
            <w:noWrap/>
            <w:vAlign w:val="center"/>
          </w:tcPr>
          <w:p w:rsidR="002F7B85" w:rsidRPr="00E75D0A" w:rsidRDefault="002F7B85" w:rsidP="002E3AE9">
            <w:pPr>
              <w:keepNext/>
              <w:jc w:val="left"/>
              <w:rPr>
                <w:color w:val="000000"/>
                <w:sz w:val="18"/>
                <w:szCs w:val="18"/>
                <w:lang w:eastAsia="cs-CZ"/>
              </w:rPr>
            </w:pPr>
            <w:r w:rsidRPr="00E75D0A">
              <w:rPr>
                <w:color w:val="000000"/>
                <w:sz w:val="18"/>
                <w:szCs w:val="18"/>
                <w:lang w:val="cs-CZ" w:eastAsia="cs-CZ"/>
              </w:rPr>
              <w:t>Revolving</w:t>
            </w:r>
            <w:r>
              <w:rPr>
                <w:color w:val="000000"/>
                <w:sz w:val="18"/>
                <w:szCs w:val="18"/>
                <w:lang w:val="cs-CZ" w:eastAsia="cs-CZ"/>
              </w:rPr>
              <w:t>ový efekt/ alokace OPPIK</w:t>
            </w:r>
          </w:p>
        </w:tc>
        <w:tc>
          <w:tcPr>
            <w:tcW w:w="1361" w:type="dxa"/>
            <w:noWrap/>
            <w:vAlign w:val="center"/>
          </w:tcPr>
          <w:p w:rsidR="002F7B85" w:rsidRDefault="002F7B85" w:rsidP="002E3AE9">
            <w:pPr>
              <w:keepNext/>
              <w:jc w:val="right"/>
              <w:rPr>
                <w:color w:val="000000"/>
                <w:sz w:val="18"/>
                <w:szCs w:val="18"/>
                <w:lang w:eastAsia="cs-CZ"/>
              </w:rPr>
            </w:pPr>
            <w:r>
              <w:rPr>
                <w:color w:val="000000"/>
                <w:sz w:val="18"/>
                <w:szCs w:val="18"/>
                <w:lang w:eastAsia="cs-CZ"/>
              </w:rPr>
              <w:t>121,3 %</w:t>
            </w:r>
          </w:p>
        </w:tc>
      </w:tr>
    </w:tbl>
    <w:p w:rsidR="002F7B85" w:rsidRDefault="002F7B85" w:rsidP="002F7B85">
      <w:pPr>
        <w:pStyle w:val="CaptionIntroductionparagraph"/>
      </w:pPr>
    </w:p>
    <w:p w:rsidR="002F7B85" w:rsidRDefault="002F7B85" w:rsidP="002F7B85">
      <w:pPr>
        <w:pStyle w:val="BodyText1"/>
      </w:pPr>
      <w:r>
        <w:t xml:space="preserve">Revolvingový efekt, tj. kolik prostředků bude vytvořeno dodatečně splácením úvěrů a bude je možnost proinvestovat v rámci sekundárního investičního cyklu je </w:t>
      </w:r>
      <w:r>
        <w:rPr>
          <w:b/>
        </w:rPr>
        <w:t>536</w:t>
      </w:r>
      <w:r w:rsidRPr="00881931">
        <w:rPr>
          <w:b/>
        </w:rPr>
        <w:t xml:space="preserve"> mil. Kč</w:t>
      </w:r>
      <w:r>
        <w:rPr>
          <w:b/>
        </w:rPr>
        <w:t xml:space="preserve">, </w:t>
      </w:r>
      <w:r w:rsidRPr="00881931">
        <w:t>což odpovíd</w:t>
      </w:r>
      <w:r>
        <w:t>á</w:t>
      </w:r>
      <w:r w:rsidRPr="00881931">
        <w:t xml:space="preserve"> podílu na alokaci ve výši </w:t>
      </w:r>
      <w:r>
        <w:t>121,3 %.</w:t>
      </w:r>
    </w:p>
    <w:p w:rsidR="009D2CAE" w:rsidRPr="007C0CDA" w:rsidRDefault="009D2CAE" w:rsidP="00CE3165">
      <w:pPr>
        <w:pStyle w:val="CaptionIntroductionparagraph"/>
      </w:pPr>
    </w:p>
    <w:p w:rsidR="009D2CAE" w:rsidRPr="007C0CDA" w:rsidRDefault="009D2CAE" w:rsidP="00433BD7">
      <w:pPr>
        <w:pStyle w:val="Nadpis2"/>
      </w:pPr>
      <w:bookmarkStart w:id="847" w:name="_Toc416448072"/>
      <w:r w:rsidRPr="007C0CDA">
        <w:t>SC 3.2</w:t>
      </w:r>
      <w:bookmarkEnd w:id="847"/>
    </w:p>
    <w:p w:rsidR="009D2CAE" w:rsidRPr="007C0CDA" w:rsidRDefault="009D2CAE" w:rsidP="00433BD7">
      <w:pPr>
        <w:pStyle w:val="Nadpis3"/>
      </w:pPr>
      <w:bookmarkStart w:id="848" w:name="_Toc416448073"/>
      <w:r w:rsidRPr="007C0CDA">
        <w:t>Odůvodnění volby oblasti podpory a návrhu nástroje</w:t>
      </w:r>
      <w:bookmarkEnd w:id="848"/>
    </w:p>
    <w:p w:rsidR="009D2CAE" w:rsidRPr="007C0CDA" w:rsidRDefault="009D2CAE" w:rsidP="00D67A40">
      <w:r w:rsidRPr="007C0CDA">
        <w:t xml:space="preserve">Z rozhovorů se zainteresovanými subjekty vyplynulo, že mechanismy financování investic do snížení energetické náročnosti podniků jsou poměrně vyspělé a efektivní, jako například Energy Performance Contracting (EPC), skrze kterou se od přelomu milénia investice financují nejčastěji. Z analýzy dále plyne, že daná oblast místy netrpí nedostatkem finančních prostředků, ale spíše nezájmem potenciálních konečných příjemců. Podniky s napjatým investičním schématem neupozadí kvůli energetickým opatřením plánovanou investici do rozvoje společnosti. Investice do úspor bude též neaktivní pro subjekty, jejichž cena kapitálu je vyšší než vnitřní výnosové procento investice. </w:t>
      </w:r>
    </w:p>
    <w:p w:rsidR="009D2CAE" w:rsidRPr="007C0CDA" w:rsidRDefault="009D2CAE" w:rsidP="00D67A40"/>
    <w:p w:rsidR="009D2CAE" w:rsidRPr="007C0CDA" w:rsidRDefault="009D2CAE" w:rsidP="00D67A40">
      <w:r w:rsidRPr="007C0CDA">
        <w:t xml:space="preserve">Vzhledem k relativně krátké době návratnosti části investic do energetických úspor navrhujeme možnost aplikovat návratnou formu podpory. Konečnými příjemci žádajícími o financování budou z povahy věci podniky, které disponují dlouhodobým hmotným majetkem a nebudou mít problém s ručením úvěru. Nejvhodnějším opatřením k motivaci subjektů realizovat investice do energetických </w:t>
      </w:r>
      <w:r w:rsidRPr="007C0CDA">
        <w:lastRenderedPageBreak/>
        <w:t>úspor je úvěrový finanční nástroj, který subvencí úrokové sazby zvýší čistou současnou hodnotu potenciální investice a posune ji tak výše na žebříčku investičních priorit podniku a zároveň sníží bariéry úvodního investičního rozhodování příspěvkem na energetický audit a přípravu projektu.</w:t>
      </w:r>
    </w:p>
    <w:p w:rsidR="009D2CAE" w:rsidRPr="007C0CDA" w:rsidRDefault="009D2CAE" w:rsidP="00D67A40"/>
    <w:p w:rsidR="009D2CAE" w:rsidRPr="007C0CDA" w:rsidRDefault="009D2CAE" w:rsidP="00D67A40">
      <w:r w:rsidRPr="007C0CDA">
        <w:t>Úvěrový nástroj je návratnou formou podpory, částečně nenávratnou se stává pouze v případě defaultu úvěru. Administrace podpořených úvěrů bude plně v gesci spolufinancujícího subjektu, se kterým budou koneční příjemci vstupovat do přímého smluvního vztahu.</w:t>
      </w:r>
    </w:p>
    <w:p w:rsidR="009D2CAE" w:rsidRPr="007C0CDA" w:rsidRDefault="009D2CAE" w:rsidP="00D67A40"/>
    <w:p w:rsidR="001B57B6" w:rsidRPr="007C0CDA" w:rsidRDefault="001B57B6" w:rsidP="00D67A40">
      <w:r>
        <w:t>Z hlediska příliš vysoké návratnosti množství projektů, které by měly být v SC 3.2 podpořeny, se jeví jako účelné uvažovat v tomto cíly také o zavedení kombinované podpory formou dotací i zvýhodněného úvěru v rámci jednoho projektu, obdobně k SC 3.5.</w:t>
      </w:r>
      <w:r w:rsidR="009D2CAE" w:rsidRPr="007C0CDA">
        <w:t xml:space="preserve"> Protože praktická aplikovatelnost této kombinace se zatím jeví v současném legislativním rámci strukturálních fondů značně nejistá a velmi těžko proveditelná</w:t>
      </w:r>
      <w:r w:rsidR="009D2CAE" w:rsidRPr="007C0CDA">
        <w:rPr>
          <w:rStyle w:val="Znakapoznpodarou"/>
        </w:rPr>
        <w:footnoteReference w:id="44"/>
      </w:r>
      <w:r w:rsidR="009D2CAE" w:rsidRPr="007C0CDA">
        <w:t>, pracujeme primárně s variantou paralelního odděleného fungo</w:t>
      </w:r>
      <w:r>
        <w:t>vání úvěrové a dotační podpory.</w:t>
      </w:r>
    </w:p>
    <w:p w:rsidR="009D2CAE" w:rsidRPr="007C0CDA" w:rsidRDefault="009D2CAE" w:rsidP="00D67A40"/>
    <w:p w:rsidR="009D2CAE" w:rsidRPr="007C0CDA" w:rsidRDefault="009D2CAE" w:rsidP="00D67A40">
      <w:r w:rsidRPr="002433DA">
        <w:rPr>
          <w:b/>
        </w:rPr>
        <w:t>Pro účelné oddělení projektů podporovaných dotačně a finančním nástrojem, je v takovém případě nutné zavést jasná dělící kritéria. Jednou z možností je klíč v podobě doby návratnosti, resp. vnitřního výnosového procenta (IRR) plánované investice</w:t>
      </w:r>
      <w:r w:rsidRPr="007C0CDA">
        <w:t xml:space="preserve">. Projektům s IRR &gt; x % by byla nabídnuta možnost podpory skrze úvěrový finanční nástroj, zatímco projektům s IRR &lt; x % by byla nabídnuta možnost financování klasickou formou dotace. Tento návrh je </w:t>
      </w:r>
      <w:r w:rsidR="00C67BB4">
        <w:t>pouze rámcovou</w:t>
      </w:r>
      <w:r w:rsidRPr="007C0CDA">
        <w:t xml:space="preserve"> </w:t>
      </w:r>
      <w:r w:rsidR="00C67BB4">
        <w:t>variantou možného klíče. Kritéria musí být precizována v dalším postupu</w:t>
      </w:r>
      <w:r w:rsidRPr="007C0CDA">
        <w:t xml:space="preserve"> </w:t>
      </w:r>
      <w:r w:rsidR="00C67BB4">
        <w:t>na základě</w:t>
      </w:r>
      <w:r w:rsidRPr="007C0CDA">
        <w:t xml:space="preserve"> kritic</w:t>
      </w:r>
      <w:r w:rsidR="00C67BB4">
        <w:t>kého</w:t>
      </w:r>
      <w:r w:rsidRPr="007C0CDA">
        <w:t xml:space="preserve"> hodnocení přínosů, omezení a rizik. </w:t>
      </w:r>
      <w:r w:rsidR="00C67BB4">
        <w:t>Kritérium IRR v</w:t>
      </w:r>
      <w:r w:rsidRPr="007C0CDA">
        <w:t>ychází z tržní reality, kdy se projekty energetických úspor s návratností cca nad 5 let v podnikatelském prostředí stávají neakceptovatelnými. S návratností se často pojí i komplexnost opatření a výše dosažených úspor, rozdělení tedy bude postaveno na principu vyšší podpory pro více komplexní a déle návratné projekty</w:t>
      </w:r>
      <w:r w:rsidR="00A87B65">
        <w:t xml:space="preserve"> a může z tohoto pohledu motivovat ke komplexnějším úsporám</w:t>
      </w:r>
      <w:r w:rsidRPr="007C0CDA">
        <w:t>.</w:t>
      </w:r>
    </w:p>
    <w:p w:rsidR="009D2CAE" w:rsidRPr="002433DA" w:rsidRDefault="009D2CAE" w:rsidP="002433DA">
      <w:pPr>
        <w:rPr>
          <w:b/>
        </w:rPr>
      </w:pPr>
    </w:p>
    <w:p w:rsidR="009D2CAE" w:rsidRPr="007C0CDA" w:rsidRDefault="009D2CAE" w:rsidP="00433BD7">
      <w:pPr>
        <w:pStyle w:val="Nadpis3"/>
      </w:pPr>
      <w:bookmarkStart w:id="849" w:name="_Toc416448074"/>
      <w:r w:rsidRPr="007C0CDA">
        <w:t>Schéma fungování navrhovaného finančního nástroje</w:t>
      </w:r>
      <w:bookmarkEnd w:id="849"/>
    </w:p>
    <w:p w:rsidR="009D2CAE" w:rsidRPr="007C0CDA" w:rsidRDefault="009D2CAE" w:rsidP="00D67A40">
      <w:pPr>
        <w:jc w:val="center"/>
        <w:rPr>
          <w:b/>
          <w:color w:val="00A1DE"/>
          <w:sz w:val="24"/>
          <w:szCs w:val="22"/>
        </w:rPr>
      </w:pPr>
    </w:p>
    <w:p w:rsidR="009D2CAE" w:rsidRPr="007C0CDA" w:rsidRDefault="009D2CAE" w:rsidP="00D67A40">
      <w:pPr>
        <w:rPr>
          <w:b/>
          <w:color w:val="00A1DE"/>
          <w:sz w:val="24"/>
          <w:szCs w:val="22"/>
        </w:rPr>
      </w:pPr>
    </w:p>
    <w:p w:rsidR="009D2CAE" w:rsidRPr="007C0CDA" w:rsidRDefault="00C41E93" w:rsidP="00D67A40">
      <w:pPr>
        <w:jc w:val="center"/>
        <w:rPr>
          <w:b/>
          <w:color w:val="00A1DE"/>
          <w:sz w:val="24"/>
          <w:szCs w:val="22"/>
        </w:rPr>
      </w:pPr>
      <w:r w:rsidRPr="00C41E93">
        <w:rPr>
          <w:b/>
          <w:color w:val="00A1DE"/>
          <w:sz w:val="24"/>
          <w:szCs w:val="22"/>
        </w:rPr>
        <w:drawing>
          <wp:inline distT="0" distB="0" distL="0" distR="0" wp14:anchorId="46F53225" wp14:editId="4791943A">
            <wp:extent cx="4210050" cy="2841784"/>
            <wp:effectExtent l="0" t="0" r="0" b="0"/>
            <wp:docPr id="11654" name="Obrázek 1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b="10000"/>
                    <a:stretch/>
                  </pic:blipFill>
                  <pic:spPr bwMode="auto">
                    <a:xfrm>
                      <a:off x="0" y="0"/>
                      <a:ext cx="4210638" cy="2842181"/>
                    </a:xfrm>
                    <a:prstGeom prst="rect">
                      <a:avLst/>
                    </a:prstGeom>
                    <a:ln>
                      <a:noFill/>
                    </a:ln>
                    <a:extLst>
                      <a:ext uri="{53640926-AAD7-44D8-BBD7-CCE9431645EC}">
                        <a14:shadowObscured xmlns:a14="http://schemas.microsoft.com/office/drawing/2010/main"/>
                      </a:ext>
                    </a:extLst>
                  </pic:spPr>
                </pic:pic>
              </a:graphicData>
            </a:graphic>
          </wp:inline>
        </w:drawing>
      </w:r>
    </w:p>
    <w:p w:rsidR="009D2CAE" w:rsidRPr="007C0CDA" w:rsidRDefault="009D2CAE" w:rsidP="00D67A40"/>
    <w:p w:rsidR="009D2CAE" w:rsidRPr="002433DA" w:rsidRDefault="009D2CAE" w:rsidP="002433DA">
      <w:pPr>
        <w:rPr>
          <w:b/>
        </w:rPr>
      </w:pPr>
    </w:p>
    <w:p w:rsidR="009D2CAE" w:rsidRPr="002433DA" w:rsidRDefault="009D2CAE" w:rsidP="002433DA">
      <w:pPr>
        <w:rPr>
          <w:b/>
        </w:rPr>
      </w:pPr>
    </w:p>
    <w:p w:rsidR="009D2CAE" w:rsidRPr="007C0CDA" w:rsidRDefault="009D2CAE" w:rsidP="00433BD7">
      <w:pPr>
        <w:pStyle w:val="Nadpis3"/>
      </w:pPr>
      <w:bookmarkStart w:id="850" w:name="_Toc416448075"/>
      <w:r w:rsidRPr="007C0CDA">
        <w:t>Základní parametry finančního nástroje</w:t>
      </w:r>
      <w:bookmarkEnd w:id="850"/>
    </w:p>
    <w:tbl>
      <w:tblPr>
        <w:tblW w:w="0" w:type="auto"/>
        <w:tblBorders>
          <w:top w:val="single" w:sz="4" w:space="0" w:color="92D400"/>
          <w:bottom w:val="single" w:sz="4" w:space="0" w:color="92D400"/>
          <w:insideH w:val="single" w:sz="4" w:space="0" w:color="92D400"/>
        </w:tblBorders>
        <w:tblCellMar>
          <w:top w:w="28" w:type="dxa"/>
          <w:left w:w="28" w:type="dxa"/>
          <w:bottom w:w="28" w:type="dxa"/>
          <w:right w:w="28" w:type="dxa"/>
        </w:tblCellMar>
        <w:tblLook w:val="00A0" w:firstRow="1" w:lastRow="0" w:firstColumn="1" w:lastColumn="0" w:noHBand="0" w:noVBand="0"/>
      </w:tblPr>
      <w:tblGrid>
        <w:gridCol w:w="2282"/>
        <w:gridCol w:w="6788"/>
      </w:tblGrid>
      <w:tr w:rsidR="009D2CAE" w:rsidRPr="007C0CDA" w:rsidTr="00A84116">
        <w:tc>
          <w:tcPr>
            <w:tcW w:w="2282" w:type="dxa"/>
            <w:shd w:val="clear" w:color="auto" w:fill="ECFFC3"/>
          </w:tcPr>
          <w:p w:rsidR="009D2CAE" w:rsidRPr="007C0CDA" w:rsidRDefault="009D2CAE" w:rsidP="00A84116">
            <w:pPr>
              <w:rPr>
                <w:b/>
              </w:rPr>
            </w:pPr>
          </w:p>
        </w:tc>
        <w:tc>
          <w:tcPr>
            <w:tcW w:w="6788" w:type="dxa"/>
            <w:shd w:val="clear" w:color="auto" w:fill="ECFFC3"/>
          </w:tcPr>
          <w:p w:rsidR="009D2CAE" w:rsidRPr="007C0CDA" w:rsidRDefault="009D2CAE" w:rsidP="00A84116">
            <w:pPr>
              <w:ind w:left="38"/>
              <w:rPr>
                <w:b/>
              </w:rPr>
            </w:pPr>
          </w:p>
        </w:tc>
      </w:tr>
      <w:tr w:rsidR="009D2CAE" w:rsidRPr="007C0CDA" w:rsidTr="00A84116">
        <w:tc>
          <w:tcPr>
            <w:tcW w:w="2282" w:type="dxa"/>
            <w:shd w:val="clear" w:color="auto" w:fill="92D400"/>
            <w:noWrap/>
          </w:tcPr>
          <w:p w:rsidR="009D2CAE" w:rsidRPr="007C0CDA" w:rsidRDefault="009D2CAE" w:rsidP="00A84116">
            <w:pPr>
              <w:rPr>
                <w:b/>
                <w:color w:val="FFFFFF"/>
              </w:rPr>
            </w:pPr>
            <w:r w:rsidRPr="007C0CDA">
              <w:rPr>
                <w:b/>
                <w:color w:val="FFFFFF"/>
              </w:rPr>
              <w:t>Cíle finančního nástroje</w:t>
            </w:r>
          </w:p>
        </w:tc>
        <w:tc>
          <w:tcPr>
            <w:tcW w:w="6788" w:type="dxa"/>
            <w:shd w:val="clear" w:color="auto" w:fill="FFFFFF"/>
            <w:noWrap/>
          </w:tcPr>
          <w:p w:rsidR="009D2CAE" w:rsidRPr="007C0CDA" w:rsidRDefault="009D2CAE" w:rsidP="00A84116">
            <w:r w:rsidRPr="007C0CDA">
              <w:t xml:space="preserve">Odstranit definovanou tržní mezeru v dostupnosti finančních prostředků pro konečného příjemce. Toho bude dosaženo poskytnutím zvýhodněného úvěru spolu s příspěvkem na úhradu zpracování energetického auditu. </w:t>
            </w:r>
          </w:p>
        </w:tc>
      </w:tr>
      <w:tr w:rsidR="009D2CAE" w:rsidRPr="007C0CDA" w:rsidTr="00A84116">
        <w:tc>
          <w:tcPr>
            <w:tcW w:w="2282" w:type="dxa"/>
            <w:shd w:val="clear" w:color="auto" w:fill="92D400"/>
            <w:noWrap/>
          </w:tcPr>
          <w:p w:rsidR="009D2CAE" w:rsidRPr="007C0CDA" w:rsidRDefault="009D2CAE" w:rsidP="00A84116">
            <w:pPr>
              <w:jc w:val="left"/>
              <w:rPr>
                <w:b/>
                <w:color w:val="FFFFFF"/>
              </w:rPr>
            </w:pPr>
            <w:r w:rsidRPr="007C0CDA">
              <w:rPr>
                <w:b/>
                <w:color w:val="FFFFFF"/>
              </w:rPr>
              <w:t>Definice a kritéria způsobilých projektů</w:t>
            </w:r>
          </w:p>
        </w:tc>
        <w:tc>
          <w:tcPr>
            <w:tcW w:w="6788" w:type="dxa"/>
            <w:shd w:val="clear" w:color="auto" w:fill="FFFFFF"/>
            <w:noWrap/>
          </w:tcPr>
          <w:p w:rsidR="009D2CAE" w:rsidRPr="007C0CDA" w:rsidRDefault="009D2CAE" w:rsidP="00A84116">
            <w:pPr>
              <w:pStyle w:val="Odstavecseseznamem"/>
              <w:numPr>
                <w:ilvl w:val="0"/>
                <w:numId w:val="36"/>
              </w:numPr>
              <w:overflowPunct/>
              <w:autoSpaceDE/>
              <w:autoSpaceDN/>
              <w:adjustRightInd/>
              <w:spacing w:before="120"/>
              <w:contextualSpacing w:val="0"/>
              <w:jc w:val="left"/>
              <w:textAlignment w:val="auto"/>
            </w:pPr>
            <w:r w:rsidRPr="007C0CDA">
              <w:t>Modernizace a rekonstrukce rozvodů elektřiny, plynu a tepla v budovách a v energetických hospodářstvích výrobních závodů za účelem zvýšení účinnosti</w:t>
            </w:r>
          </w:p>
          <w:p w:rsidR="009D2CAE" w:rsidRPr="007C0CDA" w:rsidRDefault="009D2CAE" w:rsidP="00A84116">
            <w:pPr>
              <w:pStyle w:val="Odstavecseseznamem"/>
              <w:numPr>
                <w:ilvl w:val="0"/>
                <w:numId w:val="36"/>
              </w:numPr>
              <w:overflowPunct/>
              <w:autoSpaceDE/>
              <w:autoSpaceDN/>
              <w:adjustRightInd/>
              <w:spacing w:before="120"/>
              <w:contextualSpacing w:val="0"/>
              <w:jc w:val="left"/>
              <w:textAlignment w:val="auto"/>
            </w:pPr>
            <w:r w:rsidRPr="007C0CDA">
              <w:t>zavádění a modernizace systémů měření a regulace,</w:t>
            </w:r>
          </w:p>
          <w:p w:rsidR="009D2CAE" w:rsidRPr="007C0CDA" w:rsidRDefault="009D2CAE" w:rsidP="00A84116">
            <w:pPr>
              <w:pStyle w:val="Odstavecseseznamem"/>
              <w:numPr>
                <w:ilvl w:val="0"/>
                <w:numId w:val="36"/>
              </w:numPr>
              <w:overflowPunct/>
              <w:autoSpaceDE/>
              <w:autoSpaceDN/>
              <w:adjustRightInd/>
              <w:spacing w:before="120"/>
              <w:contextualSpacing w:val="0"/>
              <w:jc w:val="left"/>
              <w:textAlignment w:val="auto"/>
            </w:pPr>
            <w:r w:rsidRPr="007C0CDA">
              <w:t>modernizace, rekonstrukce stávajících zařízení na výrobu energie pro vlastní spotřebu vedoucí ke zvýšení její účinnosti,</w:t>
            </w:r>
          </w:p>
          <w:p w:rsidR="009D2CAE" w:rsidRPr="007C0CDA" w:rsidRDefault="009D2CAE" w:rsidP="00A84116">
            <w:pPr>
              <w:pStyle w:val="Odstavecseseznamem"/>
              <w:numPr>
                <w:ilvl w:val="0"/>
                <w:numId w:val="36"/>
              </w:numPr>
              <w:overflowPunct/>
              <w:autoSpaceDE/>
              <w:autoSpaceDN/>
              <w:adjustRightInd/>
              <w:spacing w:before="120"/>
              <w:contextualSpacing w:val="0"/>
              <w:jc w:val="left"/>
              <w:textAlignment w:val="auto"/>
            </w:pPr>
            <w:r w:rsidRPr="007C0CDA">
              <w:t>modernizace soustav osvětlení budov a průmyslových areálů (pouze v případě náhrady zastaralých technologií za nové vysoce efektivní osvětlovací systémy, např. světelných diod (LED),</w:t>
            </w:r>
          </w:p>
          <w:p w:rsidR="009D2CAE" w:rsidRPr="007C0CDA" w:rsidRDefault="009D2CAE" w:rsidP="00A84116">
            <w:pPr>
              <w:pStyle w:val="Odstavecseseznamem"/>
              <w:numPr>
                <w:ilvl w:val="0"/>
                <w:numId w:val="36"/>
              </w:numPr>
              <w:overflowPunct/>
              <w:autoSpaceDE/>
              <w:autoSpaceDN/>
              <w:adjustRightInd/>
              <w:spacing w:before="120"/>
              <w:contextualSpacing w:val="0"/>
              <w:jc w:val="left"/>
              <w:textAlignment w:val="auto"/>
            </w:pPr>
            <w:r w:rsidRPr="007C0CDA">
              <w:t>realizace opatření ke snižování energetické náročnosti budov v podnikatelském sektoru (zateplení obvodového pláště, výměna a renovace otvorových výplní, další stavební opatření mající prokazatelně vliv na energetickou náročnost budovy, instalace vzduchotechniky s rekuperací odpadního tepla),</w:t>
            </w:r>
          </w:p>
          <w:p w:rsidR="009D2CAE" w:rsidRPr="007C0CDA" w:rsidRDefault="009D2CAE" w:rsidP="00A84116">
            <w:pPr>
              <w:pStyle w:val="Odstavecseseznamem"/>
              <w:numPr>
                <w:ilvl w:val="0"/>
                <w:numId w:val="36"/>
              </w:numPr>
              <w:overflowPunct/>
              <w:autoSpaceDE/>
              <w:autoSpaceDN/>
              <w:adjustRightInd/>
              <w:spacing w:before="120"/>
              <w:contextualSpacing w:val="0"/>
              <w:jc w:val="left"/>
              <w:textAlignment w:val="auto"/>
            </w:pPr>
            <w:r w:rsidRPr="007C0CDA">
              <w:t>využití odpadní energie ve výrobních procesech,</w:t>
            </w:r>
          </w:p>
          <w:p w:rsidR="009D2CAE" w:rsidRPr="007C0CDA" w:rsidRDefault="009D2CAE" w:rsidP="00A84116">
            <w:pPr>
              <w:pStyle w:val="Odstavecseseznamem"/>
              <w:numPr>
                <w:ilvl w:val="0"/>
                <w:numId w:val="36"/>
              </w:numPr>
              <w:overflowPunct/>
              <w:autoSpaceDE/>
              <w:autoSpaceDN/>
              <w:adjustRightInd/>
              <w:spacing w:before="120"/>
              <w:contextualSpacing w:val="0"/>
              <w:jc w:val="left"/>
              <w:textAlignment w:val="auto"/>
            </w:pPr>
            <w:r w:rsidRPr="007C0CDA">
              <w:t>snižování energetické náročnosti/zvyšování energetické účinnosti výrobních a technologických procesů,</w:t>
            </w:r>
          </w:p>
          <w:p w:rsidR="009D2CAE" w:rsidRPr="007C0CDA" w:rsidRDefault="009D2CAE" w:rsidP="00A84116">
            <w:pPr>
              <w:pStyle w:val="Odstavecseseznamem"/>
              <w:numPr>
                <w:ilvl w:val="0"/>
                <w:numId w:val="36"/>
              </w:numPr>
              <w:overflowPunct/>
              <w:autoSpaceDE/>
              <w:autoSpaceDN/>
              <w:adjustRightInd/>
              <w:spacing w:before="120"/>
              <w:contextualSpacing w:val="0"/>
              <w:jc w:val="left"/>
              <w:textAlignment w:val="auto"/>
            </w:pPr>
            <w:r w:rsidRPr="007C0CDA">
              <w:t>instalace OZE pro vlastní spotřebu podniku,</w:t>
            </w:r>
          </w:p>
          <w:p w:rsidR="009D2CAE" w:rsidRPr="007C0CDA" w:rsidRDefault="009D2CAE" w:rsidP="00A84116">
            <w:pPr>
              <w:pStyle w:val="Odstavecseseznamem"/>
              <w:numPr>
                <w:ilvl w:val="0"/>
                <w:numId w:val="36"/>
              </w:numPr>
              <w:overflowPunct/>
              <w:autoSpaceDE/>
              <w:autoSpaceDN/>
              <w:adjustRightInd/>
              <w:spacing w:before="120"/>
              <w:contextualSpacing w:val="0"/>
              <w:jc w:val="left"/>
              <w:textAlignment w:val="auto"/>
            </w:pPr>
            <w:r w:rsidRPr="007C0CDA">
              <w:t>instalace kogenerační jednotky s maximálním využitím elektrické a tepelné energie pro vlastní spotřebu podniku,</w:t>
            </w:r>
          </w:p>
          <w:p w:rsidR="009D2CAE" w:rsidRPr="007C0CDA" w:rsidRDefault="009D2CAE" w:rsidP="002433DA">
            <w:pPr>
              <w:pStyle w:val="Odstavecseseznamem"/>
              <w:numPr>
                <w:ilvl w:val="0"/>
                <w:numId w:val="36"/>
              </w:numPr>
              <w:overflowPunct/>
              <w:autoSpaceDE/>
              <w:autoSpaceDN/>
              <w:adjustRightInd/>
              <w:spacing w:line="250" w:lineRule="atLeast"/>
              <w:jc w:val="left"/>
              <w:textAlignment w:val="auto"/>
            </w:pPr>
            <w:r w:rsidRPr="007C0CDA">
              <w:t>podpora vícenákladů na dosažení standardu budovy s téměř nulovou spotřebou a pasivního energetického standardu v případě rekonstrukce či výstavby nových podnikatelských budov. Vícenáklady budou odvozeny od modelových příkladů a pro účely podpory stanoveny jako pevná částka na jasně měřitelnou veličinu (např. na metr čtvereční energeticky vztažné plochy).</w:t>
            </w:r>
          </w:p>
        </w:tc>
      </w:tr>
      <w:tr w:rsidR="009D2CAE" w:rsidRPr="007C0CDA" w:rsidTr="00A84116">
        <w:tc>
          <w:tcPr>
            <w:tcW w:w="2282" w:type="dxa"/>
            <w:shd w:val="clear" w:color="auto" w:fill="92D400"/>
            <w:noWrap/>
          </w:tcPr>
          <w:p w:rsidR="009D2CAE" w:rsidRPr="007C0CDA" w:rsidRDefault="009D2CAE" w:rsidP="00A84116">
            <w:pPr>
              <w:rPr>
                <w:b/>
                <w:color w:val="FFFFFF"/>
              </w:rPr>
            </w:pPr>
            <w:r w:rsidRPr="007C0CDA">
              <w:rPr>
                <w:b/>
                <w:color w:val="FFFFFF"/>
              </w:rPr>
              <w:t>Forma podpory</w:t>
            </w:r>
          </w:p>
        </w:tc>
        <w:tc>
          <w:tcPr>
            <w:tcW w:w="6788" w:type="dxa"/>
            <w:shd w:val="clear" w:color="auto" w:fill="FFFFFF"/>
            <w:noWrap/>
          </w:tcPr>
          <w:p w:rsidR="009D2CAE" w:rsidRPr="007C0CDA" w:rsidRDefault="009D2CAE" w:rsidP="008E4E77">
            <w:pPr>
              <w:spacing w:after="120"/>
              <w:rPr>
                <w:rFonts w:cs="Calibri"/>
                <w:szCs w:val="22"/>
              </w:rPr>
            </w:pPr>
            <w:r w:rsidRPr="007C0CDA">
              <w:rPr>
                <w:rFonts w:cs="Calibri"/>
                <w:szCs w:val="22"/>
              </w:rPr>
              <w:t>Kombinovaná podpora</w:t>
            </w:r>
          </w:p>
          <w:p w:rsidR="009D2CAE" w:rsidRPr="007C0CDA" w:rsidRDefault="009D2CAE" w:rsidP="008E4E77">
            <w:pPr>
              <w:spacing w:after="120"/>
              <w:rPr>
                <w:rFonts w:cs="Calibri"/>
                <w:szCs w:val="22"/>
              </w:rPr>
            </w:pPr>
            <w:r w:rsidRPr="007C0CDA">
              <w:rPr>
                <w:rFonts w:cs="Calibri"/>
                <w:szCs w:val="22"/>
              </w:rPr>
              <w:t>Zvýhodněný úvěr se sníženou úrokovou sazbou a delší dobou splatnosti</w:t>
            </w:r>
          </w:p>
          <w:p w:rsidR="009D2CAE" w:rsidRPr="007C0CDA" w:rsidRDefault="009D2CAE" w:rsidP="008E4E77">
            <w:pPr>
              <w:spacing w:after="120"/>
              <w:rPr>
                <w:rFonts w:cs="Calibri"/>
                <w:szCs w:val="22"/>
              </w:rPr>
            </w:pPr>
            <w:r w:rsidRPr="007C0CDA">
              <w:rPr>
                <w:rFonts w:cs="Calibri"/>
                <w:szCs w:val="22"/>
              </w:rPr>
              <w:t>Finanční příspěvek na úhradu úroků (subvence úrokové sazby – finanční příspěvek) za podmínky dosažení požadované úspory</w:t>
            </w:r>
          </w:p>
          <w:p w:rsidR="009D2CAE" w:rsidRPr="007C0CDA" w:rsidRDefault="009D2CAE" w:rsidP="008E4E77">
            <w:pPr>
              <w:rPr>
                <w:b/>
                <w:color w:val="FF0000"/>
              </w:rPr>
            </w:pPr>
            <w:r w:rsidRPr="007C0CDA">
              <w:rPr>
                <w:rFonts w:cs="Calibri"/>
                <w:szCs w:val="22"/>
              </w:rPr>
              <w:t>Úhrada nákladů na energetický audit a ověření úspory (finanční příspěvek)</w:t>
            </w:r>
          </w:p>
        </w:tc>
      </w:tr>
      <w:tr w:rsidR="009D2CAE" w:rsidRPr="007C0CDA" w:rsidTr="00A84116">
        <w:tc>
          <w:tcPr>
            <w:tcW w:w="2282" w:type="dxa"/>
            <w:shd w:val="clear" w:color="auto" w:fill="92D400"/>
            <w:noWrap/>
          </w:tcPr>
          <w:p w:rsidR="009D2CAE" w:rsidRPr="007C0CDA" w:rsidRDefault="009D2CAE" w:rsidP="00A84116">
            <w:pPr>
              <w:rPr>
                <w:b/>
                <w:color w:val="FFFFFF"/>
              </w:rPr>
            </w:pPr>
            <w:r w:rsidRPr="007C0CDA">
              <w:rPr>
                <w:b/>
                <w:color w:val="FFFFFF"/>
              </w:rPr>
              <w:t>Výše podpory</w:t>
            </w:r>
          </w:p>
        </w:tc>
        <w:tc>
          <w:tcPr>
            <w:tcW w:w="6788" w:type="dxa"/>
            <w:shd w:val="clear" w:color="auto" w:fill="FFFFFF"/>
            <w:noWrap/>
          </w:tcPr>
          <w:p w:rsidR="009D2CAE" w:rsidRPr="007C0CDA" w:rsidRDefault="009D2CAE" w:rsidP="00A84116">
            <w:r w:rsidRPr="007C0CDA">
              <w:t>Úvěr a subvence úrokové sazby se budou pohybovat v rozpětí 0,5 – 250 mil. Kč.</w:t>
            </w:r>
          </w:p>
        </w:tc>
      </w:tr>
      <w:tr w:rsidR="009D2CAE" w:rsidRPr="007C0CDA" w:rsidTr="00A84116">
        <w:tc>
          <w:tcPr>
            <w:tcW w:w="2282" w:type="dxa"/>
            <w:shd w:val="clear" w:color="auto" w:fill="92D400"/>
            <w:noWrap/>
          </w:tcPr>
          <w:p w:rsidR="009D2CAE" w:rsidRPr="007C0CDA" w:rsidRDefault="009D2CAE" w:rsidP="00A84116">
            <w:pPr>
              <w:rPr>
                <w:b/>
                <w:color w:val="FFFFFF"/>
              </w:rPr>
            </w:pPr>
            <w:r w:rsidRPr="007C0CDA">
              <w:rPr>
                <w:b/>
                <w:color w:val="FFFFFF"/>
              </w:rPr>
              <w:t>Základní parametry poskytované podpory</w:t>
            </w:r>
          </w:p>
        </w:tc>
        <w:tc>
          <w:tcPr>
            <w:tcW w:w="6788" w:type="dxa"/>
            <w:shd w:val="clear" w:color="auto" w:fill="FFFFFF"/>
            <w:noWrap/>
          </w:tcPr>
          <w:p w:rsidR="009D2CAE" w:rsidRPr="007C0CDA" w:rsidRDefault="009D2CAE" w:rsidP="00A84116">
            <w:r w:rsidRPr="007C0CDA">
              <w:t xml:space="preserve">Doporučujeme snížení úrokové míry pro konečného příjemce na polovinu tržní úrokové míry formou zapojení finančního nástroje i úvěru soukromé úvěrující instituce. Pro dosažené takto nízké sazby je nezbytné, aby </w:t>
            </w:r>
            <w:r w:rsidRPr="007C0CDA">
              <w:lastRenderedPageBreak/>
              <w:t>úroková sazba fondu byla co nejnižší.</w:t>
            </w:r>
          </w:p>
        </w:tc>
      </w:tr>
      <w:tr w:rsidR="009D2CAE" w:rsidRPr="007C0CDA" w:rsidTr="00A84116">
        <w:tc>
          <w:tcPr>
            <w:tcW w:w="2282" w:type="dxa"/>
            <w:shd w:val="clear" w:color="auto" w:fill="92D400"/>
            <w:noWrap/>
          </w:tcPr>
          <w:p w:rsidR="009D2CAE" w:rsidRPr="007C0CDA" w:rsidRDefault="009D2CAE" w:rsidP="00A84116">
            <w:pPr>
              <w:rPr>
                <w:b/>
                <w:color w:val="FFFFFF"/>
              </w:rPr>
            </w:pPr>
            <w:r w:rsidRPr="007C0CDA">
              <w:rPr>
                <w:b/>
                <w:color w:val="FFFFFF"/>
              </w:rPr>
              <w:lastRenderedPageBreak/>
              <w:t>Kroky k aktivizaci soukromých finančních zdrojů</w:t>
            </w:r>
          </w:p>
        </w:tc>
        <w:tc>
          <w:tcPr>
            <w:tcW w:w="6788" w:type="dxa"/>
            <w:shd w:val="clear" w:color="auto" w:fill="FFFFFF"/>
            <w:noWrap/>
          </w:tcPr>
          <w:p w:rsidR="009D2CAE" w:rsidRPr="007C0CDA" w:rsidRDefault="009D2CAE" w:rsidP="00A84116">
            <w:r w:rsidRPr="007C0CDA">
              <w:t>Dle dosavadních jednání se zainteresovanými skupinami na přípravě OP PIK 2014-2020 byla identifikována potřeba povzbuzení potenciálních spolufinancujících subjektů k zapojení se do budovaných struktur, ať již na úrovni fondu, nebo na úrovni jednotlivých projektů. Jako motivační nástroje pro zapojení spolufinancujících subjektů lze využít zejména následující:</w:t>
            </w:r>
          </w:p>
          <w:p w:rsidR="009D2CAE" w:rsidRPr="007C0CDA" w:rsidRDefault="009D2CAE" w:rsidP="00A84116">
            <w:pPr>
              <w:pStyle w:val="Odstavecseseznamem"/>
              <w:numPr>
                <w:ilvl w:val="0"/>
                <w:numId w:val="35"/>
              </w:numPr>
              <w:overflowPunct/>
              <w:autoSpaceDE/>
              <w:autoSpaceDN/>
              <w:adjustRightInd/>
              <w:ind w:left="412" w:hanging="141"/>
              <w:textAlignment w:val="auto"/>
            </w:pPr>
            <w:r w:rsidRPr="007C0CDA">
              <w:t xml:space="preserve">Míra zapojení veřejných zdrojů – podíl je nutné nastavit na základě diskuze se zainteresovanými subjekty a potenciálními spolufinancujícími subjekty </w:t>
            </w:r>
          </w:p>
          <w:p w:rsidR="009D2CAE" w:rsidRPr="007C0CDA" w:rsidRDefault="009D2CAE" w:rsidP="00A84116">
            <w:pPr>
              <w:pStyle w:val="Odstavecseseznamem"/>
              <w:numPr>
                <w:ilvl w:val="0"/>
                <w:numId w:val="35"/>
              </w:numPr>
              <w:overflowPunct/>
              <w:autoSpaceDE/>
              <w:autoSpaceDN/>
              <w:adjustRightInd/>
              <w:ind w:left="412" w:hanging="141"/>
              <w:textAlignment w:val="auto"/>
            </w:pPr>
            <w:r w:rsidRPr="007C0CDA">
              <w:t>Ručení za případné ztráty projektu do výše sjednaného limitu first piece loss;</w:t>
            </w:r>
          </w:p>
          <w:p w:rsidR="009D2CAE" w:rsidRPr="007C0CDA" w:rsidRDefault="009D2CAE" w:rsidP="00A84116">
            <w:pPr>
              <w:pStyle w:val="Odstavecseseznamem"/>
              <w:numPr>
                <w:ilvl w:val="0"/>
                <w:numId w:val="35"/>
              </w:numPr>
              <w:overflowPunct/>
              <w:autoSpaceDE/>
              <w:autoSpaceDN/>
              <w:adjustRightInd/>
              <w:ind w:left="412" w:hanging="141"/>
              <w:textAlignment w:val="auto"/>
            </w:pPr>
            <w:r w:rsidRPr="007C0CDA">
              <w:t>Zvýhodněné dělení přijatých úroků ve prospěch spolufinancujícího subjektu do stanovené výše.</w:t>
            </w:r>
          </w:p>
          <w:p w:rsidR="009D2CAE" w:rsidRPr="007C0CDA" w:rsidRDefault="009D2CAE" w:rsidP="00A84116">
            <w:pPr>
              <w:pStyle w:val="Odstavecseseznamem"/>
            </w:pPr>
          </w:p>
        </w:tc>
      </w:tr>
      <w:tr w:rsidR="009D2CAE" w:rsidRPr="007C0CDA" w:rsidTr="00A84116">
        <w:tc>
          <w:tcPr>
            <w:tcW w:w="2282" w:type="dxa"/>
            <w:shd w:val="clear" w:color="auto" w:fill="92D400"/>
            <w:noWrap/>
          </w:tcPr>
          <w:p w:rsidR="009D2CAE" w:rsidRPr="007C0CDA" w:rsidRDefault="009D2CAE" w:rsidP="00A84116">
            <w:pPr>
              <w:rPr>
                <w:b/>
                <w:color w:val="FFFFFF"/>
              </w:rPr>
            </w:pPr>
            <w:r w:rsidRPr="007C0CDA">
              <w:rPr>
                <w:b/>
                <w:color w:val="FFFFFF"/>
              </w:rPr>
              <w:t>Očekávaná alokace</w:t>
            </w:r>
          </w:p>
        </w:tc>
        <w:tc>
          <w:tcPr>
            <w:tcW w:w="6788" w:type="dxa"/>
            <w:shd w:val="clear" w:color="auto" w:fill="FFFFFF"/>
            <w:noWrap/>
          </w:tcPr>
          <w:p w:rsidR="009D2CAE" w:rsidRPr="007C0CDA" w:rsidRDefault="009D2CAE" w:rsidP="00A84116">
            <w:r w:rsidRPr="007C0CDA">
              <w:t>Deloitte Advisory  doporučuje úvěrový finanční nástroj využít pro až 10-30  % alokace podporovaných aktivit specifického cíle 3.2.</w:t>
            </w:r>
          </w:p>
          <w:p w:rsidR="009D2CAE" w:rsidRPr="007C0CDA" w:rsidRDefault="009D2CAE" w:rsidP="00A84116">
            <w:pPr>
              <w:spacing w:after="120"/>
              <w:contextualSpacing/>
            </w:pPr>
          </w:p>
          <w:p w:rsidR="009D2CAE" w:rsidRPr="007C0CDA" w:rsidRDefault="009D2CAE" w:rsidP="00A84116">
            <w:r w:rsidRPr="007C0CDA">
              <w:t>V případě realizovatelné kombinovatelnosti zvýhodněného úvěru s menší mírou dotace je možné alokaci FN zvýšit a využít zvýhodněné úvěry u všech projektů.</w:t>
            </w:r>
          </w:p>
        </w:tc>
      </w:tr>
    </w:tbl>
    <w:p w:rsidR="009D2CAE" w:rsidRDefault="009D2CAE" w:rsidP="002433DA">
      <w:pPr>
        <w:rPr>
          <w:b/>
        </w:rPr>
      </w:pPr>
    </w:p>
    <w:p w:rsidR="002F7B85" w:rsidRDefault="002F7B85" w:rsidP="002433DA">
      <w:pPr>
        <w:pStyle w:val="Nadpis3"/>
      </w:pPr>
      <w:bookmarkStart w:id="851" w:name="_Toc416448076"/>
      <w:r>
        <w:t>Očekávané výsledky finančního nástroje</w:t>
      </w:r>
      <w:bookmarkEnd w:id="851"/>
    </w:p>
    <w:p w:rsidR="002F7B85" w:rsidRDefault="002F7B85" w:rsidP="002F7B85">
      <w:r>
        <w:t>Níže jsou prezentovány výsledky modelování potenciálních efektů využití navrhované části alokace specifického cíle na finanční nástroj, vč. specifikace výchozích atributů, na kterých je model postaven. V případě potřeby úpravy vstupních parametrů je možné využít poskytnutý pracovní nástroj a model přepočítat.</w:t>
      </w:r>
    </w:p>
    <w:p w:rsidR="002F7B85" w:rsidRDefault="002F7B85" w:rsidP="002F7B85"/>
    <w:p w:rsidR="002F7B85" w:rsidRDefault="002F7B85" w:rsidP="002F7B85">
      <w:pPr>
        <w:pStyle w:val="CaptionIntroductionparagraph"/>
        <w:jc w:val="center"/>
      </w:pPr>
      <w:r>
        <w:rPr>
          <w:noProof/>
          <w:lang w:eastAsia="cs-CZ"/>
        </w:rPr>
        <w:drawing>
          <wp:inline distT="0" distB="0" distL="0" distR="0" wp14:anchorId="50A917A6" wp14:editId="01FD246F">
            <wp:extent cx="4591050" cy="2662238"/>
            <wp:effectExtent l="0" t="0" r="0" b="5080"/>
            <wp:docPr id="11650" name="Chart 116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F7B85" w:rsidRDefault="002F7B85" w:rsidP="002F7B85">
      <w:r>
        <w:t xml:space="preserve">Legenda: </w:t>
      </w:r>
    </w:p>
    <w:p w:rsidR="002F7B85" w:rsidRDefault="002F7B85" w:rsidP="002F7B85">
      <w:pPr>
        <w:pStyle w:val="Odstavecseseznamem"/>
        <w:numPr>
          <w:ilvl w:val="0"/>
          <w:numId w:val="76"/>
        </w:numPr>
        <w:overflowPunct/>
        <w:autoSpaceDE/>
        <w:autoSpaceDN/>
        <w:adjustRightInd/>
        <w:contextualSpacing w:val="0"/>
        <w:textAlignment w:val="auto"/>
      </w:pPr>
      <w:r>
        <w:t>Modré sloupce representují postupné čerpání alokace OPPIK, vyčleněné v rámci sledovaného specifického cíle pro finanční nástroj.</w:t>
      </w:r>
    </w:p>
    <w:p w:rsidR="002F7B85" w:rsidRDefault="002F7B85" w:rsidP="002F7B85">
      <w:pPr>
        <w:pStyle w:val="Odstavecseseznamem"/>
        <w:numPr>
          <w:ilvl w:val="0"/>
          <w:numId w:val="76"/>
        </w:numPr>
        <w:overflowPunct/>
        <w:autoSpaceDE/>
        <w:autoSpaceDN/>
        <w:adjustRightInd/>
        <w:contextualSpacing w:val="0"/>
        <w:textAlignment w:val="auto"/>
      </w:pPr>
      <w:r>
        <w:t xml:space="preserve">Zelené sloupce representují čerpání zdrojů, které byly vráceny v rámci splátek jistiny a úroků poskytnutých zdrojů původní alokace. K čerpání těchto zdrojů dochází bezprostředně po </w:t>
      </w:r>
      <w:r>
        <w:lastRenderedPageBreak/>
        <w:t>vyčerpání původní alokace určené pro IFN. Znázornění je provedeno reverzně, kdy první sloupec znázorňuje celkovou výši vyčerpaných revolvingových zdrojů za programové období, čerpání v jednotlivých letech representuje rozdíl mezi sloupcem „x a x+1“.</w:t>
      </w:r>
    </w:p>
    <w:p w:rsidR="002F7B85" w:rsidRDefault="002F7B85" w:rsidP="002F7B85">
      <w:pPr>
        <w:pStyle w:val="Odstavecseseznamem"/>
        <w:numPr>
          <w:ilvl w:val="0"/>
          <w:numId w:val="76"/>
        </w:numPr>
        <w:overflowPunct/>
        <w:autoSpaceDE/>
        <w:autoSpaceDN/>
        <w:adjustRightInd/>
        <w:contextualSpacing w:val="0"/>
        <w:textAlignment w:val="auto"/>
      </w:pPr>
      <w:r>
        <w:t>Modrá křivka representuje kumulaci navrácených zdrojů v absolutní výši.</w:t>
      </w:r>
    </w:p>
    <w:p w:rsidR="002F7B85" w:rsidRDefault="002F7B85" w:rsidP="002F7B85">
      <w:pPr>
        <w:pStyle w:val="CaptionIntroductionparagraph"/>
      </w:pPr>
    </w:p>
    <w:tbl>
      <w:tblPr>
        <w:tblStyle w:val="TableGridLight1"/>
        <w:tblW w:w="5669" w:type="dxa"/>
        <w:jc w:val="center"/>
        <w:tblLook w:val="04A0" w:firstRow="1" w:lastRow="0" w:firstColumn="1" w:lastColumn="0" w:noHBand="0" w:noVBand="1"/>
      </w:tblPr>
      <w:tblGrid>
        <w:gridCol w:w="4252"/>
        <w:gridCol w:w="1417"/>
      </w:tblGrid>
      <w:tr w:rsidR="002F7B85" w:rsidRPr="009F3E04" w:rsidTr="002E3AE9">
        <w:trPr>
          <w:trHeight w:val="240"/>
          <w:jc w:val="center"/>
        </w:trPr>
        <w:tc>
          <w:tcPr>
            <w:tcW w:w="4252" w:type="dxa"/>
            <w:noWrap/>
            <w:vAlign w:val="center"/>
            <w:hideMark/>
          </w:tcPr>
          <w:p w:rsidR="002F7B85" w:rsidRPr="00E75D0A" w:rsidRDefault="002F7B85" w:rsidP="002E3AE9">
            <w:pPr>
              <w:keepNext/>
              <w:jc w:val="left"/>
              <w:rPr>
                <w:color w:val="000000"/>
                <w:sz w:val="18"/>
                <w:szCs w:val="18"/>
                <w:lang w:val="cs-CZ" w:eastAsia="cs-CZ"/>
              </w:rPr>
            </w:pPr>
            <w:r w:rsidRPr="00E75D0A">
              <w:rPr>
                <w:color w:val="000000"/>
                <w:sz w:val="18"/>
                <w:szCs w:val="18"/>
                <w:lang w:val="cs-CZ" w:eastAsia="cs-CZ"/>
              </w:rPr>
              <w:t>Alokace OPPIK (mil. Kč)</w:t>
            </w:r>
          </w:p>
        </w:tc>
        <w:tc>
          <w:tcPr>
            <w:tcW w:w="1417" w:type="dxa"/>
            <w:noWrap/>
            <w:vAlign w:val="center"/>
            <w:hideMark/>
          </w:tcPr>
          <w:p w:rsidR="002F7B85" w:rsidRPr="00E75D0A" w:rsidRDefault="002F7B85" w:rsidP="002E3AE9">
            <w:pPr>
              <w:keepNext/>
              <w:jc w:val="right"/>
              <w:rPr>
                <w:color w:val="000000"/>
                <w:sz w:val="18"/>
                <w:szCs w:val="18"/>
                <w:lang w:val="cs-CZ" w:eastAsia="cs-CZ"/>
              </w:rPr>
            </w:pPr>
            <w:r>
              <w:rPr>
                <w:color w:val="000000"/>
                <w:sz w:val="18"/>
                <w:szCs w:val="18"/>
                <w:lang w:val="cs-CZ" w:eastAsia="cs-CZ"/>
              </w:rPr>
              <w:t xml:space="preserve">6 045 </w:t>
            </w:r>
          </w:p>
        </w:tc>
      </w:tr>
      <w:tr w:rsidR="002F7B85" w:rsidRPr="009F3E04" w:rsidTr="002E3AE9">
        <w:trPr>
          <w:trHeight w:val="240"/>
          <w:jc w:val="center"/>
        </w:trPr>
        <w:tc>
          <w:tcPr>
            <w:tcW w:w="4252" w:type="dxa"/>
            <w:noWrap/>
            <w:vAlign w:val="center"/>
            <w:hideMark/>
          </w:tcPr>
          <w:p w:rsidR="002F7B85" w:rsidRPr="00E75D0A" w:rsidRDefault="002F7B85" w:rsidP="002E3AE9">
            <w:pPr>
              <w:keepNext/>
              <w:jc w:val="left"/>
              <w:rPr>
                <w:color w:val="000000"/>
                <w:sz w:val="18"/>
                <w:szCs w:val="18"/>
                <w:lang w:val="cs-CZ" w:eastAsia="cs-CZ"/>
              </w:rPr>
            </w:pPr>
            <w:r w:rsidRPr="00E75D0A">
              <w:rPr>
                <w:color w:val="000000"/>
                <w:sz w:val="18"/>
                <w:szCs w:val="18"/>
                <w:lang w:val="cs-CZ" w:eastAsia="cs-CZ"/>
              </w:rPr>
              <w:t>Úrok zdrojů poskytovaných z OPPIK</w:t>
            </w:r>
          </w:p>
        </w:tc>
        <w:tc>
          <w:tcPr>
            <w:tcW w:w="1417" w:type="dxa"/>
            <w:noWrap/>
            <w:vAlign w:val="center"/>
            <w:hideMark/>
          </w:tcPr>
          <w:p w:rsidR="002F7B85" w:rsidRPr="00E75D0A" w:rsidRDefault="002F7B85" w:rsidP="002E3AE9">
            <w:pPr>
              <w:keepNext/>
              <w:jc w:val="right"/>
              <w:rPr>
                <w:color w:val="000000"/>
                <w:sz w:val="18"/>
                <w:szCs w:val="18"/>
                <w:lang w:val="cs-CZ" w:eastAsia="cs-CZ"/>
              </w:rPr>
            </w:pPr>
            <w:r>
              <w:rPr>
                <w:color w:val="000000"/>
                <w:sz w:val="18"/>
                <w:szCs w:val="18"/>
                <w:lang w:val="cs-CZ" w:eastAsia="cs-CZ"/>
              </w:rPr>
              <w:t>1,00</w:t>
            </w:r>
            <w:r w:rsidRPr="00E75D0A">
              <w:rPr>
                <w:color w:val="000000"/>
                <w:sz w:val="18"/>
                <w:szCs w:val="18"/>
                <w:lang w:val="cs-CZ" w:eastAsia="cs-CZ"/>
              </w:rPr>
              <w:t xml:space="preserve"> %</w:t>
            </w:r>
          </w:p>
        </w:tc>
      </w:tr>
      <w:tr w:rsidR="002F7B85" w:rsidRPr="009F3E04" w:rsidTr="002E3AE9">
        <w:trPr>
          <w:trHeight w:val="240"/>
          <w:jc w:val="center"/>
        </w:trPr>
        <w:tc>
          <w:tcPr>
            <w:tcW w:w="4252" w:type="dxa"/>
            <w:noWrap/>
            <w:vAlign w:val="center"/>
            <w:hideMark/>
          </w:tcPr>
          <w:p w:rsidR="002F7B85" w:rsidRPr="00E75D0A" w:rsidRDefault="002F7B85" w:rsidP="002E3AE9">
            <w:pPr>
              <w:keepNext/>
              <w:jc w:val="left"/>
              <w:rPr>
                <w:color w:val="000000"/>
                <w:sz w:val="18"/>
                <w:szCs w:val="18"/>
                <w:lang w:val="cs-CZ" w:eastAsia="cs-CZ"/>
              </w:rPr>
            </w:pPr>
            <w:r w:rsidRPr="00E75D0A">
              <w:rPr>
                <w:color w:val="000000"/>
                <w:sz w:val="18"/>
                <w:szCs w:val="18"/>
                <w:lang w:val="cs-CZ" w:eastAsia="cs-CZ"/>
              </w:rPr>
              <w:t>Požadovaný úrok spolufinancujícího subjektu</w:t>
            </w:r>
          </w:p>
        </w:tc>
        <w:tc>
          <w:tcPr>
            <w:tcW w:w="1417" w:type="dxa"/>
            <w:noWrap/>
            <w:vAlign w:val="center"/>
            <w:hideMark/>
          </w:tcPr>
          <w:p w:rsidR="002F7B85" w:rsidRPr="00E75D0A" w:rsidRDefault="002F7B85" w:rsidP="002E3AE9">
            <w:pPr>
              <w:keepNext/>
              <w:jc w:val="right"/>
              <w:rPr>
                <w:color w:val="000000"/>
                <w:sz w:val="18"/>
                <w:szCs w:val="18"/>
                <w:lang w:val="cs-CZ" w:eastAsia="cs-CZ"/>
              </w:rPr>
            </w:pPr>
            <w:r>
              <w:rPr>
                <w:color w:val="000000"/>
                <w:sz w:val="18"/>
                <w:szCs w:val="18"/>
                <w:lang w:val="cs-CZ" w:eastAsia="cs-CZ"/>
              </w:rPr>
              <w:t>3,00</w:t>
            </w:r>
            <w:r w:rsidRPr="00E75D0A">
              <w:rPr>
                <w:color w:val="000000"/>
                <w:sz w:val="18"/>
                <w:szCs w:val="18"/>
                <w:lang w:val="cs-CZ" w:eastAsia="cs-CZ"/>
              </w:rPr>
              <w:t xml:space="preserve"> %</w:t>
            </w:r>
          </w:p>
        </w:tc>
      </w:tr>
      <w:tr w:rsidR="002F7B85" w:rsidRPr="009F3E04" w:rsidTr="002E3AE9">
        <w:trPr>
          <w:trHeight w:val="240"/>
          <w:jc w:val="center"/>
        </w:trPr>
        <w:tc>
          <w:tcPr>
            <w:tcW w:w="4252" w:type="dxa"/>
            <w:noWrap/>
            <w:vAlign w:val="center"/>
            <w:hideMark/>
          </w:tcPr>
          <w:p w:rsidR="002F7B85" w:rsidRPr="00E75D0A" w:rsidRDefault="002F7B85" w:rsidP="002E3AE9">
            <w:pPr>
              <w:keepNext/>
              <w:jc w:val="left"/>
              <w:rPr>
                <w:color w:val="000000"/>
                <w:sz w:val="18"/>
                <w:szCs w:val="18"/>
                <w:lang w:val="cs-CZ" w:eastAsia="cs-CZ"/>
              </w:rPr>
            </w:pPr>
            <w:r w:rsidRPr="00E75D0A">
              <w:rPr>
                <w:color w:val="000000"/>
                <w:sz w:val="18"/>
                <w:szCs w:val="18"/>
                <w:lang w:val="cs-CZ" w:eastAsia="cs-CZ"/>
              </w:rPr>
              <w:t>Limit výše výsledné úrokové míry úvěru příjemci</w:t>
            </w:r>
          </w:p>
        </w:tc>
        <w:tc>
          <w:tcPr>
            <w:tcW w:w="1417" w:type="dxa"/>
            <w:noWrap/>
            <w:vAlign w:val="center"/>
            <w:hideMark/>
          </w:tcPr>
          <w:p w:rsidR="002F7B85" w:rsidRPr="00E75D0A" w:rsidRDefault="002F7B85" w:rsidP="002E3AE9">
            <w:pPr>
              <w:keepNext/>
              <w:jc w:val="right"/>
              <w:rPr>
                <w:color w:val="000000"/>
                <w:sz w:val="18"/>
                <w:szCs w:val="18"/>
                <w:lang w:val="cs-CZ" w:eastAsia="cs-CZ"/>
              </w:rPr>
            </w:pPr>
            <w:r>
              <w:rPr>
                <w:color w:val="000000"/>
                <w:sz w:val="18"/>
                <w:szCs w:val="18"/>
                <w:lang w:val="cs-CZ" w:eastAsia="cs-CZ"/>
              </w:rPr>
              <w:t>2,00</w:t>
            </w:r>
            <w:r w:rsidRPr="00E75D0A">
              <w:rPr>
                <w:color w:val="000000"/>
                <w:sz w:val="18"/>
                <w:szCs w:val="18"/>
                <w:lang w:val="cs-CZ" w:eastAsia="cs-CZ"/>
              </w:rPr>
              <w:t xml:space="preserve"> %</w:t>
            </w:r>
          </w:p>
        </w:tc>
      </w:tr>
      <w:tr w:rsidR="002F7B85" w:rsidRPr="009F3E04" w:rsidTr="002E3AE9">
        <w:trPr>
          <w:trHeight w:val="240"/>
          <w:jc w:val="center"/>
        </w:trPr>
        <w:tc>
          <w:tcPr>
            <w:tcW w:w="4252" w:type="dxa"/>
            <w:noWrap/>
            <w:vAlign w:val="center"/>
            <w:hideMark/>
          </w:tcPr>
          <w:p w:rsidR="002F7B85" w:rsidRPr="00E75D0A" w:rsidRDefault="002F7B85" w:rsidP="002E3AE9">
            <w:pPr>
              <w:keepNext/>
              <w:jc w:val="left"/>
              <w:rPr>
                <w:color w:val="000000"/>
                <w:sz w:val="18"/>
                <w:szCs w:val="18"/>
                <w:lang w:val="cs-CZ" w:eastAsia="cs-CZ"/>
              </w:rPr>
            </w:pPr>
            <w:r w:rsidRPr="00E75D0A">
              <w:rPr>
                <w:color w:val="000000"/>
                <w:sz w:val="18"/>
                <w:szCs w:val="18"/>
                <w:lang w:val="cs-CZ" w:eastAsia="cs-CZ"/>
              </w:rPr>
              <w:t>Míra zapojení spolufinancujícího subjektu</w:t>
            </w:r>
          </w:p>
        </w:tc>
        <w:tc>
          <w:tcPr>
            <w:tcW w:w="1417" w:type="dxa"/>
            <w:noWrap/>
            <w:vAlign w:val="center"/>
            <w:hideMark/>
          </w:tcPr>
          <w:p w:rsidR="002F7B85" w:rsidRPr="00E75D0A" w:rsidRDefault="002F7B85" w:rsidP="002E3AE9">
            <w:pPr>
              <w:keepNext/>
              <w:jc w:val="right"/>
              <w:rPr>
                <w:color w:val="000000"/>
                <w:sz w:val="18"/>
                <w:szCs w:val="18"/>
                <w:lang w:val="cs-CZ" w:eastAsia="cs-CZ"/>
              </w:rPr>
            </w:pPr>
            <w:r>
              <w:rPr>
                <w:color w:val="000000"/>
                <w:sz w:val="18"/>
                <w:szCs w:val="18"/>
                <w:lang w:val="cs-CZ" w:eastAsia="cs-CZ"/>
              </w:rPr>
              <w:t>50,00</w:t>
            </w:r>
            <w:r w:rsidRPr="00E75D0A">
              <w:rPr>
                <w:color w:val="000000"/>
                <w:sz w:val="18"/>
                <w:szCs w:val="18"/>
                <w:lang w:val="cs-CZ" w:eastAsia="cs-CZ"/>
              </w:rPr>
              <w:t xml:space="preserve"> %</w:t>
            </w:r>
          </w:p>
        </w:tc>
      </w:tr>
      <w:tr w:rsidR="002F7B85" w:rsidRPr="009F3E04" w:rsidTr="002E3AE9">
        <w:trPr>
          <w:trHeight w:val="240"/>
          <w:jc w:val="center"/>
        </w:trPr>
        <w:tc>
          <w:tcPr>
            <w:tcW w:w="4252" w:type="dxa"/>
            <w:noWrap/>
            <w:vAlign w:val="center"/>
            <w:hideMark/>
          </w:tcPr>
          <w:p w:rsidR="002F7B85" w:rsidRPr="00E75D0A" w:rsidRDefault="002F7B85" w:rsidP="002E3AE9">
            <w:pPr>
              <w:keepNext/>
              <w:jc w:val="left"/>
              <w:rPr>
                <w:color w:val="000000"/>
                <w:sz w:val="18"/>
                <w:szCs w:val="18"/>
                <w:lang w:val="cs-CZ" w:eastAsia="cs-CZ"/>
              </w:rPr>
            </w:pPr>
            <w:r w:rsidRPr="00E75D0A">
              <w:rPr>
                <w:color w:val="000000"/>
                <w:sz w:val="18"/>
                <w:szCs w:val="18"/>
                <w:lang w:val="cs-CZ" w:eastAsia="cs-CZ"/>
              </w:rPr>
              <w:t>Splatnost úvěru</w:t>
            </w:r>
          </w:p>
        </w:tc>
        <w:tc>
          <w:tcPr>
            <w:tcW w:w="1417" w:type="dxa"/>
            <w:noWrap/>
            <w:vAlign w:val="center"/>
            <w:hideMark/>
          </w:tcPr>
          <w:p w:rsidR="002F7B85" w:rsidRPr="00E75D0A" w:rsidRDefault="002F7B85" w:rsidP="002E3AE9">
            <w:pPr>
              <w:keepNext/>
              <w:jc w:val="right"/>
              <w:rPr>
                <w:color w:val="000000"/>
                <w:sz w:val="18"/>
                <w:szCs w:val="18"/>
                <w:lang w:val="cs-CZ" w:eastAsia="cs-CZ"/>
              </w:rPr>
            </w:pPr>
            <w:r>
              <w:rPr>
                <w:color w:val="000000"/>
                <w:sz w:val="18"/>
                <w:szCs w:val="18"/>
                <w:lang w:val="cs-CZ" w:eastAsia="cs-CZ"/>
              </w:rPr>
              <w:t>8 let</w:t>
            </w:r>
          </w:p>
        </w:tc>
      </w:tr>
    </w:tbl>
    <w:p w:rsidR="002F7B85" w:rsidRDefault="002F7B85" w:rsidP="002F7B85">
      <w:pPr>
        <w:pStyle w:val="CaptionIntroductionparagraph"/>
      </w:pPr>
    </w:p>
    <w:tbl>
      <w:tblPr>
        <w:tblStyle w:val="TableGridLight1"/>
        <w:tblW w:w="5673" w:type="dxa"/>
        <w:jc w:val="center"/>
        <w:tblLook w:val="04A0" w:firstRow="1" w:lastRow="0" w:firstColumn="1" w:lastColumn="0" w:noHBand="0" w:noVBand="1"/>
      </w:tblPr>
      <w:tblGrid>
        <w:gridCol w:w="4256"/>
        <w:gridCol w:w="1417"/>
      </w:tblGrid>
      <w:tr w:rsidR="002F7B85" w:rsidRPr="009F3E04" w:rsidTr="002E3AE9">
        <w:trPr>
          <w:trHeight w:val="240"/>
          <w:jc w:val="center"/>
        </w:trPr>
        <w:tc>
          <w:tcPr>
            <w:tcW w:w="4256" w:type="dxa"/>
            <w:noWrap/>
            <w:vAlign w:val="center"/>
            <w:hideMark/>
          </w:tcPr>
          <w:p w:rsidR="002F7B85" w:rsidRPr="00E75D0A" w:rsidRDefault="002F7B85" w:rsidP="002E3AE9">
            <w:pPr>
              <w:jc w:val="left"/>
              <w:rPr>
                <w:color w:val="000000"/>
                <w:sz w:val="18"/>
                <w:szCs w:val="18"/>
                <w:lang w:val="cs-CZ" w:eastAsia="cs-CZ"/>
              </w:rPr>
            </w:pPr>
            <w:r w:rsidRPr="00E75D0A">
              <w:rPr>
                <w:color w:val="000000"/>
                <w:sz w:val="18"/>
                <w:szCs w:val="18"/>
                <w:lang w:val="cs-CZ" w:eastAsia="cs-CZ"/>
              </w:rPr>
              <w:t>Celkem proinvestováno - milník rok 2018</w:t>
            </w:r>
          </w:p>
        </w:tc>
        <w:tc>
          <w:tcPr>
            <w:tcW w:w="1417" w:type="dxa"/>
            <w:noWrap/>
            <w:vAlign w:val="center"/>
            <w:hideMark/>
          </w:tcPr>
          <w:p w:rsidR="002F7B85" w:rsidRPr="00E75D0A" w:rsidRDefault="002F7B85" w:rsidP="002E3AE9">
            <w:pPr>
              <w:jc w:val="right"/>
              <w:rPr>
                <w:color w:val="000000"/>
                <w:sz w:val="18"/>
                <w:szCs w:val="18"/>
                <w:lang w:val="cs-CZ" w:eastAsia="cs-CZ"/>
              </w:rPr>
            </w:pPr>
            <w:r>
              <w:rPr>
                <w:color w:val="000000"/>
                <w:sz w:val="18"/>
                <w:szCs w:val="18"/>
                <w:lang w:val="cs-CZ" w:eastAsia="cs-CZ"/>
              </w:rPr>
              <w:t xml:space="preserve"> 9 067</w:t>
            </w:r>
            <w:r w:rsidRPr="00E75D0A">
              <w:rPr>
                <w:color w:val="000000"/>
                <w:sz w:val="18"/>
                <w:szCs w:val="18"/>
                <w:lang w:val="cs-CZ" w:eastAsia="cs-CZ"/>
              </w:rPr>
              <w:t xml:space="preserve"> mil. Kč</w:t>
            </w:r>
          </w:p>
        </w:tc>
      </w:tr>
      <w:tr w:rsidR="002F7B85" w:rsidRPr="009F3E04" w:rsidTr="002E3AE9">
        <w:trPr>
          <w:trHeight w:val="240"/>
          <w:jc w:val="center"/>
        </w:trPr>
        <w:tc>
          <w:tcPr>
            <w:tcW w:w="4256" w:type="dxa"/>
            <w:noWrap/>
            <w:vAlign w:val="center"/>
            <w:hideMark/>
          </w:tcPr>
          <w:p w:rsidR="002F7B85" w:rsidRPr="00E75D0A" w:rsidRDefault="002F7B85" w:rsidP="002E3AE9">
            <w:pPr>
              <w:jc w:val="left"/>
              <w:rPr>
                <w:color w:val="000000"/>
                <w:sz w:val="18"/>
                <w:szCs w:val="18"/>
                <w:lang w:val="cs-CZ" w:eastAsia="cs-CZ"/>
              </w:rPr>
            </w:pPr>
            <w:r w:rsidRPr="00E75D0A">
              <w:rPr>
                <w:color w:val="000000"/>
                <w:sz w:val="18"/>
                <w:szCs w:val="18"/>
                <w:lang w:val="cs-CZ" w:eastAsia="cs-CZ"/>
              </w:rPr>
              <w:t>Celkem proinvestováno - konec období rok 2023</w:t>
            </w:r>
          </w:p>
        </w:tc>
        <w:tc>
          <w:tcPr>
            <w:tcW w:w="1417" w:type="dxa"/>
            <w:noWrap/>
            <w:vAlign w:val="center"/>
            <w:hideMark/>
          </w:tcPr>
          <w:p w:rsidR="002F7B85" w:rsidRPr="00E75D0A" w:rsidRDefault="002F7B85" w:rsidP="002E3AE9">
            <w:pPr>
              <w:jc w:val="right"/>
              <w:rPr>
                <w:color w:val="000000"/>
                <w:sz w:val="18"/>
                <w:szCs w:val="18"/>
                <w:lang w:val="cs-CZ" w:eastAsia="cs-CZ"/>
              </w:rPr>
            </w:pPr>
            <w:r>
              <w:rPr>
                <w:color w:val="000000"/>
                <w:sz w:val="18"/>
                <w:szCs w:val="18"/>
                <w:lang w:val="cs-CZ" w:eastAsia="cs-CZ"/>
              </w:rPr>
              <w:t>22 106</w:t>
            </w:r>
            <w:r w:rsidRPr="00E75D0A">
              <w:rPr>
                <w:color w:val="000000"/>
                <w:sz w:val="18"/>
                <w:szCs w:val="18"/>
                <w:lang w:val="cs-CZ" w:eastAsia="cs-CZ"/>
              </w:rPr>
              <w:t xml:space="preserve"> mil. Kč</w:t>
            </w:r>
          </w:p>
        </w:tc>
      </w:tr>
      <w:tr w:rsidR="002F7B85" w:rsidRPr="009F3E04" w:rsidTr="002E3AE9">
        <w:trPr>
          <w:trHeight w:val="240"/>
          <w:jc w:val="center"/>
        </w:trPr>
        <w:tc>
          <w:tcPr>
            <w:tcW w:w="4256" w:type="dxa"/>
            <w:noWrap/>
            <w:vAlign w:val="center"/>
            <w:hideMark/>
          </w:tcPr>
          <w:p w:rsidR="002F7B85" w:rsidRPr="00793F87" w:rsidRDefault="002F7B85" w:rsidP="002E3AE9">
            <w:pPr>
              <w:jc w:val="left"/>
              <w:rPr>
                <w:color w:val="000000"/>
                <w:sz w:val="18"/>
                <w:szCs w:val="18"/>
                <w:lang w:val="cs-CZ" w:eastAsia="cs-CZ"/>
              </w:rPr>
            </w:pPr>
            <w:r w:rsidRPr="00793F87">
              <w:rPr>
                <w:color w:val="000000"/>
                <w:sz w:val="18"/>
                <w:szCs w:val="18"/>
                <w:lang w:val="cs-CZ" w:eastAsia="cs-CZ"/>
              </w:rPr>
              <w:t>Disponibilní prostředky v roce 2030</w:t>
            </w:r>
          </w:p>
        </w:tc>
        <w:tc>
          <w:tcPr>
            <w:tcW w:w="1417" w:type="dxa"/>
            <w:noWrap/>
            <w:vAlign w:val="center"/>
            <w:hideMark/>
          </w:tcPr>
          <w:p w:rsidR="002F7B85" w:rsidRPr="00793F87" w:rsidRDefault="002F7B85" w:rsidP="002E3AE9">
            <w:pPr>
              <w:jc w:val="right"/>
              <w:rPr>
                <w:color w:val="000000"/>
                <w:sz w:val="18"/>
                <w:szCs w:val="18"/>
                <w:lang w:val="cs-CZ" w:eastAsia="cs-CZ"/>
              </w:rPr>
            </w:pPr>
            <w:r>
              <w:rPr>
                <w:color w:val="000000"/>
                <w:sz w:val="18"/>
                <w:szCs w:val="18"/>
                <w:lang w:val="cs-CZ" w:eastAsia="cs-CZ"/>
              </w:rPr>
              <w:t>6 045</w:t>
            </w:r>
            <w:r w:rsidRPr="00793F87">
              <w:rPr>
                <w:color w:val="000000"/>
                <w:sz w:val="18"/>
                <w:szCs w:val="18"/>
                <w:lang w:val="cs-CZ" w:eastAsia="cs-CZ"/>
              </w:rPr>
              <w:t xml:space="preserve"> mil. Kč</w:t>
            </w:r>
          </w:p>
        </w:tc>
      </w:tr>
      <w:tr w:rsidR="002F7B85" w:rsidRPr="009F3E04" w:rsidTr="002E3AE9">
        <w:trPr>
          <w:trHeight w:val="240"/>
          <w:jc w:val="center"/>
        </w:trPr>
        <w:tc>
          <w:tcPr>
            <w:tcW w:w="4256" w:type="dxa"/>
            <w:noWrap/>
            <w:vAlign w:val="center"/>
            <w:hideMark/>
          </w:tcPr>
          <w:p w:rsidR="002F7B85" w:rsidRPr="00E75D0A" w:rsidRDefault="002F7B85" w:rsidP="002E3AE9">
            <w:pPr>
              <w:jc w:val="left"/>
              <w:rPr>
                <w:color w:val="000000"/>
                <w:sz w:val="18"/>
                <w:szCs w:val="18"/>
                <w:lang w:val="cs-CZ" w:eastAsia="cs-CZ"/>
              </w:rPr>
            </w:pPr>
            <w:r w:rsidRPr="00E75D0A">
              <w:rPr>
                <w:color w:val="000000"/>
                <w:sz w:val="18"/>
                <w:szCs w:val="18"/>
                <w:lang w:val="cs-CZ" w:eastAsia="cs-CZ"/>
              </w:rPr>
              <w:t>Přidaná hodnota</w:t>
            </w:r>
          </w:p>
        </w:tc>
        <w:tc>
          <w:tcPr>
            <w:tcW w:w="1417" w:type="dxa"/>
            <w:noWrap/>
            <w:vAlign w:val="center"/>
            <w:hideMark/>
          </w:tcPr>
          <w:p w:rsidR="002F7B85" w:rsidRPr="00E75D0A" w:rsidRDefault="002F7B85" w:rsidP="002E3AE9">
            <w:pPr>
              <w:jc w:val="right"/>
              <w:rPr>
                <w:color w:val="000000"/>
                <w:sz w:val="18"/>
                <w:szCs w:val="18"/>
                <w:lang w:val="cs-CZ" w:eastAsia="cs-CZ"/>
              </w:rPr>
            </w:pPr>
            <w:r>
              <w:rPr>
                <w:color w:val="000000"/>
                <w:sz w:val="18"/>
                <w:szCs w:val="18"/>
                <w:lang w:val="cs-CZ" w:eastAsia="cs-CZ"/>
              </w:rPr>
              <w:t>3,66</w:t>
            </w:r>
          </w:p>
        </w:tc>
      </w:tr>
      <w:tr w:rsidR="002F7B85" w:rsidRPr="009F3E04" w:rsidTr="002E3AE9">
        <w:trPr>
          <w:trHeight w:val="240"/>
          <w:jc w:val="center"/>
        </w:trPr>
        <w:tc>
          <w:tcPr>
            <w:tcW w:w="4256" w:type="dxa"/>
            <w:noWrap/>
            <w:vAlign w:val="center"/>
            <w:hideMark/>
          </w:tcPr>
          <w:p w:rsidR="002F7B85" w:rsidRPr="00E75D0A" w:rsidRDefault="002F7B85" w:rsidP="002E3AE9">
            <w:pPr>
              <w:jc w:val="left"/>
              <w:rPr>
                <w:color w:val="000000"/>
                <w:sz w:val="18"/>
                <w:szCs w:val="18"/>
                <w:lang w:val="cs-CZ" w:eastAsia="cs-CZ"/>
              </w:rPr>
            </w:pPr>
            <w:r w:rsidRPr="00E75D0A">
              <w:rPr>
                <w:color w:val="000000"/>
                <w:sz w:val="18"/>
                <w:szCs w:val="18"/>
                <w:lang w:val="cs-CZ" w:eastAsia="cs-CZ"/>
              </w:rPr>
              <w:t>Pákový efekt</w:t>
            </w:r>
          </w:p>
        </w:tc>
        <w:tc>
          <w:tcPr>
            <w:tcW w:w="1417" w:type="dxa"/>
            <w:noWrap/>
            <w:vAlign w:val="center"/>
            <w:hideMark/>
          </w:tcPr>
          <w:p w:rsidR="002F7B85" w:rsidRPr="00E75D0A" w:rsidRDefault="002F7B85" w:rsidP="002E3AE9">
            <w:pPr>
              <w:jc w:val="right"/>
              <w:rPr>
                <w:color w:val="000000"/>
                <w:sz w:val="18"/>
                <w:szCs w:val="18"/>
                <w:lang w:val="cs-CZ" w:eastAsia="cs-CZ"/>
              </w:rPr>
            </w:pPr>
            <w:r>
              <w:rPr>
                <w:color w:val="000000"/>
                <w:sz w:val="18"/>
                <w:szCs w:val="18"/>
                <w:lang w:val="cs-CZ" w:eastAsia="cs-CZ"/>
              </w:rPr>
              <w:t>2,00</w:t>
            </w:r>
          </w:p>
        </w:tc>
      </w:tr>
      <w:tr w:rsidR="002F7B85" w:rsidRPr="009F3E04" w:rsidTr="002E3AE9">
        <w:trPr>
          <w:trHeight w:val="240"/>
          <w:jc w:val="center"/>
        </w:trPr>
        <w:tc>
          <w:tcPr>
            <w:tcW w:w="4256" w:type="dxa"/>
            <w:noWrap/>
            <w:vAlign w:val="center"/>
            <w:hideMark/>
          </w:tcPr>
          <w:p w:rsidR="002F7B85" w:rsidRPr="00E75D0A" w:rsidRDefault="002F7B85" w:rsidP="002E3AE9">
            <w:pPr>
              <w:jc w:val="left"/>
              <w:rPr>
                <w:color w:val="000000"/>
                <w:sz w:val="18"/>
                <w:szCs w:val="18"/>
                <w:lang w:val="cs-CZ" w:eastAsia="cs-CZ"/>
              </w:rPr>
            </w:pPr>
            <w:r w:rsidRPr="00E75D0A">
              <w:rPr>
                <w:color w:val="000000"/>
                <w:sz w:val="18"/>
                <w:szCs w:val="18"/>
                <w:lang w:val="cs-CZ" w:eastAsia="cs-CZ"/>
              </w:rPr>
              <w:t>Revolving</w:t>
            </w:r>
            <w:r>
              <w:rPr>
                <w:color w:val="000000"/>
                <w:sz w:val="18"/>
                <w:szCs w:val="18"/>
                <w:lang w:val="cs-CZ" w:eastAsia="cs-CZ"/>
              </w:rPr>
              <w:t>ový efekt</w:t>
            </w:r>
          </w:p>
        </w:tc>
        <w:tc>
          <w:tcPr>
            <w:tcW w:w="1417" w:type="dxa"/>
            <w:noWrap/>
            <w:vAlign w:val="center"/>
            <w:hideMark/>
          </w:tcPr>
          <w:p w:rsidR="002F7B85" w:rsidRPr="00E75D0A" w:rsidRDefault="002F7B85" w:rsidP="002E3AE9">
            <w:pPr>
              <w:jc w:val="right"/>
              <w:rPr>
                <w:color w:val="000000"/>
                <w:sz w:val="18"/>
                <w:szCs w:val="18"/>
                <w:lang w:val="cs-CZ" w:eastAsia="cs-CZ"/>
              </w:rPr>
            </w:pPr>
            <w:r>
              <w:rPr>
                <w:color w:val="000000"/>
                <w:sz w:val="18"/>
                <w:szCs w:val="18"/>
                <w:lang w:val="cs-CZ" w:eastAsia="cs-CZ"/>
              </w:rPr>
              <w:t>5 008</w:t>
            </w:r>
            <w:r w:rsidRPr="00E75D0A">
              <w:rPr>
                <w:color w:val="000000"/>
                <w:sz w:val="18"/>
                <w:szCs w:val="18"/>
                <w:lang w:val="cs-CZ" w:eastAsia="cs-CZ"/>
              </w:rPr>
              <w:t xml:space="preserve"> mil. Kč</w:t>
            </w:r>
          </w:p>
        </w:tc>
      </w:tr>
      <w:tr w:rsidR="002F7B85" w:rsidRPr="009F3E04" w:rsidTr="002E3AE9">
        <w:trPr>
          <w:trHeight w:val="240"/>
          <w:jc w:val="center"/>
        </w:trPr>
        <w:tc>
          <w:tcPr>
            <w:tcW w:w="4256" w:type="dxa"/>
            <w:noWrap/>
            <w:vAlign w:val="center"/>
          </w:tcPr>
          <w:p w:rsidR="002F7B85" w:rsidRPr="00D048EA" w:rsidRDefault="002F7B85" w:rsidP="002E3AE9">
            <w:pPr>
              <w:jc w:val="left"/>
              <w:rPr>
                <w:color w:val="000000"/>
                <w:sz w:val="18"/>
                <w:szCs w:val="18"/>
                <w:lang w:eastAsia="cs-CZ"/>
              </w:rPr>
            </w:pPr>
            <w:r w:rsidRPr="00E75D0A">
              <w:rPr>
                <w:color w:val="000000"/>
                <w:sz w:val="18"/>
                <w:szCs w:val="18"/>
                <w:lang w:val="cs-CZ" w:eastAsia="cs-CZ"/>
              </w:rPr>
              <w:t>Revolving</w:t>
            </w:r>
            <w:r>
              <w:rPr>
                <w:color w:val="000000"/>
                <w:sz w:val="18"/>
                <w:szCs w:val="18"/>
                <w:lang w:val="cs-CZ" w:eastAsia="cs-CZ"/>
              </w:rPr>
              <w:t>ový efekt</w:t>
            </w:r>
            <w:r>
              <w:rPr>
                <w:color w:val="000000"/>
                <w:sz w:val="18"/>
                <w:szCs w:val="18"/>
                <w:lang w:eastAsia="cs-CZ"/>
              </w:rPr>
              <w:t>/alokace OPPIK</w:t>
            </w:r>
          </w:p>
        </w:tc>
        <w:tc>
          <w:tcPr>
            <w:tcW w:w="1417" w:type="dxa"/>
            <w:noWrap/>
            <w:vAlign w:val="center"/>
          </w:tcPr>
          <w:p w:rsidR="002F7B85" w:rsidRDefault="002F7B85" w:rsidP="002E3AE9">
            <w:pPr>
              <w:jc w:val="right"/>
              <w:rPr>
                <w:color w:val="000000"/>
                <w:sz w:val="18"/>
                <w:szCs w:val="18"/>
                <w:lang w:eastAsia="cs-CZ"/>
              </w:rPr>
            </w:pPr>
            <w:r>
              <w:rPr>
                <w:color w:val="000000"/>
                <w:sz w:val="18"/>
                <w:szCs w:val="18"/>
                <w:lang w:eastAsia="cs-CZ"/>
              </w:rPr>
              <w:t>82,9 %</w:t>
            </w:r>
          </w:p>
        </w:tc>
      </w:tr>
    </w:tbl>
    <w:p w:rsidR="002F7B85" w:rsidRDefault="002F7B85" w:rsidP="002F7B85">
      <w:pPr>
        <w:pStyle w:val="CaptionIntroductionparagraph"/>
      </w:pPr>
    </w:p>
    <w:p w:rsidR="002F7B85" w:rsidRDefault="002F7B85" w:rsidP="002F7B85">
      <w:r>
        <w:t>Prezentované bezrizikové modely ukazují plný potenciál revolvingu, kdy jsou po uplynutí splatnosti posledního úvěru ve finančním nástroji prostředky ve stejné výši jako alokace na počátku prvního investičního cyklu. Revolvingový efekt umožnil jen OPPIK proinvestovat o více než 5 mld. Kč více, což odpovídá navýšení proinvestovaných prostředků OPPIK vůči původní alokaci o 82,9 %.</w:t>
      </w:r>
    </w:p>
    <w:p w:rsidR="002F7B85" w:rsidRDefault="002F7B85" w:rsidP="002F7B85"/>
    <w:p w:rsidR="002F7B85" w:rsidRDefault="002F7B85" w:rsidP="002F7B85">
      <w:r>
        <w:t>Následující model uvádí výsledky stejně nastaveného nástroje v případě, že by došlo k defaultu 20 % úvěrových případů v prvním roce splácení.</w:t>
      </w:r>
    </w:p>
    <w:p w:rsidR="002F7B85" w:rsidRDefault="002F7B85" w:rsidP="002F7B85"/>
    <w:p w:rsidR="002F7B85" w:rsidRDefault="002F7B85" w:rsidP="002F7B85">
      <w:pPr>
        <w:jc w:val="center"/>
      </w:pPr>
      <w:r>
        <w:rPr>
          <w:noProof/>
        </w:rPr>
        <w:drawing>
          <wp:inline distT="0" distB="0" distL="0" distR="0" wp14:anchorId="42679BF4" wp14:editId="1BD6AB3F">
            <wp:extent cx="4591050" cy="2662238"/>
            <wp:effectExtent l="0" t="0" r="0" b="5080"/>
            <wp:docPr id="11652" name="Chart 116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F7B85" w:rsidRDefault="002F7B85" w:rsidP="002F7B85"/>
    <w:p w:rsidR="002F7B85" w:rsidRDefault="002F7B85" w:rsidP="002F7B85"/>
    <w:tbl>
      <w:tblPr>
        <w:tblStyle w:val="TableGridLight1"/>
        <w:tblW w:w="5669" w:type="dxa"/>
        <w:jc w:val="center"/>
        <w:tblLook w:val="04A0" w:firstRow="1" w:lastRow="0" w:firstColumn="1" w:lastColumn="0" w:noHBand="0" w:noVBand="1"/>
      </w:tblPr>
      <w:tblGrid>
        <w:gridCol w:w="4252"/>
        <w:gridCol w:w="1417"/>
      </w:tblGrid>
      <w:tr w:rsidR="002F7B85" w:rsidRPr="009F3E04" w:rsidTr="002E3AE9">
        <w:trPr>
          <w:trHeight w:val="240"/>
          <w:jc w:val="center"/>
        </w:trPr>
        <w:tc>
          <w:tcPr>
            <w:tcW w:w="4252" w:type="dxa"/>
            <w:noWrap/>
            <w:vAlign w:val="center"/>
            <w:hideMark/>
          </w:tcPr>
          <w:p w:rsidR="002F7B85" w:rsidRPr="00E75D0A" w:rsidRDefault="002F7B85" w:rsidP="002E3AE9">
            <w:pPr>
              <w:keepNext/>
              <w:jc w:val="left"/>
              <w:rPr>
                <w:color w:val="000000"/>
                <w:sz w:val="18"/>
                <w:szCs w:val="18"/>
                <w:lang w:val="cs-CZ" w:eastAsia="cs-CZ"/>
              </w:rPr>
            </w:pPr>
            <w:r w:rsidRPr="00E75D0A">
              <w:rPr>
                <w:color w:val="000000"/>
                <w:sz w:val="18"/>
                <w:szCs w:val="18"/>
                <w:lang w:val="cs-CZ" w:eastAsia="cs-CZ"/>
              </w:rPr>
              <w:lastRenderedPageBreak/>
              <w:t>Alokace OPPIK (mil. Kč)</w:t>
            </w:r>
          </w:p>
        </w:tc>
        <w:tc>
          <w:tcPr>
            <w:tcW w:w="1417" w:type="dxa"/>
            <w:noWrap/>
            <w:vAlign w:val="center"/>
            <w:hideMark/>
          </w:tcPr>
          <w:p w:rsidR="002F7B85" w:rsidRPr="00E75D0A" w:rsidRDefault="002F7B85" w:rsidP="002E3AE9">
            <w:pPr>
              <w:keepNext/>
              <w:jc w:val="right"/>
              <w:rPr>
                <w:color w:val="000000"/>
                <w:sz w:val="18"/>
                <w:szCs w:val="18"/>
                <w:lang w:val="cs-CZ" w:eastAsia="cs-CZ"/>
              </w:rPr>
            </w:pPr>
            <w:r>
              <w:rPr>
                <w:color w:val="000000"/>
                <w:sz w:val="18"/>
                <w:szCs w:val="18"/>
                <w:lang w:val="cs-CZ" w:eastAsia="cs-CZ"/>
              </w:rPr>
              <w:t xml:space="preserve">6 045 </w:t>
            </w:r>
          </w:p>
        </w:tc>
      </w:tr>
      <w:tr w:rsidR="002F7B85" w:rsidRPr="009F3E04" w:rsidTr="002E3AE9">
        <w:trPr>
          <w:trHeight w:val="240"/>
          <w:jc w:val="center"/>
        </w:trPr>
        <w:tc>
          <w:tcPr>
            <w:tcW w:w="4252" w:type="dxa"/>
            <w:noWrap/>
            <w:vAlign w:val="center"/>
            <w:hideMark/>
          </w:tcPr>
          <w:p w:rsidR="002F7B85" w:rsidRPr="00E75D0A" w:rsidRDefault="002F7B85" w:rsidP="002E3AE9">
            <w:pPr>
              <w:keepNext/>
              <w:jc w:val="left"/>
              <w:rPr>
                <w:color w:val="000000"/>
                <w:sz w:val="18"/>
                <w:szCs w:val="18"/>
                <w:lang w:val="cs-CZ" w:eastAsia="cs-CZ"/>
              </w:rPr>
            </w:pPr>
            <w:r w:rsidRPr="00E75D0A">
              <w:rPr>
                <w:color w:val="000000"/>
                <w:sz w:val="18"/>
                <w:szCs w:val="18"/>
                <w:lang w:val="cs-CZ" w:eastAsia="cs-CZ"/>
              </w:rPr>
              <w:t>Úrok zdrojů poskytovaných z OPPIK</w:t>
            </w:r>
          </w:p>
        </w:tc>
        <w:tc>
          <w:tcPr>
            <w:tcW w:w="1417" w:type="dxa"/>
            <w:noWrap/>
            <w:vAlign w:val="center"/>
            <w:hideMark/>
          </w:tcPr>
          <w:p w:rsidR="002F7B85" w:rsidRPr="00E75D0A" w:rsidRDefault="002F7B85" w:rsidP="002E3AE9">
            <w:pPr>
              <w:keepNext/>
              <w:jc w:val="right"/>
              <w:rPr>
                <w:color w:val="000000"/>
                <w:sz w:val="18"/>
                <w:szCs w:val="18"/>
                <w:lang w:val="cs-CZ" w:eastAsia="cs-CZ"/>
              </w:rPr>
            </w:pPr>
            <w:r>
              <w:rPr>
                <w:color w:val="000000"/>
                <w:sz w:val="18"/>
                <w:szCs w:val="18"/>
                <w:lang w:val="cs-CZ" w:eastAsia="cs-CZ"/>
              </w:rPr>
              <w:t>1,00</w:t>
            </w:r>
            <w:r w:rsidRPr="00E75D0A">
              <w:rPr>
                <w:color w:val="000000"/>
                <w:sz w:val="18"/>
                <w:szCs w:val="18"/>
                <w:lang w:val="cs-CZ" w:eastAsia="cs-CZ"/>
              </w:rPr>
              <w:t xml:space="preserve"> %</w:t>
            </w:r>
          </w:p>
        </w:tc>
      </w:tr>
      <w:tr w:rsidR="002F7B85" w:rsidRPr="009F3E04" w:rsidTr="002E3AE9">
        <w:trPr>
          <w:trHeight w:val="240"/>
          <w:jc w:val="center"/>
        </w:trPr>
        <w:tc>
          <w:tcPr>
            <w:tcW w:w="4252" w:type="dxa"/>
            <w:noWrap/>
            <w:vAlign w:val="center"/>
            <w:hideMark/>
          </w:tcPr>
          <w:p w:rsidR="002F7B85" w:rsidRPr="00E75D0A" w:rsidRDefault="002F7B85" w:rsidP="002E3AE9">
            <w:pPr>
              <w:keepNext/>
              <w:jc w:val="left"/>
              <w:rPr>
                <w:color w:val="000000"/>
                <w:sz w:val="18"/>
                <w:szCs w:val="18"/>
                <w:lang w:val="cs-CZ" w:eastAsia="cs-CZ"/>
              </w:rPr>
            </w:pPr>
            <w:r w:rsidRPr="00E75D0A">
              <w:rPr>
                <w:color w:val="000000"/>
                <w:sz w:val="18"/>
                <w:szCs w:val="18"/>
                <w:lang w:val="cs-CZ" w:eastAsia="cs-CZ"/>
              </w:rPr>
              <w:t>Požadovaný úrok spolufinancujícího subjektu</w:t>
            </w:r>
          </w:p>
        </w:tc>
        <w:tc>
          <w:tcPr>
            <w:tcW w:w="1417" w:type="dxa"/>
            <w:noWrap/>
            <w:vAlign w:val="center"/>
            <w:hideMark/>
          </w:tcPr>
          <w:p w:rsidR="002F7B85" w:rsidRPr="00E75D0A" w:rsidRDefault="002F7B85" w:rsidP="002E3AE9">
            <w:pPr>
              <w:keepNext/>
              <w:jc w:val="right"/>
              <w:rPr>
                <w:color w:val="000000"/>
                <w:sz w:val="18"/>
                <w:szCs w:val="18"/>
                <w:lang w:val="cs-CZ" w:eastAsia="cs-CZ"/>
              </w:rPr>
            </w:pPr>
            <w:r>
              <w:rPr>
                <w:color w:val="000000"/>
                <w:sz w:val="18"/>
                <w:szCs w:val="18"/>
                <w:lang w:val="cs-CZ" w:eastAsia="cs-CZ"/>
              </w:rPr>
              <w:t>3,00</w:t>
            </w:r>
            <w:r w:rsidRPr="00E75D0A">
              <w:rPr>
                <w:color w:val="000000"/>
                <w:sz w:val="18"/>
                <w:szCs w:val="18"/>
                <w:lang w:val="cs-CZ" w:eastAsia="cs-CZ"/>
              </w:rPr>
              <w:t xml:space="preserve"> %</w:t>
            </w:r>
          </w:p>
        </w:tc>
      </w:tr>
      <w:tr w:rsidR="002F7B85" w:rsidRPr="009F3E04" w:rsidTr="002E3AE9">
        <w:trPr>
          <w:trHeight w:val="240"/>
          <w:jc w:val="center"/>
        </w:trPr>
        <w:tc>
          <w:tcPr>
            <w:tcW w:w="4252" w:type="dxa"/>
            <w:noWrap/>
            <w:vAlign w:val="center"/>
            <w:hideMark/>
          </w:tcPr>
          <w:p w:rsidR="002F7B85" w:rsidRPr="00E75D0A" w:rsidRDefault="002F7B85" w:rsidP="002E3AE9">
            <w:pPr>
              <w:keepNext/>
              <w:jc w:val="left"/>
              <w:rPr>
                <w:color w:val="000000"/>
                <w:sz w:val="18"/>
                <w:szCs w:val="18"/>
                <w:lang w:val="cs-CZ" w:eastAsia="cs-CZ"/>
              </w:rPr>
            </w:pPr>
            <w:r w:rsidRPr="00E75D0A">
              <w:rPr>
                <w:color w:val="000000"/>
                <w:sz w:val="18"/>
                <w:szCs w:val="18"/>
                <w:lang w:val="cs-CZ" w:eastAsia="cs-CZ"/>
              </w:rPr>
              <w:t>Limit výše výsledné úrokové míry úvěru příjemci</w:t>
            </w:r>
          </w:p>
        </w:tc>
        <w:tc>
          <w:tcPr>
            <w:tcW w:w="1417" w:type="dxa"/>
            <w:noWrap/>
            <w:vAlign w:val="center"/>
            <w:hideMark/>
          </w:tcPr>
          <w:p w:rsidR="002F7B85" w:rsidRPr="00E75D0A" w:rsidRDefault="002F7B85" w:rsidP="002E3AE9">
            <w:pPr>
              <w:keepNext/>
              <w:jc w:val="right"/>
              <w:rPr>
                <w:color w:val="000000"/>
                <w:sz w:val="18"/>
                <w:szCs w:val="18"/>
                <w:lang w:val="cs-CZ" w:eastAsia="cs-CZ"/>
              </w:rPr>
            </w:pPr>
            <w:r>
              <w:rPr>
                <w:color w:val="000000"/>
                <w:sz w:val="18"/>
                <w:szCs w:val="18"/>
                <w:lang w:val="cs-CZ" w:eastAsia="cs-CZ"/>
              </w:rPr>
              <w:t>2,00</w:t>
            </w:r>
            <w:r w:rsidRPr="00E75D0A">
              <w:rPr>
                <w:color w:val="000000"/>
                <w:sz w:val="18"/>
                <w:szCs w:val="18"/>
                <w:lang w:val="cs-CZ" w:eastAsia="cs-CZ"/>
              </w:rPr>
              <w:t xml:space="preserve"> %</w:t>
            </w:r>
          </w:p>
        </w:tc>
      </w:tr>
      <w:tr w:rsidR="002F7B85" w:rsidRPr="009F3E04" w:rsidTr="002E3AE9">
        <w:trPr>
          <w:trHeight w:val="240"/>
          <w:jc w:val="center"/>
        </w:trPr>
        <w:tc>
          <w:tcPr>
            <w:tcW w:w="4252" w:type="dxa"/>
            <w:noWrap/>
            <w:vAlign w:val="center"/>
            <w:hideMark/>
          </w:tcPr>
          <w:p w:rsidR="002F7B85" w:rsidRPr="00E75D0A" w:rsidRDefault="002F7B85" w:rsidP="002E3AE9">
            <w:pPr>
              <w:keepNext/>
              <w:jc w:val="left"/>
              <w:rPr>
                <w:color w:val="000000"/>
                <w:sz w:val="18"/>
                <w:szCs w:val="18"/>
                <w:lang w:val="cs-CZ" w:eastAsia="cs-CZ"/>
              </w:rPr>
            </w:pPr>
            <w:r w:rsidRPr="00E75D0A">
              <w:rPr>
                <w:color w:val="000000"/>
                <w:sz w:val="18"/>
                <w:szCs w:val="18"/>
                <w:lang w:val="cs-CZ" w:eastAsia="cs-CZ"/>
              </w:rPr>
              <w:t>Míra zapojení spolufinancujícího subjektu</w:t>
            </w:r>
          </w:p>
        </w:tc>
        <w:tc>
          <w:tcPr>
            <w:tcW w:w="1417" w:type="dxa"/>
            <w:noWrap/>
            <w:vAlign w:val="center"/>
            <w:hideMark/>
          </w:tcPr>
          <w:p w:rsidR="002F7B85" w:rsidRPr="00E75D0A" w:rsidRDefault="002F7B85" w:rsidP="002E3AE9">
            <w:pPr>
              <w:keepNext/>
              <w:jc w:val="right"/>
              <w:rPr>
                <w:color w:val="000000"/>
                <w:sz w:val="18"/>
                <w:szCs w:val="18"/>
                <w:lang w:val="cs-CZ" w:eastAsia="cs-CZ"/>
              </w:rPr>
            </w:pPr>
            <w:r>
              <w:rPr>
                <w:color w:val="000000"/>
                <w:sz w:val="18"/>
                <w:szCs w:val="18"/>
                <w:lang w:val="cs-CZ" w:eastAsia="cs-CZ"/>
              </w:rPr>
              <w:t>50,00</w:t>
            </w:r>
            <w:r w:rsidRPr="00E75D0A">
              <w:rPr>
                <w:color w:val="000000"/>
                <w:sz w:val="18"/>
                <w:szCs w:val="18"/>
                <w:lang w:val="cs-CZ" w:eastAsia="cs-CZ"/>
              </w:rPr>
              <w:t xml:space="preserve"> %</w:t>
            </w:r>
          </w:p>
        </w:tc>
      </w:tr>
      <w:tr w:rsidR="002F7B85" w:rsidRPr="009F3E04" w:rsidTr="002E3AE9">
        <w:trPr>
          <w:trHeight w:val="240"/>
          <w:jc w:val="center"/>
        </w:trPr>
        <w:tc>
          <w:tcPr>
            <w:tcW w:w="4252" w:type="dxa"/>
            <w:noWrap/>
            <w:vAlign w:val="center"/>
            <w:hideMark/>
          </w:tcPr>
          <w:p w:rsidR="002F7B85" w:rsidRPr="00E75D0A" w:rsidRDefault="002F7B85" w:rsidP="002E3AE9">
            <w:pPr>
              <w:keepNext/>
              <w:jc w:val="left"/>
              <w:rPr>
                <w:color w:val="000000"/>
                <w:sz w:val="18"/>
                <w:szCs w:val="18"/>
                <w:lang w:val="cs-CZ" w:eastAsia="cs-CZ"/>
              </w:rPr>
            </w:pPr>
            <w:r w:rsidRPr="00E75D0A">
              <w:rPr>
                <w:color w:val="000000"/>
                <w:sz w:val="18"/>
                <w:szCs w:val="18"/>
                <w:lang w:val="cs-CZ" w:eastAsia="cs-CZ"/>
              </w:rPr>
              <w:t>Splatnost úvěru</w:t>
            </w:r>
          </w:p>
        </w:tc>
        <w:tc>
          <w:tcPr>
            <w:tcW w:w="1417" w:type="dxa"/>
            <w:noWrap/>
            <w:vAlign w:val="center"/>
            <w:hideMark/>
          </w:tcPr>
          <w:p w:rsidR="002F7B85" w:rsidRPr="00E75D0A" w:rsidRDefault="002F7B85" w:rsidP="002E3AE9">
            <w:pPr>
              <w:keepNext/>
              <w:jc w:val="right"/>
              <w:rPr>
                <w:color w:val="000000"/>
                <w:sz w:val="18"/>
                <w:szCs w:val="18"/>
                <w:lang w:val="cs-CZ" w:eastAsia="cs-CZ"/>
              </w:rPr>
            </w:pPr>
            <w:r>
              <w:rPr>
                <w:color w:val="000000"/>
                <w:sz w:val="18"/>
                <w:szCs w:val="18"/>
                <w:lang w:val="cs-CZ" w:eastAsia="cs-CZ"/>
              </w:rPr>
              <w:t>8 let</w:t>
            </w:r>
          </w:p>
        </w:tc>
      </w:tr>
      <w:tr w:rsidR="002F7B85" w:rsidRPr="009F3E04" w:rsidTr="002E3AE9">
        <w:trPr>
          <w:trHeight w:val="240"/>
          <w:jc w:val="center"/>
        </w:trPr>
        <w:tc>
          <w:tcPr>
            <w:tcW w:w="4252" w:type="dxa"/>
            <w:noWrap/>
            <w:vAlign w:val="center"/>
          </w:tcPr>
          <w:p w:rsidR="002F7B85" w:rsidRPr="000261FB" w:rsidRDefault="002F7B85" w:rsidP="002E3AE9">
            <w:pPr>
              <w:keepNext/>
              <w:jc w:val="left"/>
              <w:rPr>
                <w:color w:val="000000"/>
                <w:sz w:val="18"/>
                <w:szCs w:val="18"/>
                <w:lang w:val="cs-CZ" w:eastAsia="cs-CZ"/>
              </w:rPr>
            </w:pPr>
            <w:r>
              <w:rPr>
                <w:color w:val="000000"/>
                <w:sz w:val="18"/>
                <w:szCs w:val="18"/>
                <w:lang w:eastAsia="cs-CZ"/>
              </w:rPr>
              <w:t>M</w:t>
            </w:r>
            <w:r>
              <w:rPr>
                <w:color w:val="000000"/>
                <w:sz w:val="18"/>
                <w:szCs w:val="18"/>
                <w:lang w:val="cs-CZ" w:eastAsia="cs-CZ"/>
              </w:rPr>
              <w:t>íra defaultu</w:t>
            </w:r>
          </w:p>
        </w:tc>
        <w:tc>
          <w:tcPr>
            <w:tcW w:w="1417" w:type="dxa"/>
            <w:noWrap/>
            <w:vAlign w:val="center"/>
          </w:tcPr>
          <w:p w:rsidR="002F7B85" w:rsidRDefault="002F7B85" w:rsidP="002E3AE9">
            <w:pPr>
              <w:keepNext/>
              <w:jc w:val="right"/>
              <w:rPr>
                <w:color w:val="000000"/>
                <w:sz w:val="18"/>
                <w:szCs w:val="18"/>
                <w:lang w:eastAsia="cs-CZ"/>
              </w:rPr>
            </w:pPr>
            <w:r>
              <w:rPr>
                <w:color w:val="000000"/>
                <w:sz w:val="18"/>
                <w:szCs w:val="18"/>
                <w:lang w:eastAsia="cs-CZ"/>
              </w:rPr>
              <w:t>20 %</w:t>
            </w:r>
          </w:p>
        </w:tc>
      </w:tr>
    </w:tbl>
    <w:p w:rsidR="002F7B85" w:rsidRDefault="002F7B85" w:rsidP="002F7B85">
      <w:pPr>
        <w:pStyle w:val="CaptionIntroductionparagraph"/>
      </w:pPr>
    </w:p>
    <w:tbl>
      <w:tblPr>
        <w:tblStyle w:val="TableGridLight1"/>
        <w:tblW w:w="5673" w:type="dxa"/>
        <w:jc w:val="center"/>
        <w:tblLook w:val="04A0" w:firstRow="1" w:lastRow="0" w:firstColumn="1" w:lastColumn="0" w:noHBand="0" w:noVBand="1"/>
      </w:tblPr>
      <w:tblGrid>
        <w:gridCol w:w="4256"/>
        <w:gridCol w:w="1417"/>
      </w:tblGrid>
      <w:tr w:rsidR="002F7B85" w:rsidRPr="009F3E04" w:rsidTr="002E3AE9">
        <w:trPr>
          <w:trHeight w:val="240"/>
          <w:jc w:val="center"/>
        </w:trPr>
        <w:tc>
          <w:tcPr>
            <w:tcW w:w="4256" w:type="dxa"/>
            <w:noWrap/>
            <w:vAlign w:val="center"/>
            <w:hideMark/>
          </w:tcPr>
          <w:p w:rsidR="002F7B85" w:rsidRPr="00E75D0A" w:rsidRDefault="002F7B85" w:rsidP="002E3AE9">
            <w:pPr>
              <w:jc w:val="left"/>
              <w:rPr>
                <w:color w:val="000000"/>
                <w:sz w:val="18"/>
                <w:szCs w:val="18"/>
                <w:lang w:val="cs-CZ" w:eastAsia="cs-CZ"/>
              </w:rPr>
            </w:pPr>
            <w:r w:rsidRPr="00E75D0A">
              <w:rPr>
                <w:color w:val="000000"/>
                <w:sz w:val="18"/>
                <w:szCs w:val="18"/>
                <w:lang w:val="cs-CZ" w:eastAsia="cs-CZ"/>
              </w:rPr>
              <w:t>Celkem proinvestováno - milník rok 2018</w:t>
            </w:r>
          </w:p>
        </w:tc>
        <w:tc>
          <w:tcPr>
            <w:tcW w:w="1417" w:type="dxa"/>
            <w:noWrap/>
            <w:vAlign w:val="center"/>
            <w:hideMark/>
          </w:tcPr>
          <w:p w:rsidR="002F7B85" w:rsidRPr="00E75D0A" w:rsidRDefault="002F7B85" w:rsidP="002E3AE9">
            <w:pPr>
              <w:jc w:val="right"/>
              <w:rPr>
                <w:color w:val="000000"/>
                <w:sz w:val="18"/>
                <w:szCs w:val="18"/>
                <w:lang w:val="cs-CZ" w:eastAsia="cs-CZ"/>
              </w:rPr>
            </w:pPr>
            <w:r>
              <w:rPr>
                <w:color w:val="000000"/>
                <w:sz w:val="18"/>
                <w:szCs w:val="18"/>
                <w:lang w:val="cs-CZ" w:eastAsia="cs-CZ"/>
              </w:rPr>
              <w:t xml:space="preserve"> 9 067</w:t>
            </w:r>
            <w:r w:rsidRPr="00E75D0A">
              <w:rPr>
                <w:color w:val="000000"/>
                <w:sz w:val="18"/>
                <w:szCs w:val="18"/>
                <w:lang w:val="cs-CZ" w:eastAsia="cs-CZ"/>
              </w:rPr>
              <w:t xml:space="preserve"> mil. Kč</w:t>
            </w:r>
          </w:p>
        </w:tc>
      </w:tr>
      <w:tr w:rsidR="002F7B85" w:rsidRPr="009F3E04" w:rsidTr="002E3AE9">
        <w:trPr>
          <w:trHeight w:val="240"/>
          <w:jc w:val="center"/>
        </w:trPr>
        <w:tc>
          <w:tcPr>
            <w:tcW w:w="4256" w:type="dxa"/>
            <w:noWrap/>
            <w:vAlign w:val="center"/>
            <w:hideMark/>
          </w:tcPr>
          <w:p w:rsidR="002F7B85" w:rsidRPr="00E75D0A" w:rsidRDefault="002F7B85" w:rsidP="002E3AE9">
            <w:pPr>
              <w:jc w:val="left"/>
              <w:rPr>
                <w:color w:val="000000"/>
                <w:sz w:val="18"/>
                <w:szCs w:val="18"/>
                <w:lang w:val="cs-CZ" w:eastAsia="cs-CZ"/>
              </w:rPr>
            </w:pPr>
            <w:r w:rsidRPr="00E75D0A">
              <w:rPr>
                <w:color w:val="000000"/>
                <w:sz w:val="18"/>
                <w:szCs w:val="18"/>
                <w:lang w:val="cs-CZ" w:eastAsia="cs-CZ"/>
              </w:rPr>
              <w:t>Celkem proinvestováno - konec období rok 2023</w:t>
            </w:r>
          </w:p>
        </w:tc>
        <w:tc>
          <w:tcPr>
            <w:tcW w:w="1417" w:type="dxa"/>
            <w:noWrap/>
            <w:vAlign w:val="center"/>
            <w:hideMark/>
          </w:tcPr>
          <w:p w:rsidR="002F7B85" w:rsidRPr="00E75D0A" w:rsidRDefault="002F7B85" w:rsidP="002E3AE9">
            <w:pPr>
              <w:jc w:val="right"/>
              <w:rPr>
                <w:color w:val="000000"/>
                <w:sz w:val="18"/>
                <w:szCs w:val="18"/>
                <w:lang w:val="cs-CZ" w:eastAsia="cs-CZ"/>
              </w:rPr>
            </w:pPr>
            <w:r>
              <w:rPr>
                <w:color w:val="000000"/>
                <w:sz w:val="18"/>
                <w:szCs w:val="18"/>
                <w:lang w:eastAsia="cs-CZ"/>
              </w:rPr>
              <w:t>19</w:t>
            </w:r>
            <w:r>
              <w:rPr>
                <w:color w:val="000000"/>
                <w:sz w:val="18"/>
                <w:szCs w:val="18"/>
                <w:lang w:val="cs-CZ" w:eastAsia="cs-CZ"/>
              </w:rPr>
              <w:t xml:space="preserve"> 831</w:t>
            </w:r>
            <w:r w:rsidRPr="00E75D0A">
              <w:rPr>
                <w:color w:val="000000"/>
                <w:sz w:val="18"/>
                <w:szCs w:val="18"/>
                <w:lang w:val="cs-CZ" w:eastAsia="cs-CZ"/>
              </w:rPr>
              <w:t xml:space="preserve"> mil. Kč</w:t>
            </w:r>
          </w:p>
        </w:tc>
      </w:tr>
      <w:tr w:rsidR="002F7B85" w:rsidRPr="009F3E04" w:rsidTr="002E3AE9">
        <w:trPr>
          <w:trHeight w:val="240"/>
          <w:jc w:val="center"/>
        </w:trPr>
        <w:tc>
          <w:tcPr>
            <w:tcW w:w="4256" w:type="dxa"/>
            <w:noWrap/>
            <w:vAlign w:val="center"/>
            <w:hideMark/>
          </w:tcPr>
          <w:p w:rsidR="002F7B85" w:rsidRPr="00793F87" w:rsidRDefault="002F7B85" w:rsidP="002E3AE9">
            <w:pPr>
              <w:jc w:val="left"/>
              <w:rPr>
                <w:color w:val="000000"/>
                <w:sz w:val="18"/>
                <w:szCs w:val="18"/>
                <w:lang w:val="cs-CZ" w:eastAsia="cs-CZ"/>
              </w:rPr>
            </w:pPr>
            <w:r w:rsidRPr="00793F87">
              <w:rPr>
                <w:color w:val="000000"/>
                <w:sz w:val="18"/>
                <w:szCs w:val="18"/>
                <w:lang w:val="cs-CZ" w:eastAsia="cs-CZ"/>
              </w:rPr>
              <w:t>Disponibilní prostředky v roce 2030</w:t>
            </w:r>
          </w:p>
        </w:tc>
        <w:tc>
          <w:tcPr>
            <w:tcW w:w="1417" w:type="dxa"/>
            <w:noWrap/>
            <w:vAlign w:val="center"/>
            <w:hideMark/>
          </w:tcPr>
          <w:p w:rsidR="002F7B85" w:rsidRPr="00793F87" w:rsidRDefault="002F7B85" w:rsidP="002E3AE9">
            <w:pPr>
              <w:jc w:val="right"/>
              <w:rPr>
                <w:color w:val="000000"/>
                <w:sz w:val="18"/>
                <w:szCs w:val="18"/>
                <w:lang w:val="cs-CZ" w:eastAsia="cs-CZ"/>
              </w:rPr>
            </w:pPr>
            <w:r>
              <w:rPr>
                <w:color w:val="000000"/>
                <w:sz w:val="18"/>
                <w:szCs w:val="18"/>
                <w:lang w:val="cs-CZ" w:eastAsia="cs-CZ"/>
              </w:rPr>
              <w:t>4 061</w:t>
            </w:r>
            <w:r w:rsidRPr="00793F87">
              <w:rPr>
                <w:color w:val="000000"/>
                <w:sz w:val="18"/>
                <w:szCs w:val="18"/>
                <w:lang w:val="cs-CZ" w:eastAsia="cs-CZ"/>
              </w:rPr>
              <w:t xml:space="preserve"> mil. Kč</w:t>
            </w:r>
          </w:p>
        </w:tc>
      </w:tr>
      <w:tr w:rsidR="002F7B85" w:rsidRPr="009F3E04" w:rsidTr="002E3AE9">
        <w:trPr>
          <w:trHeight w:val="240"/>
          <w:jc w:val="center"/>
        </w:trPr>
        <w:tc>
          <w:tcPr>
            <w:tcW w:w="4256" w:type="dxa"/>
            <w:noWrap/>
            <w:vAlign w:val="center"/>
            <w:hideMark/>
          </w:tcPr>
          <w:p w:rsidR="002F7B85" w:rsidRPr="00E75D0A" w:rsidRDefault="002F7B85" w:rsidP="002E3AE9">
            <w:pPr>
              <w:jc w:val="left"/>
              <w:rPr>
                <w:color w:val="000000"/>
                <w:sz w:val="18"/>
                <w:szCs w:val="18"/>
                <w:lang w:val="cs-CZ" w:eastAsia="cs-CZ"/>
              </w:rPr>
            </w:pPr>
            <w:r w:rsidRPr="00E75D0A">
              <w:rPr>
                <w:color w:val="000000"/>
                <w:sz w:val="18"/>
                <w:szCs w:val="18"/>
                <w:lang w:val="cs-CZ" w:eastAsia="cs-CZ"/>
              </w:rPr>
              <w:t>Přidaná hodnota</w:t>
            </w:r>
          </w:p>
        </w:tc>
        <w:tc>
          <w:tcPr>
            <w:tcW w:w="1417" w:type="dxa"/>
            <w:noWrap/>
            <w:vAlign w:val="center"/>
            <w:hideMark/>
          </w:tcPr>
          <w:p w:rsidR="002F7B85" w:rsidRPr="00E75D0A" w:rsidRDefault="002F7B85" w:rsidP="002E3AE9">
            <w:pPr>
              <w:jc w:val="right"/>
              <w:rPr>
                <w:color w:val="000000"/>
                <w:sz w:val="18"/>
                <w:szCs w:val="18"/>
                <w:lang w:val="cs-CZ" w:eastAsia="cs-CZ"/>
              </w:rPr>
            </w:pPr>
            <w:r>
              <w:rPr>
                <w:color w:val="000000"/>
                <w:sz w:val="18"/>
                <w:szCs w:val="18"/>
                <w:lang w:val="cs-CZ" w:eastAsia="cs-CZ"/>
              </w:rPr>
              <w:t>3,28</w:t>
            </w:r>
          </w:p>
        </w:tc>
      </w:tr>
      <w:tr w:rsidR="002F7B85" w:rsidRPr="009F3E04" w:rsidTr="002E3AE9">
        <w:trPr>
          <w:trHeight w:val="240"/>
          <w:jc w:val="center"/>
        </w:trPr>
        <w:tc>
          <w:tcPr>
            <w:tcW w:w="4256" w:type="dxa"/>
            <w:noWrap/>
            <w:vAlign w:val="center"/>
            <w:hideMark/>
          </w:tcPr>
          <w:p w:rsidR="002F7B85" w:rsidRPr="00E75D0A" w:rsidRDefault="002F7B85" w:rsidP="002E3AE9">
            <w:pPr>
              <w:jc w:val="left"/>
              <w:rPr>
                <w:color w:val="000000"/>
                <w:sz w:val="18"/>
                <w:szCs w:val="18"/>
                <w:lang w:val="cs-CZ" w:eastAsia="cs-CZ"/>
              </w:rPr>
            </w:pPr>
            <w:r w:rsidRPr="00E75D0A">
              <w:rPr>
                <w:color w:val="000000"/>
                <w:sz w:val="18"/>
                <w:szCs w:val="18"/>
                <w:lang w:val="cs-CZ" w:eastAsia="cs-CZ"/>
              </w:rPr>
              <w:t>Pákový efekt</w:t>
            </w:r>
          </w:p>
        </w:tc>
        <w:tc>
          <w:tcPr>
            <w:tcW w:w="1417" w:type="dxa"/>
            <w:noWrap/>
            <w:vAlign w:val="center"/>
            <w:hideMark/>
          </w:tcPr>
          <w:p w:rsidR="002F7B85" w:rsidRPr="00E75D0A" w:rsidRDefault="002F7B85" w:rsidP="002E3AE9">
            <w:pPr>
              <w:jc w:val="right"/>
              <w:rPr>
                <w:color w:val="000000"/>
                <w:sz w:val="18"/>
                <w:szCs w:val="18"/>
                <w:lang w:val="cs-CZ" w:eastAsia="cs-CZ"/>
              </w:rPr>
            </w:pPr>
            <w:r>
              <w:rPr>
                <w:color w:val="000000"/>
                <w:sz w:val="18"/>
                <w:szCs w:val="18"/>
                <w:lang w:val="cs-CZ" w:eastAsia="cs-CZ"/>
              </w:rPr>
              <w:t>2,00</w:t>
            </w:r>
          </w:p>
        </w:tc>
      </w:tr>
      <w:tr w:rsidR="002F7B85" w:rsidRPr="009F3E04" w:rsidTr="002E3AE9">
        <w:trPr>
          <w:trHeight w:val="240"/>
          <w:jc w:val="center"/>
        </w:trPr>
        <w:tc>
          <w:tcPr>
            <w:tcW w:w="4256" w:type="dxa"/>
            <w:noWrap/>
            <w:vAlign w:val="center"/>
            <w:hideMark/>
          </w:tcPr>
          <w:p w:rsidR="002F7B85" w:rsidRPr="00E75D0A" w:rsidRDefault="002F7B85" w:rsidP="002E3AE9">
            <w:pPr>
              <w:jc w:val="left"/>
              <w:rPr>
                <w:color w:val="000000"/>
                <w:sz w:val="18"/>
                <w:szCs w:val="18"/>
                <w:lang w:val="cs-CZ" w:eastAsia="cs-CZ"/>
              </w:rPr>
            </w:pPr>
            <w:r w:rsidRPr="00E75D0A">
              <w:rPr>
                <w:color w:val="000000"/>
                <w:sz w:val="18"/>
                <w:szCs w:val="18"/>
                <w:lang w:val="cs-CZ" w:eastAsia="cs-CZ"/>
              </w:rPr>
              <w:t>Revolving</w:t>
            </w:r>
            <w:r>
              <w:rPr>
                <w:color w:val="000000"/>
                <w:sz w:val="18"/>
                <w:szCs w:val="18"/>
                <w:lang w:val="cs-CZ" w:eastAsia="cs-CZ"/>
              </w:rPr>
              <w:t>ový efekt</w:t>
            </w:r>
          </w:p>
        </w:tc>
        <w:tc>
          <w:tcPr>
            <w:tcW w:w="1417" w:type="dxa"/>
            <w:noWrap/>
            <w:vAlign w:val="center"/>
            <w:hideMark/>
          </w:tcPr>
          <w:p w:rsidR="002F7B85" w:rsidRPr="00E75D0A" w:rsidRDefault="002F7B85" w:rsidP="002E3AE9">
            <w:pPr>
              <w:jc w:val="right"/>
              <w:rPr>
                <w:color w:val="000000"/>
                <w:sz w:val="18"/>
                <w:szCs w:val="18"/>
                <w:lang w:val="cs-CZ" w:eastAsia="cs-CZ"/>
              </w:rPr>
            </w:pPr>
            <w:r>
              <w:rPr>
                <w:color w:val="000000"/>
                <w:sz w:val="18"/>
                <w:szCs w:val="18"/>
                <w:lang w:val="cs-CZ" w:eastAsia="cs-CZ"/>
              </w:rPr>
              <w:t>3 871</w:t>
            </w:r>
            <w:r w:rsidRPr="00E75D0A">
              <w:rPr>
                <w:color w:val="000000"/>
                <w:sz w:val="18"/>
                <w:szCs w:val="18"/>
                <w:lang w:val="cs-CZ" w:eastAsia="cs-CZ"/>
              </w:rPr>
              <w:t xml:space="preserve"> mil. Kč</w:t>
            </w:r>
          </w:p>
        </w:tc>
      </w:tr>
      <w:tr w:rsidR="002F7B85" w:rsidRPr="009F3E04" w:rsidTr="002E3AE9">
        <w:trPr>
          <w:trHeight w:val="240"/>
          <w:jc w:val="center"/>
        </w:trPr>
        <w:tc>
          <w:tcPr>
            <w:tcW w:w="4256" w:type="dxa"/>
            <w:noWrap/>
            <w:vAlign w:val="center"/>
          </w:tcPr>
          <w:p w:rsidR="002F7B85" w:rsidRPr="00204BB2" w:rsidRDefault="002F7B85" w:rsidP="002E3AE9">
            <w:pPr>
              <w:jc w:val="left"/>
              <w:rPr>
                <w:color w:val="000000"/>
                <w:sz w:val="18"/>
                <w:szCs w:val="18"/>
                <w:lang w:eastAsia="cs-CZ"/>
              </w:rPr>
            </w:pPr>
            <w:r w:rsidRPr="00E75D0A">
              <w:rPr>
                <w:color w:val="000000"/>
                <w:sz w:val="18"/>
                <w:szCs w:val="18"/>
                <w:lang w:val="cs-CZ" w:eastAsia="cs-CZ"/>
              </w:rPr>
              <w:t>Revolving</w:t>
            </w:r>
            <w:r>
              <w:rPr>
                <w:color w:val="000000"/>
                <w:sz w:val="18"/>
                <w:szCs w:val="18"/>
                <w:lang w:val="cs-CZ" w:eastAsia="cs-CZ"/>
              </w:rPr>
              <w:t>ový efekt</w:t>
            </w:r>
            <w:r>
              <w:rPr>
                <w:color w:val="000000"/>
                <w:sz w:val="18"/>
                <w:szCs w:val="18"/>
                <w:lang w:eastAsia="cs-CZ"/>
              </w:rPr>
              <w:t>/alokace OPPIK</w:t>
            </w:r>
          </w:p>
        </w:tc>
        <w:tc>
          <w:tcPr>
            <w:tcW w:w="1417" w:type="dxa"/>
            <w:noWrap/>
            <w:vAlign w:val="center"/>
          </w:tcPr>
          <w:p w:rsidR="002F7B85" w:rsidRDefault="002F7B85" w:rsidP="002E3AE9">
            <w:pPr>
              <w:jc w:val="right"/>
              <w:rPr>
                <w:color w:val="000000"/>
                <w:sz w:val="18"/>
                <w:szCs w:val="18"/>
                <w:lang w:eastAsia="cs-CZ"/>
              </w:rPr>
            </w:pPr>
            <w:r>
              <w:rPr>
                <w:color w:val="000000"/>
                <w:sz w:val="18"/>
                <w:szCs w:val="18"/>
                <w:lang w:eastAsia="cs-CZ"/>
              </w:rPr>
              <w:t>64 %</w:t>
            </w:r>
          </w:p>
        </w:tc>
      </w:tr>
    </w:tbl>
    <w:p w:rsidR="002F7B85" w:rsidRDefault="002F7B85" w:rsidP="002F7B85"/>
    <w:p w:rsidR="002F7B85" w:rsidRDefault="002F7B85" w:rsidP="002F7B85">
      <w:r>
        <w:t xml:space="preserve">Modelovaná vysoká míra defaultu má vliv na disponibilní prostředky dostupné po splacení posledního úvěru. Přesto je revolvingový efekt jasně patrný. </w:t>
      </w:r>
    </w:p>
    <w:p w:rsidR="002F7B85" w:rsidRPr="002433DA" w:rsidRDefault="002F7B85" w:rsidP="002433DA">
      <w:pPr>
        <w:rPr>
          <w:b/>
        </w:rPr>
      </w:pPr>
    </w:p>
    <w:p w:rsidR="009D2CAE" w:rsidRPr="007C0CDA" w:rsidRDefault="009D2CAE" w:rsidP="00433BD7">
      <w:pPr>
        <w:pStyle w:val="Nadpis2"/>
      </w:pPr>
      <w:bookmarkStart w:id="852" w:name="_Toc416448077"/>
      <w:bookmarkStart w:id="853" w:name="_Toc416448078"/>
      <w:bookmarkStart w:id="854" w:name="_Toc416448079"/>
      <w:bookmarkEnd w:id="852"/>
      <w:bookmarkEnd w:id="853"/>
      <w:r w:rsidRPr="007C0CDA">
        <w:t>SC 3.5</w:t>
      </w:r>
      <w:bookmarkEnd w:id="854"/>
    </w:p>
    <w:p w:rsidR="009D2CAE" w:rsidRPr="007C0CDA" w:rsidRDefault="009D2CAE" w:rsidP="00433BD7">
      <w:pPr>
        <w:pStyle w:val="Nadpis3"/>
      </w:pPr>
      <w:bookmarkStart w:id="855" w:name="_Toc416448080"/>
      <w:r w:rsidRPr="007C0CDA">
        <w:t>Odůvodnění volby oblasti podpory a návrhu nástroje</w:t>
      </w:r>
      <w:bookmarkEnd w:id="855"/>
    </w:p>
    <w:p w:rsidR="009D2CAE" w:rsidRPr="007C0CDA" w:rsidRDefault="009D2CAE" w:rsidP="00D67A40">
      <w:r w:rsidRPr="007C0CDA">
        <w:t xml:space="preserve">Specifický cíl </w:t>
      </w:r>
      <w:r w:rsidRPr="007C0CDA">
        <w:rPr>
          <w:b/>
        </w:rPr>
        <w:t>3.5 – “</w:t>
      </w:r>
      <w:r w:rsidRPr="007C0CDA">
        <w:rPr>
          <w:rFonts w:cs="Arial"/>
          <w:b/>
          <w:szCs w:val="19"/>
        </w:rPr>
        <w:t>Zvýšit účinnost soustav zásobování teplem</w:t>
      </w:r>
      <w:r w:rsidRPr="007C0CDA">
        <w:rPr>
          <w:b/>
        </w:rPr>
        <w:t>“</w:t>
      </w:r>
      <w:r w:rsidRPr="007C0CDA">
        <w:t xml:space="preserve"> vykazuje částečný potenciál pro zapojení finančních nástrojů v podobě zvýhodněných úvěrů, alternativně záruk. Výraznou bariérou investic i využití FN je nicméně regulovanost odvětví i nákladnost investic a velmi dlouhá doba návratnosti. V případě soustav zásobování teplem (SZT) navíc komplikuje investice problém ručení.</w:t>
      </w:r>
    </w:p>
    <w:p w:rsidR="009D2CAE" w:rsidRPr="007C0CDA" w:rsidRDefault="009D2CAE" w:rsidP="00D67A40"/>
    <w:p w:rsidR="009D2CAE" w:rsidRPr="007C0CDA" w:rsidRDefault="009D2CAE" w:rsidP="00F57B27">
      <w:r w:rsidRPr="007C0CDA">
        <w:t>Z tohoto důvodu je v tomto cíly potenciál čistého finančního nástroje nižší a dá se o něm uvažovat zejména v kombinaci s dotací. V případě samostatně poskytovaného zvýhodněného úvěru hrozí, že tento typ podpory nebude dostatečně motivační pro konečného příjemce. Alternativou může být spolu s úvěrem poskytovat dotační složku do výše 30% způsobilých výdajů investice. Tato dotační podpora by mohla v případě KVET vykompenzovat problém s tím, že s rostoucí vzdáleností KVET od potenciálního odběrného místa klesá ekonomická výhodnost a klesá i zájem konečných příjemců tento typ projektů realizovat. Obdobně je možné uvažovat o této kombinaci v případě investic do SZT. Kombinace FN s dotací přináší část revolvingového efektu a řešení problému se získáním externího financování při zachování výrazného snížení doby návratnosti.</w:t>
      </w:r>
    </w:p>
    <w:p w:rsidR="009D2CAE" w:rsidRPr="007C0CDA" w:rsidRDefault="009D2CAE" w:rsidP="00F57B27"/>
    <w:p w:rsidR="009D2CAE" w:rsidRPr="007C0CDA" w:rsidRDefault="009D2CAE" w:rsidP="00F57B27">
      <w:r w:rsidRPr="007C0CDA">
        <w:t xml:space="preserve">Kombinace FN s dotací lze použít pouze na odlišné způsobilé náklady a její technická proveditelnost a náklady implementace musí ještě projít hlubším posouzením. </w:t>
      </w:r>
    </w:p>
    <w:p w:rsidR="009D2CAE" w:rsidRPr="007C0CDA" w:rsidRDefault="009D2CAE" w:rsidP="00F57B27"/>
    <w:p w:rsidR="009D2CAE" w:rsidRPr="007C0CDA" w:rsidRDefault="009D2CAE" w:rsidP="00F57B27">
      <w:r w:rsidRPr="007C0CDA">
        <w:t>V případě nemožnosti využití této kombinace se jeví potenciál FN v SC 3.5 výrazně nižší. Zvýhodněný úvěr s příspěvkem na přípravu projektu a podmíněným příspěvkem na úhradu úroků může části subjektů v realizaci projektů pomoci, výrazně však neovlivní motivaci k provedení investic.</w:t>
      </w:r>
    </w:p>
    <w:p w:rsidR="009D2CAE" w:rsidRPr="007C0CDA" w:rsidRDefault="009D2CAE" w:rsidP="00F57B27"/>
    <w:p w:rsidR="009D2CAE" w:rsidRPr="007C0CDA" w:rsidRDefault="009D2CAE" w:rsidP="00433BD7">
      <w:pPr>
        <w:pStyle w:val="Nadpis3"/>
      </w:pPr>
      <w:bookmarkStart w:id="856" w:name="_Toc416448081"/>
      <w:r w:rsidRPr="007C0CDA">
        <w:t>Schéma fungování navrhovaného finančního nástroje</w:t>
      </w:r>
      <w:bookmarkEnd w:id="856"/>
    </w:p>
    <w:p w:rsidR="009D2CAE" w:rsidRPr="007C0CDA" w:rsidRDefault="009D2CAE" w:rsidP="00D67A40">
      <w:pPr>
        <w:rPr>
          <w:b/>
          <w:color w:val="00A1DE"/>
          <w:sz w:val="24"/>
          <w:szCs w:val="22"/>
        </w:rPr>
      </w:pPr>
      <w:r w:rsidRPr="007C0CDA">
        <w:rPr>
          <w:b/>
          <w:color w:val="00A1DE"/>
          <w:sz w:val="24"/>
          <w:szCs w:val="22"/>
        </w:rPr>
        <w:t>SC 3.5</w:t>
      </w:r>
    </w:p>
    <w:p w:rsidR="009D2CAE" w:rsidRPr="007C0CDA" w:rsidRDefault="009D2CAE" w:rsidP="00D67A40">
      <w:pPr>
        <w:jc w:val="center"/>
      </w:pPr>
    </w:p>
    <w:p w:rsidR="009D2CAE" w:rsidRPr="007C0CDA" w:rsidRDefault="009D2CAE" w:rsidP="00D67A40"/>
    <w:p w:rsidR="009D2CAE" w:rsidRPr="007C0CDA" w:rsidRDefault="00C41E93" w:rsidP="00D67A40">
      <w:pPr>
        <w:jc w:val="center"/>
      </w:pPr>
      <w:r w:rsidRPr="00C41E93">
        <w:lastRenderedPageBreak/>
        <w:drawing>
          <wp:inline distT="0" distB="0" distL="0" distR="0" wp14:anchorId="671F9C49" wp14:editId="42BB79CE">
            <wp:extent cx="4571999" cy="3076575"/>
            <wp:effectExtent l="0" t="0" r="635" b="0"/>
            <wp:docPr id="11655" name="Obrázek 1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b="10278"/>
                    <a:stretch/>
                  </pic:blipFill>
                  <pic:spPr bwMode="auto">
                    <a:xfrm>
                      <a:off x="0" y="0"/>
                      <a:ext cx="4572638" cy="3077005"/>
                    </a:xfrm>
                    <a:prstGeom prst="rect">
                      <a:avLst/>
                    </a:prstGeom>
                    <a:ln>
                      <a:noFill/>
                    </a:ln>
                    <a:extLst>
                      <a:ext uri="{53640926-AAD7-44D8-BBD7-CCE9431645EC}">
                        <a14:shadowObscured xmlns:a14="http://schemas.microsoft.com/office/drawing/2010/main"/>
                      </a:ext>
                    </a:extLst>
                  </pic:spPr>
                </pic:pic>
              </a:graphicData>
            </a:graphic>
          </wp:inline>
        </w:drawing>
      </w:r>
    </w:p>
    <w:p w:rsidR="009D2CAE" w:rsidRPr="007C0CDA" w:rsidRDefault="009D2CAE" w:rsidP="00D67A40">
      <w:pPr>
        <w:rPr>
          <w:b/>
          <w:color w:val="00A1DE"/>
          <w:sz w:val="24"/>
          <w:szCs w:val="22"/>
        </w:rPr>
      </w:pPr>
    </w:p>
    <w:p w:rsidR="009D2CAE" w:rsidRPr="002433DA" w:rsidRDefault="009D2CAE" w:rsidP="002433DA">
      <w:pPr>
        <w:rPr>
          <w:b/>
        </w:rPr>
      </w:pPr>
    </w:p>
    <w:p w:rsidR="009D2CAE" w:rsidRPr="007C0CDA" w:rsidRDefault="009D2CAE" w:rsidP="00433BD7">
      <w:pPr>
        <w:pStyle w:val="Nadpis3"/>
      </w:pPr>
      <w:bookmarkStart w:id="857" w:name="_Toc416448082"/>
      <w:r w:rsidRPr="007C0CDA">
        <w:t>Základní parametry finančního nástroje</w:t>
      </w:r>
      <w:bookmarkEnd w:id="857"/>
    </w:p>
    <w:tbl>
      <w:tblPr>
        <w:tblW w:w="0" w:type="auto"/>
        <w:tblBorders>
          <w:top w:val="single" w:sz="4" w:space="0" w:color="92D400"/>
          <w:bottom w:val="single" w:sz="4" w:space="0" w:color="92D400"/>
          <w:insideH w:val="single" w:sz="4" w:space="0" w:color="92D400"/>
        </w:tblBorders>
        <w:tblCellMar>
          <w:top w:w="28" w:type="dxa"/>
          <w:left w:w="28" w:type="dxa"/>
          <w:bottom w:w="28" w:type="dxa"/>
          <w:right w:w="28" w:type="dxa"/>
        </w:tblCellMar>
        <w:tblLook w:val="00A0" w:firstRow="1" w:lastRow="0" w:firstColumn="1" w:lastColumn="0" w:noHBand="0" w:noVBand="0"/>
      </w:tblPr>
      <w:tblGrid>
        <w:gridCol w:w="2282"/>
        <w:gridCol w:w="6788"/>
      </w:tblGrid>
      <w:tr w:rsidR="009D2CAE" w:rsidRPr="007C0CDA" w:rsidTr="00A84116">
        <w:tc>
          <w:tcPr>
            <w:tcW w:w="2282" w:type="dxa"/>
            <w:shd w:val="clear" w:color="auto" w:fill="ECFFC3"/>
          </w:tcPr>
          <w:p w:rsidR="009D2CAE" w:rsidRPr="007C0CDA" w:rsidRDefault="009D2CAE" w:rsidP="00A84116">
            <w:pPr>
              <w:rPr>
                <w:b/>
              </w:rPr>
            </w:pPr>
          </w:p>
        </w:tc>
        <w:tc>
          <w:tcPr>
            <w:tcW w:w="6788" w:type="dxa"/>
            <w:shd w:val="clear" w:color="auto" w:fill="ECFFC3"/>
          </w:tcPr>
          <w:p w:rsidR="009D2CAE" w:rsidRPr="007C0CDA" w:rsidRDefault="009D2CAE" w:rsidP="00A84116">
            <w:pPr>
              <w:ind w:left="38"/>
              <w:rPr>
                <w:b/>
              </w:rPr>
            </w:pPr>
          </w:p>
        </w:tc>
      </w:tr>
      <w:tr w:rsidR="009D2CAE" w:rsidRPr="007C0CDA" w:rsidTr="00A84116">
        <w:tc>
          <w:tcPr>
            <w:tcW w:w="2282" w:type="dxa"/>
            <w:shd w:val="clear" w:color="auto" w:fill="92D400"/>
            <w:noWrap/>
          </w:tcPr>
          <w:p w:rsidR="009D2CAE" w:rsidRPr="007C0CDA" w:rsidRDefault="009D2CAE" w:rsidP="00A84116">
            <w:pPr>
              <w:rPr>
                <w:b/>
                <w:color w:val="FFFFFF"/>
              </w:rPr>
            </w:pPr>
            <w:r w:rsidRPr="007C0CDA">
              <w:rPr>
                <w:b/>
                <w:color w:val="FFFFFF"/>
              </w:rPr>
              <w:t>Cíle finančního nástroje</w:t>
            </w:r>
          </w:p>
        </w:tc>
        <w:tc>
          <w:tcPr>
            <w:tcW w:w="6788" w:type="dxa"/>
            <w:shd w:val="clear" w:color="auto" w:fill="FFFFFF"/>
            <w:noWrap/>
          </w:tcPr>
          <w:p w:rsidR="009D2CAE" w:rsidRPr="007C0CDA" w:rsidRDefault="009D2CAE" w:rsidP="00A84116">
            <w:r w:rsidRPr="007C0CDA">
              <w:t xml:space="preserve">Odstranit definovanou tržní mezeru v dostupnosti finančních prostředků pro konečného příjemce. Toho bude dosaženo poskytnutím zvýhodněného úvěru spolu s příspěvkem na úhradu zpracování energetického auditu. </w:t>
            </w:r>
          </w:p>
        </w:tc>
      </w:tr>
      <w:tr w:rsidR="009D2CAE" w:rsidRPr="007C0CDA" w:rsidTr="00A84116">
        <w:tc>
          <w:tcPr>
            <w:tcW w:w="2282" w:type="dxa"/>
            <w:shd w:val="clear" w:color="auto" w:fill="92D400"/>
            <w:noWrap/>
          </w:tcPr>
          <w:p w:rsidR="009D2CAE" w:rsidRPr="007C0CDA" w:rsidRDefault="009D2CAE" w:rsidP="00A84116">
            <w:pPr>
              <w:jc w:val="left"/>
              <w:rPr>
                <w:b/>
                <w:color w:val="FFFFFF"/>
              </w:rPr>
            </w:pPr>
            <w:r w:rsidRPr="007C0CDA">
              <w:rPr>
                <w:b/>
                <w:color w:val="FFFFFF"/>
              </w:rPr>
              <w:t>Definice a kritéria způsobilých projektů</w:t>
            </w:r>
          </w:p>
        </w:tc>
        <w:tc>
          <w:tcPr>
            <w:tcW w:w="6788" w:type="dxa"/>
            <w:shd w:val="clear" w:color="auto" w:fill="FFFFFF"/>
            <w:noWrap/>
          </w:tcPr>
          <w:p w:rsidR="009D2CAE" w:rsidRPr="007C0CDA" w:rsidRDefault="009D2CAE" w:rsidP="00A84116">
            <w:pPr>
              <w:pStyle w:val="Odstavecseseznamem"/>
              <w:numPr>
                <w:ilvl w:val="0"/>
                <w:numId w:val="39"/>
              </w:numPr>
              <w:overflowPunct/>
              <w:autoSpaceDE/>
              <w:autoSpaceDN/>
              <w:adjustRightInd/>
              <w:contextualSpacing w:val="0"/>
              <w:textAlignment w:val="auto"/>
            </w:pPr>
            <w:r w:rsidRPr="007C0CDA">
              <w:t xml:space="preserve">Rekonstrukce a rozvoj soustav zásobování teplem resp. rozvodných tepelných zařízení, </w:t>
            </w:r>
          </w:p>
          <w:p w:rsidR="009D2CAE" w:rsidRPr="007C0CDA" w:rsidRDefault="009D2CAE" w:rsidP="00A84116">
            <w:pPr>
              <w:pStyle w:val="Odstavecseseznamem"/>
              <w:numPr>
                <w:ilvl w:val="0"/>
                <w:numId w:val="39"/>
              </w:numPr>
              <w:overflowPunct/>
              <w:autoSpaceDE/>
              <w:autoSpaceDN/>
              <w:adjustRightInd/>
              <w:contextualSpacing w:val="0"/>
              <w:textAlignment w:val="auto"/>
            </w:pPr>
            <w:r w:rsidRPr="007C0CDA">
              <w:t>Zavádění a zvyšování účinnosti systémů kombinované výroby elektřiny a tepla.</w:t>
            </w:r>
          </w:p>
          <w:p w:rsidR="009D2CAE" w:rsidRPr="007C0CDA" w:rsidRDefault="009D2CAE" w:rsidP="00A84116">
            <w:pPr>
              <w:spacing w:line="250" w:lineRule="atLeast"/>
              <w:contextualSpacing/>
              <w:jc w:val="left"/>
            </w:pPr>
          </w:p>
        </w:tc>
      </w:tr>
      <w:tr w:rsidR="009D2CAE" w:rsidRPr="007C0CDA" w:rsidTr="00A84116">
        <w:tc>
          <w:tcPr>
            <w:tcW w:w="2282" w:type="dxa"/>
            <w:shd w:val="clear" w:color="auto" w:fill="92D400"/>
            <w:noWrap/>
          </w:tcPr>
          <w:p w:rsidR="009D2CAE" w:rsidRPr="007C0CDA" w:rsidRDefault="009D2CAE" w:rsidP="00A84116">
            <w:pPr>
              <w:rPr>
                <w:b/>
                <w:color w:val="FFFFFF"/>
              </w:rPr>
            </w:pPr>
            <w:r w:rsidRPr="007C0CDA">
              <w:rPr>
                <w:b/>
                <w:color w:val="FFFFFF"/>
              </w:rPr>
              <w:t>Forma podpory</w:t>
            </w:r>
          </w:p>
        </w:tc>
        <w:tc>
          <w:tcPr>
            <w:tcW w:w="6788" w:type="dxa"/>
            <w:shd w:val="clear" w:color="auto" w:fill="FFFFFF"/>
            <w:noWrap/>
          </w:tcPr>
          <w:p w:rsidR="009D2CAE" w:rsidRPr="007C0CDA" w:rsidRDefault="009D2CAE" w:rsidP="008E4E77">
            <w:pPr>
              <w:spacing w:after="120"/>
              <w:rPr>
                <w:rFonts w:cs="Calibri"/>
                <w:szCs w:val="22"/>
              </w:rPr>
            </w:pPr>
            <w:r w:rsidRPr="007C0CDA">
              <w:rPr>
                <w:rFonts w:cs="Calibri"/>
                <w:szCs w:val="22"/>
              </w:rPr>
              <w:t>Kombinovaná podpora</w:t>
            </w:r>
          </w:p>
          <w:p w:rsidR="009D2CAE" w:rsidRPr="007C0CDA" w:rsidRDefault="009D2CAE" w:rsidP="008E4E77">
            <w:pPr>
              <w:spacing w:after="120"/>
              <w:rPr>
                <w:rFonts w:cs="Calibri"/>
                <w:szCs w:val="22"/>
              </w:rPr>
            </w:pPr>
            <w:r w:rsidRPr="007C0CDA">
              <w:rPr>
                <w:rFonts w:cs="Calibri"/>
                <w:szCs w:val="22"/>
              </w:rPr>
              <w:t>Zvýhodněný úvěr se sníženou úrokovou sazbou a delší dobou splatnosti, případně odkladem splátek</w:t>
            </w:r>
          </w:p>
          <w:p w:rsidR="009D2CAE" w:rsidRPr="007C0CDA" w:rsidRDefault="009D2CAE" w:rsidP="008E4E77">
            <w:pPr>
              <w:spacing w:after="120"/>
              <w:rPr>
                <w:rFonts w:cs="Calibri"/>
                <w:szCs w:val="22"/>
              </w:rPr>
            </w:pPr>
            <w:r w:rsidRPr="007C0CDA">
              <w:rPr>
                <w:rFonts w:cs="Calibri"/>
                <w:szCs w:val="22"/>
              </w:rPr>
              <w:t>Finanční příspěvek na úhradu úroků (subvence úrokové sazby – finanční příspěvek) za podmínky dosažení požadovaných výsledků</w:t>
            </w:r>
          </w:p>
          <w:p w:rsidR="009D2CAE" w:rsidRPr="007C0CDA" w:rsidRDefault="009D2CAE">
            <w:pPr>
              <w:rPr>
                <w:b/>
                <w:color w:val="FF0000"/>
              </w:rPr>
            </w:pPr>
            <w:r w:rsidRPr="007C0CDA">
              <w:rPr>
                <w:rFonts w:cs="Calibri"/>
                <w:szCs w:val="22"/>
              </w:rPr>
              <w:t>Úhrada nákladů na energetický audit a ověření úspory (finanční příspěvek)</w:t>
            </w:r>
          </w:p>
        </w:tc>
      </w:tr>
      <w:tr w:rsidR="009D2CAE" w:rsidRPr="007C0CDA" w:rsidTr="00A84116">
        <w:tc>
          <w:tcPr>
            <w:tcW w:w="2282" w:type="dxa"/>
            <w:shd w:val="clear" w:color="auto" w:fill="92D400"/>
            <w:noWrap/>
          </w:tcPr>
          <w:p w:rsidR="009D2CAE" w:rsidRPr="007C0CDA" w:rsidRDefault="009D2CAE" w:rsidP="00A84116">
            <w:pPr>
              <w:rPr>
                <w:b/>
                <w:color w:val="FFFFFF"/>
              </w:rPr>
            </w:pPr>
            <w:r w:rsidRPr="007C0CDA">
              <w:rPr>
                <w:b/>
                <w:color w:val="FFFFFF"/>
              </w:rPr>
              <w:t>Výše podpory</w:t>
            </w:r>
          </w:p>
        </w:tc>
        <w:tc>
          <w:tcPr>
            <w:tcW w:w="6788" w:type="dxa"/>
            <w:shd w:val="clear" w:color="auto" w:fill="FFFFFF"/>
            <w:noWrap/>
          </w:tcPr>
          <w:p w:rsidR="009D2CAE" w:rsidRPr="007C0CDA" w:rsidRDefault="009D2CAE" w:rsidP="00A84116">
            <w:r w:rsidRPr="007C0CDA">
              <w:t>Úvěr a subvence úrokové sazby se budou pohybovat v rozpětí 0,5 – 250 mil. Kč.</w:t>
            </w:r>
          </w:p>
        </w:tc>
      </w:tr>
      <w:tr w:rsidR="009D2CAE" w:rsidRPr="007C0CDA" w:rsidTr="00A84116">
        <w:tc>
          <w:tcPr>
            <w:tcW w:w="2282" w:type="dxa"/>
            <w:shd w:val="clear" w:color="auto" w:fill="92D400"/>
            <w:noWrap/>
          </w:tcPr>
          <w:p w:rsidR="009D2CAE" w:rsidRPr="007C0CDA" w:rsidRDefault="009D2CAE" w:rsidP="00A84116">
            <w:pPr>
              <w:rPr>
                <w:b/>
                <w:color w:val="FFFFFF"/>
              </w:rPr>
            </w:pPr>
            <w:r w:rsidRPr="007C0CDA">
              <w:rPr>
                <w:b/>
                <w:color w:val="FFFFFF"/>
              </w:rPr>
              <w:t>Základní parametry poskytované podpory</w:t>
            </w:r>
          </w:p>
        </w:tc>
        <w:tc>
          <w:tcPr>
            <w:tcW w:w="6788" w:type="dxa"/>
            <w:shd w:val="clear" w:color="auto" w:fill="FFFFFF"/>
            <w:noWrap/>
          </w:tcPr>
          <w:p w:rsidR="009D2CAE" w:rsidRPr="007C0CDA" w:rsidRDefault="009D2CAE" w:rsidP="00A84116">
            <w:r w:rsidRPr="007C0CDA">
              <w:t>Deloitte Advisory doporučuje snížení úrokové míry pro konečného příjemce na polovinu tržní úrokové míry. Pro dosažené takto nízké sazby je nezbytné, aby úroková sazba fondu byla co nejnižší.</w:t>
            </w:r>
          </w:p>
        </w:tc>
      </w:tr>
      <w:tr w:rsidR="009D2CAE" w:rsidRPr="007C0CDA" w:rsidTr="00A84116">
        <w:tc>
          <w:tcPr>
            <w:tcW w:w="2282" w:type="dxa"/>
            <w:shd w:val="clear" w:color="auto" w:fill="92D400"/>
            <w:noWrap/>
          </w:tcPr>
          <w:p w:rsidR="009D2CAE" w:rsidRPr="007C0CDA" w:rsidRDefault="009D2CAE" w:rsidP="00A84116">
            <w:pPr>
              <w:rPr>
                <w:b/>
                <w:color w:val="FFFFFF"/>
              </w:rPr>
            </w:pPr>
            <w:r w:rsidRPr="007C0CDA">
              <w:rPr>
                <w:b/>
                <w:color w:val="FFFFFF"/>
              </w:rPr>
              <w:t>Kroky k aktivizaci soukromých finančních zdrojů</w:t>
            </w:r>
          </w:p>
        </w:tc>
        <w:tc>
          <w:tcPr>
            <w:tcW w:w="6788" w:type="dxa"/>
            <w:shd w:val="clear" w:color="auto" w:fill="FFFFFF"/>
            <w:noWrap/>
          </w:tcPr>
          <w:p w:rsidR="009D2CAE" w:rsidRPr="007C0CDA" w:rsidRDefault="009D2CAE" w:rsidP="00A84116">
            <w:r w:rsidRPr="007C0CDA">
              <w:t>Dle dosavadních jednání se zainteresovanými skupinami na přípravě OP PIK 2014-2020 byla identifikována potřeba povzbuzení potenciálních spolufinancujících subjektů k zapojení se do budovaných struktur, ať již na úrovni fondu, nebo na úrovni jednotlivých projektů. Jako motivační nástroje pro zapojení spolufinancujících subjektů lze využít zejména následující:</w:t>
            </w:r>
          </w:p>
          <w:p w:rsidR="009D2CAE" w:rsidRPr="007C0CDA" w:rsidRDefault="009D2CAE" w:rsidP="00A84116">
            <w:pPr>
              <w:pStyle w:val="Odstavecseseznamem"/>
              <w:numPr>
                <w:ilvl w:val="0"/>
                <w:numId w:val="35"/>
              </w:numPr>
              <w:overflowPunct/>
              <w:autoSpaceDE/>
              <w:autoSpaceDN/>
              <w:adjustRightInd/>
              <w:ind w:left="412" w:hanging="141"/>
              <w:textAlignment w:val="auto"/>
            </w:pPr>
            <w:r w:rsidRPr="007C0CDA">
              <w:lastRenderedPageBreak/>
              <w:t xml:space="preserve">Míra zapojení veřejných zdrojů – podíl je nutné nastavit na základě diskuze se zainteresovanými subjekty a potenciálními spolufinancujícími subjekty </w:t>
            </w:r>
          </w:p>
          <w:p w:rsidR="009D2CAE" w:rsidRPr="007C0CDA" w:rsidRDefault="009D2CAE" w:rsidP="00A84116">
            <w:pPr>
              <w:pStyle w:val="Odstavecseseznamem"/>
              <w:numPr>
                <w:ilvl w:val="0"/>
                <w:numId w:val="35"/>
              </w:numPr>
              <w:overflowPunct/>
              <w:autoSpaceDE/>
              <w:autoSpaceDN/>
              <w:adjustRightInd/>
              <w:ind w:left="412" w:hanging="141"/>
              <w:textAlignment w:val="auto"/>
            </w:pPr>
            <w:r w:rsidRPr="007C0CDA">
              <w:t>Ručení za případné ztráty projektu do výše sjednaného limitu first piece loss;</w:t>
            </w:r>
          </w:p>
          <w:p w:rsidR="009D2CAE" w:rsidRPr="007C0CDA" w:rsidRDefault="009D2CAE" w:rsidP="00A84116">
            <w:pPr>
              <w:pStyle w:val="Odstavecseseznamem"/>
              <w:numPr>
                <w:ilvl w:val="0"/>
                <w:numId w:val="35"/>
              </w:numPr>
              <w:overflowPunct/>
              <w:autoSpaceDE/>
              <w:autoSpaceDN/>
              <w:adjustRightInd/>
              <w:ind w:left="412" w:hanging="141"/>
              <w:textAlignment w:val="auto"/>
            </w:pPr>
            <w:r w:rsidRPr="007C0CDA">
              <w:t>Zvýhodněné dělení přijatých úroků ve prospěch spolufinancujícího subjektu do stanovené výše.</w:t>
            </w:r>
          </w:p>
          <w:p w:rsidR="009D2CAE" w:rsidRPr="007C0CDA" w:rsidRDefault="009D2CAE" w:rsidP="00A84116">
            <w:pPr>
              <w:pStyle w:val="Odstavecseseznamem"/>
            </w:pPr>
          </w:p>
        </w:tc>
      </w:tr>
      <w:tr w:rsidR="009D2CAE" w:rsidRPr="007C0CDA" w:rsidTr="00A84116">
        <w:tc>
          <w:tcPr>
            <w:tcW w:w="2282" w:type="dxa"/>
            <w:shd w:val="clear" w:color="auto" w:fill="92D400"/>
            <w:noWrap/>
          </w:tcPr>
          <w:p w:rsidR="009D2CAE" w:rsidRPr="007C0CDA" w:rsidRDefault="009D2CAE" w:rsidP="00A84116">
            <w:pPr>
              <w:rPr>
                <w:b/>
                <w:color w:val="FFFFFF"/>
              </w:rPr>
            </w:pPr>
            <w:r w:rsidRPr="007C0CDA">
              <w:rPr>
                <w:b/>
                <w:color w:val="FFFFFF"/>
              </w:rPr>
              <w:lastRenderedPageBreak/>
              <w:t>Očekávaná alokace</w:t>
            </w:r>
          </w:p>
        </w:tc>
        <w:tc>
          <w:tcPr>
            <w:tcW w:w="6788" w:type="dxa"/>
            <w:shd w:val="clear" w:color="auto" w:fill="FFFFFF"/>
            <w:noWrap/>
          </w:tcPr>
          <w:p w:rsidR="009D2CAE" w:rsidRPr="007C0CDA" w:rsidRDefault="009D2CAE" w:rsidP="00A84116">
            <w:r w:rsidRPr="007C0CDA">
              <w:t>Deloitte Advisory doporučuje finanční nástroj využít pro až10-30 % alokace podporovaných aktivit specifického cíle 3.5, v oblasti KVET.</w:t>
            </w:r>
          </w:p>
          <w:p w:rsidR="009D2CAE" w:rsidRPr="007C0CDA" w:rsidRDefault="009D2CAE" w:rsidP="00A84116"/>
          <w:p w:rsidR="009D2CAE" w:rsidRPr="007C0CDA" w:rsidRDefault="009D2CAE">
            <w:r w:rsidRPr="007C0CDA">
              <w:t>V případě realizovatelné kombinovatelnosti zvýhodněného úvěru s menší mírou dotace je možné alokaci FN zvýšit a využít zvýhodněné úvěry i u projektů rekonstrukce soustav zásobování teplem.</w:t>
            </w:r>
          </w:p>
        </w:tc>
      </w:tr>
    </w:tbl>
    <w:p w:rsidR="009D2CAE" w:rsidRPr="002433DA" w:rsidRDefault="009D2CAE" w:rsidP="002433DA">
      <w:pPr>
        <w:rPr>
          <w:b/>
        </w:rPr>
      </w:pPr>
    </w:p>
    <w:p w:rsidR="009D2CAE" w:rsidRPr="007C0CDA" w:rsidRDefault="009D2CAE" w:rsidP="00392B5D">
      <w:pPr>
        <w:pStyle w:val="Nadpis2"/>
      </w:pPr>
      <w:bookmarkStart w:id="858" w:name="_Toc416448083"/>
      <w:r w:rsidRPr="007C0CDA">
        <w:t>SC 4.1</w:t>
      </w:r>
      <w:bookmarkEnd w:id="858"/>
    </w:p>
    <w:p w:rsidR="009D2CAE" w:rsidRPr="00172EF4" w:rsidRDefault="009D2CAE" w:rsidP="002433DA">
      <w:r w:rsidRPr="00B675D6">
        <w:rPr>
          <w:bCs/>
        </w:rPr>
        <w:t>Úvěrový finanční nástroj původně uvažovaný Deloitte Advisory</w:t>
      </w:r>
      <w:r w:rsidR="00D024F6">
        <w:rPr>
          <w:bCs/>
        </w:rPr>
        <w:t xml:space="preserve"> není shledán jako vhodný. Dalším posouzením projde mod</w:t>
      </w:r>
      <w:r w:rsidRPr="00B675D6">
        <w:rPr>
          <w:bCs/>
        </w:rPr>
        <w:t xml:space="preserve">el finančního nástroje využívajícího </w:t>
      </w:r>
      <w:r w:rsidRPr="00854519">
        <w:rPr>
          <w:bCs/>
        </w:rPr>
        <w:t>kapitálové vstupy.</w:t>
      </w:r>
    </w:p>
    <w:p w:rsidR="009D2CAE" w:rsidRPr="007C0CDA" w:rsidRDefault="009D2CAE" w:rsidP="00392B5D">
      <w:pPr>
        <w:pStyle w:val="Nadpis1"/>
        <w:numPr>
          <w:ilvl w:val="0"/>
          <w:numId w:val="0"/>
        </w:numPr>
      </w:pPr>
      <w:bookmarkStart w:id="859" w:name="_Toc416384081"/>
      <w:bookmarkStart w:id="860" w:name="_Toc416384082"/>
      <w:bookmarkStart w:id="861" w:name="_Toc416384083"/>
      <w:bookmarkStart w:id="862" w:name="_Toc416384084"/>
      <w:bookmarkStart w:id="863" w:name="_Toc416384085"/>
      <w:bookmarkStart w:id="864" w:name="_Toc416384086"/>
      <w:bookmarkStart w:id="865" w:name="_Toc416384087"/>
      <w:bookmarkStart w:id="866" w:name="_Toc416384088"/>
      <w:bookmarkStart w:id="867" w:name="_Toc416384089"/>
      <w:bookmarkStart w:id="868" w:name="_Toc416384090"/>
      <w:bookmarkStart w:id="869" w:name="_Toc416384091"/>
      <w:bookmarkStart w:id="870" w:name="_Toc416384092"/>
      <w:bookmarkStart w:id="871" w:name="_Toc416384093"/>
      <w:bookmarkStart w:id="872" w:name="_Toc416384094"/>
      <w:bookmarkStart w:id="873" w:name="_Toc416384095"/>
      <w:bookmarkStart w:id="874" w:name="_Toc416384096"/>
      <w:bookmarkStart w:id="875" w:name="_Toc416384097"/>
      <w:bookmarkStart w:id="876" w:name="_Toc416384098"/>
      <w:bookmarkStart w:id="877" w:name="_Toc416384099"/>
      <w:bookmarkStart w:id="878" w:name="_Toc416384100"/>
      <w:bookmarkStart w:id="879" w:name="_Toc416384101"/>
      <w:bookmarkStart w:id="880" w:name="_Toc41446461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p>
    <w:p w:rsidR="009D2CAE" w:rsidRPr="007C0CDA" w:rsidRDefault="009D2CAE" w:rsidP="00DF6E0B">
      <w:pPr>
        <w:pStyle w:val="Nadpis1"/>
      </w:pPr>
      <w:r w:rsidRPr="007C0CDA">
        <w:br w:type="page"/>
      </w:r>
      <w:bookmarkStart w:id="881" w:name="_Toc416448084"/>
      <w:r w:rsidRPr="007C0CDA">
        <w:lastRenderedPageBreak/>
        <w:t>Seznam provedených řízených rozhovorů</w:t>
      </w:r>
      <w:bookmarkEnd w:id="881"/>
    </w:p>
    <w:p w:rsidR="009D2CAE" w:rsidRPr="00B675D6" w:rsidRDefault="009D2CAE" w:rsidP="002433DA"/>
    <w:p w:rsidR="009D2CAE" w:rsidRPr="00172EF4" w:rsidRDefault="009D2CAE" w:rsidP="002433DA">
      <w:r w:rsidRPr="00854519">
        <w:t>Česká bankovní asociace</w:t>
      </w:r>
    </w:p>
    <w:p w:rsidR="009D2CAE" w:rsidRPr="00EB326E" w:rsidRDefault="009D2CAE" w:rsidP="002433DA">
      <w:r w:rsidRPr="0038688B">
        <w:t>Czech Private Equity &amp; Venture Capital Association</w:t>
      </w:r>
    </w:p>
    <w:p w:rsidR="009D2CAE" w:rsidRPr="00D51B9B" w:rsidRDefault="009D2CAE" w:rsidP="002433DA">
      <w:r w:rsidRPr="00EB326E">
        <w:t>Českomoravská záruční a rozvojová banka</w:t>
      </w:r>
    </w:p>
    <w:p w:rsidR="009D2CAE" w:rsidRPr="00197F96" w:rsidRDefault="009D2CAE" w:rsidP="002433DA">
      <w:pPr>
        <w:rPr>
          <w:bCs/>
        </w:rPr>
      </w:pPr>
      <w:r w:rsidRPr="00197F96">
        <w:t>Burza cenných papírů Praha</w:t>
      </w:r>
    </w:p>
    <w:p w:rsidR="009D2CAE" w:rsidRPr="00183F1E" w:rsidRDefault="009D2CAE" w:rsidP="002433DA">
      <w:pPr>
        <w:rPr>
          <w:bCs/>
        </w:rPr>
      </w:pPr>
      <w:r w:rsidRPr="007C2066">
        <w:t>Asociace pro kapitálový trh</w:t>
      </w:r>
    </w:p>
    <w:p w:rsidR="009D2CAE" w:rsidRPr="002F7B85" w:rsidRDefault="009D2CAE" w:rsidP="002433DA">
      <w:pPr>
        <w:rPr>
          <w:bCs/>
        </w:rPr>
      </w:pPr>
      <w:r w:rsidRPr="007B2DEF">
        <w:t>CzechInvest</w:t>
      </w:r>
    </w:p>
    <w:p w:rsidR="009D2CAE" w:rsidRPr="007C0CDA" w:rsidRDefault="009D2CAE" w:rsidP="00EB67D1">
      <w:r w:rsidRPr="007C0CDA">
        <w:t>Svaz průmyslu a dopravy ČR</w:t>
      </w:r>
    </w:p>
    <w:p w:rsidR="009D2CAE" w:rsidRPr="007C0CDA" w:rsidRDefault="009D2CAE" w:rsidP="00EB67D1">
      <w:r w:rsidRPr="007C0CDA">
        <w:t>Hospodářská komora ČR</w:t>
      </w:r>
    </w:p>
    <w:p w:rsidR="009D2CAE" w:rsidRPr="007C0CDA" w:rsidRDefault="009D2CAE" w:rsidP="00EB67D1">
      <w:r w:rsidRPr="007C0CDA">
        <w:t>Asociace malých a středních podniků</w:t>
      </w:r>
    </w:p>
    <w:p w:rsidR="009D2CAE" w:rsidRPr="00172EF4" w:rsidRDefault="009D2CAE" w:rsidP="002433DA">
      <w:r w:rsidRPr="00B675D6">
        <w:t>Technologická agentura České repub</w:t>
      </w:r>
      <w:r w:rsidRPr="00854519">
        <w:t>liky</w:t>
      </w:r>
    </w:p>
    <w:p w:rsidR="009D2CAE" w:rsidRPr="00EB326E" w:rsidRDefault="009D2CAE" w:rsidP="002433DA">
      <w:r w:rsidRPr="0038688B">
        <w:t>Akademie věd České republiky</w:t>
      </w:r>
    </w:p>
    <w:p w:rsidR="009D2CAE" w:rsidRPr="007C0CDA" w:rsidRDefault="009D2CAE" w:rsidP="00EB67D1">
      <w:r w:rsidRPr="007C0CDA">
        <w:t>Jihomoravské inovační centrum</w:t>
      </w:r>
    </w:p>
    <w:p w:rsidR="009D2CAE" w:rsidRPr="00854519" w:rsidRDefault="009D2CAE" w:rsidP="002433DA">
      <w:r w:rsidRPr="00B675D6">
        <w:t>Ústav organické chemie a biochemie AV ČR</w:t>
      </w:r>
    </w:p>
    <w:p w:rsidR="009D2CAE" w:rsidRPr="004153D2" w:rsidRDefault="009D2CAE" w:rsidP="002433DA">
      <w:r w:rsidRPr="00172EF4">
        <w:t>Technologické centrum AV ČR</w:t>
      </w:r>
    </w:p>
    <w:p w:rsidR="009D2CAE" w:rsidRPr="00EB326E" w:rsidRDefault="009D2CAE" w:rsidP="002433DA">
      <w:r w:rsidRPr="0038688B">
        <w:t>Rada vysokých škol</w:t>
      </w:r>
    </w:p>
    <w:p w:rsidR="009D2CAE" w:rsidRPr="00D51B9B" w:rsidRDefault="009D2CAE" w:rsidP="002433DA">
      <w:r w:rsidRPr="00EB326E">
        <w:t>Vysoká škola ekonomická v Praze</w:t>
      </w:r>
    </w:p>
    <w:p w:rsidR="009D2CAE" w:rsidRPr="00197F96" w:rsidRDefault="009D2CAE" w:rsidP="002433DA">
      <w:pPr>
        <w:rPr>
          <w:bCs/>
        </w:rPr>
      </w:pPr>
      <w:r w:rsidRPr="00197F96">
        <w:t>Asociace profesionálů v transferu technologie v ČR</w:t>
      </w:r>
    </w:p>
    <w:p w:rsidR="009D2CAE" w:rsidRPr="00183F1E" w:rsidRDefault="009D2CAE" w:rsidP="002433DA">
      <w:pPr>
        <w:rPr>
          <w:bCs/>
        </w:rPr>
      </w:pPr>
      <w:r w:rsidRPr="007C2066">
        <w:t>WAYRA</w:t>
      </w:r>
    </w:p>
    <w:p w:rsidR="009D2CAE" w:rsidRPr="002433DA" w:rsidRDefault="009D2CAE" w:rsidP="002433DA">
      <w:pPr>
        <w:rPr>
          <w:bCs/>
        </w:rPr>
      </w:pPr>
      <w:r w:rsidRPr="007B2DEF">
        <w:t>Česko-izra</w:t>
      </w:r>
      <w:r w:rsidRPr="002F7B85">
        <w:t xml:space="preserve">elská </w:t>
      </w:r>
      <w:r w:rsidRPr="002433DA">
        <w:t>smíšená obchodní komora</w:t>
      </w:r>
    </w:p>
    <w:p w:rsidR="009D2CAE" w:rsidRPr="002433DA" w:rsidRDefault="009D2CAE" w:rsidP="002433DA">
      <w:pPr>
        <w:rPr>
          <w:bCs/>
        </w:rPr>
      </w:pPr>
      <w:r w:rsidRPr="002433DA">
        <w:t>Contera</w:t>
      </w:r>
    </w:p>
    <w:p w:rsidR="009D2CAE" w:rsidRPr="007C0CDA" w:rsidRDefault="009D2CAE" w:rsidP="00EB67D1">
      <w:r w:rsidRPr="007C0CDA">
        <w:t>Šance pro budovy</w:t>
      </w:r>
    </w:p>
    <w:p w:rsidR="009D2CAE" w:rsidRPr="007C0CDA" w:rsidRDefault="009D2CAE" w:rsidP="00EB67D1">
      <w:r w:rsidRPr="007C0CDA">
        <w:t>SeVen</w:t>
      </w:r>
    </w:p>
    <w:p w:rsidR="009D2CAE" w:rsidRPr="007C0CDA" w:rsidRDefault="009D2CAE" w:rsidP="00EB67D1">
      <w:r w:rsidRPr="007C0CDA">
        <w:t>ENVIROS</w:t>
      </w:r>
    </w:p>
    <w:p w:rsidR="009D2CAE" w:rsidRPr="00854519" w:rsidRDefault="009D2CAE" w:rsidP="002433DA">
      <w:r w:rsidRPr="00B675D6">
        <w:t>Loyd Group</w:t>
      </w:r>
    </w:p>
    <w:p w:rsidR="009D2CAE" w:rsidRDefault="009D2CAE" w:rsidP="002433DA">
      <w:r w:rsidRPr="00172EF4">
        <w:t>ICT Unie</w:t>
      </w:r>
    </w:p>
    <w:p w:rsidR="00D024F6" w:rsidRPr="004153D2" w:rsidRDefault="00D024F6" w:rsidP="002433DA">
      <w:r>
        <w:t>APES</w:t>
      </w:r>
    </w:p>
    <w:p w:rsidR="009D2CAE" w:rsidRPr="0038688B" w:rsidRDefault="009D2CAE" w:rsidP="002433DA"/>
    <w:p w:rsidR="009D2CAE" w:rsidRPr="007C0CDA" w:rsidRDefault="009D2CAE" w:rsidP="00DF6E0B">
      <w:pPr>
        <w:pStyle w:val="Nadpis1"/>
      </w:pPr>
      <w:r w:rsidRPr="007C0CDA">
        <w:rPr>
          <w:b w:val="0"/>
          <w:bCs w:val="0"/>
        </w:rPr>
        <w:br w:type="page"/>
      </w:r>
      <w:bookmarkStart w:id="882" w:name="_Toc416384134"/>
      <w:bookmarkStart w:id="883" w:name="_Toc416384135"/>
      <w:bookmarkStart w:id="884" w:name="_Toc416448085"/>
      <w:bookmarkStart w:id="885" w:name="_Toc416384136"/>
      <w:bookmarkStart w:id="886" w:name="_Toc416448086"/>
      <w:bookmarkStart w:id="887" w:name="_Toc416384137"/>
      <w:bookmarkStart w:id="888" w:name="_Toc416448087"/>
      <w:bookmarkStart w:id="889" w:name="_Toc416384138"/>
      <w:bookmarkStart w:id="890" w:name="_Toc416448088"/>
      <w:bookmarkStart w:id="891" w:name="_Toc416384139"/>
      <w:bookmarkStart w:id="892" w:name="_Toc416448089"/>
      <w:bookmarkStart w:id="893" w:name="_Toc416384140"/>
      <w:bookmarkStart w:id="894" w:name="_Toc416448090"/>
      <w:bookmarkStart w:id="895" w:name="_Toc416384141"/>
      <w:bookmarkStart w:id="896" w:name="_Toc416448091"/>
      <w:bookmarkStart w:id="897" w:name="_Toc416384142"/>
      <w:bookmarkStart w:id="898" w:name="_Toc416448092"/>
      <w:bookmarkStart w:id="899" w:name="_Toc416384143"/>
      <w:bookmarkStart w:id="900" w:name="_Toc416448093"/>
      <w:bookmarkStart w:id="901" w:name="_Toc416384144"/>
      <w:bookmarkStart w:id="902" w:name="_Toc416448094"/>
      <w:bookmarkStart w:id="903" w:name="_Toc416384145"/>
      <w:bookmarkStart w:id="904" w:name="_Toc416448095"/>
      <w:bookmarkStart w:id="905" w:name="_Toc416448096"/>
      <w:bookmarkEnd w:id="880"/>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r w:rsidRPr="007C0CDA">
        <w:lastRenderedPageBreak/>
        <w:t>Použité zdroje</w:t>
      </w:r>
      <w:bookmarkEnd w:id="905"/>
    </w:p>
    <w:p w:rsidR="009D2CAE" w:rsidRPr="007C0CDA" w:rsidRDefault="009D2CAE" w:rsidP="00012C12">
      <w:pPr>
        <w:pStyle w:val="Nadpis2"/>
      </w:pPr>
      <w:bookmarkStart w:id="906" w:name="_Toc416384147"/>
      <w:bookmarkStart w:id="907" w:name="_Toc416448097"/>
      <w:bookmarkStart w:id="908" w:name="_Toc409613012"/>
      <w:bookmarkStart w:id="909" w:name="_Toc416448098"/>
      <w:bookmarkEnd w:id="906"/>
      <w:bookmarkEnd w:id="907"/>
      <w:r w:rsidRPr="007C0CDA">
        <w:t>Legislativní východiska</w:t>
      </w:r>
      <w:bookmarkEnd w:id="908"/>
      <w:bookmarkEnd w:id="909"/>
    </w:p>
    <w:p w:rsidR="009D2CAE" w:rsidRPr="007C0CDA" w:rsidRDefault="009D2CAE" w:rsidP="00012C12">
      <w:r w:rsidRPr="007C0CDA">
        <w:t>Legislativní bázi pro poskytování podpory prostřednictvím finančních nástrojů OP PIK tvoří z hlediska práva EU především:</w:t>
      </w:r>
    </w:p>
    <w:p w:rsidR="009D2CAE" w:rsidRPr="007C0CDA" w:rsidRDefault="009D2CAE" w:rsidP="002433DA">
      <w:pPr>
        <w:pStyle w:val="Odstavecseseznamem"/>
        <w:numPr>
          <w:ilvl w:val="0"/>
          <w:numId w:val="26"/>
        </w:numPr>
      </w:pPr>
      <w:r w:rsidRPr="007C0CDA">
        <w:t>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 1083/2006, OJ L 347, s. 320-469 (dále jen „Obecné nařízení“),</w:t>
      </w:r>
    </w:p>
    <w:p w:rsidR="009D2CAE" w:rsidRPr="007C0CDA" w:rsidRDefault="009D2CAE" w:rsidP="002433DA">
      <w:pPr>
        <w:pStyle w:val="Odstavecseseznamem"/>
        <w:numPr>
          <w:ilvl w:val="0"/>
          <w:numId w:val="26"/>
        </w:numPr>
      </w:pPr>
      <w:r w:rsidRPr="007C0CDA">
        <w:t>nařízení Evropského parlamentu a Rady (EU) č. 1301/2013ze dne 17. prosince 2013o Evropském fondu pro regionální rozvoj, o zvláštních ustanoveních týkajících se cíle Investice pro růst a zaměstnanost a o zrušení nařízení(ES) č. 1080/2006, OJ L 347, 20. 12. 2013, s. 289 (dále jen „nařízení o EFRR“),</w:t>
      </w:r>
    </w:p>
    <w:p w:rsidR="009D2CAE" w:rsidRPr="007C0CDA" w:rsidRDefault="009D2CAE" w:rsidP="002433DA">
      <w:pPr>
        <w:pStyle w:val="Odstavecseseznamem"/>
        <w:numPr>
          <w:ilvl w:val="0"/>
          <w:numId w:val="26"/>
        </w:numPr>
      </w:pPr>
      <w:r w:rsidRPr="007C0CDA">
        <w:t xml:space="preserve">prováděcí a delegovací akty k finančním nástrojům kohezní politiky </w:t>
      </w:r>
    </w:p>
    <w:p w:rsidR="009D2CAE" w:rsidRPr="007C0CDA" w:rsidRDefault="009D2CAE" w:rsidP="002433DA">
      <w:pPr>
        <w:pStyle w:val="Odstavecseseznamem"/>
        <w:numPr>
          <w:ilvl w:val="0"/>
          <w:numId w:val="26"/>
        </w:numPr>
      </w:pPr>
      <w:r w:rsidRPr="007C0CDA">
        <w:t>výkladové pokyny Komise,</w:t>
      </w:r>
    </w:p>
    <w:p w:rsidR="009D2CAE" w:rsidRPr="007C0CDA" w:rsidRDefault="009D2CAE" w:rsidP="002433DA">
      <w:pPr>
        <w:pStyle w:val="Odstavecseseznamem"/>
        <w:numPr>
          <w:ilvl w:val="0"/>
          <w:numId w:val="26"/>
        </w:numPr>
      </w:pPr>
      <w:r w:rsidRPr="007C0CDA">
        <w:t>směrnice Evropského parlamentu a Rady 2011/61/EU ze dne 8. června 2011 o správcích alternativních investičních fondů a o změně směrnic 2003/41/ES a 2009/65/ES a nařízení (ES) č. 1060/2009 a (EU) č. 1095/2010 (dále jen „AIFMD“),</w:t>
      </w:r>
    </w:p>
    <w:p w:rsidR="009D2CAE" w:rsidRPr="007C0CDA" w:rsidRDefault="009D2CAE" w:rsidP="002433DA">
      <w:pPr>
        <w:pStyle w:val="Odstavecseseznamem"/>
        <w:numPr>
          <w:ilvl w:val="0"/>
          <w:numId w:val="26"/>
        </w:numPr>
      </w:pPr>
      <w:r w:rsidRPr="007C0CDA">
        <w:t>nařízení (EU, EURATOM) č. 966/2012 Evropského parlamentu a Rady ze dne 25. října 2012,kterým se stanoví finanční pravidla o souhrnném rozpočtu Unie a o zrušení nařízení Rady (ES, Euratom) č. 1605/2002, OJ L 298, 26. 10. 2012, s. 1,</w:t>
      </w:r>
    </w:p>
    <w:p w:rsidR="009D2CAE" w:rsidRPr="007C0CDA" w:rsidRDefault="009D2CAE" w:rsidP="002433DA">
      <w:pPr>
        <w:pStyle w:val="Odstavecseseznamem"/>
        <w:numPr>
          <w:ilvl w:val="0"/>
          <w:numId w:val="26"/>
        </w:numPr>
      </w:pPr>
      <w:r w:rsidRPr="007C0CDA">
        <w:t>směrnice Evropského parlamentu a Rady 2004/18/ES o koordinaci postupů při zadávání veřejných zakázek na stavební práce, dodávky a služby (směrnice EU k veřejným zakázkám),</w:t>
      </w:r>
    </w:p>
    <w:p w:rsidR="009D2CAE" w:rsidRPr="007C0CDA" w:rsidRDefault="009D2CAE" w:rsidP="002433DA">
      <w:pPr>
        <w:pStyle w:val="Odstavecseseznamem"/>
        <w:numPr>
          <w:ilvl w:val="0"/>
          <w:numId w:val="26"/>
        </w:numPr>
      </w:pPr>
      <w:r w:rsidRPr="007C0CDA">
        <w:t>aplikovatelná rozhodnutí ESD a SDEU,</w:t>
      </w:r>
    </w:p>
    <w:p w:rsidR="009D2CAE" w:rsidRPr="007C0CDA" w:rsidRDefault="009D2CAE" w:rsidP="002433DA">
      <w:pPr>
        <w:pStyle w:val="Odstavecseseznamem"/>
        <w:numPr>
          <w:ilvl w:val="0"/>
          <w:numId w:val="26"/>
        </w:numPr>
      </w:pPr>
      <w:r w:rsidRPr="007C0CDA">
        <w:t>pravidla pro veřejnou podporu, zejména:</w:t>
      </w:r>
    </w:p>
    <w:p w:rsidR="009D2CAE" w:rsidRPr="007C0CDA" w:rsidRDefault="009D2CAE" w:rsidP="002433DA">
      <w:pPr>
        <w:pStyle w:val="Odstavecseseznamem"/>
        <w:numPr>
          <w:ilvl w:val="1"/>
          <w:numId w:val="26"/>
        </w:numPr>
      </w:pPr>
      <w:r w:rsidRPr="007C0CDA">
        <w:t>připravované Obecné nařízení o blokových výjimkách (dále jen „GBER“),</w:t>
      </w:r>
    </w:p>
    <w:p w:rsidR="009D2CAE" w:rsidRPr="007C0CDA" w:rsidRDefault="009D2CAE" w:rsidP="002433DA">
      <w:pPr>
        <w:pStyle w:val="Odstavecseseznamem"/>
        <w:numPr>
          <w:ilvl w:val="1"/>
          <w:numId w:val="26"/>
        </w:numPr>
      </w:pPr>
      <w:r w:rsidRPr="007C0CDA">
        <w:t>Pokyny k státní podpoře investic v rámci rizikového financování, OJ C 19, 22. 1. 2014, s. 4 (dále jen „RCG“),</w:t>
      </w:r>
    </w:p>
    <w:p w:rsidR="009D2CAE" w:rsidRPr="007C0CDA" w:rsidRDefault="009D2CAE" w:rsidP="002433DA">
      <w:pPr>
        <w:pStyle w:val="Odstavecseseznamem"/>
        <w:numPr>
          <w:ilvl w:val="1"/>
          <w:numId w:val="26"/>
        </w:numPr>
      </w:pPr>
      <w:r w:rsidRPr="007C0CDA">
        <w:t>nařízení Komise (EU) č. 1407/2013ze dne 18. prosince 2013o použití článků 107 a 108 Smlouvy o fungování Evropské unie na podporu de minimis, OJ L 352, 24. 12. 2013, s. 1 (dále jen „nařízení de minimis“),</w:t>
      </w:r>
    </w:p>
    <w:p w:rsidR="009D2CAE" w:rsidRPr="007C0CDA" w:rsidRDefault="009D2CAE" w:rsidP="002433DA">
      <w:pPr>
        <w:pStyle w:val="Odstavecseseznamem"/>
        <w:numPr>
          <w:ilvl w:val="1"/>
          <w:numId w:val="26"/>
        </w:numPr>
      </w:pPr>
      <w:r w:rsidRPr="007C0CDA">
        <w:t>Sdělení Komise (ES) o použití článků 87 a 88 Smlouvy o ES na státní podpory ve formě záruk, OJ C 155, 20.6.2008, s. 10 (dále jen „sdělení k zárukám“),</w:t>
      </w:r>
    </w:p>
    <w:p w:rsidR="009D2CAE" w:rsidRPr="007C0CDA" w:rsidRDefault="009D2CAE" w:rsidP="002433DA">
      <w:pPr>
        <w:pStyle w:val="Odstavecseseznamem"/>
        <w:numPr>
          <w:ilvl w:val="1"/>
          <w:numId w:val="26"/>
        </w:numPr>
      </w:pPr>
      <w:r w:rsidRPr="007C0CDA">
        <w:t>Sdělení Komise o revizi metody stanovování referenčních a diskontních sazeb, OJ C 014,19.1.2008, s. 6 (dále jen „sdělení o referenčních sazbách“),</w:t>
      </w:r>
    </w:p>
    <w:p w:rsidR="009D2CAE" w:rsidRPr="007C0CDA" w:rsidRDefault="009D2CAE" w:rsidP="002433DA">
      <w:pPr>
        <w:pStyle w:val="Odstavecseseznamem"/>
        <w:numPr>
          <w:ilvl w:val="1"/>
          <w:numId w:val="26"/>
        </w:numPr>
      </w:pPr>
      <w:r w:rsidRPr="007C0CDA">
        <w:t>Pokyny pro regionální státní podporu pro období 2014 – 2020, OJ C 209, 23. 7. 2013, s. 1 (dále jen „RAG“)</w:t>
      </w:r>
    </w:p>
    <w:p w:rsidR="009D2CAE" w:rsidRPr="007C0CDA" w:rsidRDefault="009D2CAE" w:rsidP="00012C12">
      <w:pPr>
        <w:pStyle w:val="Odstavecseseznamem"/>
        <w:ind w:left="1080"/>
      </w:pPr>
    </w:p>
    <w:p w:rsidR="009D2CAE" w:rsidRPr="007C0CDA" w:rsidRDefault="009D2CAE" w:rsidP="00012C12">
      <w:r w:rsidRPr="007C0CDA">
        <w:t>Z českých předpisů (vyjma daňových a účetních) pak jde zejména o:</w:t>
      </w:r>
    </w:p>
    <w:p w:rsidR="009D2CAE" w:rsidRPr="007C0CDA" w:rsidRDefault="009D2CAE" w:rsidP="002433DA">
      <w:pPr>
        <w:pStyle w:val="Odstavecseseznamem"/>
        <w:numPr>
          <w:ilvl w:val="0"/>
          <w:numId w:val="25"/>
        </w:numPr>
      </w:pPr>
      <w:r w:rsidRPr="007C0CDA">
        <w:t>zákon č. 218/2000 Sb., o rozpočtových pravidlech, ve znění pozdějších předpisů (dále jen „rozpočtová pravidla“)</w:t>
      </w:r>
      <w:r w:rsidRPr="007C0CDA">
        <w:rPr>
          <w:rStyle w:val="Znakapoznpodarou"/>
          <w:szCs w:val="24"/>
        </w:rPr>
        <w:footnoteReference w:id="45"/>
      </w:r>
      <w:r w:rsidRPr="007C0CDA">
        <w:t>,</w:t>
      </w:r>
    </w:p>
    <w:p w:rsidR="009D2CAE" w:rsidRPr="007C0CDA" w:rsidRDefault="009D2CAE" w:rsidP="002433DA">
      <w:pPr>
        <w:pStyle w:val="Odstavecseseznamem"/>
        <w:numPr>
          <w:ilvl w:val="0"/>
          <w:numId w:val="25"/>
        </w:numPr>
      </w:pPr>
      <w:r w:rsidRPr="007C0CDA">
        <w:t>zákon č. 219/2000 Sb., o majetku České republiky, ve znění pozdějších předpisů (dále jen „zákon o majetku ČR“),</w:t>
      </w:r>
    </w:p>
    <w:p w:rsidR="009D2CAE" w:rsidRPr="007C0CDA" w:rsidRDefault="009D2CAE" w:rsidP="002433DA">
      <w:pPr>
        <w:pStyle w:val="Odstavecseseznamem"/>
        <w:numPr>
          <w:ilvl w:val="0"/>
          <w:numId w:val="25"/>
        </w:numPr>
      </w:pPr>
      <w:r w:rsidRPr="007C0CDA">
        <w:lastRenderedPageBreak/>
        <w:t>zákon č. 137/2006 Sb., o veřejných zakázkách, ve znění pozdějších předpisů (dále jen „ZVZ“) a navazující podzákonné předpisy,</w:t>
      </w:r>
    </w:p>
    <w:p w:rsidR="009D2CAE" w:rsidRPr="007C0CDA" w:rsidRDefault="009D2CAE" w:rsidP="002433DA">
      <w:pPr>
        <w:pStyle w:val="Odstavecseseznamem"/>
        <w:numPr>
          <w:ilvl w:val="0"/>
          <w:numId w:val="25"/>
        </w:numPr>
      </w:pPr>
      <w:r w:rsidRPr="007C0CDA">
        <w:t>zákon č. 47/2002 Sb., o podpoře malého a středního podnikání (dále jen „zákon o podpoře MSP“),</w:t>
      </w:r>
    </w:p>
    <w:p w:rsidR="009D2CAE" w:rsidRPr="007C0CDA" w:rsidRDefault="009D2CAE" w:rsidP="002433DA">
      <w:pPr>
        <w:pStyle w:val="Odstavecseseznamem"/>
        <w:numPr>
          <w:ilvl w:val="0"/>
          <w:numId w:val="25"/>
        </w:numPr>
      </w:pPr>
      <w:r w:rsidRPr="007C0CDA">
        <w:t>zákon č. 320/2001 Sb., o finanční kontrole, ve znění pozdějších předpisů (dále jen „zákon o finanční kontrole“),</w:t>
      </w:r>
    </w:p>
    <w:p w:rsidR="009D2CAE" w:rsidRPr="007C0CDA" w:rsidRDefault="009D2CAE" w:rsidP="002433DA">
      <w:pPr>
        <w:pStyle w:val="Odstavecseseznamem"/>
        <w:numPr>
          <w:ilvl w:val="0"/>
          <w:numId w:val="25"/>
        </w:numPr>
      </w:pPr>
      <w:r w:rsidRPr="007C0CDA">
        <w:t>zákon č. 240/2013 Sb., o investičních společnostech a investičních fondech (dále jen „ZISIF“) a navazující podzákonné předpisy,</w:t>
      </w:r>
    </w:p>
    <w:p w:rsidR="009D2CAE" w:rsidRPr="007C0CDA" w:rsidRDefault="009D2CAE" w:rsidP="002433DA">
      <w:pPr>
        <w:pStyle w:val="Odstavecseseznamem"/>
        <w:numPr>
          <w:ilvl w:val="0"/>
          <w:numId w:val="25"/>
        </w:numPr>
      </w:pPr>
      <w:r w:rsidRPr="007C0CDA">
        <w:t>zákon č. 90/2012 Sb., o obchodních korporacích (dále jen „ZOK“),</w:t>
      </w:r>
    </w:p>
    <w:p w:rsidR="009D2CAE" w:rsidRPr="007C0CDA" w:rsidRDefault="009D2CAE" w:rsidP="002433DA">
      <w:pPr>
        <w:pStyle w:val="Odstavecseseznamem"/>
        <w:numPr>
          <w:ilvl w:val="0"/>
          <w:numId w:val="25"/>
        </w:numPr>
      </w:pPr>
      <w:r w:rsidRPr="007C0CDA">
        <w:t>zákon č. 89/2012 Sb., občanský zákoník (dále jen „NOZ“),</w:t>
      </w:r>
    </w:p>
    <w:p w:rsidR="009D2CAE" w:rsidRPr="007C0CDA" w:rsidRDefault="009D2CAE" w:rsidP="002433DA">
      <w:pPr>
        <w:pStyle w:val="Odstavecseseznamem"/>
        <w:numPr>
          <w:ilvl w:val="0"/>
          <w:numId w:val="25"/>
        </w:numPr>
      </w:pPr>
      <w:r w:rsidRPr="007C0CDA">
        <w:t>zákon č. 21/1992 Sb., o bankách, ve znění pozdějších předpisů (dále jen „zákon o bankách“) a navazující podzákonné předpisy,</w:t>
      </w:r>
    </w:p>
    <w:p w:rsidR="009D2CAE" w:rsidRPr="007C0CDA" w:rsidRDefault="009D2CAE" w:rsidP="002433DA">
      <w:pPr>
        <w:pStyle w:val="Odstavecseseznamem"/>
        <w:numPr>
          <w:ilvl w:val="0"/>
          <w:numId w:val="25"/>
        </w:numPr>
      </w:pPr>
      <w:r w:rsidRPr="007C0CDA">
        <w:t>návrh Metodického pokynu finančních toků a kontroly 2014+ (dále jen „MPFT“),</w:t>
      </w:r>
    </w:p>
    <w:p w:rsidR="009D2CAE" w:rsidRPr="007C0CDA" w:rsidRDefault="009D2CAE" w:rsidP="002433DA">
      <w:pPr>
        <w:pStyle w:val="Odstavecseseznamem"/>
        <w:numPr>
          <w:ilvl w:val="0"/>
          <w:numId w:val="25"/>
        </w:numPr>
      </w:pPr>
      <w:r w:rsidRPr="007C0CDA">
        <w:t>návrh Metodiky monitorování 2014+ (dále jen „MM“),</w:t>
      </w:r>
    </w:p>
    <w:p w:rsidR="009D2CAE" w:rsidRPr="007C0CDA" w:rsidRDefault="009D2CAE" w:rsidP="002433DA">
      <w:pPr>
        <w:pStyle w:val="Odstavecseseznamem"/>
        <w:numPr>
          <w:ilvl w:val="0"/>
          <w:numId w:val="25"/>
        </w:numPr>
      </w:pPr>
      <w:r w:rsidRPr="007C0CDA">
        <w:t>Další metodiky v rámci tzv. Jednotného metodického prostředí (dále jen „JMP“).</w:t>
      </w:r>
    </w:p>
    <w:p w:rsidR="009D2CAE" w:rsidRPr="007C0CDA" w:rsidRDefault="009D2CAE" w:rsidP="00012C12">
      <w:pPr>
        <w:pStyle w:val="Nadpis2"/>
      </w:pPr>
      <w:bookmarkStart w:id="910" w:name="_Toc416448099"/>
      <w:r w:rsidRPr="007C0CDA">
        <w:t>Další podkladové materiály</w:t>
      </w:r>
      <w:bookmarkEnd w:id="910"/>
    </w:p>
    <w:p w:rsidR="009D2CAE" w:rsidRPr="007C0CDA" w:rsidRDefault="009D2CAE" w:rsidP="002433DA">
      <w:pPr>
        <w:pStyle w:val="Odstavecseseznamem"/>
        <w:numPr>
          <w:ilvl w:val="0"/>
          <w:numId w:val="22"/>
        </w:numPr>
        <w:spacing w:after="240"/>
        <w:rPr>
          <w:rFonts w:cs="Calibri"/>
          <w:color w:val="222222"/>
          <w:szCs w:val="22"/>
        </w:rPr>
      </w:pPr>
      <w:r w:rsidRPr="007C0CDA">
        <w:rPr>
          <w:rFonts w:cs="Calibri"/>
          <w:color w:val="222222"/>
          <w:szCs w:val="22"/>
        </w:rPr>
        <w:t>General methodology covering all thematic objectives - Quick reference guide, Evropská komise 2014</w:t>
      </w:r>
    </w:p>
    <w:p w:rsidR="009D2CAE" w:rsidRPr="007C0CDA" w:rsidRDefault="009D2CAE" w:rsidP="002433DA">
      <w:pPr>
        <w:pStyle w:val="Odstavecseseznamem"/>
        <w:numPr>
          <w:ilvl w:val="0"/>
          <w:numId w:val="22"/>
        </w:numPr>
        <w:spacing w:after="240"/>
        <w:rPr>
          <w:rFonts w:cs="Calibri"/>
          <w:color w:val="222222"/>
          <w:szCs w:val="22"/>
        </w:rPr>
      </w:pPr>
      <w:r w:rsidRPr="007C0CDA">
        <w:rPr>
          <w:rFonts w:cs="Calibri"/>
          <w:color w:val="222222"/>
          <w:szCs w:val="22"/>
        </w:rPr>
        <w:t>General methodology covering all thematic objectives - Volume I , Evropská komise 2014</w:t>
      </w:r>
    </w:p>
    <w:p w:rsidR="009D2CAE" w:rsidRPr="007C0CDA" w:rsidRDefault="009D2CAE" w:rsidP="002433DA">
      <w:pPr>
        <w:pStyle w:val="Odstavecseseznamem"/>
        <w:numPr>
          <w:ilvl w:val="0"/>
          <w:numId w:val="22"/>
        </w:numPr>
        <w:spacing w:after="240"/>
        <w:rPr>
          <w:rFonts w:cs="Calibri"/>
          <w:color w:val="222222"/>
          <w:szCs w:val="22"/>
        </w:rPr>
      </w:pPr>
      <w:r w:rsidRPr="007C0CDA">
        <w:rPr>
          <w:rFonts w:cs="Calibri"/>
          <w:color w:val="222222"/>
          <w:szCs w:val="22"/>
        </w:rPr>
        <w:t>Strengtheningr esearch, technological development and innovation (Thematic objective 1) - Volume II , Evropská komise 2014</w:t>
      </w:r>
    </w:p>
    <w:p w:rsidR="009D2CAE" w:rsidRPr="007C0CDA" w:rsidRDefault="009D2CAE" w:rsidP="002433DA">
      <w:pPr>
        <w:pStyle w:val="Odstavecseseznamem"/>
        <w:numPr>
          <w:ilvl w:val="0"/>
          <w:numId w:val="22"/>
        </w:numPr>
        <w:spacing w:after="240"/>
        <w:rPr>
          <w:rFonts w:cs="Calibri"/>
          <w:color w:val="222222"/>
          <w:szCs w:val="22"/>
        </w:rPr>
      </w:pPr>
      <w:r w:rsidRPr="007C0CDA">
        <w:rPr>
          <w:rFonts w:cs="Calibri"/>
          <w:color w:val="222222"/>
          <w:szCs w:val="22"/>
        </w:rPr>
        <w:t>Enhancing the competitiveness of SME, including agriculture, microcredit and fisheries (Thematic objective 3) - Volume III , Evropská komise 2014</w:t>
      </w:r>
    </w:p>
    <w:p w:rsidR="009D2CAE" w:rsidRPr="007C0CDA" w:rsidRDefault="009D2CAE" w:rsidP="002433DA">
      <w:pPr>
        <w:pStyle w:val="Odstavecseseznamem"/>
        <w:numPr>
          <w:ilvl w:val="0"/>
          <w:numId w:val="22"/>
        </w:numPr>
        <w:spacing w:after="240"/>
        <w:rPr>
          <w:rFonts w:cs="Calibri"/>
          <w:color w:val="222222"/>
          <w:szCs w:val="22"/>
        </w:rPr>
      </w:pPr>
      <w:r w:rsidRPr="007C0CDA">
        <w:rPr>
          <w:rFonts w:cs="Calibri"/>
          <w:color w:val="222222"/>
          <w:szCs w:val="22"/>
        </w:rPr>
        <w:t>Supporting the shift towards low-carbon economy (Thematic objective 4) - Volume IV , Evropská komise 2014</w:t>
      </w:r>
    </w:p>
    <w:p w:rsidR="009D2CAE" w:rsidRPr="007C0CDA" w:rsidRDefault="009D2CAE" w:rsidP="002433DA">
      <w:pPr>
        <w:pStyle w:val="Odstavecseseznamem"/>
        <w:numPr>
          <w:ilvl w:val="0"/>
          <w:numId w:val="22"/>
        </w:numPr>
        <w:spacing w:after="240"/>
        <w:rPr>
          <w:rFonts w:cs="Calibri"/>
          <w:color w:val="222222"/>
          <w:szCs w:val="22"/>
        </w:rPr>
      </w:pPr>
      <w:r w:rsidRPr="007C0CDA">
        <w:rPr>
          <w:rFonts w:cs="Calibri"/>
          <w:color w:val="222222"/>
          <w:szCs w:val="22"/>
        </w:rPr>
        <w:t>Financial instruments for urban and territorial development - Volume V, Evropská komise 2014</w:t>
      </w:r>
    </w:p>
    <w:p w:rsidR="009D2CAE" w:rsidRPr="007C0CDA" w:rsidRDefault="009D2CAE" w:rsidP="002433DA">
      <w:pPr>
        <w:pStyle w:val="Odstavecseseznamem"/>
        <w:numPr>
          <w:ilvl w:val="0"/>
          <w:numId w:val="22"/>
        </w:numPr>
        <w:spacing w:after="240"/>
        <w:rPr>
          <w:rFonts w:cs="Calibri"/>
          <w:color w:val="222222"/>
          <w:szCs w:val="22"/>
        </w:rPr>
      </w:pPr>
      <w:r w:rsidRPr="007C0CDA">
        <w:rPr>
          <w:rFonts w:cs="Calibri"/>
          <w:color w:val="222222"/>
          <w:szCs w:val="22"/>
        </w:rPr>
        <w:t>Operační program Podnikání a inovace pro konkurenceschopnost 2014-2020, verze 10.0 ze dne 12. 11. 2014 a související dokumenty Řídícího orgánu (MPO)</w:t>
      </w:r>
    </w:p>
    <w:p w:rsidR="009D2CAE" w:rsidRPr="007C0CDA" w:rsidRDefault="009D2CAE" w:rsidP="002433DA">
      <w:pPr>
        <w:pStyle w:val="Odstavecseseznamem"/>
        <w:numPr>
          <w:ilvl w:val="0"/>
          <w:numId w:val="22"/>
        </w:numPr>
        <w:spacing w:after="240"/>
        <w:rPr>
          <w:rFonts w:cs="Calibri"/>
          <w:color w:val="222222"/>
          <w:szCs w:val="22"/>
        </w:rPr>
      </w:pPr>
      <w:r w:rsidRPr="007C0CDA">
        <w:rPr>
          <w:rFonts w:cs="Calibri"/>
          <w:color w:val="222222"/>
          <w:szCs w:val="22"/>
        </w:rPr>
        <w:t>Deloitte Advisory</w:t>
      </w:r>
    </w:p>
    <w:p w:rsidR="009D2CAE" w:rsidRPr="007C0CDA" w:rsidRDefault="009D2CAE" w:rsidP="002433DA">
      <w:pPr>
        <w:pStyle w:val="Odstavecseseznamem"/>
        <w:numPr>
          <w:ilvl w:val="0"/>
          <w:numId w:val="22"/>
        </w:numPr>
        <w:spacing w:after="240"/>
        <w:rPr>
          <w:rFonts w:cs="Calibri"/>
          <w:color w:val="222222"/>
          <w:szCs w:val="22"/>
        </w:rPr>
      </w:pPr>
      <w:r w:rsidRPr="007C0CDA">
        <w:rPr>
          <w:rFonts w:cs="Calibri"/>
          <w:color w:val="222222"/>
          <w:szCs w:val="22"/>
        </w:rPr>
        <w:t>Ex-ante hodnocení Operačního programu Podnikání a inovace pro konkurenceschopnost 2014 – 2020, EUFC CZ, s.r.o., červen 2014</w:t>
      </w:r>
    </w:p>
    <w:p w:rsidR="009D2CAE" w:rsidRPr="007C0CDA" w:rsidRDefault="009D2CAE" w:rsidP="002433DA">
      <w:pPr>
        <w:pStyle w:val="Odstavecseseznamem"/>
        <w:numPr>
          <w:ilvl w:val="0"/>
          <w:numId w:val="22"/>
        </w:numPr>
        <w:spacing w:after="240"/>
        <w:rPr>
          <w:rFonts w:cs="Calibri"/>
          <w:color w:val="222222"/>
          <w:szCs w:val="22"/>
        </w:rPr>
      </w:pPr>
      <w:r w:rsidRPr="007C0CDA">
        <w:rPr>
          <w:rFonts w:cs="Calibri"/>
          <w:color w:val="222222"/>
          <w:szCs w:val="22"/>
        </w:rPr>
        <w:t>Analýza věcných priorit a potřeb jednotlivých oblastí v působnosti MPO pro zaměření podpory ze strukturálních fondů EU v příštím programovacím období (2014+), zpracovatel: BermanGroup, s.r.o., listopad 2010</w:t>
      </w:r>
    </w:p>
    <w:p w:rsidR="009D2CAE" w:rsidRPr="007C0CDA" w:rsidRDefault="009D2CAE" w:rsidP="002433DA">
      <w:pPr>
        <w:pStyle w:val="Odstavecseseznamem"/>
        <w:numPr>
          <w:ilvl w:val="0"/>
          <w:numId w:val="22"/>
        </w:numPr>
        <w:spacing w:after="240"/>
        <w:rPr>
          <w:rFonts w:cs="Calibri"/>
          <w:color w:val="222222"/>
          <w:szCs w:val="22"/>
        </w:rPr>
      </w:pPr>
      <w:r w:rsidRPr="007C0CDA">
        <w:rPr>
          <w:rFonts w:cs="Calibri"/>
          <w:color w:val="222222"/>
          <w:szCs w:val="22"/>
        </w:rPr>
        <w:t>Metodický pokyn finančních toků programů spolufinancovaných z Evropských strukturálních fondů, Fondu soudržnosti a Evropského námořního a rybářského fondu na programové období 2014 – 2020, Ministerstvo financí, 2014</w:t>
      </w:r>
    </w:p>
    <w:p w:rsidR="009D2CAE" w:rsidRPr="007C0CDA" w:rsidRDefault="009D2CAE" w:rsidP="002433DA">
      <w:pPr>
        <w:pStyle w:val="Odstavecseseznamem"/>
        <w:numPr>
          <w:ilvl w:val="0"/>
          <w:numId w:val="22"/>
        </w:numPr>
        <w:spacing w:after="240"/>
        <w:rPr>
          <w:rFonts w:cs="Calibri"/>
          <w:color w:val="222222"/>
          <w:szCs w:val="22"/>
        </w:rPr>
      </w:pPr>
      <w:r w:rsidRPr="007C0CDA">
        <w:rPr>
          <w:rFonts w:cs="Calibri"/>
          <w:color w:val="222222"/>
          <w:szCs w:val="22"/>
        </w:rPr>
        <w:t>Metodické doporučení pro implementaci finančních nástrojů v programovém období 2014-2020, Ministerstvo pro místní rozvoj, 2014</w:t>
      </w:r>
    </w:p>
    <w:p w:rsidR="009D2CAE" w:rsidRPr="007C0CDA" w:rsidRDefault="009D2CAE" w:rsidP="002433DA">
      <w:pPr>
        <w:pStyle w:val="Odstavecseseznamem"/>
        <w:numPr>
          <w:ilvl w:val="0"/>
          <w:numId w:val="22"/>
        </w:numPr>
        <w:spacing w:after="240"/>
        <w:rPr>
          <w:rFonts w:cs="Calibri"/>
          <w:color w:val="222222"/>
          <w:szCs w:val="22"/>
        </w:rPr>
      </w:pPr>
      <w:r w:rsidRPr="007C0CDA">
        <w:rPr>
          <w:rFonts w:cs="Calibri"/>
          <w:color w:val="222222"/>
          <w:szCs w:val="22"/>
        </w:rPr>
        <w:t>Obecné nařízení</w:t>
      </w:r>
    </w:p>
    <w:p w:rsidR="009D2CAE" w:rsidRPr="007C0CDA" w:rsidRDefault="009D2CAE" w:rsidP="002433DA">
      <w:pPr>
        <w:pStyle w:val="Odstavecseseznamem"/>
        <w:numPr>
          <w:ilvl w:val="0"/>
          <w:numId w:val="22"/>
        </w:numPr>
        <w:spacing w:after="240"/>
        <w:rPr>
          <w:rFonts w:cs="Calibri"/>
          <w:color w:val="222222"/>
          <w:szCs w:val="22"/>
        </w:rPr>
      </w:pPr>
      <w:r w:rsidRPr="007C0CDA">
        <w:rPr>
          <w:rFonts w:cs="Calibri"/>
          <w:color w:val="222222"/>
          <w:szCs w:val="22"/>
        </w:rPr>
        <w:t xml:space="preserve">Nařízení v přenesené pravomoci a prováděcí nařízení k Obecnému nařízení </w:t>
      </w:r>
    </w:p>
    <w:p w:rsidR="009D2CAE" w:rsidRPr="007C0CDA" w:rsidRDefault="009D2CAE" w:rsidP="002433DA">
      <w:pPr>
        <w:pStyle w:val="Odstavecseseznamem"/>
        <w:numPr>
          <w:ilvl w:val="0"/>
          <w:numId w:val="22"/>
        </w:numPr>
        <w:spacing w:after="240"/>
        <w:rPr>
          <w:rFonts w:cs="Calibri"/>
          <w:color w:val="222222"/>
          <w:szCs w:val="22"/>
        </w:rPr>
      </w:pPr>
      <w:r w:rsidRPr="007C0CDA">
        <w:rPr>
          <w:rFonts w:cs="Calibri"/>
          <w:color w:val="222222"/>
          <w:szCs w:val="22"/>
        </w:rPr>
        <w:t>Interní materiály MPO a Pracovní skupiny pro finanční nástroje OP PIK, zejména návrhy programů podpory</w:t>
      </w:r>
    </w:p>
    <w:p w:rsidR="009D2CAE" w:rsidRPr="007C0CDA" w:rsidRDefault="009D2CAE" w:rsidP="002433DA">
      <w:pPr>
        <w:pStyle w:val="Odstavecseseznamem"/>
        <w:numPr>
          <w:ilvl w:val="0"/>
          <w:numId w:val="22"/>
        </w:numPr>
        <w:spacing w:after="240"/>
        <w:rPr>
          <w:rFonts w:cs="Calibri"/>
          <w:color w:val="222222"/>
          <w:szCs w:val="22"/>
        </w:rPr>
      </w:pPr>
      <w:r w:rsidRPr="007C0CDA">
        <w:rPr>
          <w:rFonts w:cs="Calibri"/>
          <w:color w:val="222222"/>
          <w:szCs w:val="22"/>
        </w:rPr>
        <w:t xml:space="preserve">Dohoda o partnerství </w:t>
      </w:r>
    </w:p>
    <w:p w:rsidR="009D2CAE" w:rsidRPr="007C0CDA" w:rsidRDefault="009D2CAE" w:rsidP="002433DA">
      <w:pPr>
        <w:pStyle w:val="Odstavecseseznamem"/>
        <w:numPr>
          <w:ilvl w:val="0"/>
          <w:numId w:val="22"/>
        </w:numPr>
        <w:spacing w:after="240"/>
        <w:rPr>
          <w:rFonts w:cs="Calibri"/>
          <w:color w:val="222222"/>
          <w:szCs w:val="22"/>
        </w:rPr>
      </w:pPr>
      <w:r w:rsidRPr="007C0CDA">
        <w:rPr>
          <w:rFonts w:cs="Calibri"/>
          <w:color w:val="222222"/>
          <w:szCs w:val="22"/>
        </w:rPr>
        <w:t>Operační program Podnikání a inovace pro konkurenceschopnost 2014-2020, verze 10.0 ze dne 12. 11. 2014 a související dokumenty Řídícího orgánu (MPO)</w:t>
      </w:r>
    </w:p>
    <w:p w:rsidR="009D2CAE" w:rsidRPr="007C0CDA" w:rsidRDefault="009D2CAE" w:rsidP="002433DA">
      <w:pPr>
        <w:pStyle w:val="Odstavecseseznamem"/>
        <w:numPr>
          <w:ilvl w:val="0"/>
          <w:numId w:val="22"/>
        </w:numPr>
        <w:spacing w:after="240"/>
        <w:rPr>
          <w:rFonts w:cs="Calibri"/>
          <w:color w:val="222222"/>
          <w:szCs w:val="22"/>
        </w:rPr>
      </w:pPr>
      <w:r w:rsidRPr="007C0CDA">
        <w:rPr>
          <w:rFonts w:cs="Calibri"/>
          <w:color w:val="222222"/>
          <w:szCs w:val="22"/>
        </w:rPr>
        <w:t>Národní program reforem ČR 2012 (usnesení vlády č. 271/2012)</w:t>
      </w:r>
    </w:p>
    <w:p w:rsidR="009D2CAE" w:rsidRPr="007C0CDA" w:rsidRDefault="009D2CAE" w:rsidP="002433DA">
      <w:pPr>
        <w:pStyle w:val="Odstavecseseznamem"/>
        <w:numPr>
          <w:ilvl w:val="0"/>
          <w:numId w:val="22"/>
        </w:numPr>
        <w:spacing w:after="240"/>
        <w:rPr>
          <w:rFonts w:cs="Calibri"/>
          <w:color w:val="222222"/>
          <w:szCs w:val="22"/>
        </w:rPr>
      </w:pPr>
      <w:r w:rsidRPr="007C0CDA">
        <w:rPr>
          <w:rFonts w:cs="Calibri"/>
          <w:color w:val="222222"/>
          <w:szCs w:val="22"/>
        </w:rPr>
        <w:t>Aktualizace Státní energetické koncepce ČR (usnesení vlády č. 803/2012)</w:t>
      </w:r>
    </w:p>
    <w:p w:rsidR="009D2CAE" w:rsidRPr="007C0CDA" w:rsidRDefault="009D2CAE" w:rsidP="002433DA">
      <w:pPr>
        <w:pStyle w:val="Odstavecseseznamem"/>
        <w:numPr>
          <w:ilvl w:val="0"/>
          <w:numId w:val="22"/>
        </w:numPr>
        <w:spacing w:after="240"/>
        <w:rPr>
          <w:rFonts w:cs="Calibri"/>
          <w:color w:val="222222"/>
          <w:szCs w:val="22"/>
        </w:rPr>
      </w:pPr>
      <w:r w:rsidRPr="007C0CDA">
        <w:rPr>
          <w:rFonts w:cs="Calibri"/>
          <w:color w:val="222222"/>
          <w:szCs w:val="22"/>
        </w:rPr>
        <w:lastRenderedPageBreak/>
        <w:t>Národní inovační strategie ČR (usnesení vlády č. 714/2011)</w:t>
      </w:r>
    </w:p>
    <w:p w:rsidR="009D2CAE" w:rsidRPr="007C0CDA" w:rsidRDefault="009D2CAE" w:rsidP="002433DA">
      <w:pPr>
        <w:pStyle w:val="Odstavecseseznamem"/>
        <w:numPr>
          <w:ilvl w:val="0"/>
          <w:numId w:val="22"/>
        </w:numPr>
        <w:spacing w:after="240"/>
        <w:rPr>
          <w:rFonts w:cs="Calibri"/>
          <w:color w:val="222222"/>
          <w:szCs w:val="22"/>
        </w:rPr>
      </w:pPr>
      <w:r w:rsidRPr="007C0CDA">
        <w:rPr>
          <w:rFonts w:cs="Calibri"/>
          <w:color w:val="222222"/>
          <w:szCs w:val="22"/>
        </w:rPr>
        <w:t xml:space="preserve">Strategie regionálního rozvoje ČR </w:t>
      </w:r>
    </w:p>
    <w:p w:rsidR="009D2CAE" w:rsidRPr="007C0CDA" w:rsidRDefault="009D2CAE" w:rsidP="002433DA">
      <w:pPr>
        <w:pStyle w:val="Odstavecseseznamem"/>
        <w:numPr>
          <w:ilvl w:val="0"/>
          <w:numId w:val="22"/>
        </w:numPr>
        <w:spacing w:after="240"/>
        <w:rPr>
          <w:rFonts w:cs="Calibri"/>
          <w:color w:val="222222"/>
          <w:szCs w:val="22"/>
        </w:rPr>
      </w:pPr>
      <w:r w:rsidRPr="007C0CDA">
        <w:rPr>
          <w:rFonts w:cs="Calibri"/>
          <w:color w:val="222222"/>
          <w:szCs w:val="22"/>
        </w:rPr>
        <w:t xml:space="preserve">Strategický rámec udržitelného rozvoje  </w:t>
      </w:r>
    </w:p>
    <w:p w:rsidR="009D2CAE" w:rsidRPr="007C0CDA" w:rsidRDefault="009D2CAE" w:rsidP="002433DA">
      <w:pPr>
        <w:pStyle w:val="Odstavecseseznamem"/>
        <w:numPr>
          <w:ilvl w:val="0"/>
          <w:numId w:val="22"/>
        </w:numPr>
        <w:spacing w:after="240"/>
        <w:rPr>
          <w:rFonts w:cs="Calibri"/>
          <w:color w:val="222222"/>
          <w:szCs w:val="22"/>
        </w:rPr>
      </w:pPr>
      <w:r w:rsidRPr="007C0CDA">
        <w:rPr>
          <w:rFonts w:cs="Calibri"/>
          <w:color w:val="222222"/>
          <w:szCs w:val="22"/>
        </w:rPr>
        <w:t>Koncepce podpory malých a středních podnikatelů na období let 2014 – 2020 (usnesení vlády č. 923/2012)</w:t>
      </w:r>
    </w:p>
    <w:p w:rsidR="009D2CAE" w:rsidRPr="007C0CDA" w:rsidRDefault="009D2CAE" w:rsidP="002433DA">
      <w:pPr>
        <w:pStyle w:val="Odstavecseseznamem"/>
        <w:numPr>
          <w:ilvl w:val="0"/>
          <w:numId w:val="22"/>
        </w:numPr>
        <w:spacing w:after="240"/>
        <w:rPr>
          <w:rFonts w:cs="Calibri"/>
          <w:color w:val="222222"/>
          <w:szCs w:val="22"/>
        </w:rPr>
      </w:pPr>
      <w:r w:rsidRPr="007C0CDA">
        <w:rPr>
          <w:rFonts w:cs="Calibri"/>
          <w:color w:val="222222"/>
          <w:szCs w:val="22"/>
        </w:rPr>
        <w:t>Strategie mezinárodní konkurenceschopnosti ČR pro období 2012 – 2020 (usnesení vlády č. 713/2011)</w:t>
      </w:r>
    </w:p>
    <w:p w:rsidR="009D2CAE" w:rsidRPr="007C0CDA" w:rsidRDefault="009D2CAE" w:rsidP="002433DA">
      <w:pPr>
        <w:pStyle w:val="Odstavecseseznamem"/>
        <w:numPr>
          <w:ilvl w:val="0"/>
          <w:numId w:val="22"/>
        </w:numPr>
        <w:spacing w:after="240"/>
        <w:rPr>
          <w:rFonts w:cs="Calibri"/>
          <w:color w:val="222222"/>
          <w:szCs w:val="22"/>
        </w:rPr>
      </w:pPr>
      <w:r w:rsidRPr="007C0CDA">
        <w:rPr>
          <w:rFonts w:cs="Calibri"/>
          <w:color w:val="222222"/>
          <w:szCs w:val="22"/>
        </w:rPr>
        <w:t>Strategie Evropa 2020:  Strategie pro inteligentní a udržitelný růst podporující začlenění</w:t>
      </w:r>
    </w:p>
    <w:p w:rsidR="009D2CAE" w:rsidRPr="007C0CDA" w:rsidRDefault="009D2CAE" w:rsidP="002433DA">
      <w:pPr>
        <w:pStyle w:val="Odstavecseseznamem"/>
        <w:numPr>
          <w:ilvl w:val="0"/>
          <w:numId w:val="22"/>
        </w:numPr>
        <w:spacing w:after="240"/>
        <w:rPr>
          <w:rFonts w:cs="Calibri"/>
          <w:color w:val="222222"/>
          <w:szCs w:val="22"/>
        </w:rPr>
      </w:pPr>
      <w:r w:rsidRPr="007C0CDA">
        <w:rPr>
          <w:rFonts w:cs="Calibri"/>
          <w:color w:val="222222"/>
          <w:szCs w:val="22"/>
        </w:rPr>
        <w:t xml:space="preserve">Strategie Energie 2020: Strategie pro konkurenceschopnou, udržitelnou a bezpečnou energii </w:t>
      </w:r>
    </w:p>
    <w:p w:rsidR="009D2CAE" w:rsidRPr="007C0CDA" w:rsidRDefault="009D2CAE" w:rsidP="002433DA">
      <w:pPr>
        <w:pStyle w:val="Odstavecseseznamem"/>
        <w:numPr>
          <w:ilvl w:val="0"/>
          <w:numId w:val="22"/>
        </w:numPr>
        <w:spacing w:after="240"/>
        <w:rPr>
          <w:rFonts w:cs="Calibri"/>
          <w:color w:val="222222"/>
          <w:szCs w:val="22"/>
        </w:rPr>
      </w:pPr>
      <w:r w:rsidRPr="007C0CDA">
        <w:rPr>
          <w:rFonts w:cs="Calibri"/>
          <w:color w:val="222222"/>
          <w:szCs w:val="22"/>
        </w:rPr>
        <w:t>Sdělení Komise: Unie inovací, Evropa méně náročná na zdroje, Plán pro Evropu účinněji využívající zdroje, Průmyslová politika pro éru globalizace</w:t>
      </w:r>
    </w:p>
    <w:p w:rsidR="009D2CAE" w:rsidRPr="007C0CDA" w:rsidRDefault="009D2CAE" w:rsidP="002433DA">
      <w:pPr>
        <w:pStyle w:val="Odstavecseseznamem"/>
        <w:numPr>
          <w:ilvl w:val="0"/>
          <w:numId w:val="22"/>
        </w:numPr>
        <w:spacing w:after="240"/>
        <w:rPr>
          <w:rFonts w:cs="Calibri"/>
          <w:color w:val="222222"/>
          <w:szCs w:val="22"/>
        </w:rPr>
      </w:pPr>
      <w:r w:rsidRPr="007C0CDA">
        <w:rPr>
          <w:rFonts w:cs="Calibri"/>
          <w:color w:val="222222"/>
          <w:szCs w:val="22"/>
        </w:rPr>
        <w:t>Metodický pokyn pro přípravu programových dokumentů pro programové období 2014 – 2020 a další metodické materiály vydané MMR-NOK (Metodický pokyn pro evaluace, Metodický pokyn pro monitorování fondů Společného strategického rámce, Metodické doporučení pro způsobilost výdajů a jejich vykazování, Metodický pokyn Zásady tvorby a používání indikátorů, Národní číselník indikátorů pro programové období 2014-2020 a další).</w:t>
      </w:r>
    </w:p>
    <w:p w:rsidR="009D2CAE" w:rsidRPr="007C0CDA" w:rsidRDefault="009D2CAE" w:rsidP="002433DA">
      <w:pPr>
        <w:pStyle w:val="Odstavecseseznamem"/>
        <w:numPr>
          <w:ilvl w:val="0"/>
          <w:numId w:val="22"/>
        </w:numPr>
        <w:spacing w:after="240"/>
        <w:rPr>
          <w:rFonts w:cs="Calibri"/>
          <w:color w:val="222222"/>
          <w:szCs w:val="22"/>
        </w:rPr>
      </w:pPr>
      <w:r w:rsidRPr="007C0CDA">
        <w:rPr>
          <w:rFonts w:cs="Calibri"/>
          <w:color w:val="222222"/>
          <w:szCs w:val="22"/>
        </w:rPr>
        <w:t>Operační program Průmysl a podnikání 2004 – 2006 a související dokumenty Řídícího orgánu (MPO)</w:t>
      </w:r>
    </w:p>
    <w:p w:rsidR="009D2CAE" w:rsidRPr="007C0CDA" w:rsidRDefault="009D2CAE" w:rsidP="002433DA">
      <w:pPr>
        <w:pStyle w:val="Odstavecseseznamem"/>
        <w:numPr>
          <w:ilvl w:val="0"/>
          <w:numId w:val="22"/>
        </w:numPr>
        <w:spacing w:after="240"/>
        <w:rPr>
          <w:rFonts w:cs="Calibri"/>
          <w:color w:val="222222"/>
          <w:szCs w:val="22"/>
        </w:rPr>
      </w:pPr>
      <w:r w:rsidRPr="007C0CDA">
        <w:rPr>
          <w:rFonts w:cs="Calibri"/>
          <w:color w:val="222222"/>
          <w:szCs w:val="22"/>
        </w:rPr>
        <w:t>Operační program Podnikání a inovace 2007 – 2013 a související dokumenty Řídícího orgánu (MPO)</w:t>
      </w:r>
    </w:p>
    <w:p w:rsidR="009D2CAE" w:rsidRPr="007C0CDA" w:rsidRDefault="009D2CAE" w:rsidP="002433DA">
      <w:pPr>
        <w:pStyle w:val="Odstavecseseznamem"/>
        <w:numPr>
          <w:ilvl w:val="0"/>
          <w:numId w:val="22"/>
        </w:numPr>
        <w:spacing w:after="240"/>
        <w:rPr>
          <w:rFonts w:cs="Calibri"/>
          <w:color w:val="222222"/>
          <w:szCs w:val="22"/>
        </w:rPr>
      </w:pPr>
      <w:r w:rsidRPr="007C0CDA">
        <w:rPr>
          <w:rFonts w:cs="Calibri"/>
          <w:color w:val="222222"/>
          <w:szCs w:val="22"/>
        </w:rPr>
        <w:t>Vyhodnocení dopadů realizace Operačního programu Průmysl a podnikání 2004 – 2006 na hospodářský vývoj v regionech soudržnosti České republiky, BermanGroup, listopad 2008</w:t>
      </w:r>
    </w:p>
    <w:p w:rsidR="009D2CAE" w:rsidRPr="007C0CDA" w:rsidRDefault="009D2CAE" w:rsidP="002433DA">
      <w:pPr>
        <w:pStyle w:val="Odstavecseseznamem"/>
        <w:numPr>
          <w:ilvl w:val="0"/>
          <w:numId w:val="22"/>
        </w:numPr>
        <w:spacing w:after="240"/>
        <w:rPr>
          <w:rFonts w:cs="Calibri"/>
          <w:color w:val="222222"/>
          <w:szCs w:val="22"/>
        </w:rPr>
      </w:pPr>
      <w:r w:rsidRPr="007C0CDA">
        <w:rPr>
          <w:rFonts w:cs="Calibri"/>
          <w:color w:val="222222"/>
          <w:szCs w:val="22"/>
        </w:rPr>
        <w:t>Celkové vyhodnocení výsledků a dopadů realizace Operačního programu Průmysl a podnikání 2004 – 2006, Deloitte, listopad 2008</w:t>
      </w:r>
    </w:p>
    <w:p w:rsidR="009D2CAE" w:rsidRPr="007C0CDA" w:rsidRDefault="009D2CAE" w:rsidP="002433DA">
      <w:pPr>
        <w:pStyle w:val="Odstavecseseznamem"/>
        <w:numPr>
          <w:ilvl w:val="0"/>
          <w:numId w:val="22"/>
        </w:numPr>
        <w:spacing w:after="240"/>
        <w:rPr>
          <w:rFonts w:cs="Calibri"/>
          <w:color w:val="222222"/>
          <w:szCs w:val="22"/>
        </w:rPr>
      </w:pPr>
      <w:r w:rsidRPr="007C0CDA">
        <w:rPr>
          <w:rFonts w:cs="Calibri"/>
          <w:color w:val="222222"/>
          <w:szCs w:val="22"/>
        </w:rPr>
        <w:t>Střednědobé hodnocení Operačního programu Podnikání a inovace 2007 – 2013, EUFC CZ, s.r.o., duben 2012</w:t>
      </w:r>
    </w:p>
    <w:p w:rsidR="009D2CAE" w:rsidRPr="007C0CDA" w:rsidRDefault="009D2CAE" w:rsidP="002433DA">
      <w:pPr>
        <w:pStyle w:val="Odstavecseseznamem"/>
        <w:numPr>
          <w:ilvl w:val="0"/>
          <w:numId w:val="22"/>
        </w:numPr>
        <w:spacing w:after="240"/>
        <w:rPr>
          <w:rFonts w:cs="Calibri"/>
          <w:color w:val="222222"/>
          <w:szCs w:val="22"/>
        </w:rPr>
      </w:pPr>
      <w:r w:rsidRPr="007C0CDA">
        <w:rPr>
          <w:rFonts w:cs="Calibri"/>
          <w:color w:val="222222"/>
          <w:szCs w:val="22"/>
        </w:rPr>
        <w:t>Podklady pro ex-ante vyhodnocení finančních nástrojů vybraných specifických cílů OP PIK, PwC, únor 2014</w:t>
      </w:r>
    </w:p>
    <w:p w:rsidR="009D2CAE" w:rsidRPr="007C0CDA" w:rsidRDefault="009D2CAE" w:rsidP="002433DA">
      <w:pPr>
        <w:pStyle w:val="Odstavecseseznamem"/>
        <w:numPr>
          <w:ilvl w:val="0"/>
          <w:numId w:val="22"/>
        </w:numPr>
        <w:spacing w:after="240"/>
        <w:rPr>
          <w:rFonts w:cs="Calibri"/>
          <w:color w:val="222222"/>
          <w:szCs w:val="22"/>
        </w:rPr>
      </w:pPr>
      <w:r w:rsidRPr="007C0CDA">
        <w:rPr>
          <w:rFonts w:cs="Calibri"/>
          <w:color w:val="222222"/>
          <w:szCs w:val="22"/>
        </w:rPr>
        <w:t>Metodický pokyn finančních toků programů spolufinancovaných z Evropských strukturálních fondů, Fondu soudržnosti a Evropského námořního a rybářského fondu na programové období 2014 – 2020, Ministerstvo financí, 2014</w:t>
      </w:r>
    </w:p>
    <w:p w:rsidR="009D2CAE" w:rsidRPr="007C0CDA" w:rsidRDefault="009D2CAE" w:rsidP="002433DA">
      <w:pPr>
        <w:pStyle w:val="Odstavecseseznamem"/>
        <w:numPr>
          <w:ilvl w:val="0"/>
          <w:numId w:val="22"/>
        </w:numPr>
        <w:spacing w:after="240"/>
        <w:rPr>
          <w:rFonts w:cs="Calibri"/>
          <w:color w:val="222222"/>
          <w:szCs w:val="22"/>
        </w:rPr>
      </w:pPr>
      <w:r w:rsidRPr="007C0CDA">
        <w:rPr>
          <w:rFonts w:cs="Calibri"/>
          <w:color w:val="222222"/>
          <w:szCs w:val="22"/>
        </w:rPr>
        <w:t>Metodické doporučení pro implementaci finančních nástrojů v programovém období 2014-2020, Ministerstvo pro místní rozvoj, 2014</w:t>
      </w:r>
    </w:p>
    <w:p w:rsidR="009D2CAE" w:rsidRPr="007C0CDA" w:rsidRDefault="009D2CAE" w:rsidP="002433DA">
      <w:pPr>
        <w:pStyle w:val="Odstavecseseznamem"/>
        <w:numPr>
          <w:ilvl w:val="0"/>
          <w:numId w:val="22"/>
        </w:numPr>
        <w:spacing w:after="240"/>
        <w:rPr>
          <w:rFonts w:cs="Calibri"/>
          <w:color w:val="222222"/>
          <w:szCs w:val="22"/>
        </w:rPr>
      </w:pPr>
      <w:r w:rsidRPr="007C0CDA">
        <w:rPr>
          <w:rFonts w:cs="Calibri"/>
          <w:color w:val="222222"/>
          <w:szCs w:val="22"/>
        </w:rPr>
        <w:t>Interní materiály MPO a Pracovní skupiny pro finanční nástroje OP PIK, zejména návrhy programů podpory</w:t>
      </w:r>
    </w:p>
    <w:p w:rsidR="009D2CAE" w:rsidRPr="007C0CDA" w:rsidRDefault="009D2CAE" w:rsidP="002433DA">
      <w:pPr>
        <w:pStyle w:val="Odstavecseseznamem"/>
        <w:numPr>
          <w:ilvl w:val="0"/>
          <w:numId w:val="22"/>
        </w:numPr>
        <w:spacing w:after="240"/>
        <w:rPr>
          <w:rFonts w:cs="Calibri"/>
          <w:color w:val="222222"/>
          <w:szCs w:val="22"/>
        </w:rPr>
      </w:pPr>
      <w:r w:rsidRPr="007C0CDA">
        <w:rPr>
          <w:rFonts w:cs="Calibri"/>
          <w:color w:val="222222"/>
          <w:szCs w:val="22"/>
        </w:rPr>
        <w:t>Ex-ante assessment of the EU SME initiative, Evropská Komise, 2014</w:t>
      </w:r>
    </w:p>
    <w:p w:rsidR="009D2CAE" w:rsidRPr="007C0CDA" w:rsidRDefault="009D2CAE" w:rsidP="004838BB"/>
    <w:p w:rsidR="009D2CAE" w:rsidRPr="007C0CDA" w:rsidRDefault="009D2CAE">
      <w:pPr>
        <w:overflowPunct/>
        <w:autoSpaceDE/>
        <w:autoSpaceDN/>
        <w:adjustRightInd/>
        <w:jc w:val="left"/>
        <w:textAlignment w:val="auto"/>
      </w:pPr>
    </w:p>
    <w:p w:rsidR="009D2CAE" w:rsidRPr="007C0CDA" w:rsidRDefault="009D2CAE" w:rsidP="00665979">
      <w:pPr>
        <w:pStyle w:val="Nadpis1"/>
      </w:pPr>
      <w:bookmarkStart w:id="911" w:name="_Toc409613006"/>
      <w:r w:rsidRPr="007C0CDA">
        <w:br w:type="page"/>
      </w:r>
      <w:bookmarkStart w:id="912" w:name="_Toc416448100"/>
      <w:r w:rsidRPr="007C0CDA">
        <w:lastRenderedPageBreak/>
        <w:t>Seznam zkratek</w:t>
      </w:r>
      <w:bookmarkEnd w:id="911"/>
      <w:bookmarkEnd w:id="912"/>
    </w:p>
    <w:p w:rsidR="009D2CAE" w:rsidRPr="007C0CDA" w:rsidRDefault="009D2CAE" w:rsidP="00665979">
      <w:pPr>
        <w:tabs>
          <w:tab w:val="left" w:pos="3402"/>
        </w:tabs>
        <w:spacing w:line="280" w:lineRule="atLeast"/>
        <w:ind w:left="3402" w:hanging="3402"/>
        <w:rPr>
          <w:rFonts w:cs="Calibri"/>
          <w:szCs w:val="24"/>
        </w:rPr>
      </w:pP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BF</w:t>
      </w:r>
      <w:r w:rsidRPr="007C0CDA">
        <w:rPr>
          <w:rFonts w:cs="Calibri"/>
          <w:szCs w:val="24"/>
        </w:rPr>
        <w:tab/>
        <w:t>brownfield</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BIS</w:t>
      </w:r>
      <w:r w:rsidRPr="007C0CDA">
        <w:rPr>
          <w:rFonts w:cs="Calibri"/>
          <w:szCs w:val="24"/>
        </w:rPr>
        <w:tab/>
        <w:t>Bank for International Settlements</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BPS</w:t>
      </w:r>
      <w:r w:rsidRPr="007C0CDA">
        <w:rPr>
          <w:rFonts w:cs="Calibri"/>
          <w:szCs w:val="24"/>
        </w:rPr>
        <w:tab/>
        <w:t>bioplynová stanice</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CI</w:t>
      </w:r>
      <w:r w:rsidRPr="007C0CDA">
        <w:rPr>
          <w:rFonts w:cs="Calibri"/>
          <w:szCs w:val="24"/>
        </w:rPr>
        <w:tab/>
        <w:t>CzechInvest</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CIP</w:t>
      </w:r>
      <w:r w:rsidRPr="007C0CDA">
        <w:rPr>
          <w:rFonts w:cs="Calibri"/>
          <w:szCs w:val="24"/>
        </w:rPr>
        <w:tab/>
        <w:t>Competitiveness and Innovation Programme</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COESIF</w:t>
      </w:r>
      <w:r w:rsidRPr="007C0CDA">
        <w:rPr>
          <w:rFonts w:cs="Calibri"/>
          <w:szCs w:val="24"/>
        </w:rPr>
        <w:tab/>
        <w:t>Coordination Committee for the European Structural and Investment Funds</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COSME</w:t>
      </w:r>
      <w:r w:rsidRPr="007C0CDA">
        <w:rPr>
          <w:rFonts w:cs="Calibri"/>
          <w:szCs w:val="24"/>
        </w:rPr>
        <w:tab/>
        <w:t>Programme for the Competitiveness of Enterprises and SMEs</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 xml:space="preserve">CVCA                                                     </w:t>
      </w:r>
      <w:r w:rsidRPr="007C0CDA">
        <w:rPr>
          <w:rFonts w:cs="Calibri"/>
          <w:szCs w:val="24"/>
        </w:rPr>
        <w:tab/>
        <w:t>Czech Private Equity &amp; Venture Capital Association</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ČMZRB</w:t>
      </w:r>
      <w:r w:rsidRPr="007C0CDA">
        <w:rPr>
          <w:rFonts w:cs="Calibri"/>
          <w:szCs w:val="24"/>
        </w:rPr>
        <w:tab/>
        <w:t>Českomoravská záruční a rozvojová banka, a.s.</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ČNB</w:t>
      </w:r>
      <w:r w:rsidRPr="007C0CDA">
        <w:rPr>
          <w:rFonts w:cs="Calibri"/>
          <w:szCs w:val="24"/>
        </w:rPr>
        <w:tab/>
        <w:t>Česká národní banka</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ČRUIF</w:t>
      </w:r>
      <w:r w:rsidRPr="007C0CDA">
        <w:rPr>
          <w:rFonts w:cs="Calibri"/>
          <w:szCs w:val="24"/>
        </w:rPr>
        <w:tab/>
        <w:t>Český rozvojový, uzavřený investiční fond, a.s.</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ČSÚ</w:t>
      </w:r>
      <w:r w:rsidRPr="007C0CDA">
        <w:rPr>
          <w:rFonts w:cs="Calibri"/>
          <w:szCs w:val="24"/>
        </w:rPr>
        <w:tab/>
        <w:t>Český statistický úřad</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EBRD</w:t>
      </w:r>
      <w:r w:rsidRPr="007C0CDA">
        <w:rPr>
          <w:rFonts w:cs="Calibri"/>
          <w:szCs w:val="24"/>
        </w:rPr>
        <w:tab/>
        <w:t>European Bank for Reconstruction and Development</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EE</w:t>
      </w:r>
      <w:r w:rsidRPr="007C0CDA">
        <w:rPr>
          <w:rFonts w:cs="Calibri"/>
          <w:szCs w:val="24"/>
        </w:rPr>
        <w:tab/>
        <w:t>Energy Efficiency</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EFSI</w:t>
      </w:r>
      <w:r w:rsidRPr="007C0CDA">
        <w:rPr>
          <w:rFonts w:cs="Calibri"/>
          <w:szCs w:val="24"/>
        </w:rPr>
        <w:tab/>
        <w:t>Evropský fond pro strategické investice</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EIB</w:t>
      </w:r>
      <w:r w:rsidRPr="007C0CDA">
        <w:rPr>
          <w:rFonts w:cs="Calibri"/>
          <w:szCs w:val="24"/>
        </w:rPr>
        <w:tab/>
        <w:t>Evropská investiční banka</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EIF</w:t>
      </w:r>
      <w:r w:rsidRPr="007C0CDA">
        <w:rPr>
          <w:rFonts w:cs="Calibri"/>
          <w:szCs w:val="24"/>
        </w:rPr>
        <w:tab/>
        <w:t>Evropský investiční fond</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EFRR</w:t>
      </w:r>
      <w:r w:rsidRPr="007C0CDA">
        <w:rPr>
          <w:rFonts w:cs="Calibri"/>
          <w:szCs w:val="24"/>
        </w:rPr>
        <w:tab/>
        <w:t>Evropský fond pro regionální rozvoj</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EPC</w:t>
      </w:r>
      <w:r w:rsidRPr="007C0CDA">
        <w:rPr>
          <w:rFonts w:cs="Calibri"/>
          <w:szCs w:val="24"/>
        </w:rPr>
        <w:tab/>
        <w:t>Energy Performance Contracting</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ESD</w:t>
      </w:r>
      <w:r w:rsidRPr="007C0CDA">
        <w:rPr>
          <w:rFonts w:cs="Calibri"/>
          <w:szCs w:val="24"/>
        </w:rPr>
        <w:tab/>
        <w:t>Evropský soudní dvůr</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ESIF</w:t>
      </w:r>
      <w:r w:rsidRPr="007C0CDA">
        <w:rPr>
          <w:rFonts w:cs="Calibri"/>
          <w:szCs w:val="24"/>
        </w:rPr>
        <w:tab/>
        <w:t>Evropské strukturální a investiční fondy</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EÚD</w:t>
      </w:r>
      <w:r w:rsidRPr="007C0CDA">
        <w:rPr>
          <w:rFonts w:cs="Calibri"/>
          <w:szCs w:val="24"/>
        </w:rPr>
        <w:tab/>
        <w:t>Evropský účetní dvůr</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FF</w:t>
      </w:r>
      <w:r w:rsidRPr="007C0CDA">
        <w:rPr>
          <w:rFonts w:cs="Calibri"/>
          <w:szCs w:val="24"/>
        </w:rPr>
        <w:tab/>
        <w:t>fond fondů (v období 2007-2013 též holdingový fond, podílový fond)</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FN</w:t>
      </w:r>
      <w:r w:rsidRPr="007C0CDA">
        <w:rPr>
          <w:rFonts w:cs="Calibri"/>
          <w:szCs w:val="24"/>
        </w:rPr>
        <w:tab/>
        <w:t>finanční nástroj/e</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GEM</w:t>
      </w:r>
      <w:r w:rsidRPr="007C0CDA">
        <w:rPr>
          <w:rFonts w:cs="Calibri"/>
          <w:szCs w:val="24"/>
        </w:rPr>
        <w:tab/>
        <w:t>Global Enterpreneurship Monitor</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GERD</w:t>
      </w:r>
      <w:r w:rsidRPr="007C0CDA">
        <w:rPr>
          <w:rFonts w:cs="Calibri"/>
          <w:szCs w:val="24"/>
        </w:rPr>
        <w:tab/>
        <w:t>Government Expenditure on R&amp;D (vládní výdaje na VaV)</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GF</w:t>
      </w:r>
      <w:r w:rsidRPr="007C0CDA">
        <w:rPr>
          <w:rFonts w:cs="Calibri"/>
          <w:szCs w:val="24"/>
        </w:rPr>
        <w:tab/>
        <w:t>greenfield</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HORIZONT 2020</w:t>
      </w:r>
      <w:r w:rsidRPr="007C0CDA">
        <w:rPr>
          <w:rFonts w:cs="Calibri"/>
          <w:szCs w:val="24"/>
        </w:rPr>
        <w:tab/>
        <w:t>osmý rámcový program EU pro výzkum a vývoj</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IFN</w:t>
      </w:r>
      <w:r w:rsidRPr="007C0CDA">
        <w:rPr>
          <w:rFonts w:cs="Calibri"/>
          <w:szCs w:val="24"/>
        </w:rPr>
        <w:tab/>
        <w:t>inovativní finanční nástroj</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IRR</w:t>
      </w:r>
      <w:r w:rsidRPr="007C0CDA">
        <w:rPr>
          <w:rFonts w:cs="Calibri"/>
          <w:szCs w:val="24"/>
        </w:rPr>
        <w:tab/>
        <w:t>Internal Rate of Return (vnitřní výnosové procento)</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JEREMIE</w:t>
      </w:r>
      <w:r w:rsidRPr="007C0CDA">
        <w:rPr>
          <w:rFonts w:cs="Calibri"/>
          <w:szCs w:val="24"/>
        </w:rPr>
        <w:tab/>
        <w:t>Joint European Resources for Micro to Medium Enterprises</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JESSICA</w:t>
      </w:r>
      <w:r w:rsidRPr="007C0CDA">
        <w:rPr>
          <w:rFonts w:cs="Calibri"/>
          <w:szCs w:val="24"/>
        </w:rPr>
        <w:tab/>
        <w:t>Joint European Support for Sustainable Investment in City Areas</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KVET</w:t>
      </w:r>
      <w:r w:rsidRPr="007C0CDA">
        <w:rPr>
          <w:rFonts w:cs="Calibri"/>
          <w:szCs w:val="24"/>
        </w:rPr>
        <w:tab/>
        <w:t>kombinovaná výroba elektřiny a tepla</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LP</w:t>
      </w:r>
      <w:r w:rsidRPr="007C0CDA">
        <w:rPr>
          <w:rFonts w:cs="Calibri"/>
          <w:szCs w:val="24"/>
        </w:rPr>
        <w:tab/>
        <w:t>Limited Partner, Limited Partnership</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MCF</w:t>
      </w:r>
      <w:r w:rsidRPr="007C0CDA">
        <w:rPr>
          <w:rFonts w:cs="Calibri"/>
          <w:szCs w:val="24"/>
        </w:rPr>
        <w:tab/>
        <w:t>Management Cost and Fees (náklady a poplatky za řízení)</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MF</w:t>
      </w:r>
      <w:r w:rsidRPr="007C0CDA">
        <w:rPr>
          <w:rFonts w:cs="Calibri"/>
          <w:szCs w:val="24"/>
        </w:rPr>
        <w:tab/>
        <w:t>Ministerstvo financí</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MFTK</w:t>
      </w:r>
      <w:r w:rsidRPr="007C0CDA">
        <w:rPr>
          <w:rFonts w:cs="Calibri"/>
          <w:szCs w:val="24"/>
        </w:rPr>
        <w:tab/>
        <w:t>Metodika finančních toků a kontroly</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MMR</w:t>
      </w:r>
      <w:r w:rsidRPr="007C0CDA">
        <w:rPr>
          <w:rFonts w:cs="Calibri"/>
          <w:szCs w:val="24"/>
        </w:rPr>
        <w:tab/>
        <w:t>Ministerstvo pro místní rozvoj</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MPO</w:t>
      </w:r>
      <w:r w:rsidRPr="007C0CDA">
        <w:rPr>
          <w:rFonts w:cs="Calibri"/>
          <w:szCs w:val="24"/>
        </w:rPr>
        <w:tab/>
        <w:t>Ministerstvo průmyslu a obchodu</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MSP</w:t>
      </w:r>
      <w:r w:rsidRPr="007C0CDA">
        <w:rPr>
          <w:rFonts w:cs="Calibri"/>
          <w:szCs w:val="24"/>
        </w:rPr>
        <w:tab/>
        <w:t>malý/é a střední podnik/y</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MVE</w:t>
      </w:r>
      <w:r w:rsidRPr="007C0CDA">
        <w:rPr>
          <w:rFonts w:cs="Calibri"/>
          <w:szCs w:val="24"/>
        </w:rPr>
        <w:tab/>
        <w:t>malá vodní elektrárna</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lastRenderedPageBreak/>
        <w:t xml:space="preserve">Obecné nařízení </w:t>
      </w:r>
      <w:r w:rsidRPr="007C0CDA">
        <w:rPr>
          <w:rFonts w:cs="Calibri"/>
          <w:szCs w:val="24"/>
        </w:rPr>
        <w:tab/>
        <w:t>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 1083/2006, OJ L 347, s. 320-469</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nařízení o EFRR</w:t>
      </w:r>
      <w:r w:rsidRPr="007C0CDA">
        <w:rPr>
          <w:rFonts w:cs="Calibri"/>
          <w:szCs w:val="24"/>
        </w:rPr>
        <w:tab/>
        <w:t>návrh nařízení Evropského parlamentu a Rady o zvláštních ustanoveních týkajících se Evropského fondu pro regionální rozvoj a cíle Investice pro růst a zaměstnanost a o zrušení nařízení (ES) č. 1080/2006</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NGA</w:t>
      </w:r>
      <w:r w:rsidRPr="007C0CDA">
        <w:rPr>
          <w:rFonts w:cs="Calibri"/>
          <w:szCs w:val="24"/>
        </w:rPr>
        <w:tab/>
        <w:t>Next Generation Access (přístupové sítě příští generace)</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NPV</w:t>
      </w:r>
      <w:r w:rsidRPr="007C0CDA">
        <w:rPr>
          <w:rFonts w:cs="Calibri"/>
          <w:szCs w:val="24"/>
        </w:rPr>
        <w:tab/>
        <w:t>Net Present Value (čistá současná hodnota investice)</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off-the-shelf instrument</w:t>
      </w:r>
      <w:r w:rsidRPr="007C0CDA">
        <w:rPr>
          <w:rFonts w:cs="Calibri"/>
          <w:szCs w:val="24"/>
        </w:rPr>
        <w:tab/>
        <w:t>standardizovaný finanční nástroj</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OP</w:t>
      </w:r>
      <w:r w:rsidRPr="007C0CDA">
        <w:rPr>
          <w:rFonts w:cs="Calibri"/>
          <w:szCs w:val="24"/>
        </w:rPr>
        <w:tab/>
        <w:t>operační program</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OPPI</w:t>
      </w:r>
      <w:r w:rsidRPr="007C0CDA">
        <w:rPr>
          <w:rFonts w:cs="Calibri"/>
          <w:szCs w:val="24"/>
        </w:rPr>
        <w:tab/>
        <w:t>Operační program Podnikání a inovace</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OP PIK</w:t>
      </w:r>
      <w:r w:rsidRPr="007C0CDA">
        <w:rPr>
          <w:rFonts w:cs="Calibri"/>
          <w:szCs w:val="24"/>
        </w:rPr>
        <w:tab/>
        <w:t>Operační program Podnikání a inovace pro konkurenceschopnost</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OPPP</w:t>
      </w:r>
      <w:r w:rsidRPr="007C0CDA">
        <w:rPr>
          <w:rFonts w:cs="Calibri"/>
          <w:szCs w:val="24"/>
        </w:rPr>
        <w:tab/>
        <w:t>Operační program Průmysl a podnikání</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ROP</w:t>
      </w:r>
      <w:r w:rsidRPr="007C0CDA">
        <w:rPr>
          <w:rFonts w:cs="Calibri"/>
          <w:szCs w:val="24"/>
        </w:rPr>
        <w:tab/>
        <w:t>Regionální operační program</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SDEU</w:t>
      </w:r>
      <w:r w:rsidRPr="007C0CDA">
        <w:rPr>
          <w:rFonts w:cs="Calibri"/>
          <w:szCs w:val="24"/>
        </w:rPr>
        <w:tab/>
        <w:t>Soudní dvůr Evropské unie</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SFRB</w:t>
      </w:r>
      <w:r w:rsidRPr="007C0CDA">
        <w:rPr>
          <w:rFonts w:cs="Calibri"/>
          <w:szCs w:val="24"/>
        </w:rPr>
        <w:tab/>
        <w:t>Státní fond rozvoje bydlení</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SICAF</w:t>
      </w:r>
      <w:r w:rsidRPr="007C0CDA">
        <w:rPr>
          <w:rFonts w:cs="Calibri"/>
          <w:szCs w:val="24"/>
        </w:rPr>
        <w:tab/>
        <w:t>Société d'investissement à capital fixe</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SICAV</w:t>
      </w:r>
      <w:r w:rsidRPr="007C0CDA">
        <w:rPr>
          <w:rFonts w:cs="Calibri"/>
          <w:szCs w:val="24"/>
        </w:rPr>
        <w:tab/>
        <w:t>Société d'investissement à capital variable</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SMEG</w:t>
      </w:r>
      <w:r w:rsidRPr="007C0CDA">
        <w:rPr>
          <w:rFonts w:cs="Calibri"/>
          <w:szCs w:val="24"/>
        </w:rPr>
        <w:tab/>
        <w:t>SME Guarantee Facility</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SPV</w:t>
      </w:r>
      <w:r w:rsidRPr="007C0CDA">
        <w:rPr>
          <w:rFonts w:cs="Calibri"/>
          <w:szCs w:val="24"/>
        </w:rPr>
        <w:tab/>
        <w:t>Special Purpose Vehicle (prostředek zvláštního určení)</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SSR</w:t>
      </w:r>
      <w:r w:rsidRPr="007C0CDA">
        <w:rPr>
          <w:rFonts w:cs="Calibri"/>
          <w:szCs w:val="24"/>
        </w:rPr>
        <w:tab/>
        <w:t>Společný strategický rámec</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SVE</w:t>
      </w:r>
      <w:r w:rsidRPr="007C0CDA">
        <w:rPr>
          <w:rFonts w:cs="Calibri"/>
          <w:szCs w:val="24"/>
        </w:rPr>
        <w:tab/>
        <w:t>Střední a východní Evropa</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TAČR</w:t>
      </w:r>
      <w:r w:rsidRPr="007C0CDA">
        <w:rPr>
          <w:rFonts w:cs="Calibri"/>
          <w:szCs w:val="24"/>
        </w:rPr>
        <w:tab/>
        <w:t>Technologická agentura České republiky</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tailor-made instrument</w:t>
      </w:r>
      <w:r w:rsidRPr="007C0CDA">
        <w:rPr>
          <w:rFonts w:cs="Calibri"/>
          <w:szCs w:val="24"/>
        </w:rPr>
        <w:tab/>
        <w:t>finanční nástroj speciálně „ušitý na míru“ identifikovanému tržnímu selhání</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ÚOHS</w:t>
      </w:r>
      <w:r w:rsidRPr="007C0CDA">
        <w:rPr>
          <w:rFonts w:cs="Calibri"/>
          <w:szCs w:val="24"/>
        </w:rPr>
        <w:tab/>
        <w:t>Úřad pro ochranu hospodářské soutěže</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VO</w:t>
      </w:r>
      <w:r w:rsidRPr="007C0CDA">
        <w:rPr>
          <w:rFonts w:cs="Calibri"/>
          <w:szCs w:val="24"/>
        </w:rPr>
        <w:tab/>
        <w:t>výzkumná organizace</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ZISIF</w:t>
      </w:r>
      <w:r w:rsidRPr="007C0CDA">
        <w:rPr>
          <w:rFonts w:cs="Calibri"/>
          <w:szCs w:val="24"/>
        </w:rPr>
        <w:tab/>
        <w:t>zákon č. 240/2013 Sb., o investičních společnostech a investičních fondech a navazující podzákonné předpisy</w:t>
      </w:r>
    </w:p>
    <w:p w:rsidR="009D2CAE" w:rsidRPr="007C0CDA" w:rsidRDefault="009D2CAE" w:rsidP="00665979">
      <w:pPr>
        <w:tabs>
          <w:tab w:val="left" w:pos="3402"/>
        </w:tabs>
        <w:spacing w:line="280" w:lineRule="atLeast"/>
        <w:ind w:left="3402" w:hanging="3402"/>
        <w:rPr>
          <w:rFonts w:cs="Calibri"/>
          <w:szCs w:val="24"/>
        </w:rPr>
      </w:pPr>
      <w:r w:rsidRPr="007C0CDA">
        <w:rPr>
          <w:rFonts w:cs="Calibri"/>
          <w:szCs w:val="24"/>
        </w:rPr>
        <w:t>ZSJ</w:t>
      </w:r>
      <w:r w:rsidRPr="007C0CDA">
        <w:rPr>
          <w:rFonts w:cs="Calibri"/>
          <w:szCs w:val="24"/>
        </w:rPr>
        <w:tab/>
        <w:t>základní samosprávná jednotka</w:t>
      </w:r>
    </w:p>
    <w:p w:rsidR="009D2CAE" w:rsidRDefault="009D2CAE" w:rsidP="00665979">
      <w:pPr>
        <w:tabs>
          <w:tab w:val="left" w:pos="3402"/>
        </w:tabs>
        <w:spacing w:line="280" w:lineRule="atLeast"/>
        <w:ind w:left="3402" w:hanging="3402"/>
        <w:rPr>
          <w:rFonts w:cs="Calibri"/>
          <w:szCs w:val="24"/>
        </w:rPr>
      </w:pPr>
      <w:r w:rsidRPr="007C0CDA">
        <w:rPr>
          <w:rFonts w:cs="Calibri"/>
          <w:szCs w:val="24"/>
        </w:rPr>
        <w:t>ZVZ</w:t>
      </w:r>
      <w:r w:rsidRPr="007C0CDA">
        <w:rPr>
          <w:rFonts w:cs="Calibri"/>
          <w:szCs w:val="24"/>
        </w:rPr>
        <w:tab/>
        <w:t>zákon č. 137/2006 Sb., o veřejných zakázkách, ve znění pozdějších předpisů a navazující podzákonné předpisy,</w:t>
      </w:r>
    </w:p>
    <w:p w:rsidR="009D2CAE" w:rsidRPr="00AD3B4B" w:rsidRDefault="009D2CAE" w:rsidP="00171AF5"/>
    <w:sectPr w:rsidR="009D2CAE" w:rsidRPr="00AD3B4B" w:rsidSect="006D5148">
      <w:headerReference w:type="default" r:id="rId53"/>
      <w:pgSz w:w="11906" w:h="16838"/>
      <w:pgMar w:top="1417" w:right="1417" w:bottom="1417" w:left="1417" w:header="708" w:footer="708" w:gutter="0"/>
      <w:cols w:space="708"/>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55" w:author="Pavel" w:date="2015-04-07T20:57:00Z" w:initials="P">
    <w:p w:rsidR="002E3AE9" w:rsidRDefault="002E3AE9" w:rsidP="008B71D6">
      <w:pPr>
        <w:pStyle w:val="Textkomente"/>
      </w:pPr>
      <w:r>
        <w:rPr>
          <w:rStyle w:val="Odkaznakoment"/>
        </w:rPr>
        <w:annotationRef/>
      </w:r>
      <w:r>
        <w:t>Zdroj?</w:t>
      </w:r>
    </w:p>
  </w:comment>
  <w:comment w:id="439" w:author="Laube Pavel" w:date="2015-04-08T22:11:00Z" w:initials="LP">
    <w:p w:rsidR="002E3AE9" w:rsidRDefault="002E3AE9" w:rsidP="00497E3B">
      <w:pPr>
        <w:pStyle w:val="Textkomente"/>
      </w:pPr>
      <w:r>
        <w:rPr>
          <w:rStyle w:val="Odkaznakoment"/>
        </w:rPr>
        <w:annotationRef/>
      </w:r>
      <w:r>
        <w:t>Doplnit statistiky ke startupovému dotazníku</w:t>
      </w:r>
    </w:p>
  </w:comment>
  <w:comment w:id="499" w:author="Pavel" w:date="2015-04-04T19:21:00Z" w:initials="P">
    <w:p w:rsidR="002E3AE9" w:rsidRDefault="002E3AE9">
      <w:pPr>
        <w:pStyle w:val="Textkomente"/>
      </w:pPr>
      <w:r>
        <w:rPr>
          <w:rStyle w:val="Odkaznakoment"/>
        </w:rPr>
        <w:annotationRef/>
      </w:r>
      <w:r>
        <w:rPr>
          <w:vanish/>
        </w:rPr>
        <w:t>opady celoevropského cíle na národní závazky ČR v době zpracování zprávy ještě nebylo možné určit.</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3AE9" w:rsidRDefault="002E3AE9" w:rsidP="006561E1">
      <w:r>
        <w:separator/>
      </w:r>
    </w:p>
  </w:endnote>
  <w:endnote w:type="continuationSeparator" w:id="0">
    <w:p w:rsidR="002E3AE9" w:rsidRDefault="002E3AE9" w:rsidP="006561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AE9" w:rsidRDefault="002E3AE9" w:rsidP="00EB27E7">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2E3AE9" w:rsidRDefault="002E3AE9">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AE9" w:rsidRDefault="002E3AE9" w:rsidP="00060A95">
    <w:pPr>
      <w:tabs>
        <w:tab w:val="center" w:pos="4536"/>
        <w:tab w:val="left" w:pos="4678"/>
        <w:tab w:val="right" w:pos="9072"/>
      </w:tabs>
      <w:spacing w:after="120"/>
      <w:jc w:val="center"/>
    </w:pPr>
    <w:r>
      <w:rPr>
        <w:rFonts w:ascii="Arial" w:hAnsi="Arial" w:cs="Arial"/>
        <w:b/>
        <w:bCs/>
        <w:color w:val="000099"/>
        <w:spacing w:val="70"/>
        <w:sz w:val="18"/>
      </w:rPr>
      <w:t>INVESTICE DO VAŠÍ BUDOUCNOSTI</w:t>
    </w:r>
  </w:p>
  <w:p w:rsidR="002E3AE9" w:rsidRDefault="002E3AE9">
    <w:pPr>
      <w:pStyle w:val="Zpat"/>
      <w:jc w:val="center"/>
    </w:pPr>
    <w:r>
      <w:fldChar w:fldCharType="begin"/>
    </w:r>
    <w:r>
      <w:instrText>PAGE   \* MERGEFORMAT</w:instrText>
    </w:r>
    <w:r>
      <w:fldChar w:fldCharType="separate"/>
    </w:r>
    <w:r w:rsidR="002433DA">
      <w:rPr>
        <w:noProof/>
      </w:rPr>
      <w:t>140</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AE9" w:rsidRDefault="002E3AE9" w:rsidP="00EB27E7">
    <w:pPr>
      <w:tabs>
        <w:tab w:val="center" w:pos="4536"/>
        <w:tab w:val="right" w:pos="9072"/>
      </w:tabs>
      <w:jc w:val="center"/>
    </w:pPr>
    <w:r>
      <w:rPr>
        <w:noProof/>
      </w:rPr>
      <w:drawing>
        <wp:anchor distT="0" distB="0" distL="114300" distR="114300" simplePos="0" relativeHeight="251661312" behindDoc="0" locked="0" layoutInCell="1" allowOverlap="1" wp14:anchorId="36439884" wp14:editId="5A3ECA35">
          <wp:simplePos x="0" y="0"/>
          <wp:positionH relativeFrom="column">
            <wp:posOffset>-81280</wp:posOffset>
          </wp:positionH>
          <wp:positionV relativeFrom="paragraph">
            <wp:posOffset>-4182745</wp:posOffset>
          </wp:positionV>
          <wp:extent cx="1820545" cy="890270"/>
          <wp:effectExtent l="0" t="0" r="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0545" cy="8902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35E02D52" wp14:editId="74376300">
          <wp:simplePos x="0" y="0"/>
          <wp:positionH relativeFrom="column">
            <wp:posOffset>4291330</wp:posOffset>
          </wp:positionH>
          <wp:positionV relativeFrom="paragraph">
            <wp:posOffset>-3655695</wp:posOffset>
          </wp:positionV>
          <wp:extent cx="1327785" cy="253365"/>
          <wp:effectExtent l="0" t="0" r="5715" b="0"/>
          <wp:wrapNone/>
          <wp:docPr id="6" name="Picture 15" descr="Deloitte_no_backgrou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loitte_no_background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7785" cy="2533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color w:val="000099"/>
        <w:spacing w:val="70"/>
        <w:sz w:val="18"/>
      </w:rPr>
      <w:t>INVESTICE DO VAŠÍ BUDOUCNOSTI</w:t>
    </w:r>
  </w:p>
  <w:p w:rsidR="002E3AE9" w:rsidRDefault="002E3AE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3AE9" w:rsidRDefault="002E3AE9" w:rsidP="006561E1">
      <w:r>
        <w:separator/>
      </w:r>
    </w:p>
  </w:footnote>
  <w:footnote w:type="continuationSeparator" w:id="0">
    <w:p w:rsidR="002E3AE9" w:rsidRDefault="002E3AE9" w:rsidP="006561E1">
      <w:r>
        <w:continuationSeparator/>
      </w:r>
    </w:p>
  </w:footnote>
  <w:footnote w:id="1">
    <w:p w:rsidR="002E3AE9" w:rsidRDefault="002E3AE9" w:rsidP="00DB136F">
      <w:pPr>
        <w:pStyle w:val="Textpoznpodarou"/>
      </w:pPr>
      <w:r>
        <w:rPr>
          <w:rStyle w:val="Znakapoznpodarou"/>
        </w:rPr>
        <w:footnoteRef/>
      </w:r>
      <w:r w:rsidRPr="00FF2B84">
        <w:rPr>
          <w:rFonts w:ascii="Calibri" w:hAnsi="Calibri" w:cs="Calibri"/>
        </w:rPr>
        <w:t xml:space="preserve">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 1083/2006, Úř. v. EU </w:t>
      </w:r>
      <w:r>
        <w:rPr>
          <w:rFonts w:ascii="Calibri" w:hAnsi="Calibri" w:cs="Calibri"/>
        </w:rPr>
        <w:t xml:space="preserve">č. </w:t>
      </w:r>
      <w:r w:rsidRPr="00FF2B84">
        <w:rPr>
          <w:rFonts w:ascii="Calibri" w:hAnsi="Calibri" w:cs="Calibri"/>
        </w:rPr>
        <w:t>L 347 ze dne 20.12.2013, str. 320.</w:t>
      </w:r>
    </w:p>
  </w:footnote>
  <w:footnote w:id="2">
    <w:p w:rsidR="002E3AE9" w:rsidRDefault="002E3AE9" w:rsidP="00211D92">
      <w:pPr>
        <w:pStyle w:val="Textpoznpodarou"/>
      </w:pPr>
      <w:r w:rsidRPr="00B42113">
        <w:rPr>
          <w:rStyle w:val="Znakapoznpodarou"/>
          <w:rFonts w:ascii="Calibri" w:hAnsi="Calibri" w:cs="Calibri"/>
        </w:rPr>
        <w:footnoteRef/>
      </w:r>
      <w:r>
        <w:rPr>
          <w:rFonts w:ascii="Calibri" w:hAnsi="Calibri" w:cs="Calibri"/>
        </w:rPr>
        <w:t>N</w:t>
      </w:r>
      <w:r w:rsidRPr="00B42113">
        <w:rPr>
          <w:rFonts w:ascii="Calibri" w:hAnsi="Calibri" w:cs="Calibri"/>
        </w:rPr>
        <w:t>ařízení (EU, EURATOM) č. 966/2012 Evropského parlamentu a Rady ze dne 25. října 2012, kterým se stanoví finanční pravidla o souhrnném rozpočtu Unie a o zrušení nařízení Rady (ES, Euratom) č. 1605/2002</w:t>
      </w:r>
      <w:r>
        <w:rPr>
          <w:rFonts w:ascii="Calibri" w:hAnsi="Calibri" w:cs="Calibri"/>
        </w:rPr>
        <w:t xml:space="preserve">, Úř. v. EU č. L 298 ze dne </w:t>
      </w:r>
      <w:r w:rsidRPr="00B42113">
        <w:rPr>
          <w:rFonts w:ascii="Calibri" w:hAnsi="Calibri" w:cs="Calibri"/>
        </w:rPr>
        <w:t>26.10.2012</w:t>
      </w:r>
      <w:r>
        <w:rPr>
          <w:rFonts w:ascii="Calibri" w:hAnsi="Calibri" w:cs="Calibri"/>
        </w:rPr>
        <w:t>, str. 1.</w:t>
      </w:r>
    </w:p>
  </w:footnote>
  <w:footnote w:id="3">
    <w:p w:rsidR="002E3AE9" w:rsidRDefault="002E3AE9" w:rsidP="001B1EEC">
      <w:pPr>
        <w:pStyle w:val="Textpoznpodarou"/>
      </w:pPr>
      <w:r w:rsidRPr="00FF2B84">
        <w:rPr>
          <w:rStyle w:val="Znakapoznpodarou"/>
          <w:rFonts w:ascii="Calibri" w:hAnsi="Calibri" w:cs="Calibri"/>
        </w:rPr>
        <w:footnoteRef/>
      </w:r>
      <w:r w:rsidRPr="00FF2B84">
        <w:rPr>
          <w:rFonts w:ascii="Calibri" w:hAnsi="Calibri" w:cs="Calibri"/>
        </w:rPr>
        <w:t xml:space="preserve"> Viz prováděcí nařízení Komise (EU) č. 964/2014 ze dne 11. září 2014, kterým se stanoví prováděcí pravidla k nařízení Evropského parlamentu a Rady (EU) č. 1303/2013, pokud jde o standardní podmínky pro finanční nástroje, Úř. v. EU</w:t>
      </w:r>
      <w:r>
        <w:rPr>
          <w:rFonts w:ascii="Calibri" w:hAnsi="Calibri" w:cs="Calibri"/>
        </w:rPr>
        <w:t xml:space="preserve"> č.</w:t>
      </w:r>
      <w:r w:rsidRPr="00FF2B84">
        <w:rPr>
          <w:rFonts w:ascii="Calibri" w:hAnsi="Calibri" w:cs="Calibri"/>
        </w:rPr>
        <w:t xml:space="preserve"> L 271 ze dne 12.9.2014, str. 16.</w:t>
      </w:r>
    </w:p>
  </w:footnote>
  <w:footnote w:id="4">
    <w:p w:rsidR="002E3AE9" w:rsidRDefault="002E3AE9" w:rsidP="001B1EEC">
      <w:pPr>
        <w:pStyle w:val="Textpoznpodarou"/>
      </w:pPr>
      <w:r w:rsidRPr="00FF2B84">
        <w:rPr>
          <w:rStyle w:val="Znakapoznpodarou"/>
          <w:rFonts w:ascii="Calibri" w:hAnsi="Calibri" w:cs="Calibri"/>
        </w:rPr>
        <w:footnoteRef/>
      </w:r>
    </w:p>
  </w:footnote>
  <w:footnote w:id="5">
    <w:p w:rsidR="002E3AE9" w:rsidRDefault="002E3AE9" w:rsidP="001B1EEC">
      <w:pPr>
        <w:pStyle w:val="Textpoznpodarou"/>
      </w:pPr>
      <w:r>
        <w:rPr>
          <w:rStyle w:val="Znakapoznpodarou"/>
        </w:rPr>
        <w:footnoteRef/>
      </w:r>
      <w:r w:rsidRPr="00FB20E9">
        <w:rPr>
          <w:rFonts w:ascii="Calibri" w:hAnsi="Calibri" w:cs="Calibri"/>
        </w:rPr>
        <w:t xml:space="preserve">V tuto chvíli zejména </w:t>
      </w:r>
      <w:r>
        <w:rPr>
          <w:rFonts w:ascii="Calibri" w:hAnsi="Calibri" w:cs="Calibri"/>
        </w:rPr>
        <w:t>již uvedené prováděcí nařízení Komise (EU) č. 964/2014 a nařízení K</w:t>
      </w:r>
      <w:r w:rsidRPr="00FB20E9">
        <w:rPr>
          <w:rFonts w:ascii="Calibri" w:hAnsi="Calibri" w:cs="Calibri"/>
        </w:rPr>
        <w:t>omise v přenesené pravomoci (EU) č. 480/2014 ze dne 3. března 2014, kterým se doplňuje nařízení Evropského parlamentu a Rady (EU) č. 1303/2013 o společných ustanoveních o Evropském fondu pro regionální rozvoj, Evropském sociálním fondu, Fondu soudržnosti, Evropském zemědělském fondu pro rozvoj venkova a Evropském námořním a rybářském fondu a o obecných ustanoveních o Evropském fondu pro regionální rozvoj, Evropském sociálním fondu, Fondu soudržnosti a Evropském námořním a rybářském fondu</w:t>
      </w:r>
      <w:r>
        <w:rPr>
          <w:rFonts w:ascii="Calibri" w:hAnsi="Calibri" w:cs="Calibri"/>
        </w:rPr>
        <w:t>, Úř. v. EU č. L 138 ze dne 13. 5. 2014, str. 5.</w:t>
      </w:r>
    </w:p>
  </w:footnote>
  <w:footnote w:id="6">
    <w:p w:rsidR="002E3AE9" w:rsidRDefault="002E3AE9" w:rsidP="001B1EEC">
      <w:pPr>
        <w:pStyle w:val="Textpoznpodarou"/>
      </w:pPr>
      <w:r>
        <w:rPr>
          <w:rStyle w:val="Znakapoznpodarou"/>
        </w:rPr>
        <w:footnoteRef/>
      </w:r>
    </w:p>
  </w:footnote>
  <w:footnote w:id="7">
    <w:p w:rsidR="002E3AE9" w:rsidRDefault="002E3AE9" w:rsidP="00DF6E0B">
      <w:pPr>
        <w:pStyle w:val="Textpoznpodarou"/>
        <w:jc w:val="left"/>
      </w:pPr>
      <w:r w:rsidRPr="00BA2BE0">
        <w:rPr>
          <w:rStyle w:val="Znakapoznpodarou"/>
          <w:rFonts w:ascii="Calibri" w:hAnsi="Calibri" w:cs="Calibri"/>
        </w:rPr>
        <w:footnoteRef/>
      </w:r>
      <w:r w:rsidRPr="00BA2BE0">
        <w:rPr>
          <w:rFonts w:ascii="Calibri" w:hAnsi="Calibri" w:cs="Calibri"/>
        </w:rPr>
        <w:t xml:space="preserve"> metodik</w:t>
      </w:r>
      <w:r>
        <w:rPr>
          <w:rFonts w:ascii="Calibri" w:hAnsi="Calibri" w:cs="Calibri"/>
        </w:rPr>
        <w:t>a</w:t>
      </w:r>
      <w:r w:rsidRPr="00BA2BE0">
        <w:rPr>
          <w:rFonts w:ascii="Calibri" w:hAnsi="Calibri" w:cs="Calibri"/>
        </w:rPr>
        <w:t xml:space="preserve"> </w:t>
      </w:r>
      <w:r>
        <w:rPr>
          <w:rFonts w:ascii="Calibri" w:hAnsi="Calibri" w:cs="Calibri"/>
        </w:rPr>
        <w:t xml:space="preserve">je </w:t>
      </w:r>
      <w:r w:rsidRPr="00BA2BE0">
        <w:rPr>
          <w:rFonts w:ascii="Calibri" w:hAnsi="Calibri" w:cs="Calibri"/>
        </w:rPr>
        <w:t>dostupn</w:t>
      </w:r>
      <w:r>
        <w:rPr>
          <w:rFonts w:ascii="Calibri" w:hAnsi="Calibri" w:cs="Calibri"/>
        </w:rPr>
        <w:t>á</w:t>
      </w:r>
      <w:r w:rsidRPr="00BA2BE0">
        <w:rPr>
          <w:rFonts w:ascii="Calibri" w:hAnsi="Calibri" w:cs="Calibri"/>
        </w:rPr>
        <w:t xml:space="preserve"> na adrese </w:t>
      </w:r>
      <w:hyperlink r:id="rId1" w:history="1">
        <w:r w:rsidRPr="00BA2BE0">
          <w:rPr>
            <w:rStyle w:val="Hypertextovodkaz"/>
            <w:rFonts w:cs="Calibri"/>
          </w:rPr>
          <w:t>http://ec.europa.eu/regional_policy/thefunds/fin_inst/index_en.cfm</w:t>
        </w:r>
      </w:hyperlink>
    </w:p>
  </w:footnote>
  <w:footnote w:id="8">
    <w:p w:rsidR="002E3AE9" w:rsidRDefault="002E3AE9">
      <w:pPr>
        <w:pStyle w:val="Textpoznpodarou"/>
      </w:pPr>
      <w:r>
        <w:rPr>
          <w:rStyle w:val="Znakapoznpodarou"/>
        </w:rPr>
        <w:footnoteRef/>
      </w:r>
      <w:r w:rsidRPr="00712B98">
        <w:t>Podle čl. 1.3 bodu 15 písm. aa) Rámce pro státní podporu výzkumu, vývoje a inovací se tento pojem překládá jako „zadávání veřejných zakázek v předobchodní fázi“</w:t>
      </w:r>
    </w:p>
  </w:footnote>
  <w:footnote w:id="9">
    <w:p w:rsidR="002E3AE9" w:rsidRDefault="002E3AE9">
      <w:pPr>
        <w:pStyle w:val="Textpoznpodarou"/>
      </w:pPr>
      <w:r>
        <w:rPr>
          <w:rStyle w:val="Znakapoznpodarou"/>
        </w:rPr>
        <w:footnoteRef/>
      </w:r>
      <w:r>
        <w:t xml:space="preserve"> ČSÚ 2015</w:t>
      </w:r>
    </w:p>
  </w:footnote>
  <w:footnote w:id="10">
    <w:p w:rsidR="002E3AE9" w:rsidRDefault="002E3AE9">
      <w:pPr>
        <w:pStyle w:val="Textpoznpodarou"/>
      </w:pPr>
      <w:r>
        <w:rPr>
          <w:rStyle w:val="Znakapoznpodarou"/>
        </w:rPr>
        <w:footnoteRef/>
      </w:r>
      <w:r>
        <w:t>ČSU 2015</w:t>
      </w:r>
    </w:p>
  </w:footnote>
  <w:footnote w:id="11">
    <w:p w:rsidR="002E3AE9" w:rsidRDefault="002E3AE9">
      <w:pPr>
        <w:pStyle w:val="Textpoznpodarou"/>
      </w:pPr>
      <w:r>
        <w:rPr>
          <w:rStyle w:val="Znakapoznpodarou"/>
        </w:rPr>
        <w:footnoteRef/>
      </w:r>
      <w:r>
        <w:t xml:space="preserve"> nařízení Komise (EU) č. 651/2014</w:t>
      </w:r>
    </w:p>
  </w:footnote>
  <w:footnote w:id="12">
    <w:p w:rsidR="002E3AE9" w:rsidRDefault="002E3AE9">
      <w:pPr>
        <w:pStyle w:val="Textpoznpodarou"/>
      </w:pPr>
      <w:r>
        <w:rPr>
          <w:rStyle w:val="Znakapoznpodarou"/>
        </w:rPr>
        <w:footnoteRef/>
      </w:r>
      <w:r>
        <w:t xml:space="preserve"> ČSÚ 2015</w:t>
      </w:r>
    </w:p>
  </w:footnote>
  <w:footnote w:id="13">
    <w:p w:rsidR="002E3AE9" w:rsidRDefault="002E3AE9">
      <w:pPr>
        <w:pStyle w:val="Textpoznpodarou"/>
      </w:pPr>
      <w:r>
        <w:rPr>
          <w:rStyle w:val="Znakapoznpodarou"/>
        </w:rPr>
        <w:footnoteRef/>
      </w:r>
      <w:r>
        <w:t xml:space="preserve"> Jako „</w:t>
      </w:r>
      <w:r w:rsidRPr="007B2DEF">
        <w:t xml:space="preserve">Business loans SMEs" </w:t>
      </w:r>
      <w:r>
        <w:t xml:space="preserve"> jsou ve zdrojových datech ČNB udávány registrované úvěry úvěry do 30 mil CZK.</w:t>
      </w:r>
      <w:r w:rsidRPr="007B2DEF">
        <w:t xml:space="preserve"> ČNB nerozlišuje přijemce úvěrů podle velikostních kategorií.</w:t>
      </w:r>
    </w:p>
  </w:footnote>
  <w:footnote w:id="14">
    <w:p w:rsidR="002E3AE9" w:rsidRDefault="002E3AE9" w:rsidP="00492C7A">
      <w:pPr>
        <w:pStyle w:val="Textpoznpodarou"/>
      </w:pPr>
      <w:r w:rsidRPr="00C12A00">
        <w:rPr>
          <w:rStyle w:val="Znakapoznpodarou"/>
          <w:rFonts w:cs="Calibri"/>
        </w:rPr>
        <w:footnoteRef/>
      </w:r>
      <w:r w:rsidRPr="00DF6E0B">
        <w:rPr>
          <w:rFonts w:cs="Calibri"/>
        </w:rPr>
        <w:t xml:space="preserve">   Evropa: EU 28, Švýcarsko, Makedonie, Srbsko a Černá Hora. </w:t>
      </w:r>
      <w:r w:rsidRPr="00C12A00">
        <w:rPr>
          <w:rFonts w:cs="Calibri"/>
        </w:rPr>
        <w:t>Ukrajina a Bosna a Herzegovina, které jsou součástí statistik EVCA chybí v datech o HDP, neboť tyto země EUROSTAT ve své databázi nenabízí. Data za Ukrajinu byla proto zároveň odečtena z EVCA statistik o investicích PE/VC v Evropě. Co se týče Bosny a Herzegoviny, nebylo možné ji z dat EVCA odečíst, neboť nejsou samostatně dostupná, nicméně nezahrnutí HDP této země ve výpočtu nemůže podstatně snížit kvalitu dat s ohledem na její nízký podíl na evropském HDP.</w:t>
      </w:r>
    </w:p>
  </w:footnote>
  <w:footnote w:id="15">
    <w:p w:rsidR="002E3AE9" w:rsidRDefault="002E3AE9" w:rsidP="00492C7A">
      <w:pPr>
        <w:pStyle w:val="Textpoznpodarou"/>
      </w:pPr>
      <w:r w:rsidRPr="00C12A00">
        <w:rPr>
          <w:rStyle w:val="Znakapoznpodarou"/>
          <w:rFonts w:cs="Calibri"/>
        </w:rPr>
        <w:footnoteRef/>
      </w:r>
      <w:r w:rsidRPr="00C12A00">
        <w:rPr>
          <w:rFonts w:cs="Calibri"/>
        </w:rPr>
        <w:t>Seed kapitál má 0,5% podíl na celkových PE investicích, 3,5x více než za roky 2007-2012.</w:t>
      </w:r>
    </w:p>
  </w:footnote>
  <w:footnote w:id="16">
    <w:p w:rsidR="002E3AE9" w:rsidRDefault="002E3AE9" w:rsidP="00871EC9">
      <w:pPr>
        <w:pStyle w:val="Textpoznpodarou"/>
      </w:pPr>
      <w:r w:rsidRPr="003D6230">
        <w:rPr>
          <w:rStyle w:val="Znakapoznpodarou"/>
          <w:rFonts w:ascii="Calibri" w:hAnsi="Calibri" w:cs="Calibri"/>
        </w:rPr>
        <w:footnoteRef/>
      </w:r>
      <w:r w:rsidRPr="003D6230">
        <w:t xml:space="preserve"> Viz Evropská komise (2013). Ex ante assessmentofthe EU SME initiative</w:t>
      </w:r>
      <w:r>
        <w:t>, s. 26</w:t>
      </w:r>
    </w:p>
  </w:footnote>
  <w:footnote w:id="17">
    <w:p w:rsidR="002E3AE9" w:rsidRDefault="002E3AE9" w:rsidP="00871EC9">
      <w:pPr>
        <w:pStyle w:val="Textpoznpodarou"/>
      </w:pPr>
      <w:r>
        <w:rPr>
          <w:rStyle w:val="Znakapoznpodarou"/>
          <w:rFonts w:cs="Arial"/>
        </w:rPr>
        <w:footnoteRef/>
      </w:r>
      <w:r>
        <w:t>European Investment Fund, SME Access to Finance in Czech Republic – Evaluation study</w:t>
      </w:r>
    </w:p>
  </w:footnote>
  <w:footnote w:id="18">
    <w:p w:rsidR="002E3AE9" w:rsidRDefault="002E3AE9" w:rsidP="00266A15">
      <w:pPr>
        <w:pStyle w:val="Textpoznpodarou"/>
      </w:pPr>
      <w:r>
        <w:rPr>
          <w:rStyle w:val="Znakapoznpodarou"/>
          <w:rFonts w:cs="Arial"/>
        </w:rPr>
        <w:footnoteRef/>
      </w:r>
      <w:r>
        <w:t xml:space="preserve"> Struktura a alokace v prioritních osách OP PI 2007 -2013, dostupné na: http://www.dotacni.info/wp-content/uploads/2013/07/Tabulky-k-OPPI.pdf</w:t>
      </w:r>
    </w:p>
  </w:footnote>
  <w:footnote w:id="19">
    <w:p w:rsidR="002E3AE9" w:rsidRDefault="002E3AE9" w:rsidP="00EE0F25">
      <w:pPr>
        <w:pStyle w:val="Textpoznpodarou"/>
      </w:pPr>
      <w:r>
        <w:rPr>
          <w:rStyle w:val="Znakapoznpodarou"/>
          <w:rFonts w:cs="Arial"/>
        </w:rPr>
        <w:footnoteRef/>
      </w:r>
      <w:r w:rsidRPr="00A22D14">
        <w:t>http://energostat.cz/obnovitelne-zdroje.html</w:t>
      </w:r>
    </w:p>
  </w:footnote>
  <w:footnote w:id="20">
    <w:p w:rsidR="002E3AE9" w:rsidRDefault="002E3AE9" w:rsidP="002433DA">
      <w:pPr>
        <w:pStyle w:val="Textkomente"/>
      </w:pPr>
      <w:r>
        <w:rPr>
          <w:rStyle w:val="Znakapoznpodarou"/>
        </w:rPr>
        <w:footnoteRef/>
      </w:r>
      <w:r>
        <w:t xml:space="preserve"> Dopady celoevropského cíle na národní závazky ČR v době zpracování zprávy ještě nebylo možné určit.</w:t>
      </w:r>
    </w:p>
  </w:footnote>
  <w:footnote w:id="21">
    <w:p w:rsidR="002E3AE9" w:rsidRDefault="002E3AE9" w:rsidP="00EE0F25">
      <w:pPr>
        <w:pStyle w:val="Textpoznpodarou"/>
      </w:pPr>
      <w:r>
        <w:rPr>
          <w:rStyle w:val="Znakapoznpodarou"/>
          <w:rFonts w:cs="Arial"/>
        </w:rPr>
        <w:footnoteRef/>
      </w:r>
      <w:r w:rsidRPr="009E5087">
        <w:t>http://www.czba.cz/aktuality/statistiky-vyroby-bioplynu-za-rok-2013.html</w:t>
      </w:r>
    </w:p>
  </w:footnote>
  <w:footnote w:id="22">
    <w:p w:rsidR="002E3AE9" w:rsidRDefault="002E3AE9" w:rsidP="00EE0F25">
      <w:pPr>
        <w:pStyle w:val="Textpoznpodarou"/>
      </w:pPr>
      <w:r>
        <w:rPr>
          <w:rStyle w:val="Znakapoznpodarou"/>
          <w:rFonts w:cs="Arial"/>
        </w:rPr>
        <w:footnoteRef/>
      </w:r>
      <w:r w:rsidRPr="00A22D14">
        <w:t>http://www.czba.cz/files/ceska-bioplynova-asociace/uploads/files/EnEfBPS-komplet.pdf</w:t>
      </w:r>
    </w:p>
  </w:footnote>
  <w:footnote w:id="23">
    <w:p w:rsidR="002E3AE9" w:rsidRDefault="002E3AE9" w:rsidP="00884BD3">
      <w:pPr>
        <w:pStyle w:val="Textpoznpodarou"/>
      </w:pPr>
      <w:r>
        <w:rPr>
          <w:rStyle w:val="Znakapoznpodarou"/>
          <w:rFonts w:cs="Arial"/>
        </w:rPr>
        <w:footnoteRef/>
      </w:r>
      <w:r>
        <w:t xml:space="preserve"> Příprava podkladů pro akční plán energetické efektivnosti (SEVEN o.p.s.)</w:t>
      </w:r>
    </w:p>
  </w:footnote>
  <w:footnote w:id="24">
    <w:p w:rsidR="002E3AE9" w:rsidRDefault="002E3AE9" w:rsidP="00D2362B">
      <w:pPr>
        <w:pStyle w:val="Textpoznpodarou"/>
      </w:pPr>
      <w:r>
        <w:rPr>
          <w:rStyle w:val="Znakapoznpodarou"/>
          <w:rFonts w:cs="Arial"/>
        </w:rPr>
        <w:footnoteRef/>
      </w:r>
      <w:r>
        <w:t xml:space="preserve"> http://www.kombinovana-vyroba.cz/?id=151005#</w:t>
      </w:r>
    </w:p>
  </w:footnote>
  <w:footnote w:id="25">
    <w:p w:rsidR="002E3AE9" w:rsidRDefault="002E3AE9" w:rsidP="009F71DE">
      <w:pPr>
        <w:pStyle w:val="Textpoznpodarou"/>
      </w:pPr>
      <w:r>
        <w:rPr>
          <w:rStyle w:val="Znakapoznpodarou"/>
          <w:rFonts w:cs="Arial"/>
        </w:rPr>
        <w:footnoteRef/>
      </w:r>
      <w:r>
        <w:t xml:space="preserve"> Zpráva o pokroku v oblasti KVET v ČR, MPO, Červen 2012,</w:t>
      </w:r>
    </w:p>
  </w:footnote>
  <w:footnote w:id="26">
    <w:p w:rsidR="002E3AE9" w:rsidRDefault="002E3AE9" w:rsidP="009F71DE">
      <w:pPr>
        <w:pStyle w:val="Textpoznpodarou"/>
      </w:pPr>
      <w:r>
        <w:rPr>
          <w:rStyle w:val="Znakapoznpodarou"/>
          <w:rFonts w:cs="Arial"/>
        </w:rPr>
        <w:footnoteRef/>
      </w:r>
      <w:r>
        <w:t xml:space="preserve"> Plán rozvoje kogenerace pro ČR, Listopad 2014, CODE2</w:t>
      </w:r>
    </w:p>
  </w:footnote>
  <w:footnote w:id="27">
    <w:p w:rsidR="002E3AE9" w:rsidRDefault="002E3AE9" w:rsidP="00087DE7">
      <w:pPr>
        <w:pStyle w:val="Textpoznpodarou"/>
      </w:pPr>
      <w:r>
        <w:rPr>
          <w:rStyle w:val="Znakapoznpodarou"/>
          <w:rFonts w:cs="Arial"/>
        </w:rPr>
        <w:footnoteRef/>
      </w:r>
      <w:r>
        <w:t xml:space="preserve"> http://energetika.tzb-info.cz/teplarenstvi/11742-teplarny-modernizuji-rozvody-tepla</w:t>
      </w:r>
    </w:p>
  </w:footnote>
  <w:footnote w:id="28">
    <w:p w:rsidR="002E3AE9" w:rsidRDefault="002E3AE9" w:rsidP="00087DE7">
      <w:pPr>
        <w:pStyle w:val="Textpoznpodarou"/>
      </w:pPr>
      <w:r>
        <w:rPr>
          <w:rStyle w:val="Znakapoznpodarou"/>
          <w:rFonts w:cs="Arial"/>
        </w:rPr>
        <w:footnoteRef/>
      </w:r>
      <w:r>
        <w:t xml:space="preserve"> http://zpravy.e15.cz/byznys/prumysl-a-energetika/miliardy-za-lepsi-rozvody-tepla-na-upravy-cekaji-stovky-kilometru-trubek-1087125#utm_source=zpravy&amp;utm_medium=selfpromo&amp;utm_campaign=e15rss</w:t>
      </w:r>
    </w:p>
  </w:footnote>
  <w:footnote w:id="29">
    <w:p w:rsidR="002E3AE9" w:rsidRDefault="002E3AE9">
      <w:pPr>
        <w:pStyle w:val="Textpoznpodarou"/>
      </w:pPr>
      <w:r>
        <w:rPr>
          <w:rStyle w:val="Znakapoznpodarou"/>
        </w:rPr>
        <w:footnoteRef/>
      </w:r>
      <w:r w:rsidRPr="00C836FE">
        <w:t>http://byznys.ihned.cz/c1-63675220-teplarny-chteji-do-ochrany-ovzdusi-investovat-18-miliard-do-konce-roku-2016</w:t>
      </w:r>
      <w:r>
        <w:t>.</w:t>
      </w:r>
    </w:p>
  </w:footnote>
  <w:footnote w:id="30">
    <w:p w:rsidR="002E3AE9" w:rsidRDefault="002E3AE9" w:rsidP="00CE0F8D">
      <w:pPr>
        <w:pStyle w:val="Textpoznpodarou"/>
      </w:pPr>
      <w:r>
        <w:rPr>
          <w:rStyle w:val="Znakapoznpodarou"/>
          <w:rFonts w:cs="Arial"/>
        </w:rPr>
        <w:footnoteRef/>
      </w:r>
      <w:r>
        <w:t xml:space="preserve"> NOVÁK Svatoslav: Rozvoj a usnadnění výstavby sítí nové generace v CR, ICT Unie, Bratislava 10/2014</w:t>
      </w:r>
    </w:p>
  </w:footnote>
  <w:footnote w:id="31">
    <w:p w:rsidR="002E3AE9" w:rsidRDefault="002E3AE9" w:rsidP="00F16512">
      <w:pPr>
        <w:pStyle w:val="Textpoznpodarou"/>
      </w:pPr>
      <w:r>
        <w:rPr>
          <w:rStyle w:val="Znakapoznpodarou"/>
          <w:rFonts w:cs="Arial"/>
        </w:rPr>
        <w:footnoteRef/>
      </w:r>
      <w:r>
        <w:t xml:space="preserve"> Stav k 1.7.2014 – zdroj: </w:t>
      </w:r>
      <w:hyperlink r:id="rId2" w:history="1">
        <w:r>
          <w:rPr>
            <w:rStyle w:val="Hypertextovodkaz"/>
          </w:rPr>
          <w:t>https://www.ctu.cz/ctu-online/pruzkum-nga.html</w:t>
        </w:r>
      </w:hyperlink>
    </w:p>
  </w:footnote>
  <w:footnote w:id="32">
    <w:p w:rsidR="002E3AE9" w:rsidRDefault="002E3AE9">
      <w:pPr>
        <w:pStyle w:val="Textpoznpodarou"/>
      </w:pPr>
      <w:r>
        <w:rPr>
          <w:rStyle w:val="Znakapoznpodarou"/>
        </w:rPr>
        <w:footnoteRef/>
      </w:r>
      <w:r w:rsidRPr="00F16512">
        <w:t>http://www.mpo.cz/dokument154646.html</w:t>
      </w:r>
      <w:r>
        <w:t>.</w:t>
      </w:r>
    </w:p>
  </w:footnote>
  <w:footnote w:id="33">
    <w:p w:rsidR="002E3AE9" w:rsidRDefault="002E3AE9" w:rsidP="00132988">
      <w:pPr>
        <w:pStyle w:val="Textpoznpodarou"/>
      </w:pPr>
      <w:r>
        <w:rPr>
          <w:rStyle w:val="Znakapoznpodarou"/>
        </w:rPr>
        <w:footnoteRef/>
      </w:r>
      <w:r>
        <w:t xml:space="preserve"> Jedná se o zjišťovaní a měření prováděné komerční společnosti na downloadu streamovací služby v čase nejvyššího provozu. Pro více informací zdroj dostupný z </w:t>
      </w:r>
      <w:hyperlink r:id="rId3" w:history="1">
        <w:r w:rsidRPr="004D11BA">
          <w:rPr>
            <w:rStyle w:val="Hypertextovodkaz"/>
          </w:rPr>
          <w:t>https://www.seznam.cz/mapa-rychlosti-internetu</w:t>
        </w:r>
      </w:hyperlink>
      <w:r>
        <w:t xml:space="preserve">. </w:t>
      </w:r>
    </w:p>
  </w:footnote>
  <w:footnote w:id="34">
    <w:p w:rsidR="002E3AE9" w:rsidRDefault="002E3AE9" w:rsidP="00483DA7">
      <w:pPr>
        <w:pStyle w:val="Textpoznpodarou"/>
      </w:pPr>
      <w:r>
        <w:rPr>
          <w:rStyle w:val="Znakapoznpodarou"/>
        </w:rPr>
        <w:footnoteRef/>
      </w:r>
      <w:r w:rsidRPr="002E16B8">
        <w:t xml:space="preserve">Dle dodatečných jednání s klíčovými zainteresovanými subjekty je možné </w:t>
      </w:r>
      <w:r>
        <w:t>pro</w:t>
      </w:r>
      <w:r w:rsidRPr="002E16B8">
        <w:t>jednat s vhodnými potenciálními investory zapojení na úrovni fondu</w:t>
      </w:r>
      <w:r>
        <w:t>.</w:t>
      </w:r>
    </w:p>
  </w:footnote>
  <w:footnote w:id="35">
    <w:p w:rsidR="002E3AE9" w:rsidRDefault="002E3AE9" w:rsidP="00483DA7">
      <w:pPr>
        <w:pStyle w:val="Textpoznpodarou"/>
      </w:pPr>
      <w:r>
        <w:rPr>
          <w:rStyle w:val="Znakapoznpodarou"/>
        </w:rPr>
        <w:footnoteRef/>
      </w:r>
      <w:r>
        <w:t xml:space="preserve"> Srovnání provedeno na základě dat z čtvrtletní monitorovací zprávy o průběhu čerpání strukturálních fondů v ČR k</w:t>
      </w:r>
      <w:r>
        <w:br/>
        <w:t xml:space="preserve"> III. Q 2014. Srovnání kombinuje posouzení počtu podaných žádostí v oblasti podpory 3.1 OP VaVpI a počtu projektů s vydaným rozhodnutím, resp. požadovaný objem financování v podaných žádostech, objem přislíbeného financování skrze Rozhodnutí o poskytnutí dotace.</w:t>
      </w:r>
    </w:p>
  </w:footnote>
  <w:footnote w:id="36">
    <w:p w:rsidR="002E3AE9" w:rsidRDefault="002E3AE9" w:rsidP="00D67A40">
      <w:pPr>
        <w:pStyle w:val="Textpoznpodarou"/>
        <w:jc w:val="left"/>
      </w:pPr>
      <w:r>
        <w:rPr>
          <w:rStyle w:val="Znakapoznpodarou"/>
          <w:rFonts w:cs="Arial"/>
        </w:rPr>
        <w:footnoteRef/>
      </w:r>
      <w:r>
        <w:t xml:space="preserve"> Program na podporu podnikatelských nemovitostí a infrastruktury: dostupné na: http://dataplan.info/img_upload/7bdb1584e3b8a53d337518d988763f8d/program-na-podporu-podnikatelskrch-nemovitosty-a-infrastruktury.pdf</w:t>
      </w:r>
    </w:p>
  </w:footnote>
  <w:footnote w:id="37">
    <w:p w:rsidR="002E3AE9" w:rsidRDefault="002E3AE9" w:rsidP="00D67A40">
      <w:pPr>
        <w:pStyle w:val="Textpoznpodarou"/>
      </w:pPr>
      <w:r>
        <w:rPr>
          <w:rStyle w:val="Znakapoznpodarou"/>
        </w:rPr>
        <w:footnoteRef/>
      </w:r>
      <w:r>
        <w:t xml:space="preserve"> Zdroj dostupný z </w:t>
      </w:r>
      <w:hyperlink r:id="rId4" w:history="1">
        <w:r w:rsidRPr="0056146C">
          <w:rPr>
            <w:rStyle w:val="Hypertextovodkaz"/>
          </w:rPr>
          <w:t>http://www.rr-moravskoslezsko.cz/moznosti-financni-podpory/jessica</w:t>
        </w:r>
      </w:hyperlink>
    </w:p>
  </w:footnote>
  <w:footnote w:id="38">
    <w:p w:rsidR="002E3AE9" w:rsidRDefault="002E3AE9" w:rsidP="00D67A40">
      <w:pPr>
        <w:pStyle w:val="Textpoznpodarou"/>
      </w:pPr>
      <w:r w:rsidRPr="00F17D93">
        <w:rPr>
          <w:rStyle w:val="Znakapoznpodarou"/>
        </w:rPr>
        <w:footnoteRef/>
      </w:r>
      <w:r w:rsidRPr="00F17D93">
        <w:t xml:space="preserve"> DOLEŽALOVA L., SLÁNSKÁ V.: Příklad řešení regenerací brownfieldů s využitím pozemkového fondu a rozvojové společnosti v Severním Porýní-Vestfálsku, Urbanizmus a územní rozvoj, 2008 </w:t>
      </w:r>
    </w:p>
  </w:footnote>
  <w:footnote w:id="39">
    <w:p w:rsidR="002E3AE9" w:rsidRDefault="002E3AE9" w:rsidP="00D67A40">
      <w:pPr>
        <w:pStyle w:val="Textpoznpodarou"/>
      </w:pPr>
      <w:r w:rsidRPr="00F17D93">
        <w:rPr>
          <w:rStyle w:val="Znakapoznpodarou"/>
        </w:rPr>
        <w:footnoteRef/>
      </w:r>
      <w:r w:rsidRPr="00F17D93">
        <w:t xml:space="preserve"> finanční nástroj</w:t>
      </w:r>
    </w:p>
  </w:footnote>
  <w:footnote w:id="40">
    <w:p w:rsidR="002E3AE9" w:rsidRDefault="002E3AE9" w:rsidP="00D67A40">
      <w:pPr>
        <w:pStyle w:val="Textpoznpodarou"/>
      </w:pPr>
      <w:r w:rsidRPr="00F17D93">
        <w:rPr>
          <w:rStyle w:val="Znakapoznpodarou"/>
        </w:rPr>
        <w:footnoteRef/>
      </w:r>
      <w:r w:rsidRPr="00F17D93">
        <w:t xml:space="preserve"> http://geography.upol.cz/soubory/lide/szczyrba/Brownfields_zahranicni_pristupy.pdf</w:t>
      </w:r>
    </w:p>
  </w:footnote>
  <w:footnote w:id="41">
    <w:p w:rsidR="002E3AE9" w:rsidRDefault="002E3AE9" w:rsidP="00D67A40">
      <w:pPr>
        <w:pStyle w:val="Textpoznpodarou"/>
      </w:pPr>
      <w:r>
        <w:rPr>
          <w:rStyle w:val="Znakapoznpodarou"/>
        </w:rPr>
        <w:footnoteRef/>
      </w:r>
      <w:r>
        <w:t xml:space="preserve"> zanedbané obytní zóny, které utrpěli ztrátou průmyslu nebo jiné funkce</w:t>
      </w:r>
    </w:p>
  </w:footnote>
  <w:footnote w:id="42">
    <w:p w:rsidR="002E3AE9" w:rsidRDefault="002E3AE9" w:rsidP="00D67A40">
      <w:pPr>
        <w:pStyle w:val="Textpoznpodarou"/>
      </w:pPr>
      <w:r>
        <w:rPr>
          <w:rStyle w:val="Znakapoznpodarou"/>
        </w:rPr>
        <w:footnoteRef/>
      </w:r>
      <w:r>
        <w:t xml:space="preserve"> VYŠKOVSKÁ Monika: Řešení průmyslových brownfields ve Francii a možnost jejich implementace v ČR, Masaryková univerzita, 2013, dostupné na: </w:t>
      </w:r>
      <w:hyperlink r:id="rId5" w:history="1">
        <w:r w:rsidRPr="00345103">
          <w:rPr>
            <w:rStyle w:val="Hypertextovodkaz"/>
          </w:rPr>
          <w:t>http://is.muni.cz/th/323053/esf_m/Diplomova_prace-Monika_Vyskovska.pdf</w:t>
        </w:r>
      </w:hyperlink>
    </w:p>
  </w:footnote>
  <w:footnote w:id="43">
    <w:p w:rsidR="002E3AE9" w:rsidRDefault="002E3AE9" w:rsidP="00D67A40">
      <w:pPr>
        <w:pStyle w:val="Textpoznpodarou"/>
      </w:pPr>
      <w:r>
        <w:rPr>
          <w:rStyle w:val="Znakapoznpodarou"/>
        </w:rPr>
        <w:footnoteRef/>
      </w:r>
      <w:r>
        <w:t xml:space="preserve"> SLADKÁ Markéta: Nástroje regenerace brownfields ve Spojeném Království: možnost inspirace pro ČR, Masaryková univerzita, 2010, dostupné na: </w:t>
      </w:r>
      <w:hyperlink r:id="rId6" w:history="1">
        <w:r w:rsidRPr="00345103">
          <w:rPr>
            <w:rStyle w:val="Hypertextovodkaz"/>
          </w:rPr>
          <w:t>https://is.muni.cz/th/172093/esf_m/diplomova_prace.pdf</w:t>
        </w:r>
      </w:hyperlink>
    </w:p>
  </w:footnote>
  <w:footnote w:id="44">
    <w:p w:rsidR="002E3AE9" w:rsidRDefault="002E3AE9" w:rsidP="00D67A40">
      <w:pPr>
        <w:pStyle w:val="Textpoznpodarou"/>
      </w:pPr>
      <w:r>
        <w:rPr>
          <w:rStyle w:val="Znakapoznpodarou"/>
        </w:rPr>
        <w:footnoteRef/>
      </w:r>
      <w:r>
        <w:t xml:space="preserve">  </w:t>
      </w:r>
      <w:r w:rsidRPr="007C0CDA">
        <w:t>Kombinace FN s dotací lze použít pouze na odlišné způsobilé náklady a její technická proveditelnost a náklady implementace musí ještě projít hlubším posouzením</w:t>
      </w:r>
      <w:r>
        <w:t>.</w:t>
      </w:r>
    </w:p>
  </w:footnote>
  <w:footnote w:id="45">
    <w:p w:rsidR="002E3AE9" w:rsidRDefault="002E3AE9" w:rsidP="00012C12">
      <w:pPr>
        <w:pStyle w:val="Textpoznpodarou"/>
      </w:pPr>
      <w:r w:rsidRPr="00C12A00">
        <w:rPr>
          <w:rStyle w:val="Znakapoznpodarou"/>
          <w:rFonts w:cs="Calibri"/>
        </w:rPr>
        <w:footnoteRef/>
      </w:r>
      <w:r w:rsidRPr="00C12A00">
        <w:rPr>
          <w:rFonts w:cs="Calibri"/>
        </w:rPr>
        <w:t xml:space="preserve"> Z hlediska finančních nástrojů pro MSP významně novelizován zákonem č. 501/2012 Sb., kterým se mění zákon č. 218/2000 Sb., o rozpočtových pravidlech a o změně některých souvisejících zákonů (rozpočtová pravidla), ve znění pozdějších předpisů, a některé další zákony. Prostředky státního rozpočtu ČR mohou být nyní vedeny výhradně na účtech ČNB.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AE9" w:rsidRDefault="002E3AE9">
    <w:pPr>
      <w:pStyle w:val="Zhlav"/>
    </w:pPr>
    <w:r>
      <w:rPr>
        <w:noProof/>
      </w:rPr>
      <w:drawing>
        <wp:anchor distT="0" distB="0" distL="114300" distR="114300" simplePos="0" relativeHeight="251656192" behindDoc="0" locked="0" layoutInCell="1" allowOverlap="1" wp14:anchorId="0CAF6879" wp14:editId="4047A53A">
          <wp:simplePos x="0" y="0"/>
          <wp:positionH relativeFrom="column">
            <wp:posOffset>3964305</wp:posOffset>
          </wp:positionH>
          <wp:positionV relativeFrom="paragraph">
            <wp:posOffset>17780</wp:posOffset>
          </wp:positionV>
          <wp:extent cx="1803400" cy="316865"/>
          <wp:effectExtent l="0" t="0" r="6350" b="6985"/>
          <wp:wrapNone/>
          <wp:docPr id="1" name="obrázek 10" descr="EU logo EEI 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EU logo EEI C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3400" cy="3168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179A6F8D" wp14:editId="1AB620A8">
          <wp:simplePos x="0" y="0"/>
          <wp:positionH relativeFrom="column">
            <wp:posOffset>-17145</wp:posOffset>
          </wp:positionH>
          <wp:positionV relativeFrom="paragraph">
            <wp:posOffset>63500</wp:posOffset>
          </wp:positionV>
          <wp:extent cx="817880" cy="264795"/>
          <wp:effectExtent l="0" t="0" r="1270" b="1905"/>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7880" cy="2647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AE9" w:rsidRDefault="002E3AE9">
    <w:pPr>
      <w:pStyle w:val="Zhlav"/>
    </w:pPr>
    <w:r>
      <w:rPr>
        <w:noProof/>
      </w:rPr>
      <w:drawing>
        <wp:anchor distT="0" distB="0" distL="114300" distR="114300" simplePos="0" relativeHeight="251658240" behindDoc="0" locked="0" layoutInCell="1" allowOverlap="1" wp14:anchorId="580F9BDB" wp14:editId="69DAFDB1">
          <wp:simplePos x="0" y="0"/>
          <wp:positionH relativeFrom="column">
            <wp:posOffset>3959225</wp:posOffset>
          </wp:positionH>
          <wp:positionV relativeFrom="paragraph">
            <wp:posOffset>170180</wp:posOffset>
          </wp:positionV>
          <wp:extent cx="1803400" cy="316865"/>
          <wp:effectExtent l="0" t="0" r="6350" b="6985"/>
          <wp:wrapNone/>
          <wp:docPr id="3" name="obrázek 3" descr="EU logo EEI 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 logo EEI C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3400" cy="3168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143670A" wp14:editId="61D4A826">
          <wp:simplePos x="0" y="0"/>
          <wp:positionH relativeFrom="column">
            <wp:posOffset>25400</wp:posOffset>
          </wp:positionH>
          <wp:positionV relativeFrom="paragraph">
            <wp:posOffset>215900</wp:posOffset>
          </wp:positionV>
          <wp:extent cx="817880" cy="264795"/>
          <wp:effectExtent l="0" t="0" r="1270" b="1905"/>
          <wp:wrapNone/>
          <wp:docPr id="4"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7880" cy="2647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AE9" w:rsidRDefault="002E3AE9">
    <w:pPr>
      <w:pStyle w:val="Zhlav"/>
    </w:pPr>
    <w:r>
      <w:rPr>
        <w:noProof/>
      </w:rPr>
      <w:drawing>
        <wp:anchor distT="0" distB="0" distL="114300" distR="114300" simplePos="0" relativeHeight="251655168" behindDoc="0" locked="0" layoutInCell="1" allowOverlap="1">
          <wp:simplePos x="0" y="0"/>
          <wp:positionH relativeFrom="column">
            <wp:posOffset>-54610</wp:posOffset>
          </wp:positionH>
          <wp:positionV relativeFrom="paragraph">
            <wp:posOffset>-86360</wp:posOffset>
          </wp:positionV>
          <wp:extent cx="817880" cy="264795"/>
          <wp:effectExtent l="0" t="0" r="1270" b="1905"/>
          <wp:wrapNone/>
          <wp:docPr id="1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880" cy="2647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simplePos x="0" y="0"/>
          <wp:positionH relativeFrom="column">
            <wp:posOffset>4112260</wp:posOffset>
          </wp:positionH>
          <wp:positionV relativeFrom="paragraph">
            <wp:posOffset>-142875</wp:posOffset>
          </wp:positionV>
          <wp:extent cx="1803400" cy="316865"/>
          <wp:effectExtent l="0" t="0" r="6350" b="6985"/>
          <wp:wrapNone/>
          <wp:docPr id="12" name="obrázek 3" descr="EU logo EEI 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EU logo EEI CZ"/>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3400" cy="3168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04031"/>
    <w:multiLevelType w:val="hybridMultilevel"/>
    <w:tmpl w:val="C0C029B6"/>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
    <w:nsid w:val="060F2C39"/>
    <w:multiLevelType w:val="hybridMultilevel"/>
    <w:tmpl w:val="75BC1D64"/>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
    <w:nsid w:val="08875385"/>
    <w:multiLevelType w:val="hybridMultilevel"/>
    <w:tmpl w:val="A9B4FE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A3D7B72"/>
    <w:multiLevelType w:val="hybridMultilevel"/>
    <w:tmpl w:val="1C90376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nsid w:val="0E2D7D13"/>
    <w:multiLevelType w:val="hybridMultilevel"/>
    <w:tmpl w:val="1B68C7C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01B19D8"/>
    <w:multiLevelType w:val="hybridMultilevel"/>
    <w:tmpl w:val="E0E67456"/>
    <w:lvl w:ilvl="0" w:tplc="98347F98">
      <w:numFmt w:val="bullet"/>
      <w:lvlText w:val="•"/>
      <w:lvlJc w:val="left"/>
      <w:pPr>
        <w:ind w:left="1065" w:hanging="705"/>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0B17DDB"/>
    <w:multiLevelType w:val="hybridMultilevel"/>
    <w:tmpl w:val="15E42AD4"/>
    <w:lvl w:ilvl="0" w:tplc="909ADF0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403704D"/>
    <w:multiLevelType w:val="hybridMultilevel"/>
    <w:tmpl w:val="FE3CF1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55D5566"/>
    <w:multiLevelType w:val="hybridMultilevel"/>
    <w:tmpl w:val="4694FBFC"/>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
    <w:nsid w:val="15A2249F"/>
    <w:multiLevelType w:val="hybridMultilevel"/>
    <w:tmpl w:val="46CC8AFE"/>
    <w:lvl w:ilvl="0" w:tplc="9034B83A">
      <w:start w:val="1"/>
      <w:numFmt w:val="bullet"/>
      <w:pStyle w:val="Bulletslevel2"/>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nsid w:val="165038C0"/>
    <w:multiLevelType w:val="hybridMultilevel"/>
    <w:tmpl w:val="40149D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9563633"/>
    <w:multiLevelType w:val="hybridMultilevel"/>
    <w:tmpl w:val="C0C029B6"/>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2">
    <w:nsid w:val="218B78AA"/>
    <w:multiLevelType w:val="hybridMultilevel"/>
    <w:tmpl w:val="DFDCBB8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nsid w:val="21D407C6"/>
    <w:multiLevelType w:val="hybridMultilevel"/>
    <w:tmpl w:val="EDA8DD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250136E"/>
    <w:multiLevelType w:val="multilevel"/>
    <w:tmpl w:val="3A124E4A"/>
    <w:lvl w:ilvl="0">
      <w:start w:val="1"/>
      <w:numFmt w:val="decimal"/>
      <w:pStyle w:val="Nadpis1"/>
      <w:lvlText w:val="%1"/>
      <w:lvlJc w:val="left"/>
      <w:pPr>
        <w:ind w:left="432" w:hanging="432"/>
      </w:pPr>
      <w:rPr>
        <w:rFonts w:cs="Times New Roman"/>
      </w:rPr>
    </w:lvl>
    <w:lvl w:ilvl="1">
      <w:start w:val="1"/>
      <w:numFmt w:val="decimal"/>
      <w:pStyle w:val="Nadpis2"/>
      <w:lvlText w:val="%1.%2"/>
      <w:lvlJc w:val="left"/>
      <w:pPr>
        <w:ind w:left="576" w:hanging="576"/>
      </w:pPr>
      <w:rPr>
        <w:rFonts w:cs="Times New Roman"/>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adpis3"/>
      <w:lvlText w:val="%1.%2.%3"/>
      <w:lvlJc w:val="left"/>
      <w:pPr>
        <w:ind w:left="720" w:hanging="720"/>
      </w:pPr>
      <w:rPr>
        <w:rFonts w:cs="Times New Roman"/>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adpis4"/>
      <w:lvlText w:val="%1.%2.%3.%4"/>
      <w:lvlJc w:val="left"/>
      <w:pPr>
        <w:ind w:left="864" w:hanging="864"/>
      </w:pPr>
      <w:rPr>
        <w:rFonts w:cs="Times New Roman"/>
      </w:rPr>
    </w:lvl>
    <w:lvl w:ilvl="4">
      <w:start w:val="1"/>
      <w:numFmt w:val="decimal"/>
      <w:pStyle w:val="Nadpis5"/>
      <w:lvlText w:val="%1.%2.%3.%4.%5"/>
      <w:lvlJc w:val="left"/>
      <w:pPr>
        <w:ind w:left="1008" w:hanging="1008"/>
      </w:pPr>
      <w:rPr>
        <w:rFonts w:cs="Times New Roman"/>
      </w:rPr>
    </w:lvl>
    <w:lvl w:ilvl="5">
      <w:start w:val="1"/>
      <w:numFmt w:val="decimal"/>
      <w:pStyle w:val="Nadpis6"/>
      <w:lvlText w:val="%1.%2.%3.%4.%5.%6"/>
      <w:lvlJc w:val="left"/>
      <w:pPr>
        <w:ind w:left="1152" w:hanging="1152"/>
      </w:pPr>
      <w:rPr>
        <w:rFonts w:cs="Times New Roman"/>
      </w:rPr>
    </w:lvl>
    <w:lvl w:ilvl="6">
      <w:start w:val="1"/>
      <w:numFmt w:val="decimal"/>
      <w:pStyle w:val="Nadpis7"/>
      <w:lvlText w:val="%1.%2.%3.%4.%5.%6.%7"/>
      <w:lvlJc w:val="left"/>
      <w:pPr>
        <w:ind w:left="1296" w:hanging="1296"/>
      </w:pPr>
      <w:rPr>
        <w:rFonts w:cs="Times New Roman"/>
      </w:rPr>
    </w:lvl>
    <w:lvl w:ilvl="7">
      <w:start w:val="1"/>
      <w:numFmt w:val="decimal"/>
      <w:pStyle w:val="Nadpis8"/>
      <w:lvlText w:val="%1.%2.%3.%4.%5.%6.%7.%8"/>
      <w:lvlJc w:val="left"/>
      <w:pPr>
        <w:ind w:left="1440" w:hanging="1440"/>
      </w:pPr>
      <w:rPr>
        <w:rFonts w:cs="Times New Roman"/>
      </w:rPr>
    </w:lvl>
    <w:lvl w:ilvl="8">
      <w:start w:val="1"/>
      <w:numFmt w:val="decimal"/>
      <w:pStyle w:val="Nadpis9"/>
      <w:lvlText w:val="%1.%2.%3.%4.%5.%6.%7.%8.%9"/>
      <w:lvlJc w:val="left"/>
      <w:pPr>
        <w:ind w:left="1584" w:hanging="1584"/>
      </w:pPr>
      <w:rPr>
        <w:rFonts w:cs="Times New Roman"/>
      </w:rPr>
    </w:lvl>
  </w:abstractNum>
  <w:abstractNum w:abstractNumId="15">
    <w:nsid w:val="246323AE"/>
    <w:multiLevelType w:val="hybridMultilevel"/>
    <w:tmpl w:val="EA100E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4980886"/>
    <w:multiLevelType w:val="hybridMultilevel"/>
    <w:tmpl w:val="51B021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26D26E50"/>
    <w:multiLevelType w:val="hybridMultilevel"/>
    <w:tmpl w:val="962233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29746FEE"/>
    <w:multiLevelType w:val="hybridMultilevel"/>
    <w:tmpl w:val="C0C029B6"/>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9">
    <w:nsid w:val="2A140B6C"/>
    <w:multiLevelType w:val="hybridMultilevel"/>
    <w:tmpl w:val="224CFE86"/>
    <w:lvl w:ilvl="0" w:tplc="98347F98">
      <w:numFmt w:val="bullet"/>
      <w:lvlText w:val="•"/>
      <w:lvlJc w:val="left"/>
      <w:pPr>
        <w:ind w:left="1065" w:hanging="705"/>
      </w:pPr>
      <w:rPr>
        <w:rFonts w:ascii="Calibri" w:eastAsia="Times New Roman" w:hAnsi="Calibri"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2BE35A6C"/>
    <w:multiLevelType w:val="hybridMultilevel"/>
    <w:tmpl w:val="742AD13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2F0E75AA"/>
    <w:multiLevelType w:val="hybridMultilevel"/>
    <w:tmpl w:val="B026288E"/>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2">
    <w:nsid w:val="30113583"/>
    <w:multiLevelType w:val="hybridMultilevel"/>
    <w:tmpl w:val="5B928A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33271680"/>
    <w:multiLevelType w:val="hybridMultilevel"/>
    <w:tmpl w:val="C76028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34FC5558"/>
    <w:multiLevelType w:val="hybridMultilevel"/>
    <w:tmpl w:val="B29CB5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3714277E"/>
    <w:multiLevelType w:val="hybridMultilevel"/>
    <w:tmpl w:val="A1941868"/>
    <w:lvl w:ilvl="0" w:tplc="BE148E10">
      <w:start w:val="1"/>
      <w:numFmt w:val="upperRoman"/>
      <w:pStyle w:val="Styl1"/>
      <w:lvlText w:val="%1."/>
      <w:lvlJc w:val="left"/>
      <w:pPr>
        <w:ind w:left="1080" w:hanging="720"/>
      </w:pPr>
      <w:rPr>
        <w:rFonts w:cs="Times New Roman" w:hint="default"/>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6">
    <w:nsid w:val="3A9F2462"/>
    <w:multiLevelType w:val="hybridMultilevel"/>
    <w:tmpl w:val="974820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3E796015"/>
    <w:multiLevelType w:val="hybridMultilevel"/>
    <w:tmpl w:val="4EC0A174"/>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8">
    <w:nsid w:val="3F7B055B"/>
    <w:multiLevelType w:val="multilevel"/>
    <w:tmpl w:val="040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9">
    <w:nsid w:val="437D5015"/>
    <w:multiLevelType w:val="hybridMultilevel"/>
    <w:tmpl w:val="123850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45D94B21"/>
    <w:multiLevelType w:val="multilevel"/>
    <w:tmpl w:val="0E820964"/>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31">
    <w:nsid w:val="4B141236"/>
    <w:multiLevelType w:val="hybridMultilevel"/>
    <w:tmpl w:val="8A58C05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nsid w:val="4D0502D2"/>
    <w:multiLevelType w:val="hybridMultilevel"/>
    <w:tmpl w:val="BCE2C074"/>
    <w:lvl w:ilvl="0" w:tplc="0405000F">
      <w:start w:val="1"/>
      <w:numFmt w:val="bullet"/>
      <w:lvlText w:val=""/>
      <w:lvlJc w:val="left"/>
      <w:pPr>
        <w:ind w:left="1080" w:hanging="360"/>
      </w:pPr>
      <w:rPr>
        <w:rFonts w:ascii="Symbol" w:hAnsi="Symbol" w:hint="default"/>
      </w:rPr>
    </w:lvl>
    <w:lvl w:ilvl="1" w:tplc="DB643056">
      <w:start w:val="1"/>
      <w:numFmt w:val="bullet"/>
      <w:lvlText w:val="o"/>
      <w:lvlJc w:val="left"/>
      <w:pPr>
        <w:ind w:left="1800" w:hanging="360"/>
      </w:pPr>
      <w:rPr>
        <w:rFonts w:ascii="Courier New" w:hAnsi="Courier New" w:hint="default"/>
      </w:rPr>
    </w:lvl>
    <w:lvl w:ilvl="2" w:tplc="0405001B" w:tentative="1">
      <w:start w:val="1"/>
      <w:numFmt w:val="bullet"/>
      <w:lvlText w:val=""/>
      <w:lvlJc w:val="left"/>
      <w:pPr>
        <w:ind w:left="2520" w:hanging="360"/>
      </w:pPr>
      <w:rPr>
        <w:rFonts w:ascii="Wingdings" w:hAnsi="Wingdings" w:hint="default"/>
      </w:rPr>
    </w:lvl>
    <w:lvl w:ilvl="3" w:tplc="0405000F" w:tentative="1">
      <w:start w:val="1"/>
      <w:numFmt w:val="bullet"/>
      <w:lvlText w:val=""/>
      <w:lvlJc w:val="left"/>
      <w:pPr>
        <w:ind w:left="3240" w:hanging="360"/>
      </w:pPr>
      <w:rPr>
        <w:rFonts w:ascii="Symbol" w:hAnsi="Symbol" w:hint="default"/>
      </w:rPr>
    </w:lvl>
    <w:lvl w:ilvl="4" w:tplc="04050019" w:tentative="1">
      <w:start w:val="1"/>
      <w:numFmt w:val="bullet"/>
      <w:lvlText w:val="o"/>
      <w:lvlJc w:val="left"/>
      <w:pPr>
        <w:ind w:left="3960" w:hanging="360"/>
      </w:pPr>
      <w:rPr>
        <w:rFonts w:ascii="Courier New" w:hAnsi="Courier New" w:hint="default"/>
      </w:rPr>
    </w:lvl>
    <w:lvl w:ilvl="5" w:tplc="0405001B" w:tentative="1">
      <w:start w:val="1"/>
      <w:numFmt w:val="bullet"/>
      <w:lvlText w:val=""/>
      <w:lvlJc w:val="left"/>
      <w:pPr>
        <w:ind w:left="4680" w:hanging="360"/>
      </w:pPr>
      <w:rPr>
        <w:rFonts w:ascii="Wingdings" w:hAnsi="Wingdings" w:hint="default"/>
      </w:rPr>
    </w:lvl>
    <w:lvl w:ilvl="6" w:tplc="0405000F" w:tentative="1">
      <w:start w:val="1"/>
      <w:numFmt w:val="bullet"/>
      <w:lvlText w:val=""/>
      <w:lvlJc w:val="left"/>
      <w:pPr>
        <w:ind w:left="5400" w:hanging="360"/>
      </w:pPr>
      <w:rPr>
        <w:rFonts w:ascii="Symbol" w:hAnsi="Symbol" w:hint="default"/>
      </w:rPr>
    </w:lvl>
    <w:lvl w:ilvl="7" w:tplc="04050019" w:tentative="1">
      <w:start w:val="1"/>
      <w:numFmt w:val="bullet"/>
      <w:lvlText w:val="o"/>
      <w:lvlJc w:val="left"/>
      <w:pPr>
        <w:ind w:left="6120" w:hanging="360"/>
      </w:pPr>
      <w:rPr>
        <w:rFonts w:ascii="Courier New" w:hAnsi="Courier New" w:hint="default"/>
      </w:rPr>
    </w:lvl>
    <w:lvl w:ilvl="8" w:tplc="0405001B" w:tentative="1">
      <w:start w:val="1"/>
      <w:numFmt w:val="bullet"/>
      <w:lvlText w:val=""/>
      <w:lvlJc w:val="left"/>
      <w:pPr>
        <w:ind w:left="6840" w:hanging="360"/>
      </w:pPr>
      <w:rPr>
        <w:rFonts w:ascii="Wingdings" w:hAnsi="Wingdings" w:hint="default"/>
      </w:rPr>
    </w:lvl>
  </w:abstractNum>
  <w:abstractNum w:abstractNumId="33">
    <w:nsid w:val="4ECC4043"/>
    <w:multiLevelType w:val="hybridMultilevel"/>
    <w:tmpl w:val="AA1EC41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4">
    <w:nsid w:val="521B0E28"/>
    <w:multiLevelType w:val="hybridMultilevel"/>
    <w:tmpl w:val="9B2A0D9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5">
    <w:nsid w:val="527F2478"/>
    <w:multiLevelType w:val="hybridMultilevel"/>
    <w:tmpl w:val="9E1AB66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nsid w:val="53D27922"/>
    <w:multiLevelType w:val="hybridMultilevel"/>
    <w:tmpl w:val="3118DFB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57FD3D0F"/>
    <w:multiLevelType w:val="hybridMultilevel"/>
    <w:tmpl w:val="6F384EEC"/>
    <w:lvl w:ilvl="0" w:tplc="04050001">
      <w:start w:val="1"/>
      <w:numFmt w:val="bullet"/>
      <w:lvlText w:val=""/>
      <w:lvlJc w:val="left"/>
      <w:pPr>
        <w:ind w:left="3725" w:hanging="465"/>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5E3554F7"/>
    <w:multiLevelType w:val="hybridMultilevel"/>
    <w:tmpl w:val="ECAE89DE"/>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9">
    <w:nsid w:val="5F921F82"/>
    <w:multiLevelType w:val="hybridMultilevel"/>
    <w:tmpl w:val="DF322FF8"/>
    <w:lvl w:ilvl="0" w:tplc="04050001">
      <w:numFmt w:val="bullet"/>
      <w:lvlText w:val="•"/>
      <w:lvlJc w:val="left"/>
      <w:pPr>
        <w:ind w:left="1065" w:hanging="705"/>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625A6A0B"/>
    <w:multiLevelType w:val="hybridMultilevel"/>
    <w:tmpl w:val="41A48C46"/>
    <w:lvl w:ilvl="0" w:tplc="FFFFFFFF">
      <w:start w:val="1"/>
      <w:numFmt w:val="bullet"/>
      <w:lvlText w:val="•"/>
      <w:lvlJc w:val="left"/>
      <w:pPr>
        <w:tabs>
          <w:tab w:val="num" w:pos="1080"/>
        </w:tabs>
        <w:ind w:left="1080" w:hanging="360"/>
      </w:pPr>
      <w:rPr>
        <w:rFonts w:ascii="Arial" w:hAnsi="Aria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1">
    <w:nsid w:val="62A4744F"/>
    <w:multiLevelType w:val="multilevel"/>
    <w:tmpl w:val="1054E2D0"/>
    <w:lvl w:ilvl="0">
      <w:start w:val="1"/>
      <w:numFmt w:val="decimal"/>
      <w:pStyle w:val="smlouvaheading1"/>
      <w:lvlText w:val="%1"/>
      <w:lvlJc w:val="left"/>
      <w:pPr>
        <w:ind w:left="360" w:hanging="360"/>
      </w:pPr>
      <w:rPr>
        <w:rFonts w:ascii="Arial" w:hAnsi="Arial" w:cs="Times New Roman" w:hint="default"/>
        <w:b/>
        <w:i w:val="0"/>
        <w:sz w:val="19"/>
      </w:rPr>
    </w:lvl>
    <w:lvl w:ilvl="1">
      <w:start w:val="1"/>
      <w:numFmt w:val="decimal"/>
      <w:pStyle w:val="smlouvaheading2"/>
      <w:lvlText w:val="%1.%2"/>
      <w:lvlJc w:val="left"/>
      <w:pPr>
        <w:ind w:left="720" w:hanging="360"/>
      </w:pPr>
      <w:rPr>
        <w:rFonts w:ascii="Arial" w:hAnsi="Arial" w:cs="Times New Roman" w:hint="default"/>
        <w:b w:val="0"/>
        <w:i w:val="0"/>
        <w:sz w:val="19"/>
      </w:rPr>
    </w:lvl>
    <w:lvl w:ilvl="2">
      <w:start w:val="1"/>
      <w:numFmt w:val="decimal"/>
      <w:pStyle w:val="smlouvaheading3"/>
      <w:lvlText w:val="%1.%2.%3"/>
      <w:lvlJc w:val="left"/>
      <w:pPr>
        <w:ind w:left="1080" w:hanging="360"/>
      </w:pPr>
      <w:rPr>
        <w:rFonts w:ascii="Arial" w:hAnsi="Arial" w:cs="Times New Roman" w:hint="default"/>
        <w:b w:val="0"/>
        <w:i w:val="0"/>
        <w:sz w:val="19"/>
      </w:rPr>
    </w:lvl>
    <w:lvl w:ilvl="3">
      <w:start w:val="1"/>
      <w:numFmt w:val="decimal"/>
      <w:pStyle w:val="smlouvaheading4"/>
      <w:lvlText w:val="%1.%2.%3.%4"/>
      <w:lvlJc w:val="left"/>
      <w:pPr>
        <w:ind w:left="1440" w:hanging="360"/>
      </w:pPr>
      <w:rPr>
        <w:rFonts w:ascii="Arial" w:hAnsi="Arial" w:cs="Times New Roman" w:hint="default"/>
        <w:b w:val="0"/>
        <w:i w:val="0"/>
        <w:sz w:val="19"/>
      </w:rPr>
    </w:lvl>
    <w:lvl w:ilvl="4">
      <w:start w:val="1"/>
      <w:numFmt w:val="none"/>
      <w:lvlText w:val=""/>
      <w:lvlJc w:val="left"/>
      <w:pPr>
        <w:ind w:left="1800" w:hanging="360"/>
      </w:pPr>
      <w:rPr>
        <w:rFonts w:ascii="Arial" w:hAnsi="Arial" w:cs="Times New Roman" w:hint="default"/>
        <w:b w:val="0"/>
        <w:i/>
        <w:sz w:val="19"/>
      </w:rPr>
    </w:lvl>
    <w:lvl w:ilvl="5">
      <w:start w:val="1"/>
      <w:numFmt w:val="none"/>
      <w:lvlText w:val=""/>
      <w:lvlJc w:val="left"/>
      <w:pPr>
        <w:ind w:left="2160" w:hanging="360"/>
      </w:pPr>
      <w:rPr>
        <w:rFonts w:ascii="Arial" w:hAnsi="Arial" w:cs="Times New Roman" w:hint="default"/>
        <w:b w:val="0"/>
        <w:i/>
        <w:sz w:val="19"/>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2">
    <w:nsid w:val="62A75FF2"/>
    <w:multiLevelType w:val="hybridMultilevel"/>
    <w:tmpl w:val="04DA6A26"/>
    <w:lvl w:ilvl="0" w:tplc="418E36F0">
      <w:start w:val="1"/>
      <w:numFmt w:val="decimal"/>
      <w:lvlText w:val="%1."/>
      <w:lvlJc w:val="left"/>
      <w:pPr>
        <w:ind w:left="720" w:hanging="360"/>
      </w:pPr>
      <w:rPr>
        <w:rFonts w:cs="Times New Roman"/>
      </w:rPr>
    </w:lvl>
    <w:lvl w:ilvl="1" w:tplc="04050003">
      <w:start w:val="1"/>
      <w:numFmt w:val="lowerLetter"/>
      <w:lvlText w:val="%2."/>
      <w:lvlJc w:val="left"/>
      <w:pPr>
        <w:ind w:left="1440" w:hanging="360"/>
      </w:pPr>
      <w:rPr>
        <w:rFonts w:cs="Times New Roman"/>
      </w:rPr>
    </w:lvl>
    <w:lvl w:ilvl="2" w:tplc="04050005" w:tentative="1">
      <w:start w:val="1"/>
      <w:numFmt w:val="lowerRoman"/>
      <w:lvlText w:val="%3."/>
      <w:lvlJc w:val="right"/>
      <w:pPr>
        <w:ind w:left="2160" w:hanging="180"/>
      </w:pPr>
      <w:rPr>
        <w:rFonts w:cs="Times New Roman"/>
      </w:rPr>
    </w:lvl>
    <w:lvl w:ilvl="3" w:tplc="04050001" w:tentative="1">
      <w:start w:val="1"/>
      <w:numFmt w:val="decimal"/>
      <w:lvlText w:val="%4."/>
      <w:lvlJc w:val="left"/>
      <w:pPr>
        <w:ind w:left="2880" w:hanging="360"/>
      </w:pPr>
      <w:rPr>
        <w:rFonts w:cs="Times New Roman"/>
      </w:rPr>
    </w:lvl>
    <w:lvl w:ilvl="4" w:tplc="04050003" w:tentative="1">
      <w:start w:val="1"/>
      <w:numFmt w:val="lowerLetter"/>
      <w:lvlText w:val="%5."/>
      <w:lvlJc w:val="left"/>
      <w:pPr>
        <w:ind w:left="3600" w:hanging="360"/>
      </w:pPr>
      <w:rPr>
        <w:rFonts w:cs="Times New Roman"/>
      </w:rPr>
    </w:lvl>
    <w:lvl w:ilvl="5" w:tplc="04050005" w:tentative="1">
      <w:start w:val="1"/>
      <w:numFmt w:val="lowerRoman"/>
      <w:lvlText w:val="%6."/>
      <w:lvlJc w:val="right"/>
      <w:pPr>
        <w:ind w:left="4320" w:hanging="180"/>
      </w:pPr>
      <w:rPr>
        <w:rFonts w:cs="Times New Roman"/>
      </w:rPr>
    </w:lvl>
    <w:lvl w:ilvl="6" w:tplc="04050001" w:tentative="1">
      <w:start w:val="1"/>
      <w:numFmt w:val="decimal"/>
      <w:lvlText w:val="%7."/>
      <w:lvlJc w:val="left"/>
      <w:pPr>
        <w:ind w:left="5040" w:hanging="360"/>
      </w:pPr>
      <w:rPr>
        <w:rFonts w:cs="Times New Roman"/>
      </w:rPr>
    </w:lvl>
    <w:lvl w:ilvl="7" w:tplc="04050003" w:tentative="1">
      <w:start w:val="1"/>
      <w:numFmt w:val="lowerLetter"/>
      <w:lvlText w:val="%8."/>
      <w:lvlJc w:val="left"/>
      <w:pPr>
        <w:ind w:left="5760" w:hanging="360"/>
      </w:pPr>
      <w:rPr>
        <w:rFonts w:cs="Times New Roman"/>
      </w:rPr>
    </w:lvl>
    <w:lvl w:ilvl="8" w:tplc="04050005" w:tentative="1">
      <w:start w:val="1"/>
      <w:numFmt w:val="lowerRoman"/>
      <w:lvlText w:val="%9."/>
      <w:lvlJc w:val="right"/>
      <w:pPr>
        <w:ind w:left="6480" w:hanging="180"/>
      </w:pPr>
      <w:rPr>
        <w:rFonts w:cs="Times New Roman"/>
      </w:rPr>
    </w:lvl>
  </w:abstractNum>
  <w:abstractNum w:abstractNumId="43">
    <w:nsid w:val="634935A9"/>
    <w:multiLevelType w:val="hybridMultilevel"/>
    <w:tmpl w:val="FDAA157A"/>
    <w:lvl w:ilvl="0" w:tplc="938A899E">
      <w:start w:val="1"/>
      <w:numFmt w:val="bullet"/>
      <w:pStyle w:val="Bulletslevel1"/>
      <w:lvlText w:val=""/>
      <w:lvlJc w:val="left"/>
      <w:pPr>
        <w:ind w:left="720" w:hanging="360"/>
      </w:pPr>
      <w:rPr>
        <w:rFonts w:ascii="Symbol" w:hAnsi="Symbol" w:hint="default"/>
        <w:b w:val="0"/>
        <w:i w:val="0"/>
        <w:sz w:val="19"/>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5594DF9"/>
    <w:multiLevelType w:val="hybridMultilevel"/>
    <w:tmpl w:val="125EE6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6B1017F8"/>
    <w:multiLevelType w:val="hybridMultilevel"/>
    <w:tmpl w:val="8012A76A"/>
    <w:lvl w:ilvl="0" w:tplc="0405000F">
      <w:start w:val="1"/>
      <w:numFmt w:val="decimal"/>
      <w:lvlText w:val="%1."/>
      <w:lvlJc w:val="left"/>
      <w:pPr>
        <w:ind w:left="720" w:hanging="360"/>
      </w:pPr>
      <w:rPr>
        <w:rFonts w:cs="Times New Roman" w:hint="default"/>
      </w:rPr>
    </w:lvl>
    <w:lvl w:ilvl="1" w:tplc="04050019">
      <w:start w:val="1"/>
      <w:numFmt w:val="bullet"/>
      <w:lvlText w:val="o"/>
      <w:lvlJc w:val="left"/>
      <w:pPr>
        <w:ind w:left="1440" w:hanging="360"/>
      </w:pPr>
      <w:rPr>
        <w:rFonts w:ascii="Courier New" w:hAnsi="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46">
    <w:nsid w:val="6D58053C"/>
    <w:multiLevelType w:val="hybridMultilevel"/>
    <w:tmpl w:val="F028D2DA"/>
    <w:lvl w:ilvl="0" w:tplc="0405000F">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nsid w:val="6EC24FE9"/>
    <w:multiLevelType w:val="hybridMultilevel"/>
    <w:tmpl w:val="E8767D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nsid w:val="6FA4459E"/>
    <w:multiLevelType w:val="hybridMultilevel"/>
    <w:tmpl w:val="13AC2F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nsid w:val="74E251A9"/>
    <w:multiLevelType w:val="hybridMultilevel"/>
    <w:tmpl w:val="C0C029B6"/>
    <w:lvl w:ilvl="0" w:tplc="04050001">
      <w:start w:val="1"/>
      <w:numFmt w:val="decimal"/>
      <w:lvlText w:val="%1."/>
      <w:lvlJc w:val="left"/>
      <w:pPr>
        <w:ind w:left="720" w:hanging="360"/>
      </w:pPr>
      <w:rPr>
        <w:rFonts w:cs="Times New Roman"/>
      </w:rPr>
    </w:lvl>
    <w:lvl w:ilvl="1" w:tplc="04050003">
      <w:start w:val="1"/>
      <w:numFmt w:val="lowerLetter"/>
      <w:lvlText w:val="%2."/>
      <w:lvlJc w:val="left"/>
      <w:pPr>
        <w:ind w:left="1440" w:hanging="360"/>
      </w:pPr>
      <w:rPr>
        <w:rFonts w:cs="Times New Roman"/>
      </w:rPr>
    </w:lvl>
    <w:lvl w:ilvl="2" w:tplc="04050005" w:tentative="1">
      <w:start w:val="1"/>
      <w:numFmt w:val="lowerRoman"/>
      <w:lvlText w:val="%3."/>
      <w:lvlJc w:val="right"/>
      <w:pPr>
        <w:ind w:left="2160" w:hanging="180"/>
      </w:pPr>
      <w:rPr>
        <w:rFonts w:cs="Times New Roman"/>
      </w:rPr>
    </w:lvl>
    <w:lvl w:ilvl="3" w:tplc="04050001" w:tentative="1">
      <w:start w:val="1"/>
      <w:numFmt w:val="decimal"/>
      <w:lvlText w:val="%4."/>
      <w:lvlJc w:val="left"/>
      <w:pPr>
        <w:ind w:left="2880" w:hanging="360"/>
      </w:pPr>
      <w:rPr>
        <w:rFonts w:cs="Times New Roman"/>
      </w:rPr>
    </w:lvl>
    <w:lvl w:ilvl="4" w:tplc="04050003" w:tentative="1">
      <w:start w:val="1"/>
      <w:numFmt w:val="lowerLetter"/>
      <w:lvlText w:val="%5."/>
      <w:lvlJc w:val="left"/>
      <w:pPr>
        <w:ind w:left="3600" w:hanging="360"/>
      </w:pPr>
      <w:rPr>
        <w:rFonts w:cs="Times New Roman"/>
      </w:rPr>
    </w:lvl>
    <w:lvl w:ilvl="5" w:tplc="04050005" w:tentative="1">
      <w:start w:val="1"/>
      <w:numFmt w:val="lowerRoman"/>
      <w:lvlText w:val="%6."/>
      <w:lvlJc w:val="right"/>
      <w:pPr>
        <w:ind w:left="4320" w:hanging="180"/>
      </w:pPr>
      <w:rPr>
        <w:rFonts w:cs="Times New Roman"/>
      </w:rPr>
    </w:lvl>
    <w:lvl w:ilvl="6" w:tplc="04050001" w:tentative="1">
      <w:start w:val="1"/>
      <w:numFmt w:val="decimal"/>
      <w:lvlText w:val="%7."/>
      <w:lvlJc w:val="left"/>
      <w:pPr>
        <w:ind w:left="5040" w:hanging="360"/>
      </w:pPr>
      <w:rPr>
        <w:rFonts w:cs="Times New Roman"/>
      </w:rPr>
    </w:lvl>
    <w:lvl w:ilvl="7" w:tplc="04050003" w:tentative="1">
      <w:start w:val="1"/>
      <w:numFmt w:val="lowerLetter"/>
      <w:lvlText w:val="%8."/>
      <w:lvlJc w:val="left"/>
      <w:pPr>
        <w:ind w:left="5760" w:hanging="360"/>
      </w:pPr>
      <w:rPr>
        <w:rFonts w:cs="Times New Roman"/>
      </w:rPr>
    </w:lvl>
    <w:lvl w:ilvl="8" w:tplc="04050005" w:tentative="1">
      <w:start w:val="1"/>
      <w:numFmt w:val="lowerRoman"/>
      <w:lvlText w:val="%9."/>
      <w:lvlJc w:val="right"/>
      <w:pPr>
        <w:ind w:left="6480" w:hanging="180"/>
      </w:pPr>
      <w:rPr>
        <w:rFonts w:cs="Times New Roman"/>
      </w:rPr>
    </w:lvl>
  </w:abstractNum>
  <w:abstractNum w:abstractNumId="50">
    <w:nsid w:val="77861DEF"/>
    <w:multiLevelType w:val="hybridMultilevel"/>
    <w:tmpl w:val="08842EDE"/>
    <w:lvl w:ilvl="0" w:tplc="0405000F">
      <w:start w:val="1"/>
      <w:numFmt w:val="bullet"/>
      <w:lvlText w:val="•"/>
      <w:lvlJc w:val="left"/>
      <w:pPr>
        <w:tabs>
          <w:tab w:val="num" w:pos="1080"/>
        </w:tabs>
        <w:ind w:left="1080" w:hanging="360"/>
      </w:pPr>
      <w:rPr>
        <w:rFonts w:ascii="Arial" w:hAnsi="Arial" w:hint="default"/>
      </w:rPr>
    </w:lvl>
    <w:lvl w:ilvl="1" w:tplc="04050019">
      <w:start w:val="1"/>
      <w:numFmt w:val="bullet"/>
      <w:lvlText w:val="o"/>
      <w:lvlJc w:val="left"/>
      <w:pPr>
        <w:ind w:left="1800" w:hanging="360"/>
      </w:pPr>
      <w:rPr>
        <w:rFonts w:ascii="Courier New" w:hAnsi="Courier New" w:hint="default"/>
      </w:rPr>
    </w:lvl>
    <w:lvl w:ilvl="2" w:tplc="0405001B" w:tentative="1">
      <w:start w:val="1"/>
      <w:numFmt w:val="bullet"/>
      <w:lvlText w:val=""/>
      <w:lvlJc w:val="left"/>
      <w:pPr>
        <w:ind w:left="2520" w:hanging="360"/>
      </w:pPr>
      <w:rPr>
        <w:rFonts w:ascii="Wingdings" w:hAnsi="Wingdings" w:hint="default"/>
      </w:rPr>
    </w:lvl>
    <w:lvl w:ilvl="3" w:tplc="0405000F" w:tentative="1">
      <w:start w:val="1"/>
      <w:numFmt w:val="bullet"/>
      <w:lvlText w:val=""/>
      <w:lvlJc w:val="left"/>
      <w:pPr>
        <w:ind w:left="3240" w:hanging="360"/>
      </w:pPr>
      <w:rPr>
        <w:rFonts w:ascii="Symbol" w:hAnsi="Symbol" w:hint="default"/>
      </w:rPr>
    </w:lvl>
    <w:lvl w:ilvl="4" w:tplc="04050019" w:tentative="1">
      <w:start w:val="1"/>
      <w:numFmt w:val="bullet"/>
      <w:lvlText w:val="o"/>
      <w:lvlJc w:val="left"/>
      <w:pPr>
        <w:ind w:left="3960" w:hanging="360"/>
      </w:pPr>
      <w:rPr>
        <w:rFonts w:ascii="Courier New" w:hAnsi="Courier New" w:hint="default"/>
      </w:rPr>
    </w:lvl>
    <w:lvl w:ilvl="5" w:tplc="0405001B" w:tentative="1">
      <w:start w:val="1"/>
      <w:numFmt w:val="bullet"/>
      <w:lvlText w:val=""/>
      <w:lvlJc w:val="left"/>
      <w:pPr>
        <w:ind w:left="4680" w:hanging="360"/>
      </w:pPr>
      <w:rPr>
        <w:rFonts w:ascii="Wingdings" w:hAnsi="Wingdings" w:hint="default"/>
      </w:rPr>
    </w:lvl>
    <w:lvl w:ilvl="6" w:tplc="0405000F" w:tentative="1">
      <w:start w:val="1"/>
      <w:numFmt w:val="bullet"/>
      <w:lvlText w:val=""/>
      <w:lvlJc w:val="left"/>
      <w:pPr>
        <w:ind w:left="5400" w:hanging="360"/>
      </w:pPr>
      <w:rPr>
        <w:rFonts w:ascii="Symbol" w:hAnsi="Symbol" w:hint="default"/>
      </w:rPr>
    </w:lvl>
    <w:lvl w:ilvl="7" w:tplc="04050019" w:tentative="1">
      <w:start w:val="1"/>
      <w:numFmt w:val="bullet"/>
      <w:lvlText w:val="o"/>
      <w:lvlJc w:val="left"/>
      <w:pPr>
        <w:ind w:left="6120" w:hanging="360"/>
      </w:pPr>
      <w:rPr>
        <w:rFonts w:ascii="Courier New" w:hAnsi="Courier New" w:hint="default"/>
      </w:rPr>
    </w:lvl>
    <w:lvl w:ilvl="8" w:tplc="0405001B" w:tentative="1">
      <w:start w:val="1"/>
      <w:numFmt w:val="bullet"/>
      <w:lvlText w:val=""/>
      <w:lvlJc w:val="left"/>
      <w:pPr>
        <w:ind w:left="6840" w:hanging="360"/>
      </w:pPr>
      <w:rPr>
        <w:rFonts w:ascii="Wingdings" w:hAnsi="Wingdings" w:hint="default"/>
      </w:rPr>
    </w:lvl>
  </w:abstractNum>
  <w:abstractNum w:abstractNumId="51">
    <w:nsid w:val="77E43160"/>
    <w:multiLevelType w:val="hybridMultilevel"/>
    <w:tmpl w:val="7AA6BB8E"/>
    <w:lvl w:ilvl="0" w:tplc="04050001">
      <w:start w:val="1"/>
      <w:numFmt w:val="bullet"/>
      <w:lvlText w:val=""/>
      <w:lvlJc w:val="left"/>
      <w:pPr>
        <w:ind w:left="720" w:hanging="360"/>
      </w:pPr>
      <w:rPr>
        <w:rFonts w:ascii="Symbol" w:hAnsi="Symbol" w:hint="default"/>
      </w:rPr>
    </w:lvl>
    <w:lvl w:ilvl="1" w:tplc="E294F620">
      <w:numFmt w:val="bullet"/>
      <w:lvlText w:val="•"/>
      <w:lvlJc w:val="left"/>
      <w:pPr>
        <w:ind w:left="1440" w:hanging="360"/>
      </w:pPr>
      <w:rPr>
        <w:rFonts w:ascii="Arial" w:eastAsia="Times New Roman" w:hAnsi="Aria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nsid w:val="7AD80A48"/>
    <w:multiLevelType w:val="hybridMultilevel"/>
    <w:tmpl w:val="5EB00808"/>
    <w:lvl w:ilvl="0" w:tplc="418E36F0">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nsid w:val="7B762295"/>
    <w:multiLevelType w:val="hybridMultilevel"/>
    <w:tmpl w:val="B2D41B5C"/>
    <w:lvl w:ilvl="0" w:tplc="04050001">
      <w:numFmt w:val="bullet"/>
      <w:lvlText w:val="•"/>
      <w:lvlJc w:val="left"/>
      <w:pPr>
        <w:ind w:left="1425" w:hanging="705"/>
      </w:pPr>
      <w:rPr>
        <w:rFonts w:ascii="Calibri" w:eastAsia="Times New Roman" w:hAnsi="Calibri" w:hint="default"/>
      </w:rPr>
    </w:lvl>
    <w:lvl w:ilvl="1" w:tplc="04050003" w:tentative="1">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4">
    <w:nsid w:val="7C437CD7"/>
    <w:multiLevelType w:val="hybridMultilevel"/>
    <w:tmpl w:val="406022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nsid w:val="7CC854D8"/>
    <w:multiLevelType w:val="hybridMultilevel"/>
    <w:tmpl w:val="938E4F10"/>
    <w:lvl w:ilvl="0" w:tplc="98347F98">
      <w:start w:val="1"/>
      <w:numFmt w:val="decimal"/>
      <w:lvlText w:val="%1."/>
      <w:lvlJc w:val="left"/>
      <w:pPr>
        <w:tabs>
          <w:tab w:val="num" w:pos="720"/>
        </w:tabs>
        <w:ind w:left="720" w:hanging="360"/>
      </w:pPr>
      <w:rPr>
        <w:rFonts w:cs="Times New Roman"/>
      </w:rPr>
    </w:lvl>
    <w:lvl w:ilvl="1" w:tplc="04050003" w:tentative="1">
      <w:start w:val="1"/>
      <w:numFmt w:val="lowerLetter"/>
      <w:lvlText w:val="%2."/>
      <w:lvlJc w:val="left"/>
      <w:pPr>
        <w:tabs>
          <w:tab w:val="num" w:pos="1440"/>
        </w:tabs>
        <w:ind w:left="1440" w:hanging="360"/>
      </w:pPr>
      <w:rPr>
        <w:rFonts w:cs="Times New Roman"/>
      </w:rPr>
    </w:lvl>
    <w:lvl w:ilvl="2" w:tplc="04050005" w:tentative="1">
      <w:start w:val="1"/>
      <w:numFmt w:val="lowerRoman"/>
      <w:lvlText w:val="%3."/>
      <w:lvlJc w:val="right"/>
      <w:pPr>
        <w:tabs>
          <w:tab w:val="num" w:pos="2160"/>
        </w:tabs>
        <w:ind w:left="2160" w:hanging="180"/>
      </w:pPr>
      <w:rPr>
        <w:rFonts w:cs="Times New Roman"/>
      </w:rPr>
    </w:lvl>
    <w:lvl w:ilvl="3" w:tplc="04050001" w:tentative="1">
      <w:start w:val="1"/>
      <w:numFmt w:val="decimal"/>
      <w:lvlText w:val="%4."/>
      <w:lvlJc w:val="left"/>
      <w:pPr>
        <w:tabs>
          <w:tab w:val="num" w:pos="2880"/>
        </w:tabs>
        <w:ind w:left="2880" w:hanging="360"/>
      </w:pPr>
      <w:rPr>
        <w:rFonts w:cs="Times New Roman"/>
      </w:rPr>
    </w:lvl>
    <w:lvl w:ilvl="4" w:tplc="04050003" w:tentative="1">
      <w:start w:val="1"/>
      <w:numFmt w:val="lowerLetter"/>
      <w:lvlText w:val="%5."/>
      <w:lvlJc w:val="left"/>
      <w:pPr>
        <w:tabs>
          <w:tab w:val="num" w:pos="3600"/>
        </w:tabs>
        <w:ind w:left="3600" w:hanging="360"/>
      </w:pPr>
      <w:rPr>
        <w:rFonts w:cs="Times New Roman"/>
      </w:rPr>
    </w:lvl>
    <w:lvl w:ilvl="5" w:tplc="04050005" w:tentative="1">
      <w:start w:val="1"/>
      <w:numFmt w:val="lowerRoman"/>
      <w:lvlText w:val="%6."/>
      <w:lvlJc w:val="right"/>
      <w:pPr>
        <w:tabs>
          <w:tab w:val="num" w:pos="4320"/>
        </w:tabs>
        <w:ind w:left="4320" w:hanging="180"/>
      </w:pPr>
      <w:rPr>
        <w:rFonts w:cs="Times New Roman"/>
      </w:rPr>
    </w:lvl>
    <w:lvl w:ilvl="6" w:tplc="04050001" w:tentative="1">
      <w:start w:val="1"/>
      <w:numFmt w:val="decimal"/>
      <w:lvlText w:val="%7."/>
      <w:lvlJc w:val="left"/>
      <w:pPr>
        <w:tabs>
          <w:tab w:val="num" w:pos="5040"/>
        </w:tabs>
        <w:ind w:left="5040" w:hanging="360"/>
      </w:pPr>
      <w:rPr>
        <w:rFonts w:cs="Times New Roman"/>
      </w:rPr>
    </w:lvl>
    <w:lvl w:ilvl="7" w:tplc="04050003" w:tentative="1">
      <w:start w:val="1"/>
      <w:numFmt w:val="lowerLetter"/>
      <w:lvlText w:val="%8."/>
      <w:lvlJc w:val="left"/>
      <w:pPr>
        <w:tabs>
          <w:tab w:val="num" w:pos="5760"/>
        </w:tabs>
        <w:ind w:left="5760" w:hanging="360"/>
      </w:pPr>
      <w:rPr>
        <w:rFonts w:cs="Times New Roman"/>
      </w:rPr>
    </w:lvl>
    <w:lvl w:ilvl="8" w:tplc="04050005" w:tentative="1">
      <w:start w:val="1"/>
      <w:numFmt w:val="lowerRoman"/>
      <w:lvlText w:val="%9."/>
      <w:lvlJc w:val="right"/>
      <w:pPr>
        <w:tabs>
          <w:tab w:val="num" w:pos="6480"/>
        </w:tabs>
        <w:ind w:left="6480" w:hanging="180"/>
      </w:pPr>
      <w:rPr>
        <w:rFonts w:cs="Times New Roman"/>
      </w:rPr>
    </w:lvl>
  </w:abstractNum>
  <w:num w:numId="1">
    <w:abstractNumId w:val="14"/>
  </w:num>
  <w:num w:numId="2">
    <w:abstractNumId w:val="19"/>
  </w:num>
  <w:num w:numId="3">
    <w:abstractNumId w:val="5"/>
  </w:num>
  <w:num w:numId="4">
    <w:abstractNumId w:val="50"/>
  </w:num>
  <w:num w:numId="5">
    <w:abstractNumId w:val="40"/>
  </w:num>
  <w:num w:numId="6">
    <w:abstractNumId w:val="53"/>
  </w:num>
  <w:num w:numId="7">
    <w:abstractNumId w:val="36"/>
  </w:num>
  <w:num w:numId="8">
    <w:abstractNumId w:val="46"/>
  </w:num>
  <w:num w:numId="9">
    <w:abstractNumId w:val="10"/>
  </w:num>
  <w:num w:numId="10">
    <w:abstractNumId w:val="39"/>
  </w:num>
  <w:num w:numId="11">
    <w:abstractNumId w:val="20"/>
  </w:num>
  <w:num w:numId="12">
    <w:abstractNumId w:val="52"/>
  </w:num>
  <w:num w:numId="13">
    <w:abstractNumId w:val="32"/>
  </w:num>
  <w:num w:numId="14">
    <w:abstractNumId w:val="15"/>
  </w:num>
  <w:num w:numId="15">
    <w:abstractNumId w:val="0"/>
  </w:num>
  <w:num w:numId="16">
    <w:abstractNumId w:val="11"/>
  </w:num>
  <w:num w:numId="17">
    <w:abstractNumId w:val="18"/>
  </w:num>
  <w:num w:numId="18">
    <w:abstractNumId w:val="42"/>
  </w:num>
  <w:num w:numId="19">
    <w:abstractNumId w:val="21"/>
  </w:num>
  <w:num w:numId="20">
    <w:abstractNumId w:val="49"/>
  </w:num>
  <w:num w:numId="21">
    <w:abstractNumId w:val="1"/>
  </w:num>
  <w:num w:numId="22">
    <w:abstractNumId w:val="55"/>
  </w:num>
  <w:num w:numId="23">
    <w:abstractNumId w:val="45"/>
  </w:num>
  <w:num w:numId="24">
    <w:abstractNumId w:val="34"/>
  </w:num>
  <w:num w:numId="25">
    <w:abstractNumId w:val="22"/>
  </w:num>
  <w:num w:numId="26">
    <w:abstractNumId w:val="38"/>
  </w:num>
  <w:num w:numId="27">
    <w:abstractNumId w:val="43"/>
  </w:num>
  <w:num w:numId="28">
    <w:abstractNumId w:val="28"/>
  </w:num>
  <w:num w:numId="29">
    <w:abstractNumId w:val="9"/>
  </w:num>
  <w:num w:numId="30">
    <w:abstractNumId w:val="41"/>
  </w:num>
  <w:num w:numId="31">
    <w:abstractNumId w:val="25"/>
  </w:num>
  <w:num w:numId="32">
    <w:abstractNumId w:val="29"/>
  </w:num>
  <w:num w:numId="33">
    <w:abstractNumId w:val="48"/>
  </w:num>
  <w:num w:numId="34">
    <w:abstractNumId w:val="7"/>
  </w:num>
  <w:num w:numId="35">
    <w:abstractNumId w:val="37"/>
  </w:num>
  <w:num w:numId="36">
    <w:abstractNumId w:val="51"/>
  </w:num>
  <w:num w:numId="37">
    <w:abstractNumId w:val="54"/>
  </w:num>
  <w:num w:numId="38">
    <w:abstractNumId w:val="47"/>
  </w:num>
  <w:num w:numId="39">
    <w:abstractNumId w:val="16"/>
  </w:num>
  <w:num w:numId="40">
    <w:abstractNumId w:val="44"/>
  </w:num>
  <w:num w:numId="41">
    <w:abstractNumId w:val="13"/>
  </w:num>
  <w:num w:numId="42">
    <w:abstractNumId w:val="4"/>
  </w:num>
  <w:num w:numId="43">
    <w:abstractNumId w:val="17"/>
  </w:num>
  <w:num w:numId="44">
    <w:abstractNumId w:val="27"/>
  </w:num>
  <w:num w:numId="45">
    <w:abstractNumId w:val="23"/>
  </w:num>
  <w:num w:numId="46">
    <w:abstractNumId w:val="33"/>
  </w:num>
  <w:num w:numId="47">
    <w:abstractNumId w:val="3"/>
  </w:num>
  <w:num w:numId="48">
    <w:abstractNumId w:val="8"/>
  </w:num>
  <w:num w:numId="49">
    <w:abstractNumId w:val="12"/>
  </w:num>
  <w:num w:numId="50">
    <w:abstractNumId w:val="35"/>
  </w:num>
  <w:num w:numId="51">
    <w:abstractNumId w:val="24"/>
  </w:num>
  <w:num w:numId="52">
    <w:abstractNumId w:val="2"/>
  </w:num>
  <w:num w:numId="53">
    <w:abstractNumId w:val="30"/>
  </w:num>
  <w:num w:numId="5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
  </w:num>
  <w:num w:numId="75">
    <w:abstractNumId w:val="31"/>
  </w:num>
  <w:num w:numId="76">
    <w:abstractNumId w:val="2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trackRevisions/>
  <w:defaultTabStop w:val="708"/>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1E1"/>
    <w:rsid w:val="0000024E"/>
    <w:rsid w:val="00000A59"/>
    <w:rsid w:val="00001374"/>
    <w:rsid w:val="00003786"/>
    <w:rsid w:val="00003A34"/>
    <w:rsid w:val="00003EAA"/>
    <w:rsid w:val="00004922"/>
    <w:rsid w:val="00007ACF"/>
    <w:rsid w:val="00007B41"/>
    <w:rsid w:val="00007F94"/>
    <w:rsid w:val="00007FC6"/>
    <w:rsid w:val="00011070"/>
    <w:rsid w:val="00012C12"/>
    <w:rsid w:val="000132D7"/>
    <w:rsid w:val="0001651A"/>
    <w:rsid w:val="00017DD1"/>
    <w:rsid w:val="00022730"/>
    <w:rsid w:val="00022E4C"/>
    <w:rsid w:val="0002484F"/>
    <w:rsid w:val="00024EB3"/>
    <w:rsid w:val="00025F6E"/>
    <w:rsid w:val="000267FE"/>
    <w:rsid w:val="0002761F"/>
    <w:rsid w:val="00027BFD"/>
    <w:rsid w:val="00030ED0"/>
    <w:rsid w:val="00033EFD"/>
    <w:rsid w:val="000348F9"/>
    <w:rsid w:val="00034FDD"/>
    <w:rsid w:val="000361C0"/>
    <w:rsid w:val="00037204"/>
    <w:rsid w:val="0004113A"/>
    <w:rsid w:val="00042011"/>
    <w:rsid w:val="00042169"/>
    <w:rsid w:val="00042B15"/>
    <w:rsid w:val="00042BEB"/>
    <w:rsid w:val="00042F62"/>
    <w:rsid w:val="000437EF"/>
    <w:rsid w:val="0004640B"/>
    <w:rsid w:val="00046929"/>
    <w:rsid w:val="0004720B"/>
    <w:rsid w:val="0004790B"/>
    <w:rsid w:val="00050C6E"/>
    <w:rsid w:val="0005545B"/>
    <w:rsid w:val="00055E54"/>
    <w:rsid w:val="00057BCB"/>
    <w:rsid w:val="00060A95"/>
    <w:rsid w:val="00061226"/>
    <w:rsid w:val="000625EC"/>
    <w:rsid w:val="000628B2"/>
    <w:rsid w:val="00064FB2"/>
    <w:rsid w:val="00065F1C"/>
    <w:rsid w:val="00066384"/>
    <w:rsid w:val="0006649B"/>
    <w:rsid w:val="00066655"/>
    <w:rsid w:val="00067B11"/>
    <w:rsid w:val="00067DA1"/>
    <w:rsid w:val="00070476"/>
    <w:rsid w:val="000704DD"/>
    <w:rsid w:val="00071003"/>
    <w:rsid w:val="0007175B"/>
    <w:rsid w:val="00072271"/>
    <w:rsid w:val="0007393D"/>
    <w:rsid w:val="000750C2"/>
    <w:rsid w:val="000754A0"/>
    <w:rsid w:val="00075B31"/>
    <w:rsid w:val="00076233"/>
    <w:rsid w:val="000771AD"/>
    <w:rsid w:val="00080229"/>
    <w:rsid w:val="00081A64"/>
    <w:rsid w:val="00081DBF"/>
    <w:rsid w:val="00082D6D"/>
    <w:rsid w:val="00084399"/>
    <w:rsid w:val="00085893"/>
    <w:rsid w:val="000858D8"/>
    <w:rsid w:val="00086516"/>
    <w:rsid w:val="00087025"/>
    <w:rsid w:val="00087DE7"/>
    <w:rsid w:val="00090F01"/>
    <w:rsid w:val="00091B20"/>
    <w:rsid w:val="000924E1"/>
    <w:rsid w:val="00093063"/>
    <w:rsid w:val="00093ECB"/>
    <w:rsid w:val="00096DFB"/>
    <w:rsid w:val="0009727E"/>
    <w:rsid w:val="00097C39"/>
    <w:rsid w:val="000A0F88"/>
    <w:rsid w:val="000A315C"/>
    <w:rsid w:val="000A3784"/>
    <w:rsid w:val="000A47FD"/>
    <w:rsid w:val="000A5777"/>
    <w:rsid w:val="000A6D74"/>
    <w:rsid w:val="000B0D66"/>
    <w:rsid w:val="000B2D42"/>
    <w:rsid w:val="000B318C"/>
    <w:rsid w:val="000B3746"/>
    <w:rsid w:val="000B3DBA"/>
    <w:rsid w:val="000B43A1"/>
    <w:rsid w:val="000B4B20"/>
    <w:rsid w:val="000B58F5"/>
    <w:rsid w:val="000B656F"/>
    <w:rsid w:val="000B6E72"/>
    <w:rsid w:val="000C1B4F"/>
    <w:rsid w:val="000C1C23"/>
    <w:rsid w:val="000C2416"/>
    <w:rsid w:val="000C38AE"/>
    <w:rsid w:val="000C4262"/>
    <w:rsid w:val="000C685B"/>
    <w:rsid w:val="000C77DB"/>
    <w:rsid w:val="000D2962"/>
    <w:rsid w:val="000D3DF3"/>
    <w:rsid w:val="000D5B42"/>
    <w:rsid w:val="000D6873"/>
    <w:rsid w:val="000D691E"/>
    <w:rsid w:val="000E1BCA"/>
    <w:rsid w:val="000E2116"/>
    <w:rsid w:val="000E21F7"/>
    <w:rsid w:val="000E2C8A"/>
    <w:rsid w:val="000E709B"/>
    <w:rsid w:val="000F11B1"/>
    <w:rsid w:val="000F1B78"/>
    <w:rsid w:val="000F1E82"/>
    <w:rsid w:val="000F2376"/>
    <w:rsid w:val="000F3E82"/>
    <w:rsid w:val="000F506E"/>
    <w:rsid w:val="000F5267"/>
    <w:rsid w:val="000F6475"/>
    <w:rsid w:val="000F6778"/>
    <w:rsid w:val="000F7549"/>
    <w:rsid w:val="00101728"/>
    <w:rsid w:val="00102009"/>
    <w:rsid w:val="001042DB"/>
    <w:rsid w:val="0010532D"/>
    <w:rsid w:val="001075B2"/>
    <w:rsid w:val="0011037F"/>
    <w:rsid w:val="00110693"/>
    <w:rsid w:val="0011279A"/>
    <w:rsid w:val="00113153"/>
    <w:rsid w:val="00113BDA"/>
    <w:rsid w:val="00114B09"/>
    <w:rsid w:val="00115303"/>
    <w:rsid w:val="00116A6A"/>
    <w:rsid w:val="00117750"/>
    <w:rsid w:val="00120172"/>
    <w:rsid w:val="00121C85"/>
    <w:rsid w:val="00121D1C"/>
    <w:rsid w:val="0012232B"/>
    <w:rsid w:val="00122401"/>
    <w:rsid w:val="001225B1"/>
    <w:rsid w:val="0012655B"/>
    <w:rsid w:val="00126B4F"/>
    <w:rsid w:val="00127148"/>
    <w:rsid w:val="0012734A"/>
    <w:rsid w:val="00130190"/>
    <w:rsid w:val="001302A5"/>
    <w:rsid w:val="00132988"/>
    <w:rsid w:val="00135141"/>
    <w:rsid w:val="001351B9"/>
    <w:rsid w:val="001356F7"/>
    <w:rsid w:val="00137503"/>
    <w:rsid w:val="0014041A"/>
    <w:rsid w:val="00140663"/>
    <w:rsid w:val="00141FEF"/>
    <w:rsid w:val="00143B54"/>
    <w:rsid w:val="00143D63"/>
    <w:rsid w:val="00144361"/>
    <w:rsid w:val="00145953"/>
    <w:rsid w:val="00147B43"/>
    <w:rsid w:val="0015054E"/>
    <w:rsid w:val="00151A1C"/>
    <w:rsid w:val="0015223E"/>
    <w:rsid w:val="00152EB4"/>
    <w:rsid w:val="00153995"/>
    <w:rsid w:val="001540D5"/>
    <w:rsid w:val="00154F3F"/>
    <w:rsid w:val="0015702C"/>
    <w:rsid w:val="00157F20"/>
    <w:rsid w:val="00160C4D"/>
    <w:rsid w:val="00161CDE"/>
    <w:rsid w:val="00164C49"/>
    <w:rsid w:val="00166BB5"/>
    <w:rsid w:val="00167E3C"/>
    <w:rsid w:val="00170361"/>
    <w:rsid w:val="00171AF5"/>
    <w:rsid w:val="001722E3"/>
    <w:rsid w:val="00172EF4"/>
    <w:rsid w:val="00175F65"/>
    <w:rsid w:val="001766AE"/>
    <w:rsid w:val="00177177"/>
    <w:rsid w:val="00180C0D"/>
    <w:rsid w:val="00180EC1"/>
    <w:rsid w:val="00181306"/>
    <w:rsid w:val="00181A56"/>
    <w:rsid w:val="00182A6F"/>
    <w:rsid w:val="00182C7A"/>
    <w:rsid w:val="0018303A"/>
    <w:rsid w:val="001834F9"/>
    <w:rsid w:val="00183DF5"/>
    <w:rsid w:val="00183F1E"/>
    <w:rsid w:val="00185AB8"/>
    <w:rsid w:val="00185D09"/>
    <w:rsid w:val="001907AB"/>
    <w:rsid w:val="001909F1"/>
    <w:rsid w:val="00190C45"/>
    <w:rsid w:val="0019154E"/>
    <w:rsid w:val="00192A52"/>
    <w:rsid w:val="00193351"/>
    <w:rsid w:val="0019410B"/>
    <w:rsid w:val="001970CC"/>
    <w:rsid w:val="00197E33"/>
    <w:rsid w:val="00197F96"/>
    <w:rsid w:val="001A055B"/>
    <w:rsid w:val="001A1530"/>
    <w:rsid w:val="001A1F80"/>
    <w:rsid w:val="001A247D"/>
    <w:rsid w:val="001A387B"/>
    <w:rsid w:val="001A49E4"/>
    <w:rsid w:val="001A5636"/>
    <w:rsid w:val="001A593B"/>
    <w:rsid w:val="001A5C1F"/>
    <w:rsid w:val="001A7724"/>
    <w:rsid w:val="001B1EEC"/>
    <w:rsid w:val="001B3024"/>
    <w:rsid w:val="001B3C63"/>
    <w:rsid w:val="001B3CC2"/>
    <w:rsid w:val="001B56F4"/>
    <w:rsid w:val="001B57B6"/>
    <w:rsid w:val="001B5E69"/>
    <w:rsid w:val="001B5F67"/>
    <w:rsid w:val="001B76FA"/>
    <w:rsid w:val="001C11D4"/>
    <w:rsid w:val="001C1C0E"/>
    <w:rsid w:val="001C365A"/>
    <w:rsid w:val="001C3828"/>
    <w:rsid w:val="001C3E64"/>
    <w:rsid w:val="001C426D"/>
    <w:rsid w:val="001C5957"/>
    <w:rsid w:val="001C5E56"/>
    <w:rsid w:val="001C7506"/>
    <w:rsid w:val="001D1197"/>
    <w:rsid w:val="001D1877"/>
    <w:rsid w:val="001D1A46"/>
    <w:rsid w:val="001D1EEF"/>
    <w:rsid w:val="001D283B"/>
    <w:rsid w:val="001D2924"/>
    <w:rsid w:val="001D2B97"/>
    <w:rsid w:val="001D32AD"/>
    <w:rsid w:val="001D3F9D"/>
    <w:rsid w:val="001D4D6C"/>
    <w:rsid w:val="001D55F5"/>
    <w:rsid w:val="001D5892"/>
    <w:rsid w:val="001D5B0A"/>
    <w:rsid w:val="001D5BA9"/>
    <w:rsid w:val="001D74FD"/>
    <w:rsid w:val="001D7FF0"/>
    <w:rsid w:val="001E1423"/>
    <w:rsid w:val="001E25C5"/>
    <w:rsid w:val="001E2E0B"/>
    <w:rsid w:val="001E6A57"/>
    <w:rsid w:val="001E77F4"/>
    <w:rsid w:val="001F19D0"/>
    <w:rsid w:val="001F221B"/>
    <w:rsid w:val="001F2590"/>
    <w:rsid w:val="001F2B49"/>
    <w:rsid w:val="001F3C28"/>
    <w:rsid w:val="001F41F8"/>
    <w:rsid w:val="001F5B84"/>
    <w:rsid w:val="001F6429"/>
    <w:rsid w:val="001F6C5A"/>
    <w:rsid w:val="00201A3E"/>
    <w:rsid w:val="00203884"/>
    <w:rsid w:val="00203C57"/>
    <w:rsid w:val="00207007"/>
    <w:rsid w:val="002071A4"/>
    <w:rsid w:val="0020777F"/>
    <w:rsid w:val="00207FA8"/>
    <w:rsid w:val="002100F5"/>
    <w:rsid w:val="00210500"/>
    <w:rsid w:val="00210FAA"/>
    <w:rsid w:val="00211542"/>
    <w:rsid w:val="00211D92"/>
    <w:rsid w:val="00212937"/>
    <w:rsid w:val="00213C25"/>
    <w:rsid w:val="0021517B"/>
    <w:rsid w:val="002156A5"/>
    <w:rsid w:val="00215AA6"/>
    <w:rsid w:val="00216B21"/>
    <w:rsid w:val="00217B90"/>
    <w:rsid w:val="002212C5"/>
    <w:rsid w:val="00221769"/>
    <w:rsid w:val="0022187B"/>
    <w:rsid w:val="002223E8"/>
    <w:rsid w:val="0022341D"/>
    <w:rsid w:val="002236A1"/>
    <w:rsid w:val="00223A24"/>
    <w:rsid w:val="00225992"/>
    <w:rsid w:val="0022629D"/>
    <w:rsid w:val="0022745A"/>
    <w:rsid w:val="00230EA1"/>
    <w:rsid w:val="0023294C"/>
    <w:rsid w:val="00233938"/>
    <w:rsid w:val="00233AA6"/>
    <w:rsid w:val="00233FF1"/>
    <w:rsid w:val="0023435E"/>
    <w:rsid w:val="0023686F"/>
    <w:rsid w:val="00237895"/>
    <w:rsid w:val="00237958"/>
    <w:rsid w:val="00237CC2"/>
    <w:rsid w:val="00241287"/>
    <w:rsid w:val="002413B6"/>
    <w:rsid w:val="002433DA"/>
    <w:rsid w:val="002435A2"/>
    <w:rsid w:val="002454F8"/>
    <w:rsid w:val="00246C0F"/>
    <w:rsid w:val="00247695"/>
    <w:rsid w:val="00247E9E"/>
    <w:rsid w:val="00251456"/>
    <w:rsid w:val="002519A6"/>
    <w:rsid w:val="00252169"/>
    <w:rsid w:val="00252F26"/>
    <w:rsid w:val="00253334"/>
    <w:rsid w:val="00253B52"/>
    <w:rsid w:val="0025404E"/>
    <w:rsid w:val="0025472A"/>
    <w:rsid w:val="00254911"/>
    <w:rsid w:val="00254AAA"/>
    <w:rsid w:val="00254F5C"/>
    <w:rsid w:val="002563D4"/>
    <w:rsid w:val="00256406"/>
    <w:rsid w:val="00257A77"/>
    <w:rsid w:val="00261213"/>
    <w:rsid w:val="00261EC0"/>
    <w:rsid w:val="00261EEA"/>
    <w:rsid w:val="002625C2"/>
    <w:rsid w:val="00262688"/>
    <w:rsid w:val="00264275"/>
    <w:rsid w:val="00266A15"/>
    <w:rsid w:val="00266F2B"/>
    <w:rsid w:val="00266F8F"/>
    <w:rsid w:val="00267AC6"/>
    <w:rsid w:val="002700BD"/>
    <w:rsid w:val="00272B8D"/>
    <w:rsid w:val="00273228"/>
    <w:rsid w:val="0027339A"/>
    <w:rsid w:val="00273523"/>
    <w:rsid w:val="0027432F"/>
    <w:rsid w:val="00274395"/>
    <w:rsid w:val="0027471A"/>
    <w:rsid w:val="0027489B"/>
    <w:rsid w:val="00274941"/>
    <w:rsid w:val="00276958"/>
    <w:rsid w:val="002814BA"/>
    <w:rsid w:val="00285B99"/>
    <w:rsid w:val="00287372"/>
    <w:rsid w:val="002903A5"/>
    <w:rsid w:val="00290DFB"/>
    <w:rsid w:val="002934A3"/>
    <w:rsid w:val="002939CA"/>
    <w:rsid w:val="00293BFD"/>
    <w:rsid w:val="00294C41"/>
    <w:rsid w:val="002976AD"/>
    <w:rsid w:val="002A0C4B"/>
    <w:rsid w:val="002A223E"/>
    <w:rsid w:val="002A2D57"/>
    <w:rsid w:val="002A3E74"/>
    <w:rsid w:val="002A4B14"/>
    <w:rsid w:val="002A5076"/>
    <w:rsid w:val="002A74A2"/>
    <w:rsid w:val="002A74A5"/>
    <w:rsid w:val="002B0641"/>
    <w:rsid w:val="002B17E8"/>
    <w:rsid w:val="002B1906"/>
    <w:rsid w:val="002B1BA7"/>
    <w:rsid w:val="002B4186"/>
    <w:rsid w:val="002B4320"/>
    <w:rsid w:val="002B50FE"/>
    <w:rsid w:val="002B71BA"/>
    <w:rsid w:val="002B7553"/>
    <w:rsid w:val="002B75F1"/>
    <w:rsid w:val="002C1AB4"/>
    <w:rsid w:val="002C20A0"/>
    <w:rsid w:val="002C3F1F"/>
    <w:rsid w:val="002C41C1"/>
    <w:rsid w:val="002C5AF9"/>
    <w:rsid w:val="002C7452"/>
    <w:rsid w:val="002C7F6A"/>
    <w:rsid w:val="002D08F0"/>
    <w:rsid w:val="002D1138"/>
    <w:rsid w:val="002D3016"/>
    <w:rsid w:val="002D44D9"/>
    <w:rsid w:val="002D4FC2"/>
    <w:rsid w:val="002D5FD5"/>
    <w:rsid w:val="002D63C8"/>
    <w:rsid w:val="002D6780"/>
    <w:rsid w:val="002D6B61"/>
    <w:rsid w:val="002E16B8"/>
    <w:rsid w:val="002E31F4"/>
    <w:rsid w:val="002E3AE5"/>
    <w:rsid w:val="002E3AE9"/>
    <w:rsid w:val="002E4852"/>
    <w:rsid w:val="002E56FD"/>
    <w:rsid w:val="002E6FA9"/>
    <w:rsid w:val="002F12FB"/>
    <w:rsid w:val="002F1944"/>
    <w:rsid w:val="002F3580"/>
    <w:rsid w:val="002F4C89"/>
    <w:rsid w:val="002F4F33"/>
    <w:rsid w:val="002F526D"/>
    <w:rsid w:val="002F530F"/>
    <w:rsid w:val="002F5775"/>
    <w:rsid w:val="002F7B85"/>
    <w:rsid w:val="003005E7"/>
    <w:rsid w:val="003006B7"/>
    <w:rsid w:val="00301DE0"/>
    <w:rsid w:val="0030272F"/>
    <w:rsid w:val="00302DEC"/>
    <w:rsid w:val="003034CE"/>
    <w:rsid w:val="003036BA"/>
    <w:rsid w:val="00303F95"/>
    <w:rsid w:val="003041F2"/>
    <w:rsid w:val="00304B38"/>
    <w:rsid w:val="00304FD4"/>
    <w:rsid w:val="00307228"/>
    <w:rsid w:val="00311643"/>
    <w:rsid w:val="00312A2F"/>
    <w:rsid w:val="003139C5"/>
    <w:rsid w:val="003140FA"/>
    <w:rsid w:val="00314653"/>
    <w:rsid w:val="00314E5A"/>
    <w:rsid w:val="003168BC"/>
    <w:rsid w:val="00317598"/>
    <w:rsid w:val="003209CC"/>
    <w:rsid w:val="00321D5D"/>
    <w:rsid w:val="00321F1A"/>
    <w:rsid w:val="00323D23"/>
    <w:rsid w:val="00325210"/>
    <w:rsid w:val="003254BC"/>
    <w:rsid w:val="003256DD"/>
    <w:rsid w:val="00327214"/>
    <w:rsid w:val="00327AFA"/>
    <w:rsid w:val="00330E33"/>
    <w:rsid w:val="00330F00"/>
    <w:rsid w:val="003315B6"/>
    <w:rsid w:val="00331B25"/>
    <w:rsid w:val="003341E1"/>
    <w:rsid w:val="003352BE"/>
    <w:rsid w:val="00335561"/>
    <w:rsid w:val="0033574F"/>
    <w:rsid w:val="00336EDA"/>
    <w:rsid w:val="003376D5"/>
    <w:rsid w:val="00337832"/>
    <w:rsid w:val="00340B46"/>
    <w:rsid w:val="00341EE0"/>
    <w:rsid w:val="00341F0D"/>
    <w:rsid w:val="00342B00"/>
    <w:rsid w:val="0034406F"/>
    <w:rsid w:val="0034465A"/>
    <w:rsid w:val="00345103"/>
    <w:rsid w:val="00345D65"/>
    <w:rsid w:val="00346709"/>
    <w:rsid w:val="00346D26"/>
    <w:rsid w:val="00353930"/>
    <w:rsid w:val="00353E05"/>
    <w:rsid w:val="003547A1"/>
    <w:rsid w:val="0035620F"/>
    <w:rsid w:val="0035682A"/>
    <w:rsid w:val="003571E7"/>
    <w:rsid w:val="00357635"/>
    <w:rsid w:val="00357870"/>
    <w:rsid w:val="0036269F"/>
    <w:rsid w:val="00363C8C"/>
    <w:rsid w:val="00363ED2"/>
    <w:rsid w:val="00364968"/>
    <w:rsid w:val="003664A3"/>
    <w:rsid w:val="003705DB"/>
    <w:rsid w:val="003709F3"/>
    <w:rsid w:val="00371565"/>
    <w:rsid w:val="00371A86"/>
    <w:rsid w:val="00372FCD"/>
    <w:rsid w:val="00373F7E"/>
    <w:rsid w:val="00374036"/>
    <w:rsid w:val="00376D28"/>
    <w:rsid w:val="003803E4"/>
    <w:rsid w:val="00381A20"/>
    <w:rsid w:val="0038394F"/>
    <w:rsid w:val="00384376"/>
    <w:rsid w:val="0038557D"/>
    <w:rsid w:val="00385FA6"/>
    <w:rsid w:val="00385FEA"/>
    <w:rsid w:val="0038688B"/>
    <w:rsid w:val="00391779"/>
    <w:rsid w:val="00392B5D"/>
    <w:rsid w:val="003944D2"/>
    <w:rsid w:val="00395562"/>
    <w:rsid w:val="00396449"/>
    <w:rsid w:val="00396F7C"/>
    <w:rsid w:val="00397581"/>
    <w:rsid w:val="00397CA7"/>
    <w:rsid w:val="003A0BF1"/>
    <w:rsid w:val="003A15F0"/>
    <w:rsid w:val="003A2F93"/>
    <w:rsid w:val="003A392B"/>
    <w:rsid w:val="003A4589"/>
    <w:rsid w:val="003A4726"/>
    <w:rsid w:val="003A49F2"/>
    <w:rsid w:val="003A6122"/>
    <w:rsid w:val="003A65D8"/>
    <w:rsid w:val="003B0210"/>
    <w:rsid w:val="003B0EE7"/>
    <w:rsid w:val="003B30D8"/>
    <w:rsid w:val="003B5840"/>
    <w:rsid w:val="003B6FF3"/>
    <w:rsid w:val="003C1FC5"/>
    <w:rsid w:val="003C3334"/>
    <w:rsid w:val="003C3B8D"/>
    <w:rsid w:val="003C3C3B"/>
    <w:rsid w:val="003C558B"/>
    <w:rsid w:val="003C6967"/>
    <w:rsid w:val="003D0264"/>
    <w:rsid w:val="003D16D1"/>
    <w:rsid w:val="003D32B3"/>
    <w:rsid w:val="003D3569"/>
    <w:rsid w:val="003D3E00"/>
    <w:rsid w:val="003D4450"/>
    <w:rsid w:val="003D45DE"/>
    <w:rsid w:val="003D4DE6"/>
    <w:rsid w:val="003D6230"/>
    <w:rsid w:val="003D6542"/>
    <w:rsid w:val="003E04B5"/>
    <w:rsid w:val="003E0F40"/>
    <w:rsid w:val="003E359B"/>
    <w:rsid w:val="003E419F"/>
    <w:rsid w:val="003E745E"/>
    <w:rsid w:val="003E7C47"/>
    <w:rsid w:val="003F030E"/>
    <w:rsid w:val="003F1C5F"/>
    <w:rsid w:val="003F31B1"/>
    <w:rsid w:val="003F3714"/>
    <w:rsid w:val="004000B2"/>
    <w:rsid w:val="004013FB"/>
    <w:rsid w:val="0040162B"/>
    <w:rsid w:val="004037F8"/>
    <w:rsid w:val="00403D12"/>
    <w:rsid w:val="004050A6"/>
    <w:rsid w:val="004061B0"/>
    <w:rsid w:val="00410F45"/>
    <w:rsid w:val="0041134B"/>
    <w:rsid w:val="0041151E"/>
    <w:rsid w:val="00413976"/>
    <w:rsid w:val="004148C6"/>
    <w:rsid w:val="004153D2"/>
    <w:rsid w:val="00416378"/>
    <w:rsid w:val="00416B27"/>
    <w:rsid w:val="00416BF2"/>
    <w:rsid w:val="00416F02"/>
    <w:rsid w:val="00417B64"/>
    <w:rsid w:val="00420900"/>
    <w:rsid w:val="0042157F"/>
    <w:rsid w:val="00422202"/>
    <w:rsid w:val="00423D38"/>
    <w:rsid w:val="00424AC3"/>
    <w:rsid w:val="004252B0"/>
    <w:rsid w:val="004265D2"/>
    <w:rsid w:val="00427BE7"/>
    <w:rsid w:val="0043060B"/>
    <w:rsid w:val="0043123A"/>
    <w:rsid w:val="0043136F"/>
    <w:rsid w:val="00431429"/>
    <w:rsid w:val="00431582"/>
    <w:rsid w:val="00431C55"/>
    <w:rsid w:val="00432D23"/>
    <w:rsid w:val="00433B1F"/>
    <w:rsid w:val="00433BD7"/>
    <w:rsid w:val="00433CE8"/>
    <w:rsid w:val="0043406F"/>
    <w:rsid w:val="004341BB"/>
    <w:rsid w:val="0043455E"/>
    <w:rsid w:val="004368AB"/>
    <w:rsid w:val="0044158E"/>
    <w:rsid w:val="00441CBF"/>
    <w:rsid w:val="00442D68"/>
    <w:rsid w:val="0044371E"/>
    <w:rsid w:val="004437C3"/>
    <w:rsid w:val="004441B7"/>
    <w:rsid w:val="00446716"/>
    <w:rsid w:val="00451931"/>
    <w:rsid w:val="00453160"/>
    <w:rsid w:val="00454BFC"/>
    <w:rsid w:val="00455AA4"/>
    <w:rsid w:val="00455BE2"/>
    <w:rsid w:val="004572CE"/>
    <w:rsid w:val="00457989"/>
    <w:rsid w:val="00457C2C"/>
    <w:rsid w:val="00461E71"/>
    <w:rsid w:val="0046209C"/>
    <w:rsid w:val="00462E37"/>
    <w:rsid w:val="0046464A"/>
    <w:rsid w:val="00464F2B"/>
    <w:rsid w:val="00467406"/>
    <w:rsid w:val="004678BC"/>
    <w:rsid w:val="00470789"/>
    <w:rsid w:val="00471811"/>
    <w:rsid w:val="004730F6"/>
    <w:rsid w:val="00473355"/>
    <w:rsid w:val="00473B0C"/>
    <w:rsid w:val="00474270"/>
    <w:rsid w:val="00476BF3"/>
    <w:rsid w:val="00476C7B"/>
    <w:rsid w:val="00477970"/>
    <w:rsid w:val="00477FA6"/>
    <w:rsid w:val="004801C6"/>
    <w:rsid w:val="00480ACF"/>
    <w:rsid w:val="0048196C"/>
    <w:rsid w:val="0048265B"/>
    <w:rsid w:val="004827C0"/>
    <w:rsid w:val="00483863"/>
    <w:rsid w:val="004838BB"/>
    <w:rsid w:val="00483DA7"/>
    <w:rsid w:val="00485E0D"/>
    <w:rsid w:val="00486779"/>
    <w:rsid w:val="00492C7A"/>
    <w:rsid w:val="00493943"/>
    <w:rsid w:val="004942C8"/>
    <w:rsid w:val="00496EE4"/>
    <w:rsid w:val="00497E3B"/>
    <w:rsid w:val="004A2232"/>
    <w:rsid w:val="004A2745"/>
    <w:rsid w:val="004A2BE1"/>
    <w:rsid w:val="004A3B77"/>
    <w:rsid w:val="004A3C7A"/>
    <w:rsid w:val="004A570D"/>
    <w:rsid w:val="004A6621"/>
    <w:rsid w:val="004A6B9A"/>
    <w:rsid w:val="004A725C"/>
    <w:rsid w:val="004A77D6"/>
    <w:rsid w:val="004B0A74"/>
    <w:rsid w:val="004B120C"/>
    <w:rsid w:val="004B14DA"/>
    <w:rsid w:val="004B17A5"/>
    <w:rsid w:val="004B17EA"/>
    <w:rsid w:val="004B1C1E"/>
    <w:rsid w:val="004B1E3D"/>
    <w:rsid w:val="004B3511"/>
    <w:rsid w:val="004B423A"/>
    <w:rsid w:val="004B4338"/>
    <w:rsid w:val="004B44BD"/>
    <w:rsid w:val="004B4E2F"/>
    <w:rsid w:val="004B64B9"/>
    <w:rsid w:val="004B71FF"/>
    <w:rsid w:val="004B76CB"/>
    <w:rsid w:val="004B7D86"/>
    <w:rsid w:val="004B7EA0"/>
    <w:rsid w:val="004C24A2"/>
    <w:rsid w:val="004C2D90"/>
    <w:rsid w:val="004C5079"/>
    <w:rsid w:val="004C5E4C"/>
    <w:rsid w:val="004C60EB"/>
    <w:rsid w:val="004C6349"/>
    <w:rsid w:val="004C745E"/>
    <w:rsid w:val="004D11BA"/>
    <w:rsid w:val="004D20BA"/>
    <w:rsid w:val="004D2522"/>
    <w:rsid w:val="004D3008"/>
    <w:rsid w:val="004D3021"/>
    <w:rsid w:val="004D36A4"/>
    <w:rsid w:val="004D493B"/>
    <w:rsid w:val="004D7B04"/>
    <w:rsid w:val="004D7BC2"/>
    <w:rsid w:val="004E0E9B"/>
    <w:rsid w:val="004E149F"/>
    <w:rsid w:val="004E195E"/>
    <w:rsid w:val="004E215E"/>
    <w:rsid w:val="004E2D62"/>
    <w:rsid w:val="004E6079"/>
    <w:rsid w:val="004F1DF4"/>
    <w:rsid w:val="004F36C9"/>
    <w:rsid w:val="004F5853"/>
    <w:rsid w:val="004F6974"/>
    <w:rsid w:val="004F7047"/>
    <w:rsid w:val="00500226"/>
    <w:rsid w:val="0050029A"/>
    <w:rsid w:val="00501D3E"/>
    <w:rsid w:val="00501EE7"/>
    <w:rsid w:val="005020D8"/>
    <w:rsid w:val="005037F8"/>
    <w:rsid w:val="00504DFB"/>
    <w:rsid w:val="005057AD"/>
    <w:rsid w:val="005062AE"/>
    <w:rsid w:val="005068CA"/>
    <w:rsid w:val="0050754F"/>
    <w:rsid w:val="0050796E"/>
    <w:rsid w:val="0051025A"/>
    <w:rsid w:val="00511130"/>
    <w:rsid w:val="00513334"/>
    <w:rsid w:val="00514349"/>
    <w:rsid w:val="005144D9"/>
    <w:rsid w:val="005158BE"/>
    <w:rsid w:val="005162A5"/>
    <w:rsid w:val="00522D5F"/>
    <w:rsid w:val="00526115"/>
    <w:rsid w:val="005268FF"/>
    <w:rsid w:val="00526D8E"/>
    <w:rsid w:val="0053667B"/>
    <w:rsid w:val="0053674C"/>
    <w:rsid w:val="00537CDE"/>
    <w:rsid w:val="00540AE5"/>
    <w:rsid w:val="00540DD7"/>
    <w:rsid w:val="005415B9"/>
    <w:rsid w:val="005421FF"/>
    <w:rsid w:val="0054384C"/>
    <w:rsid w:val="00545716"/>
    <w:rsid w:val="00553B77"/>
    <w:rsid w:val="00554CC1"/>
    <w:rsid w:val="005561D4"/>
    <w:rsid w:val="00556CB9"/>
    <w:rsid w:val="0055724C"/>
    <w:rsid w:val="005574F4"/>
    <w:rsid w:val="00557F94"/>
    <w:rsid w:val="00560201"/>
    <w:rsid w:val="0056146C"/>
    <w:rsid w:val="005624AB"/>
    <w:rsid w:val="00562934"/>
    <w:rsid w:val="00562AC1"/>
    <w:rsid w:val="00562B73"/>
    <w:rsid w:val="005631D6"/>
    <w:rsid w:val="0056345A"/>
    <w:rsid w:val="005649DD"/>
    <w:rsid w:val="005650F7"/>
    <w:rsid w:val="0056580F"/>
    <w:rsid w:val="00565E36"/>
    <w:rsid w:val="00565F47"/>
    <w:rsid w:val="0057020D"/>
    <w:rsid w:val="0057130F"/>
    <w:rsid w:val="005720B7"/>
    <w:rsid w:val="00575323"/>
    <w:rsid w:val="00580151"/>
    <w:rsid w:val="005828A0"/>
    <w:rsid w:val="00583593"/>
    <w:rsid w:val="005841C2"/>
    <w:rsid w:val="005857F6"/>
    <w:rsid w:val="005865A5"/>
    <w:rsid w:val="00587409"/>
    <w:rsid w:val="005901E6"/>
    <w:rsid w:val="00591361"/>
    <w:rsid w:val="0059147B"/>
    <w:rsid w:val="00591DC3"/>
    <w:rsid w:val="005922EA"/>
    <w:rsid w:val="00592357"/>
    <w:rsid w:val="00592D19"/>
    <w:rsid w:val="00593057"/>
    <w:rsid w:val="00593485"/>
    <w:rsid w:val="0059431E"/>
    <w:rsid w:val="00594D51"/>
    <w:rsid w:val="00595CE2"/>
    <w:rsid w:val="00597F2D"/>
    <w:rsid w:val="005A11F7"/>
    <w:rsid w:val="005A1754"/>
    <w:rsid w:val="005A29C6"/>
    <w:rsid w:val="005A2EE0"/>
    <w:rsid w:val="005A34F0"/>
    <w:rsid w:val="005A4876"/>
    <w:rsid w:val="005A6103"/>
    <w:rsid w:val="005B2F47"/>
    <w:rsid w:val="005B328C"/>
    <w:rsid w:val="005B32E5"/>
    <w:rsid w:val="005B3572"/>
    <w:rsid w:val="005B3E0F"/>
    <w:rsid w:val="005B54F7"/>
    <w:rsid w:val="005B5934"/>
    <w:rsid w:val="005B7D5B"/>
    <w:rsid w:val="005C03D6"/>
    <w:rsid w:val="005C30FC"/>
    <w:rsid w:val="005C3778"/>
    <w:rsid w:val="005C6F68"/>
    <w:rsid w:val="005C764E"/>
    <w:rsid w:val="005D0B60"/>
    <w:rsid w:val="005D2279"/>
    <w:rsid w:val="005D3CBE"/>
    <w:rsid w:val="005D6CA2"/>
    <w:rsid w:val="005D7548"/>
    <w:rsid w:val="005D77EC"/>
    <w:rsid w:val="005D797B"/>
    <w:rsid w:val="005E00DA"/>
    <w:rsid w:val="005E11D7"/>
    <w:rsid w:val="005E1FA8"/>
    <w:rsid w:val="005E3B29"/>
    <w:rsid w:val="005E501D"/>
    <w:rsid w:val="005E533B"/>
    <w:rsid w:val="005E630A"/>
    <w:rsid w:val="005F1974"/>
    <w:rsid w:val="005F1F27"/>
    <w:rsid w:val="005F201F"/>
    <w:rsid w:val="005F238E"/>
    <w:rsid w:val="005F2B40"/>
    <w:rsid w:val="005F2CF1"/>
    <w:rsid w:val="005F304A"/>
    <w:rsid w:val="005F6C8F"/>
    <w:rsid w:val="006005E9"/>
    <w:rsid w:val="00600F84"/>
    <w:rsid w:val="00601FF2"/>
    <w:rsid w:val="006046B3"/>
    <w:rsid w:val="0060500B"/>
    <w:rsid w:val="00605487"/>
    <w:rsid w:val="00605C98"/>
    <w:rsid w:val="00606F64"/>
    <w:rsid w:val="006070C6"/>
    <w:rsid w:val="006075D5"/>
    <w:rsid w:val="00607B23"/>
    <w:rsid w:val="00610D2B"/>
    <w:rsid w:val="00612CF9"/>
    <w:rsid w:val="00613E20"/>
    <w:rsid w:val="00614BDA"/>
    <w:rsid w:val="00617198"/>
    <w:rsid w:val="0061784B"/>
    <w:rsid w:val="0062114A"/>
    <w:rsid w:val="006212F6"/>
    <w:rsid w:val="0062144E"/>
    <w:rsid w:val="006220EA"/>
    <w:rsid w:val="00623A9B"/>
    <w:rsid w:val="0062488F"/>
    <w:rsid w:val="00625C37"/>
    <w:rsid w:val="00626F2E"/>
    <w:rsid w:val="00627214"/>
    <w:rsid w:val="006279AB"/>
    <w:rsid w:val="0063015C"/>
    <w:rsid w:val="00630B9F"/>
    <w:rsid w:val="006317C6"/>
    <w:rsid w:val="00632173"/>
    <w:rsid w:val="00635764"/>
    <w:rsid w:val="00635F85"/>
    <w:rsid w:val="006415F6"/>
    <w:rsid w:val="006416BA"/>
    <w:rsid w:val="00642BA2"/>
    <w:rsid w:val="006448CF"/>
    <w:rsid w:val="00646B94"/>
    <w:rsid w:val="00647062"/>
    <w:rsid w:val="00647744"/>
    <w:rsid w:val="00655FEF"/>
    <w:rsid w:val="006561E1"/>
    <w:rsid w:val="006567F2"/>
    <w:rsid w:val="00656A0E"/>
    <w:rsid w:val="00657F21"/>
    <w:rsid w:val="00661000"/>
    <w:rsid w:val="00662349"/>
    <w:rsid w:val="00664618"/>
    <w:rsid w:val="00664E27"/>
    <w:rsid w:val="00665979"/>
    <w:rsid w:val="00665ADD"/>
    <w:rsid w:val="006679B6"/>
    <w:rsid w:val="00670BD5"/>
    <w:rsid w:val="0067101E"/>
    <w:rsid w:val="00671E30"/>
    <w:rsid w:val="00674307"/>
    <w:rsid w:val="006747DD"/>
    <w:rsid w:val="0067716D"/>
    <w:rsid w:val="006774A6"/>
    <w:rsid w:val="00677639"/>
    <w:rsid w:val="00677C02"/>
    <w:rsid w:val="0068059D"/>
    <w:rsid w:val="00680B5C"/>
    <w:rsid w:val="0068157A"/>
    <w:rsid w:val="00682C16"/>
    <w:rsid w:val="00682FBD"/>
    <w:rsid w:val="00683E47"/>
    <w:rsid w:val="00683F34"/>
    <w:rsid w:val="006842C8"/>
    <w:rsid w:val="0068476B"/>
    <w:rsid w:val="006874B8"/>
    <w:rsid w:val="0069045C"/>
    <w:rsid w:val="006914B7"/>
    <w:rsid w:val="00691942"/>
    <w:rsid w:val="006931CD"/>
    <w:rsid w:val="00694AD9"/>
    <w:rsid w:val="00695E9F"/>
    <w:rsid w:val="006A0D72"/>
    <w:rsid w:val="006A1E7C"/>
    <w:rsid w:val="006A4A73"/>
    <w:rsid w:val="006A68CD"/>
    <w:rsid w:val="006A74BB"/>
    <w:rsid w:val="006A7DD3"/>
    <w:rsid w:val="006B1DB8"/>
    <w:rsid w:val="006B3B5F"/>
    <w:rsid w:val="006B4240"/>
    <w:rsid w:val="006B5500"/>
    <w:rsid w:val="006B58EE"/>
    <w:rsid w:val="006B64C0"/>
    <w:rsid w:val="006B6540"/>
    <w:rsid w:val="006B7426"/>
    <w:rsid w:val="006C2B8B"/>
    <w:rsid w:val="006C4054"/>
    <w:rsid w:val="006C4374"/>
    <w:rsid w:val="006C464B"/>
    <w:rsid w:val="006C47F2"/>
    <w:rsid w:val="006C4A17"/>
    <w:rsid w:val="006C5135"/>
    <w:rsid w:val="006C55C7"/>
    <w:rsid w:val="006C56BA"/>
    <w:rsid w:val="006C7B31"/>
    <w:rsid w:val="006C7B7E"/>
    <w:rsid w:val="006D5148"/>
    <w:rsid w:val="006D5DBA"/>
    <w:rsid w:val="006E0171"/>
    <w:rsid w:val="006E0C69"/>
    <w:rsid w:val="006E2E2A"/>
    <w:rsid w:val="006E379A"/>
    <w:rsid w:val="006E3842"/>
    <w:rsid w:val="006E4D0C"/>
    <w:rsid w:val="006E5D19"/>
    <w:rsid w:val="006E67B4"/>
    <w:rsid w:val="006E7E23"/>
    <w:rsid w:val="006F160C"/>
    <w:rsid w:val="006F1A2A"/>
    <w:rsid w:val="006F20EF"/>
    <w:rsid w:val="006F3B31"/>
    <w:rsid w:val="006F42A5"/>
    <w:rsid w:val="006F4666"/>
    <w:rsid w:val="006F5127"/>
    <w:rsid w:val="006F59FB"/>
    <w:rsid w:val="006F6D5C"/>
    <w:rsid w:val="006F70EF"/>
    <w:rsid w:val="006F7AAC"/>
    <w:rsid w:val="006F7C84"/>
    <w:rsid w:val="006F7E7D"/>
    <w:rsid w:val="00700CAA"/>
    <w:rsid w:val="00700EF1"/>
    <w:rsid w:val="007013B8"/>
    <w:rsid w:val="007014C1"/>
    <w:rsid w:val="0070154A"/>
    <w:rsid w:val="0070320F"/>
    <w:rsid w:val="00706BAA"/>
    <w:rsid w:val="00711310"/>
    <w:rsid w:val="00711EB4"/>
    <w:rsid w:val="00712B98"/>
    <w:rsid w:val="007130D4"/>
    <w:rsid w:val="00715241"/>
    <w:rsid w:val="00716AD5"/>
    <w:rsid w:val="0071724D"/>
    <w:rsid w:val="0072152E"/>
    <w:rsid w:val="00722500"/>
    <w:rsid w:val="00722998"/>
    <w:rsid w:val="00722B2E"/>
    <w:rsid w:val="007236E8"/>
    <w:rsid w:val="00723858"/>
    <w:rsid w:val="00723EA3"/>
    <w:rsid w:val="0072403F"/>
    <w:rsid w:val="0072485A"/>
    <w:rsid w:val="00724F18"/>
    <w:rsid w:val="00727227"/>
    <w:rsid w:val="007309BE"/>
    <w:rsid w:val="007314C9"/>
    <w:rsid w:val="00732070"/>
    <w:rsid w:val="00733DC7"/>
    <w:rsid w:val="00733F9C"/>
    <w:rsid w:val="00734D71"/>
    <w:rsid w:val="00735089"/>
    <w:rsid w:val="0073587E"/>
    <w:rsid w:val="00737851"/>
    <w:rsid w:val="007409CC"/>
    <w:rsid w:val="0074157F"/>
    <w:rsid w:val="00745378"/>
    <w:rsid w:val="00745911"/>
    <w:rsid w:val="00746FF4"/>
    <w:rsid w:val="00747452"/>
    <w:rsid w:val="0075128B"/>
    <w:rsid w:val="00751551"/>
    <w:rsid w:val="0075199F"/>
    <w:rsid w:val="00752004"/>
    <w:rsid w:val="007525C3"/>
    <w:rsid w:val="00753240"/>
    <w:rsid w:val="00754087"/>
    <w:rsid w:val="00754AD6"/>
    <w:rsid w:val="007579EF"/>
    <w:rsid w:val="007579FE"/>
    <w:rsid w:val="00760EB7"/>
    <w:rsid w:val="007637FC"/>
    <w:rsid w:val="0076490D"/>
    <w:rsid w:val="00765D98"/>
    <w:rsid w:val="00766B52"/>
    <w:rsid w:val="00770E77"/>
    <w:rsid w:val="00772A0F"/>
    <w:rsid w:val="00773313"/>
    <w:rsid w:val="00774952"/>
    <w:rsid w:val="007752F0"/>
    <w:rsid w:val="00775861"/>
    <w:rsid w:val="00775A6A"/>
    <w:rsid w:val="00776424"/>
    <w:rsid w:val="00776BD0"/>
    <w:rsid w:val="007774D1"/>
    <w:rsid w:val="00777F5C"/>
    <w:rsid w:val="00782562"/>
    <w:rsid w:val="00783E95"/>
    <w:rsid w:val="00784717"/>
    <w:rsid w:val="00784C2F"/>
    <w:rsid w:val="00785FE9"/>
    <w:rsid w:val="007879B9"/>
    <w:rsid w:val="007900DE"/>
    <w:rsid w:val="00790406"/>
    <w:rsid w:val="007905A4"/>
    <w:rsid w:val="00790914"/>
    <w:rsid w:val="00790E5D"/>
    <w:rsid w:val="007920AF"/>
    <w:rsid w:val="00793452"/>
    <w:rsid w:val="00793E8B"/>
    <w:rsid w:val="007943C5"/>
    <w:rsid w:val="00794F32"/>
    <w:rsid w:val="00795115"/>
    <w:rsid w:val="00795173"/>
    <w:rsid w:val="007974FA"/>
    <w:rsid w:val="007A0F3F"/>
    <w:rsid w:val="007A127D"/>
    <w:rsid w:val="007A197B"/>
    <w:rsid w:val="007A24AE"/>
    <w:rsid w:val="007A2F44"/>
    <w:rsid w:val="007A392E"/>
    <w:rsid w:val="007A48D7"/>
    <w:rsid w:val="007A65C4"/>
    <w:rsid w:val="007A699E"/>
    <w:rsid w:val="007A752D"/>
    <w:rsid w:val="007B07AF"/>
    <w:rsid w:val="007B0DDE"/>
    <w:rsid w:val="007B1543"/>
    <w:rsid w:val="007B2A2E"/>
    <w:rsid w:val="007B2DEF"/>
    <w:rsid w:val="007B3F79"/>
    <w:rsid w:val="007B463D"/>
    <w:rsid w:val="007B6168"/>
    <w:rsid w:val="007B669C"/>
    <w:rsid w:val="007B6E66"/>
    <w:rsid w:val="007B7552"/>
    <w:rsid w:val="007B7673"/>
    <w:rsid w:val="007B7750"/>
    <w:rsid w:val="007C0CDA"/>
    <w:rsid w:val="007C0E86"/>
    <w:rsid w:val="007C1AC4"/>
    <w:rsid w:val="007C1D48"/>
    <w:rsid w:val="007C1EE5"/>
    <w:rsid w:val="007C2066"/>
    <w:rsid w:val="007C22C5"/>
    <w:rsid w:val="007C252C"/>
    <w:rsid w:val="007C2546"/>
    <w:rsid w:val="007C5364"/>
    <w:rsid w:val="007C55DD"/>
    <w:rsid w:val="007C6E8B"/>
    <w:rsid w:val="007C7628"/>
    <w:rsid w:val="007D0783"/>
    <w:rsid w:val="007D0CF8"/>
    <w:rsid w:val="007D1614"/>
    <w:rsid w:val="007D1858"/>
    <w:rsid w:val="007D3287"/>
    <w:rsid w:val="007D61DA"/>
    <w:rsid w:val="007D6237"/>
    <w:rsid w:val="007E2558"/>
    <w:rsid w:val="007E2F0B"/>
    <w:rsid w:val="007E3EF9"/>
    <w:rsid w:val="007E49E5"/>
    <w:rsid w:val="007E4F38"/>
    <w:rsid w:val="007E52EE"/>
    <w:rsid w:val="007E545F"/>
    <w:rsid w:val="007E5742"/>
    <w:rsid w:val="007E6559"/>
    <w:rsid w:val="007F12E8"/>
    <w:rsid w:val="007F13BC"/>
    <w:rsid w:val="007F1467"/>
    <w:rsid w:val="007F1B20"/>
    <w:rsid w:val="007F1F28"/>
    <w:rsid w:val="007F23E6"/>
    <w:rsid w:val="007F2C10"/>
    <w:rsid w:val="007F3497"/>
    <w:rsid w:val="007F57B0"/>
    <w:rsid w:val="007F5B4B"/>
    <w:rsid w:val="007F5D7C"/>
    <w:rsid w:val="007F7407"/>
    <w:rsid w:val="0080112E"/>
    <w:rsid w:val="0080213F"/>
    <w:rsid w:val="0080268E"/>
    <w:rsid w:val="00803019"/>
    <w:rsid w:val="00803F3E"/>
    <w:rsid w:val="00807539"/>
    <w:rsid w:val="00807790"/>
    <w:rsid w:val="00807CDD"/>
    <w:rsid w:val="0081062D"/>
    <w:rsid w:val="008112FE"/>
    <w:rsid w:val="008119C9"/>
    <w:rsid w:val="00812D1F"/>
    <w:rsid w:val="0081314B"/>
    <w:rsid w:val="00813F23"/>
    <w:rsid w:val="00814104"/>
    <w:rsid w:val="0081650C"/>
    <w:rsid w:val="00816990"/>
    <w:rsid w:val="008175FD"/>
    <w:rsid w:val="00817837"/>
    <w:rsid w:val="00817840"/>
    <w:rsid w:val="00820B35"/>
    <w:rsid w:val="00821065"/>
    <w:rsid w:val="00821380"/>
    <w:rsid w:val="0082465D"/>
    <w:rsid w:val="0082490D"/>
    <w:rsid w:val="00825EDE"/>
    <w:rsid w:val="00826470"/>
    <w:rsid w:val="00830A45"/>
    <w:rsid w:val="00831C64"/>
    <w:rsid w:val="00833E81"/>
    <w:rsid w:val="00834005"/>
    <w:rsid w:val="008346A6"/>
    <w:rsid w:val="00835456"/>
    <w:rsid w:val="00835CCA"/>
    <w:rsid w:val="008369BD"/>
    <w:rsid w:val="008373E5"/>
    <w:rsid w:val="00837575"/>
    <w:rsid w:val="00837892"/>
    <w:rsid w:val="00837AF8"/>
    <w:rsid w:val="008425CE"/>
    <w:rsid w:val="00842D40"/>
    <w:rsid w:val="008436B9"/>
    <w:rsid w:val="0084453C"/>
    <w:rsid w:val="008449FF"/>
    <w:rsid w:val="00845238"/>
    <w:rsid w:val="00845C02"/>
    <w:rsid w:val="0085136F"/>
    <w:rsid w:val="00852EEF"/>
    <w:rsid w:val="00853C10"/>
    <w:rsid w:val="0085421B"/>
    <w:rsid w:val="00854519"/>
    <w:rsid w:val="008558D4"/>
    <w:rsid w:val="00856105"/>
    <w:rsid w:val="00857163"/>
    <w:rsid w:val="0086149D"/>
    <w:rsid w:val="00864C12"/>
    <w:rsid w:val="008655CD"/>
    <w:rsid w:val="008663CD"/>
    <w:rsid w:val="008671F3"/>
    <w:rsid w:val="008674AE"/>
    <w:rsid w:val="008703AB"/>
    <w:rsid w:val="00870B8E"/>
    <w:rsid w:val="00871301"/>
    <w:rsid w:val="008717C7"/>
    <w:rsid w:val="00871C1A"/>
    <w:rsid w:val="00871EC9"/>
    <w:rsid w:val="008726F2"/>
    <w:rsid w:val="00874B52"/>
    <w:rsid w:val="00875AA3"/>
    <w:rsid w:val="008763A0"/>
    <w:rsid w:val="00877954"/>
    <w:rsid w:val="00877984"/>
    <w:rsid w:val="008779D7"/>
    <w:rsid w:val="00881217"/>
    <w:rsid w:val="0088332F"/>
    <w:rsid w:val="00884BD3"/>
    <w:rsid w:val="0088558C"/>
    <w:rsid w:val="0088620F"/>
    <w:rsid w:val="00886600"/>
    <w:rsid w:val="00891DA0"/>
    <w:rsid w:val="008940BA"/>
    <w:rsid w:val="00895066"/>
    <w:rsid w:val="00896015"/>
    <w:rsid w:val="00897143"/>
    <w:rsid w:val="008A0B9B"/>
    <w:rsid w:val="008A2A16"/>
    <w:rsid w:val="008A38AA"/>
    <w:rsid w:val="008A50E2"/>
    <w:rsid w:val="008A6523"/>
    <w:rsid w:val="008A6CC4"/>
    <w:rsid w:val="008A7685"/>
    <w:rsid w:val="008A7E6D"/>
    <w:rsid w:val="008B0887"/>
    <w:rsid w:val="008B1A7A"/>
    <w:rsid w:val="008B3002"/>
    <w:rsid w:val="008B3649"/>
    <w:rsid w:val="008B71D6"/>
    <w:rsid w:val="008C0681"/>
    <w:rsid w:val="008C0CD3"/>
    <w:rsid w:val="008C14BE"/>
    <w:rsid w:val="008C153D"/>
    <w:rsid w:val="008C1A6E"/>
    <w:rsid w:val="008C2B16"/>
    <w:rsid w:val="008C2C6A"/>
    <w:rsid w:val="008C390B"/>
    <w:rsid w:val="008C3F1A"/>
    <w:rsid w:val="008C4DC6"/>
    <w:rsid w:val="008C5B44"/>
    <w:rsid w:val="008C5DF6"/>
    <w:rsid w:val="008D0DEE"/>
    <w:rsid w:val="008D1A01"/>
    <w:rsid w:val="008D341C"/>
    <w:rsid w:val="008D34F3"/>
    <w:rsid w:val="008D34F8"/>
    <w:rsid w:val="008D4E5D"/>
    <w:rsid w:val="008D4ED1"/>
    <w:rsid w:val="008D55D2"/>
    <w:rsid w:val="008D5627"/>
    <w:rsid w:val="008D58C0"/>
    <w:rsid w:val="008D5DBB"/>
    <w:rsid w:val="008D7458"/>
    <w:rsid w:val="008E1170"/>
    <w:rsid w:val="008E2F3F"/>
    <w:rsid w:val="008E2FEB"/>
    <w:rsid w:val="008E44F5"/>
    <w:rsid w:val="008E4E77"/>
    <w:rsid w:val="008E5A5F"/>
    <w:rsid w:val="008E6612"/>
    <w:rsid w:val="008E674F"/>
    <w:rsid w:val="008E698E"/>
    <w:rsid w:val="008E6992"/>
    <w:rsid w:val="008F0188"/>
    <w:rsid w:val="008F18A7"/>
    <w:rsid w:val="008F2273"/>
    <w:rsid w:val="008F2E6C"/>
    <w:rsid w:val="008F47E4"/>
    <w:rsid w:val="008F52B4"/>
    <w:rsid w:val="008F5FDA"/>
    <w:rsid w:val="008F662D"/>
    <w:rsid w:val="008F6EE4"/>
    <w:rsid w:val="008F6F0F"/>
    <w:rsid w:val="009033D3"/>
    <w:rsid w:val="00904344"/>
    <w:rsid w:val="00904B2F"/>
    <w:rsid w:val="00906820"/>
    <w:rsid w:val="00906AF1"/>
    <w:rsid w:val="00906EF1"/>
    <w:rsid w:val="00906FF8"/>
    <w:rsid w:val="00907A85"/>
    <w:rsid w:val="0091083E"/>
    <w:rsid w:val="00910B3D"/>
    <w:rsid w:val="00910E6B"/>
    <w:rsid w:val="0091224C"/>
    <w:rsid w:val="00912340"/>
    <w:rsid w:val="00914708"/>
    <w:rsid w:val="00914D67"/>
    <w:rsid w:val="00915E61"/>
    <w:rsid w:val="0091664E"/>
    <w:rsid w:val="009202AB"/>
    <w:rsid w:val="00920320"/>
    <w:rsid w:val="00922452"/>
    <w:rsid w:val="00922588"/>
    <w:rsid w:val="00923976"/>
    <w:rsid w:val="00924113"/>
    <w:rsid w:val="00925F89"/>
    <w:rsid w:val="0092746B"/>
    <w:rsid w:val="00927971"/>
    <w:rsid w:val="00930B1D"/>
    <w:rsid w:val="00930B30"/>
    <w:rsid w:val="00931037"/>
    <w:rsid w:val="00932CB8"/>
    <w:rsid w:val="00933328"/>
    <w:rsid w:val="00933D27"/>
    <w:rsid w:val="00934179"/>
    <w:rsid w:val="00935479"/>
    <w:rsid w:val="00935CA2"/>
    <w:rsid w:val="009410E2"/>
    <w:rsid w:val="00942A69"/>
    <w:rsid w:val="009434A8"/>
    <w:rsid w:val="00943C1D"/>
    <w:rsid w:val="0094485A"/>
    <w:rsid w:val="009449CE"/>
    <w:rsid w:val="00944CE3"/>
    <w:rsid w:val="00945099"/>
    <w:rsid w:val="00945823"/>
    <w:rsid w:val="0094720A"/>
    <w:rsid w:val="00947665"/>
    <w:rsid w:val="00947692"/>
    <w:rsid w:val="00947D4F"/>
    <w:rsid w:val="00947F41"/>
    <w:rsid w:val="00950CFF"/>
    <w:rsid w:val="00951180"/>
    <w:rsid w:val="00951FFC"/>
    <w:rsid w:val="0095230B"/>
    <w:rsid w:val="00953BAD"/>
    <w:rsid w:val="009544F5"/>
    <w:rsid w:val="00956F16"/>
    <w:rsid w:val="00956FA7"/>
    <w:rsid w:val="009606D5"/>
    <w:rsid w:val="009638E3"/>
    <w:rsid w:val="00964166"/>
    <w:rsid w:val="00965107"/>
    <w:rsid w:val="009655FB"/>
    <w:rsid w:val="009672AB"/>
    <w:rsid w:val="009677DA"/>
    <w:rsid w:val="0097025B"/>
    <w:rsid w:val="0097251C"/>
    <w:rsid w:val="00972C92"/>
    <w:rsid w:val="00973589"/>
    <w:rsid w:val="009745A0"/>
    <w:rsid w:val="00974F99"/>
    <w:rsid w:val="009763F0"/>
    <w:rsid w:val="00976659"/>
    <w:rsid w:val="00976C2B"/>
    <w:rsid w:val="00977C1E"/>
    <w:rsid w:val="009803C0"/>
    <w:rsid w:val="009821CF"/>
    <w:rsid w:val="00982E44"/>
    <w:rsid w:val="00983D13"/>
    <w:rsid w:val="0098449A"/>
    <w:rsid w:val="009846E9"/>
    <w:rsid w:val="00986E26"/>
    <w:rsid w:val="009877DC"/>
    <w:rsid w:val="00987BF8"/>
    <w:rsid w:val="009916BF"/>
    <w:rsid w:val="009921F2"/>
    <w:rsid w:val="00992769"/>
    <w:rsid w:val="00992F61"/>
    <w:rsid w:val="00994AFA"/>
    <w:rsid w:val="00994D93"/>
    <w:rsid w:val="0099508D"/>
    <w:rsid w:val="009A0183"/>
    <w:rsid w:val="009A1D3A"/>
    <w:rsid w:val="009A2831"/>
    <w:rsid w:val="009A386B"/>
    <w:rsid w:val="009A5AA7"/>
    <w:rsid w:val="009A5E84"/>
    <w:rsid w:val="009A7EB7"/>
    <w:rsid w:val="009B08FB"/>
    <w:rsid w:val="009B149A"/>
    <w:rsid w:val="009B1D9D"/>
    <w:rsid w:val="009B2A28"/>
    <w:rsid w:val="009B35F7"/>
    <w:rsid w:val="009B489A"/>
    <w:rsid w:val="009B54C6"/>
    <w:rsid w:val="009B5E78"/>
    <w:rsid w:val="009B6732"/>
    <w:rsid w:val="009B748A"/>
    <w:rsid w:val="009B7DB9"/>
    <w:rsid w:val="009C15D7"/>
    <w:rsid w:val="009C1813"/>
    <w:rsid w:val="009C2E9F"/>
    <w:rsid w:val="009C3357"/>
    <w:rsid w:val="009C3CDB"/>
    <w:rsid w:val="009C6E53"/>
    <w:rsid w:val="009D1228"/>
    <w:rsid w:val="009D1887"/>
    <w:rsid w:val="009D1945"/>
    <w:rsid w:val="009D2041"/>
    <w:rsid w:val="009D2236"/>
    <w:rsid w:val="009D2704"/>
    <w:rsid w:val="009D2CAE"/>
    <w:rsid w:val="009D4CE5"/>
    <w:rsid w:val="009D4EBB"/>
    <w:rsid w:val="009D6004"/>
    <w:rsid w:val="009D6315"/>
    <w:rsid w:val="009D7624"/>
    <w:rsid w:val="009D7DD9"/>
    <w:rsid w:val="009E112A"/>
    <w:rsid w:val="009E2316"/>
    <w:rsid w:val="009E2A81"/>
    <w:rsid w:val="009E2B43"/>
    <w:rsid w:val="009E2B45"/>
    <w:rsid w:val="009E3569"/>
    <w:rsid w:val="009E5087"/>
    <w:rsid w:val="009E69D4"/>
    <w:rsid w:val="009E7B50"/>
    <w:rsid w:val="009F0422"/>
    <w:rsid w:val="009F1CB7"/>
    <w:rsid w:val="009F3BD3"/>
    <w:rsid w:val="009F3BF2"/>
    <w:rsid w:val="009F3E04"/>
    <w:rsid w:val="009F5864"/>
    <w:rsid w:val="009F5E79"/>
    <w:rsid w:val="009F6F96"/>
    <w:rsid w:val="009F71DE"/>
    <w:rsid w:val="00A00276"/>
    <w:rsid w:val="00A012BD"/>
    <w:rsid w:val="00A01C91"/>
    <w:rsid w:val="00A028C7"/>
    <w:rsid w:val="00A03249"/>
    <w:rsid w:val="00A03312"/>
    <w:rsid w:val="00A036B2"/>
    <w:rsid w:val="00A058FC"/>
    <w:rsid w:val="00A1045A"/>
    <w:rsid w:val="00A10509"/>
    <w:rsid w:val="00A10BC0"/>
    <w:rsid w:val="00A1267B"/>
    <w:rsid w:val="00A1578C"/>
    <w:rsid w:val="00A16F4E"/>
    <w:rsid w:val="00A17162"/>
    <w:rsid w:val="00A17A22"/>
    <w:rsid w:val="00A208B0"/>
    <w:rsid w:val="00A20949"/>
    <w:rsid w:val="00A21A86"/>
    <w:rsid w:val="00A21C4B"/>
    <w:rsid w:val="00A22D14"/>
    <w:rsid w:val="00A245B3"/>
    <w:rsid w:val="00A24C20"/>
    <w:rsid w:val="00A2518F"/>
    <w:rsid w:val="00A25D0A"/>
    <w:rsid w:val="00A264E4"/>
    <w:rsid w:val="00A266A4"/>
    <w:rsid w:val="00A312FC"/>
    <w:rsid w:val="00A318D8"/>
    <w:rsid w:val="00A31A84"/>
    <w:rsid w:val="00A326BA"/>
    <w:rsid w:val="00A327EF"/>
    <w:rsid w:val="00A32863"/>
    <w:rsid w:val="00A33A92"/>
    <w:rsid w:val="00A34E7D"/>
    <w:rsid w:val="00A35566"/>
    <w:rsid w:val="00A35F56"/>
    <w:rsid w:val="00A37C13"/>
    <w:rsid w:val="00A37E26"/>
    <w:rsid w:val="00A410DB"/>
    <w:rsid w:val="00A43FFD"/>
    <w:rsid w:val="00A44356"/>
    <w:rsid w:val="00A448AD"/>
    <w:rsid w:val="00A448C1"/>
    <w:rsid w:val="00A45129"/>
    <w:rsid w:val="00A45402"/>
    <w:rsid w:val="00A4738F"/>
    <w:rsid w:val="00A47740"/>
    <w:rsid w:val="00A4775F"/>
    <w:rsid w:val="00A505F9"/>
    <w:rsid w:val="00A52253"/>
    <w:rsid w:val="00A5296D"/>
    <w:rsid w:val="00A57419"/>
    <w:rsid w:val="00A577A4"/>
    <w:rsid w:val="00A57DC5"/>
    <w:rsid w:val="00A60B7B"/>
    <w:rsid w:val="00A60CEF"/>
    <w:rsid w:val="00A60DF4"/>
    <w:rsid w:val="00A61E42"/>
    <w:rsid w:val="00A63D6A"/>
    <w:rsid w:val="00A6535B"/>
    <w:rsid w:val="00A65646"/>
    <w:rsid w:val="00A65AD0"/>
    <w:rsid w:val="00A6648B"/>
    <w:rsid w:val="00A71273"/>
    <w:rsid w:val="00A7153D"/>
    <w:rsid w:val="00A71E2E"/>
    <w:rsid w:val="00A7260A"/>
    <w:rsid w:val="00A737A7"/>
    <w:rsid w:val="00A745F8"/>
    <w:rsid w:val="00A76052"/>
    <w:rsid w:val="00A76993"/>
    <w:rsid w:val="00A773FD"/>
    <w:rsid w:val="00A81C0A"/>
    <w:rsid w:val="00A82311"/>
    <w:rsid w:val="00A82852"/>
    <w:rsid w:val="00A831DF"/>
    <w:rsid w:val="00A83BEC"/>
    <w:rsid w:val="00A84116"/>
    <w:rsid w:val="00A85415"/>
    <w:rsid w:val="00A85B7C"/>
    <w:rsid w:val="00A87B65"/>
    <w:rsid w:val="00A87C5B"/>
    <w:rsid w:val="00A90707"/>
    <w:rsid w:val="00A92051"/>
    <w:rsid w:val="00A92F6D"/>
    <w:rsid w:val="00A9409D"/>
    <w:rsid w:val="00A941B9"/>
    <w:rsid w:val="00A9490C"/>
    <w:rsid w:val="00A95718"/>
    <w:rsid w:val="00A970D1"/>
    <w:rsid w:val="00A97410"/>
    <w:rsid w:val="00AA0534"/>
    <w:rsid w:val="00AA113A"/>
    <w:rsid w:val="00AA4EBC"/>
    <w:rsid w:val="00AB02DD"/>
    <w:rsid w:val="00AB060B"/>
    <w:rsid w:val="00AB113F"/>
    <w:rsid w:val="00AB249A"/>
    <w:rsid w:val="00AB35E4"/>
    <w:rsid w:val="00AB574F"/>
    <w:rsid w:val="00AB7751"/>
    <w:rsid w:val="00AC0419"/>
    <w:rsid w:val="00AC0479"/>
    <w:rsid w:val="00AC3040"/>
    <w:rsid w:val="00AC3046"/>
    <w:rsid w:val="00AC31A9"/>
    <w:rsid w:val="00AC461F"/>
    <w:rsid w:val="00AC4ED5"/>
    <w:rsid w:val="00AC59E1"/>
    <w:rsid w:val="00AC673B"/>
    <w:rsid w:val="00AC6B9D"/>
    <w:rsid w:val="00AD0083"/>
    <w:rsid w:val="00AD0B95"/>
    <w:rsid w:val="00AD1B74"/>
    <w:rsid w:val="00AD2884"/>
    <w:rsid w:val="00AD3B4B"/>
    <w:rsid w:val="00AD4C8C"/>
    <w:rsid w:val="00AD572D"/>
    <w:rsid w:val="00AD5A9E"/>
    <w:rsid w:val="00AD6068"/>
    <w:rsid w:val="00AE1ECA"/>
    <w:rsid w:val="00AE497F"/>
    <w:rsid w:val="00AE5BFB"/>
    <w:rsid w:val="00AE5C7E"/>
    <w:rsid w:val="00AE6259"/>
    <w:rsid w:val="00AE634D"/>
    <w:rsid w:val="00AE6C2F"/>
    <w:rsid w:val="00AF0286"/>
    <w:rsid w:val="00AF02F2"/>
    <w:rsid w:val="00AF03A4"/>
    <w:rsid w:val="00AF0645"/>
    <w:rsid w:val="00AF1864"/>
    <w:rsid w:val="00AF4747"/>
    <w:rsid w:val="00AF70D7"/>
    <w:rsid w:val="00AF73F8"/>
    <w:rsid w:val="00B009CE"/>
    <w:rsid w:val="00B01010"/>
    <w:rsid w:val="00B01508"/>
    <w:rsid w:val="00B019A1"/>
    <w:rsid w:val="00B0253A"/>
    <w:rsid w:val="00B0299B"/>
    <w:rsid w:val="00B03681"/>
    <w:rsid w:val="00B05F17"/>
    <w:rsid w:val="00B065A5"/>
    <w:rsid w:val="00B076CA"/>
    <w:rsid w:val="00B076DA"/>
    <w:rsid w:val="00B10B1D"/>
    <w:rsid w:val="00B117C7"/>
    <w:rsid w:val="00B135EB"/>
    <w:rsid w:val="00B139D4"/>
    <w:rsid w:val="00B14A26"/>
    <w:rsid w:val="00B14D43"/>
    <w:rsid w:val="00B17A4B"/>
    <w:rsid w:val="00B20D11"/>
    <w:rsid w:val="00B21343"/>
    <w:rsid w:val="00B21DA0"/>
    <w:rsid w:val="00B21F89"/>
    <w:rsid w:val="00B2265B"/>
    <w:rsid w:val="00B2284C"/>
    <w:rsid w:val="00B238E1"/>
    <w:rsid w:val="00B24532"/>
    <w:rsid w:val="00B24C71"/>
    <w:rsid w:val="00B24D18"/>
    <w:rsid w:val="00B25898"/>
    <w:rsid w:val="00B3105E"/>
    <w:rsid w:val="00B318CA"/>
    <w:rsid w:val="00B32E6E"/>
    <w:rsid w:val="00B333D1"/>
    <w:rsid w:val="00B345B5"/>
    <w:rsid w:val="00B346C6"/>
    <w:rsid w:val="00B35482"/>
    <w:rsid w:val="00B35620"/>
    <w:rsid w:val="00B36AAB"/>
    <w:rsid w:val="00B407EA"/>
    <w:rsid w:val="00B412B8"/>
    <w:rsid w:val="00B420B7"/>
    <w:rsid w:val="00B42113"/>
    <w:rsid w:val="00B43CE0"/>
    <w:rsid w:val="00B455E6"/>
    <w:rsid w:val="00B46BA5"/>
    <w:rsid w:val="00B46E74"/>
    <w:rsid w:val="00B47049"/>
    <w:rsid w:val="00B520FD"/>
    <w:rsid w:val="00B52C7E"/>
    <w:rsid w:val="00B531AB"/>
    <w:rsid w:val="00B5359D"/>
    <w:rsid w:val="00B5506F"/>
    <w:rsid w:val="00B55A25"/>
    <w:rsid w:val="00B55D0C"/>
    <w:rsid w:val="00B55F2E"/>
    <w:rsid w:val="00B56695"/>
    <w:rsid w:val="00B570CF"/>
    <w:rsid w:val="00B572CD"/>
    <w:rsid w:val="00B60191"/>
    <w:rsid w:val="00B62BDF"/>
    <w:rsid w:val="00B62E6E"/>
    <w:rsid w:val="00B62F31"/>
    <w:rsid w:val="00B66508"/>
    <w:rsid w:val="00B66AFC"/>
    <w:rsid w:val="00B67416"/>
    <w:rsid w:val="00B675D6"/>
    <w:rsid w:val="00B70279"/>
    <w:rsid w:val="00B71B6D"/>
    <w:rsid w:val="00B74AFD"/>
    <w:rsid w:val="00B750DF"/>
    <w:rsid w:val="00B7680C"/>
    <w:rsid w:val="00B76B9F"/>
    <w:rsid w:val="00B76E9D"/>
    <w:rsid w:val="00B77AE5"/>
    <w:rsid w:val="00B80048"/>
    <w:rsid w:val="00B8095A"/>
    <w:rsid w:val="00B813BC"/>
    <w:rsid w:val="00B824FD"/>
    <w:rsid w:val="00B82F19"/>
    <w:rsid w:val="00B83180"/>
    <w:rsid w:val="00B8367E"/>
    <w:rsid w:val="00B84186"/>
    <w:rsid w:val="00B84BA3"/>
    <w:rsid w:val="00B86104"/>
    <w:rsid w:val="00B8786C"/>
    <w:rsid w:val="00B902C2"/>
    <w:rsid w:val="00B90C64"/>
    <w:rsid w:val="00B91A3D"/>
    <w:rsid w:val="00B92348"/>
    <w:rsid w:val="00B924F6"/>
    <w:rsid w:val="00B94C36"/>
    <w:rsid w:val="00B952C3"/>
    <w:rsid w:val="00B95439"/>
    <w:rsid w:val="00B96A40"/>
    <w:rsid w:val="00B96BB3"/>
    <w:rsid w:val="00B9734A"/>
    <w:rsid w:val="00B97E1D"/>
    <w:rsid w:val="00BA1697"/>
    <w:rsid w:val="00BA1B03"/>
    <w:rsid w:val="00BA2BE0"/>
    <w:rsid w:val="00BA49FA"/>
    <w:rsid w:val="00BA4F30"/>
    <w:rsid w:val="00BA55FB"/>
    <w:rsid w:val="00BA5A07"/>
    <w:rsid w:val="00BA5DF2"/>
    <w:rsid w:val="00BA671A"/>
    <w:rsid w:val="00BA7AB2"/>
    <w:rsid w:val="00BA7E78"/>
    <w:rsid w:val="00BA7F9E"/>
    <w:rsid w:val="00BB0031"/>
    <w:rsid w:val="00BB0229"/>
    <w:rsid w:val="00BB05CA"/>
    <w:rsid w:val="00BB2BCF"/>
    <w:rsid w:val="00BB32F4"/>
    <w:rsid w:val="00BB41FE"/>
    <w:rsid w:val="00BB623D"/>
    <w:rsid w:val="00BB7549"/>
    <w:rsid w:val="00BB77F5"/>
    <w:rsid w:val="00BB7E29"/>
    <w:rsid w:val="00BB7ECF"/>
    <w:rsid w:val="00BC058C"/>
    <w:rsid w:val="00BC082C"/>
    <w:rsid w:val="00BC0AB6"/>
    <w:rsid w:val="00BC0F7C"/>
    <w:rsid w:val="00BC15AE"/>
    <w:rsid w:val="00BC20D1"/>
    <w:rsid w:val="00BC2284"/>
    <w:rsid w:val="00BC238F"/>
    <w:rsid w:val="00BC27FE"/>
    <w:rsid w:val="00BC3B41"/>
    <w:rsid w:val="00BC5DC4"/>
    <w:rsid w:val="00BC6AE5"/>
    <w:rsid w:val="00BC774A"/>
    <w:rsid w:val="00BC7BCA"/>
    <w:rsid w:val="00BD2105"/>
    <w:rsid w:val="00BD2563"/>
    <w:rsid w:val="00BD280C"/>
    <w:rsid w:val="00BD2982"/>
    <w:rsid w:val="00BD2B1B"/>
    <w:rsid w:val="00BD2BD5"/>
    <w:rsid w:val="00BD42FB"/>
    <w:rsid w:val="00BD4CA2"/>
    <w:rsid w:val="00BD56C8"/>
    <w:rsid w:val="00BD61F4"/>
    <w:rsid w:val="00BD64C2"/>
    <w:rsid w:val="00BD65CE"/>
    <w:rsid w:val="00BD768C"/>
    <w:rsid w:val="00BD7A8B"/>
    <w:rsid w:val="00BD7EA5"/>
    <w:rsid w:val="00BE02E1"/>
    <w:rsid w:val="00BE1884"/>
    <w:rsid w:val="00BE5796"/>
    <w:rsid w:val="00BE582F"/>
    <w:rsid w:val="00BE5DED"/>
    <w:rsid w:val="00BE6ACC"/>
    <w:rsid w:val="00BE7964"/>
    <w:rsid w:val="00BE7E98"/>
    <w:rsid w:val="00BF00E5"/>
    <w:rsid w:val="00BF0553"/>
    <w:rsid w:val="00BF2EDA"/>
    <w:rsid w:val="00BF3C48"/>
    <w:rsid w:val="00BF6C4F"/>
    <w:rsid w:val="00BF704B"/>
    <w:rsid w:val="00BF7B3E"/>
    <w:rsid w:val="00C0095B"/>
    <w:rsid w:val="00C0114A"/>
    <w:rsid w:val="00C01A83"/>
    <w:rsid w:val="00C02E46"/>
    <w:rsid w:val="00C042DD"/>
    <w:rsid w:val="00C04635"/>
    <w:rsid w:val="00C05025"/>
    <w:rsid w:val="00C060E1"/>
    <w:rsid w:val="00C06F89"/>
    <w:rsid w:val="00C07300"/>
    <w:rsid w:val="00C12A00"/>
    <w:rsid w:val="00C14D9E"/>
    <w:rsid w:val="00C1568F"/>
    <w:rsid w:val="00C157A9"/>
    <w:rsid w:val="00C20B34"/>
    <w:rsid w:val="00C23E66"/>
    <w:rsid w:val="00C2784F"/>
    <w:rsid w:val="00C30A3F"/>
    <w:rsid w:val="00C31247"/>
    <w:rsid w:val="00C32DCF"/>
    <w:rsid w:val="00C32F03"/>
    <w:rsid w:val="00C33F63"/>
    <w:rsid w:val="00C344C9"/>
    <w:rsid w:val="00C34D6B"/>
    <w:rsid w:val="00C3608F"/>
    <w:rsid w:val="00C40BAA"/>
    <w:rsid w:val="00C41D7D"/>
    <w:rsid w:val="00C41E93"/>
    <w:rsid w:val="00C44033"/>
    <w:rsid w:val="00C4648F"/>
    <w:rsid w:val="00C478B4"/>
    <w:rsid w:val="00C500F0"/>
    <w:rsid w:val="00C51032"/>
    <w:rsid w:val="00C5256C"/>
    <w:rsid w:val="00C525C3"/>
    <w:rsid w:val="00C52ECE"/>
    <w:rsid w:val="00C53415"/>
    <w:rsid w:val="00C57033"/>
    <w:rsid w:val="00C60ECD"/>
    <w:rsid w:val="00C61687"/>
    <w:rsid w:val="00C62E3D"/>
    <w:rsid w:val="00C634F4"/>
    <w:rsid w:val="00C63A1D"/>
    <w:rsid w:val="00C658E2"/>
    <w:rsid w:val="00C65FDB"/>
    <w:rsid w:val="00C67422"/>
    <w:rsid w:val="00C67BB4"/>
    <w:rsid w:val="00C74817"/>
    <w:rsid w:val="00C75AA6"/>
    <w:rsid w:val="00C7668F"/>
    <w:rsid w:val="00C767FC"/>
    <w:rsid w:val="00C801CD"/>
    <w:rsid w:val="00C8056D"/>
    <w:rsid w:val="00C81F05"/>
    <w:rsid w:val="00C83592"/>
    <w:rsid w:val="00C836FE"/>
    <w:rsid w:val="00C84376"/>
    <w:rsid w:val="00C84C92"/>
    <w:rsid w:val="00C85C21"/>
    <w:rsid w:val="00C85EB1"/>
    <w:rsid w:val="00C8771F"/>
    <w:rsid w:val="00C87CB0"/>
    <w:rsid w:val="00C90621"/>
    <w:rsid w:val="00C910D3"/>
    <w:rsid w:val="00C921AD"/>
    <w:rsid w:val="00C93436"/>
    <w:rsid w:val="00C94E02"/>
    <w:rsid w:val="00C970F7"/>
    <w:rsid w:val="00C975D7"/>
    <w:rsid w:val="00C97F4A"/>
    <w:rsid w:val="00CA0217"/>
    <w:rsid w:val="00CA0881"/>
    <w:rsid w:val="00CA0F31"/>
    <w:rsid w:val="00CA10CA"/>
    <w:rsid w:val="00CA1A8B"/>
    <w:rsid w:val="00CA22DF"/>
    <w:rsid w:val="00CA3874"/>
    <w:rsid w:val="00CA4588"/>
    <w:rsid w:val="00CA4A28"/>
    <w:rsid w:val="00CA5DF6"/>
    <w:rsid w:val="00CA6813"/>
    <w:rsid w:val="00CA6B36"/>
    <w:rsid w:val="00CA6E55"/>
    <w:rsid w:val="00CA70B9"/>
    <w:rsid w:val="00CA7F3B"/>
    <w:rsid w:val="00CB09EA"/>
    <w:rsid w:val="00CB125B"/>
    <w:rsid w:val="00CB148C"/>
    <w:rsid w:val="00CB1546"/>
    <w:rsid w:val="00CB2CB9"/>
    <w:rsid w:val="00CB3315"/>
    <w:rsid w:val="00CB76E1"/>
    <w:rsid w:val="00CC1774"/>
    <w:rsid w:val="00CC3A99"/>
    <w:rsid w:val="00CC4646"/>
    <w:rsid w:val="00CC4792"/>
    <w:rsid w:val="00CC4CA2"/>
    <w:rsid w:val="00CC70F8"/>
    <w:rsid w:val="00CC7695"/>
    <w:rsid w:val="00CD09D2"/>
    <w:rsid w:val="00CD162A"/>
    <w:rsid w:val="00CD170D"/>
    <w:rsid w:val="00CD313B"/>
    <w:rsid w:val="00CD4580"/>
    <w:rsid w:val="00CD58BF"/>
    <w:rsid w:val="00CE0F8D"/>
    <w:rsid w:val="00CE12AF"/>
    <w:rsid w:val="00CE3165"/>
    <w:rsid w:val="00CF0A7B"/>
    <w:rsid w:val="00CF1396"/>
    <w:rsid w:val="00CF29B1"/>
    <w:rsid w:val="00CF554B"/>
    <w:rsid w:val="00CF58D6"/>
    <w:rsid w:val="00CF705E"/>
    <w:rsid w:val="00CF7099"/>
    <w:rsid w:val="00CF7943"/>
    <w:rsid w:val="00D004DA"/>
    <w:rsid w:val="00D00C54"/>
    <w:rsid w:val="00D01585"/>
    <w:rsid w:val="00D024F6"/>
    <w:rsid w:val="00D026F9"/>
    <w:rsid w:val="00D02A7A"/>
    <w:rsid w:val="00D02B3C"/>
    <w:rsid w:val="00D03ACF"/>
    <w:rsid w:val="00D053DB"/>
    <w:rsid w:val="00D06C0D"/>
    <w:rsid w:val="00D06DDE"/>
    <w:rsid w:val="00D07C1D"/>
    <w:rsid w:val="00D10947"/>
    <w:rsid w:val="00D10F4D"/>
    <w:rsid w:val="00D125B3"/>
    <w:rsid w:val="00D12A61"/>
    <w:rsid w:val="00D1376C"/>
    <w:rsid w:val="00D14008"/>
    <w:rsid w:val="00D144BB"/>
    <w:rsid w:val="00D15FCA"/>
    <w:rsid w:val="00D205D4"/>
    <w:rsid w:val="00D20A8E"/>
    <w:rsid w:val="00D2182C"/>
    <w:rsid w:val="00D222C7"/>
    <w:rsid w:val="00D22455"/>
    <w:rsid w:val="00D23452"/>
    <w:rsid w:val="00D2362B"/>
    <w:rsid w:val="00D30F57"/>
    <w:rsid w:val="00D31A73"/>
    <w:rsid w:val="00D33BF7"/>
    <w:rsid w:val="00D3534A"/>
    <w:rsid w:val="00D35C74"/>
    <w:rsid w:val="00D36323"/>
    <w:rsid w:val="00D372DB"/>
    <w:rsid w:val="00D400D6"/>
    <w:rsid w:val="00D407F8"/>
    <w:rsid w:val="00D4221A"/>
    <w:rsid w:val="00D42234"/>
    <w:rsid w:val="00D4234A"/>
    <w:rsid w:val="00D42DF4"/>
    <w:rsid w:val="00D42F02"/>
    <w:rsid w:val="00D433D2"/>
    <w:rsid w:val="00D44CBE"/>
    <w:rsid w:val="00D44E6E"/>
    <w:rsid w:val="00D453A0"/>
    <w:rsid w:val="00D46647"/>
    <w:rsid w:val="00D468EC"/>
    <w:rsid w:val="00D474B2"/>
    <w:rsid w:val="00D478D0"/>
    <w:rsid w:val="00D47D71"/>
    <w:rsid w:val="00D5069D"/>
    <w:rsid w:val="00D507F4"/>
    <w:rsid w:val="00D514A2"/>
    <w:rsid w:val="00D51B9B"/>
    <w:rsid w:val="00D51D67"/>
    <w:rsid w:val="00D522F6"/>
    <w:rsid w:val="00D542C6"/>
    <w:rsid w:val="00D54364"/>
    <w:rsid w:val="00D54D70"/>
    <w:rsid w:val="00D553D2"/>
    <w:rsid w:val="00D57630"/>
    <w:rsid w:val="00D60347"/>
    <w:rsid w:val="00D63902"/>
    <w:rsid w:val="00D63CD7"/>
    <w:rsid w:val="00D660E9"/>
    <w:rsid w:val="00D668B8"/>
    <w:rsid w:val="00D67A40"/>
    <w:rsid w:val="00D73B8F"/>
    <w:rsid w:val="00D73F61"/>
    <w:rsid w:val="00D740C1"/>
    <w:rsid w:val="00D74FA7"/>
    <w:rsid w:val="00D75AD2"/>
    <w:rsid w:val="00D76BFD"/>
    <w:rsid w:val="00D80362"/>
    <w:rsid w:val="00D8097B"/>
    <w:rsid w:val="00D85309"/>
    <w:rsid w:val="00D87B80"/>
    <w:rsid w:val="00D90B8B"/>
    <w:rsid w:val="00D90D1B"/>
    <w:rsid w:val="00D9149C"/>
    <w:rsid w:val="00D92A2B"/>
    <w:rsid w:val="00D93287"/>
    <w:rsid w:val="00D93517"/>
    <w:rsid w:val="00D93D15"/>
    <w:rsid w:val="00D94DB7"/>
    <w:rsid w:val="00D95716"/>
    <w:rsid w:val="00D95B88"/>
    <w:rsid w:val="00D95BB8"/>
    <w:rsid w:val="00D96B03"/>
    <w:rsid w:val="00DA05A3"/>
    <w:rsid w:val="00DA0A7A"/>
    <w:rsid w:val="00DA272E"/>
    <w:rsid w:val="00DA2C62"/>
    <w:rsid w:val="00DA2E6E"/>
    <w:rsid w:val="00DA4827"/>
    <w:rsid w:val="00DA5BBF"/>
    <w:rsid w:val="00DA6BB7"/>
    <w:rsid w:val="00DA7C20"/>
    <w:rsid w:val="00DA7FCC"/>
    <w:rsid w:val="00DB0DBA"/>
    <w:rsid w:val="00DB136F"/>
    <w:rsid w:val="00DB5A91"/>
    <w:rsid w:val="00DB5BBE"/>
    <w:rsid w:val="00DB6FD0"/>
    <w:rsid w:val="00DB7744"/>
    <w:rsid w:val="00DB7968"/>
    <w:rsid w:val="00DC0186"/>
    <w:rsid w:val="00DC0610"/>
    <w:rsid w:val="00DC0942"/>
    <w:rsid w:val="00DC19EB"/>
    <w:rsid w:val="00DC22DD"/>
    <w:rsid w:val="00DC25FE"/>
    <w:rsid w:val="00DC2CA2"/>
    <w:rsid w:val="00DC310F"/>
    <w:rsid w:val="00DC3742"/>
    <w:rsid w:val="00DC374B"/>
    <w:rsid w:val="00DC3B1F"/>
    <w:rsid w:val="00DC3BF2"/>
    <w:rsid w:val="00DC5ACE"/>
    <w:rsid w:val="00DC6459"/>
    <w:rsid w:val="00DC6A0F"/>
    <w:rsid w:val="00DC7A71"/>
    <w:rsid w:val="00DD1393"/>
    <w:rsid w:val="00DD2ADB"/>
    <w:rsid w:val="00DD4FB3"/>
    <w:rsid w:val="00DD69BE"/>
    <w:rsid w:val="00DD74F1"/>
    <w:rsid w:val="00DE094D"/>
    <w:rsid w:val="00DE0CB4"/>
    <w:rsid w:val="00DE1D35"/>
    <w:rsid w:val="00DE2499"/>
    <w:rsid w:val="00DE5096"/>
    <w:rsid w:val="00DE54ED"/>
    <w:rsid w:val="00DE6914"/>
    <w:rsid w:val="00DE702A"/>
    <w:rsid w:val="00DE7069"/>
    <w:rsid w:val="00DF0DFC"/>
    <w:rsid w:val="00DF1003"/>
    <w:rsid w:val="00DF343D"/>
    <w:rsid w:val="00DF5537"/>
    <w:rsid w:val="00DF66B0"/>
    <w:rsid w:val="00DF6E0B"/>
    <w:rsid w:val="00E0031A"/>
    <w:rsid w:val="00E00F58"/>
    <w:rsid w:val="00E01C2E"/>
    <w:rsid w:val="00E036D0"/>
    <w:rsid w:val="00E03980"/>
    <w:rsid w:val="00E045BC"/>
    <w:rsid w:val="00E0486A"/>
    <w:rsid w:val="00E058E3"/>
    <w:rsid w:val="00E05BEC"/>
    <w:rsid w:val="00E05EDA"/>
    <w:rsid w:val="00E06A8B"/>
    <w:rsid w:val="00E06FC5"/>
    <w:rsid w:val="00E07015"/>
    <w:rsid w:val="00E07DE3"/>
    <w:rsid w:val="00E10886"/>
    <w:rsid w:val="00E10E27"/>
    <w:rsid w:val="00E12C14"/>
    <w:rsid w:val="00E15207"/>
    <w:rsid w:val="00E15CB4"/>
    <w:rsid w:val="00E15F70"/>
    <w:rsid w:val="00E162FA"/>
    <w:rsid w:val="00E20A73"/>
    <w:rsid w:val="00E2157A"/>
    <w:rsid w:val="00E21713"/>
    <w:rsid w:val="00E21CF1"/>
    <w:rsid w:val="00E26FF6"/>
    <w:rsid w:val="00E27D33"/>
    <w:rsid w:val="00E300A9"/>
    <w:rsid w:val="00E32C8D"/>
    <w:rsid w:val="00E334AC"/>
    <w:rsid w:val="00E34821"/>
    <w:rsid w:val="00E34D00"/>
    <w:rsid w:val="00E34F11"/>
    <w:rsid w:val="00E35C9D"/>
    <w:rsid w:val="00E3617A"/>
    <w:rsid w:val="00E365FC"/>
    <w:rsid w:val="00E37C0D"/>
    <w:rsid w:val="00E37E17"/>
    <w:rsid w:val="00E37FC6"/>
    <w:rsid w:val="00E4523A"/>
    <w:rsid w:val="00E4531F"/>
    <w:rsid w:val="00E45795"/>
    <w:rsid w:val="00E46D7D"/>
    <w:rsid w:val="00E4726C"/>
    <w:rsid w:val="00E4728D"/>
    <w:rsid w:val="00E50FD8"/>
    <w:rsid w:val="00E512EE"/>
    <w:rsid w:val="00E520F9"/>
    <w:rsid w:val="00E5241B"/>
    <w:rsid w:val="00E5251D"/>
    <w:rsid w:val="00E528C8"/>
    <w:rsid w:val="00E52A0C"/>
    <w:rsid w:val="00E52B50"/>
    <w:rsid w:val="00E52D8D"/>
    <w:rsid w:val="00E5330C"/>
    <w:rsid w:val="00E53E47"/>
    <w:rsid w:val="00E54F18"/>
    <w:rsid w:val="00E55A3A"/>
    <w:rsid w:val="00E55C6A"/>
    <w:rsid w:val="00E55D8B"/>
    <w:rsid w:val="00E55DA2"/>
    <w:rsid w:val="00E5618A"/>
    <w:rsid w:val="00E56CD7"/>
    <w:rsid w:val="00E576F0"/>
    <w:rsid w:val="00E57CCB"/>
    <w:rsid w:val="00E60F31"/>
    <w:rsid w:val="00E61CBB"/>
    <w:rsid w:val="00E6220F"/>
    <w:rsid w:val="00E6270B"/>
    <w:rsid w:val="00E62CA8"/>
    <w:rsid w:val="00E67AB6"/>
    <w:rsid w:val="00E67D85"/>
    <w:rsid w:val="00E67F3E"/>
    <w:rsid w:val="00E70A32"/>
    <w:rsid w:val="00E71A75"/>
    <w:rsid w:val="00E74691"/>
    <w:rsid w:val="00E75292"/>
    <w:rsid w:val="00E81F0F"/>
    <w:rsid w:val="00E82C7F"/>
    <w:rsid w:val="00E83073"/>
    <w:rsid w:val="00E832E6"/>
    <w:rsid w:val="00E83762"/>
    <w:rsid w:val="00E84A5E"/>
    <w:rsid w:val="00E856AA"/>
    <w:rsid w:val="00E8581D"/>
    <w:rsid w:val="00E866EA"/>
    <w:rsid w:val="00E90830"/>
    <w:rsid w:val="00E9305D"/>
    <w:rsid w:val="00E94D58"/>
    <w:rsid w:val="00EA08CF"/>
    <w:rsid w:val="00EA09B1"/>
    <w:rsid w:val="00EA0A6F"/>
    <w:rsid w:val="00EA1153"/>
    <w:rsid w:val="00EA4A42"/>
    <w:rsid w:val="00EA4FE9"/>
    <w:rsid w:val="00EA5261"/>
    <w:rsid w:val="00EA6531"/>
    <w:rsid w:val="00EA73DA"/>
    <w:rsid w:val="00EA7F95"/>
    <w:rsid w:val="00EB1D05"/>
    <w:rsid w:val="00EB2189"/>
    <w:rsid w:val="00EB2427"/>
    <w:rsid w:val="00EB27E7"/>
    <w:rsid w:val="00EB2A4A"/>
    <w:rsid w:val="00EB2EA9"/>
    <w:rsid w:val="00EB326E"/>
    <w:rsid w:val="00EB67D1"/>
    <w:rsid w:val="00EB6AD5"/>
    <w:rsid w:val="00EB72F9"/>
    <w:rsid w:val="00EB763D"/>
    <w:rsid w:val="00EB7775"/>
    <w:rsid w:val="00EC1CBD"/>
    <w:rsid w:val="00EC2CC6"/>
    <w:rsid w:val="00EC3DC5"/>
    <w:rsid w:val="00EC3E54"/>
    <w:rsid w:val="00EC4743"/>
    <w:rsid w:val="00EC52E6"/>
    <w:rsid w:val="00EC5D81"/>
    <w:rsid w:val="00EC63B5"/>
    <w:rsid w:val="00EC6FF2"/>
    <w:rsid w:val="00EC7DAF"/>
    <w:rsid w:val="00ED007C"/>
    <w:rsid w:val="00ED0981"/>
    <w:rsid w:val="00ED33AF"/>
    <w:rsid w:val="00ED3407"/>
    <w:rsid w:val="00ED441D"/>
    <w:rsid w:val="00ED6E51"/>
    <w:rsid w:val="00ED799A"/>
    <w:rsid w:val="00ED7E45"/>
    <w:rsid w:val="00EE0497"/>
    <w:rsid w:val="00EE0788"/>
    <w:rsid w:val="00EE0F25"/>
    <w:rsid w:val="00EE1BAE"/>
    <w:rsid w:val="00EE22FF"/>
    <w:rsid w:val="00EE238A"/>
    <w:rsid w:val="00EE3C49"/>
    <w:rsid w:val="00EE497E"/>
    <w:rsid w:val="00EE4D47"/>
    <w:rsid w:val="00EE6B30"/>
    <w:rsid w:val="00EE73AE"/>
    <w:rsid w:val="00EF03E0"/>
    <w:rsid w:val="00EF101B"/>
    <w:rsid w:val="00EF123A"/>
    <w:rsid w:val="00EF1E0D"/>
    <w:rsid w:val="00EF28C3"/>
    <w:rsid w:val="00EF3DC8"/>
    <w:rsid w:val="00EF7455"/>
    <w:rsid w:val="00F00219"/>
    <w:rsid w:val="00F008F8"/>
    <w:rsid w:val="00F028D4"/>
    <w:rsid w:val="00F02D76"/>
    <w:rsid w:val="00F06756"/>
    <w:rsid w:val="00F06C91"/>
    <w:rsid w:val="00F0788B"/>
    <w:rsid w:val="00F07A3E"/>
    <w:rsid w:val="00F12884"/>
    <w:rsid w:val="00F12F89"/>
    <w:rsid w:val="00F15B24"/>
    <w:rsid w:val="00F16512"/>
    <w:rsid w:val="00F17D93"/>
    <w:rsid w:val="00F20A2F"/>
    <w:rsid w:val="00F22FA4"/>
    <w:rsid w:val="00F2306B"/>
    <w:rsid w:val="00F23CD9"/>
    <w:rsid w:val="00F24282"/>
    <w:rsid w:val="00F256B1"/>
    <w:rsid w:val="00F259B8"/>
    <w:rsid w:val="00F27678"/>
    <w:rsid w:val="00F3237D"/>
    <w:rsid w:val="00F352AF"/>
    <w:rsid w:val="00F371DE"/>
    <w:rsid w:val="00F373F8"/>
    <w:rsid w:val="00F40196"/>
    <w:rsid w:val="00F404E6"/>
    <w:rsid w:val="00F41130"/>
    <w:rsid w:val="00F421E4"/>
    <w:rsid w:val="00F42B2F"/>
    <w:rsid w:val="00F4423D"/>
    <w:rsid w:val="00F44E1B"/>
    <w:rsid w:val="00F451FA"/>
    <w:rsid w:val="00F47219"/>
    <w:rsid w:val="00F50BC7"/>
    <w:rsid w:val="00F5333D"/>
    <w:rsid w:val="00F54157"/>
    <w:rsid w:val="00F542A0"/>
    <w:rsid w:val="00F5578A"/>
    <w:rsid w:val="00F55F79"/>
    <w:rsid w:val="00F560B1"/>
    <w:rsid w:val="00F56C23"/>
    <w:rsid w:val="00F57263"/>
    <w:rsid w:val="00F57B27"/>
    <w:rsid w:val="00F6060A"/>
    <w:rsid w:val="00F61ADE"/>
    <w:rsid w:val="00F61C2C"/>
    <w:rsid w:val="00F61ECD"/>
    <w:rsid w:val="00F62102"/>
    <w:rsid w:val="00F6236B"/>
    <w:rsid w:val="00F63058"/>
    <w:rsid w:val="00F63691"/>
    <w:rsid w:val="00F638D6"/>
    <w:rsid w:val="00F6449A"/>
    <w:rsid w:val="00F66480"/>
    <w:rsid w:val="00F701E7"/>
    <w:rsid w:val="00F705C6"/>
    <w:rsid w:val="00F70B42"/>
    <w:rsid w:val="00F71905"/>
    <w:rsid w:val="00F71912"/>
    <w:rsid w:val="00F7209F"/>
    <w:rsid w:val="00F7413A"/>
    <w:rsid w:val="00F74367"/>
    <w:rsid w:val="00F746BE"/>
    <w:rsid w:val="00F74B06"/>
    <w:rsid w:val="00F75961"/>
    <w:rsid w:val="00F75FB4"/>
    <w:rsid w:val="00F7637F"/>
    <w:rsid w:val="00F76C3E"/>
    <w:rsid w:val="00F76EF0"/>
    <w:rsid w:val="00F7702D"/>
    <w:rsid w:val="00F770A2"/>
    <w:rsid w:val="00F805A8"/>
    <w:rsid w:val="00F80B02"/>
    <w:rsid w:val="00F81216"/>
    <w:rsid w:val="00F81A36"/>
    <w:rsid w:val="00F820AE"/>
    <w:rsid w:val="00F82857"/>
    <w:rsid w:val="00F82B75"/>
    <w:rsid w:val="00F8333A"/>
    <w:rsid w:val="00F83367"/>
    <w:rsid w:val="00F8454D"/>
    <w:rsid w:val="00F850FB"/>
    <w:rsid w:val="00F8583E"/>
    <w:rsid w:val="00F86E3B"/>
    <w:rsid w:val="00F90197"/>
    <w:rsid w:val="00F9270F"/>
    <w:rsid w:val="00F92BAC"/>
    <w:rsid w:val="00F9398E"/>
    <w:rsid w:val="00F94617"/>
    <w:rsid w:val="00F96669"/>
    <w:rsid w:val="00F96A08"/>
    <w:rsid w:val="00F97B1B"/>
    <w:rsid w:val="00FA1215"/>
    <w:rsid w:val="00FA1A2F"/>
    <w:rsid w:val="00FA1CE0"/>
    <w:rsid w:val="00FA7D98"/>
    <w:rsid w:val="00FB06C0"/>
    <w:rsid w:val="00FB19EB"/>
    <w:rsid w:val="00FB20E9"/>
    <w:rsid w:val="00FB2CAD"/>
    <w:rsid w:val="00FB2DAF"/>
    <w:rsid w:val="00FB388C"/>
    <w:rsid w:val="00FB3938"/>
    <w:rsid w:val="00FB3B08"/>
    <w:rsid w:val="00FB3D68"/>
    <w:rsid w:val="00FB55E4"/>
    <w:rsid w:val="00FB61E2"/>
    <w:rsid w:val="00FB627F"/>
    <w:rsid w:val="00FC002F"/>
    <w:rsid w:val="00FC08A4"/>
    <w:rsid w:val="00FC0C17"/>
    <w:rsid w:val="00FC14BF"/>
    <w:rsid w:val="00FC2741"/>
    <w:rsid w:val="00FC3830"/>
    <w:rsid w:val="00FC38F3"/>
    <w:rsid w:val="00FC3B4F"/>
    <w:rsid w:val="00FC63D6"/>
    <w:rsid w:val="00FC7D19"/>
    <w:rsid w:val="00FD0045"/>
    <w:rsid w:val="00FD1A9F"/>
    <w:rsid w:val="00FD32E5"/>
    <w:rsid w:val="00FD3599"/>
    <w:rsid w:val="00FD3F8D"/>
    <w:rsid w:val="00FD433E"/>
    <w:rsid w:val="00FD7585"/>
    <w:rsid w:val="00FE0A43"/>
    <w:rsid w:val="00FE0FF8"/>
    <w:rsid w:val="00FE101F"/>
    <w:rsid w:val="00FE1400"/>
    <w:rsid w:val="00FE277C"/>
    <w:rsid w:val="00FE2D66"/>
    <w:rsid w:val="00FE5BCE"/>
    <w:rsid w:val="00FF09C2"/>
    <w:rsid w:val="00FF0BE1"/>
    <w:rsid w:val="00FF0F53"/>
    <w:rsid w:val="00FF22B2"/>
    <w:rsid w:val="00FF2B1F"/>
    <w:rsid w:val="00FF2B84"/>
    <w:rsid w:val="00FF2EDD"/>
    <w:rsid w:val="00FF34B6"/>
    <w:rsid w:val="00FF4517"/>
    <w:rsid w:val="00FF5121"/>
    <w:rsid w:val="00FF600E"/>
    <w:rsid w:val="00FF6973"/>
    <w:rsid w:val="00FF70E4"/>
    <w:rsid w:val="00FF76A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cs-CZ" w:eastAsia="cs-CZ"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ln">
    <w:name w:val="Normal"/>
    <w:qFormat/>
    <w:rsid w:val="00A21A86"/>
    <w:pPr>
      <w:overflowPunct w:val="0"/>
      <w:autoSpaceDE w:val="0"/>
      <w:autoSpaceDN w:val="0"/>
      <w:adjustRightInd w:val="0"/>
      <w:jc w:val="both"/>
      <w:textAlignment w:val="baseline"/>
    </w:pPr>
    <w:rPr>
      <w:rFonts w:ascii="Calibri" w:hAnsi="Calibri"/>
      <w:szCs w:val="20"/>
    </w:rPr>
  </w:style>
  <w:style w:type="paragraph" w:styleId="Nadpis1">
    <w:name w:val="heading 1"/>
    <w:basedOn w:val="Normln"/>
    <w:next w:val="Normln"/>
    <w:link w:val="Nadpis1Char"/>
    <w:uiPriority w:val="99"/>
    <w:qFormat/>
    <w:rsid w:val="00180C0D"/>
    <w:pPr>
      <w:keepNext/>
      <w:keepLines/>
      <w:numPr>
        <w:numId w:val="1"/>
      </w:numPr>
      <w:spacing w:before="480"/>
      <w:outlineLvl w:val="0"/>
    </w:pPr>
    <w:rPr>
      <w:rFonts w:ascii="Cambria" w:hAnsi="Cambria"/>
      <w:b/>
      <w:bCs/>
      <w:color w:val="1F497D"/>
      <w:sz w:val="36"/>
      <w:szCs w:val="28"/>
    </w:rPr>
  </w:style>
  <w:style w:type="paragraph" w:styleId="Nadpis2">
    <w:name w:val="heading 2"/>
    <w:basedOn w:val="Normln"/>
    <w:next w:val="Normln"/>
    <w:link w:val="Nadpis2Char"/>
    <w:uiPriority w:val="99"/>
    <w:qFormat/>
    <w:rsid w:val="00CC70F8"/>
    <w:pPr>
      <w:keepNext/>
      <w:keepLines/>
      <w:numPr>
        <w:ilvl w:val="1"/>
        <w:numId w:val="1"/>
      </w:numPr>
      <w:spacing w:before="200" w:after="240"/>
      <w:outlineLvl w:val="1"/>
    </w:pPr>
    <w:rPr>
      <w:rFonts w:ascii="Cambria" w:hAnsi="Cambria"/>
      <w:b/>
      <w:bCs/>
      <w:color w:val="548DD4"/>
      <w:sz w:val="28"/>
      <w:szCs w:val="26"/>
    </w:rPr>
  </w:style>
  <w:style w:type="paragraph" w:styleId="Nadpis3">
    <w:name w:val="heading 3"/>
    <w:basedOn w:val="Normln"/>
    <w:next w:val="Normln"/>
    <w:link w:val="Nadpis3Char"/>
    <w:uiPriority w:val="99"/>
    <w:qFormat/>
    <w:rsid w:val="00433BD7"/>
    <w:pPr>
      <w:keepNext/>
      <w:keepLines/>
      <w:numPr>
        <w:ilvl w:val="2"/>
        <w:numId w:val="1"/>
      </w:numPr>
      <w:spacing w:before="200" w:after="240"/>
      <w:outlineLvl w:val="2"/>
    </w:pPr>
    <w:rPr>
      <w:rFonts w:ascii="Cambria" w:hAnsi="Cambria"/>
      <w:b/>
      <w:bCs/>
      <w:color w:val="365F91"/>
      <w:sz w:val="26"/>
    </w:rPr>
  </w:style>
  <w:style w:type="paragraph" w:styleId="Nadpis4">
    <w:name w:val="heading 4"/>
    <w:basedOn w:val="Normln"/>
    <w:next w:val="Normln"/>
    <w:link w:val="Nadpis4Char"/>
    <w:uiPriority w:val="99"/>
    <w:qFormat/>
    <w:rsid w:val="00B9734A"/>
    <w:pPr>
      <w:keepNext/>
      <w:keepLines/>
      <w:numPr>
        <w:ilvl w:val="3"/>
        <w:numId w:val="1"/>
      </w:numPr>
      <w:spacing w:before="200"/>
      <w:outlineLvl w:val="3"/>
    </w:pPr>
    <w:rPr>
      <w:rFonts w:ascii="Cambria" w:hAnsi="Cambria"/>
      <w:b/>
      <w:bCs/>
      <w:i/>
      <w:iCs/>
      <w:color w:val="4F81BD"/>
    </w:rPr>
  </w:style>
  <w:style w:type="paragraph" w:styleId="Nadpis5">
    <w:name w:val="heading 5"/>
    <w:basedOn w:val="Normln"/>
    <w:next w:val="Normln"/>
    <w:link w:val="Nadpis5Char"/>
    <w:uiPriority w:val="99"/>
    <w:qFormat/>
    <w:rsid w:val="00B9734A"/>
    <w:pPr>
      <w:keepNext/>
      <w:keepLines/>
      <w:numPr>
        <w:ilvl w:val="4"/>
        <w:numId w:val="1"/>
      </w:numPr>
      <w:spacing w:before="200"/>
      <w:outlineLvl w:val="4"/>
    </w:pPr>
    <w:rPr>
      <w:rFonts w:ascii="Cambria" w:hAnsi="Cambria"/>
      <w:color w:val="243F60"/>
    </w:rPr>
  </w:style>
  <w:style w:type="paragraph" w:styleId="Nadpis6">
    <w:name w:val="heading 6"/>
    <w:basedOn w:val="Normln"/>
    <w:next w:val="Normln"/>
    <w:link w:val="Nadpis6Char"/>
    <w:uiPriority w:val="99"/>
    <w:qFormat/>
    <w:rsid w:val="00B9734A"/>
    <w:pPr>
      <w:keepNext/>
      <w:keepLines/>
      <w:numPr>
        <w:ilvl w:val="5"/>
        <w:numId w:val="1"/>
      </w:numPr>
      <w:spacing w:before="200"/>
      <w:outlineLvl w:val="5"/>
    </w:pPr>
    <w:rPr>
      <w:rFonts w:ascii="Cambria" w:hAnsi="Cambria"/>
      <w:i/>
      <w:iCs/>
      <w:color w:val="243F60"/>
    </w:rPr>
  </w:style>
  <w:style w:type="paragraph" w:styleId="Nadpis7">
    <w:name w:val="heading 7"/>
    <w:basedOn w:val="Normln"/>
    <w:next w:val="Normln"/>
    <w:link w:val="Nadpis7Char"/>
    <w:uiPriority w:val="99"/>
    <w:qFormat/>
    <w:rsid w:val="00B9734A"/>
    <w:pPr>
      <w:keepNext/>
      <w:keepLines/>
      <w:numPr>
        <w:ilvl w:val="6"/>
        <w:numId w:val="1"/>
      </w:numPr>
      <w:spacing w:before="200"/>
      <w:outlineLvl w:val="6"/>
    </w:pPr>
    <w:rPr>
      <w:rFonts w:ascii="Cambria" w:hAnsi="Cambria"/>
      <w:i/>
      <w:iCs/>
      <w:color w:val="404040"/>
    </w:rPr>
  </w:style>
  <w:style w:type="paragraph" w:styleId="Nadpis8">
    <w:name w:val="heading 8"/>
    <w:basedOn w:val="Normln"/>
    <w:next w:val="Normln"/>
    <w:link w:val="Nadpis8Char"/>
    <w:uiPriority w:val="99"/>
    <w:qFormat/>
    <w:rsid w:val="00B9734A"/>
    <w:pPr>
      <w:keepNext/>
      <w:keepLines/>
      <w:numPr>
        <w:ilvl w:val="7"/>
        <w:numId w:val="1"/>
      </w:numPr>
      <w:spacing w:before="200"/>
      <w:outlineLvl w:val="7"/>
    </w:pPr>
    <w:rPr>
      <w:rFonts w:ascii="Cambria" w:hAnsi="Cambria"/>
      <w:color w:val="404040"/>
      <w:sz w:val="20"/>
    </w:rPr>
  </w:style>
  <w:style w:type="paragraph" w:styleId="Nadpis9">
    <w:name w:val="heading 9"/>
    <w:basedOn w:val="Normln"/>
    <w:next w:val="Normln"/>
    <w:link w:val="Nadpis9Char"/>
    <w:uiPriority w:val="99"/>
    <w:qFormat/>
    <w:rsid w:val="00B9734A"/>
    <w:pPr>
      <w:keepNext/>
      <w:keepLines/>
      <w:numPr>
        <w:ilvl w:val="8"/>
        <w:numId w:val="1"/>
      </w:numPr>
      <w:spacing w:before="200"/>
      <w:outlineLvl w:val="8"/>
    </w:pPr>
    <w:rPr>
      <w:rFonts w:ascii="Cambria" w:hAnsi="Cambria"/>
      <w:i/>
      <w:iCs/>
      <w:color w:val="404040"/>
      <w:sz w:val="20"/>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180C0D"/>
    <w:rPr>
      <w:rFonts w:ascii="Cambria" w:hAnsi="Cambria" w:cs="Times New Roman"/>
      <w:b/>
      <w:bCs/>
      <w:color w:val="1F497D"/>
      <w:sz w:val="28"/>
      <w:szCs w:val="28"/>
    </w:rPr>
  </w:style>
  <w:style w:type="character" w:customStyle="1" w:styleId="Nadpis2Char">
    <w:name w:val="Nadpis 2 Char"/>
    <w:basedOn w:val="Standardnpsmoodstavce"/>
    <w:link w:val="Nadpis2"/>
    <w:uiPriority w:val="99"/>
    <w:locked/>
    <w:rsid w:val="00CC70F8"/>
    <w:rPr>
      <w:rFonts w:ascii="Cambria" w:hAnsi="Cambria" w:cs="Times New Roman"/>
      <w:b/>
      <w:bCs/>
      <w:color w:val="548DD4"/>
      <w:sz w:val="26"/>
      <w:szCs w:val="26"/>
    </w:rPr>
  </w:style>
  <w:style w:type="character" w:customStyle="1" w:styleId="Nadpis3Char">
    <w:name w:val="Nadpis 3 Char"/>
    <w:basedOn w:val="Standardnpsmoodstavce"/>
    <w:link w:val="Nadpis3"/>
    <w:uiPriority w:val="99"/>
    <w:locked/>
    <w:rsid w:val="00433BD7"/>
    <w:rPr>
      <w:rFonts w:ascii="Cambria" w:hAnsi="Cambria" w:cs="Times New Roman"/>
      <w:b/>
      <w:bCs/>
      <w:color w:val="365F91"/>
      <w:sz w:val="20"/>
      <w:szCs w:val="20"/>
    </w:rPr>
  </w:style>
  <w:style w:type="character" w:customStyle="1" w:styleId="Nadpis4Char">
    <w:name w:val="Nadpis 4 Char"/>
    <w:basedOn w:val="Standardnpsmoodstavce"/>
    <w:link w:val="Nadpis4"/>
    <w:uiPriority w:val="99"/>
    <w:locked/>
    <w:rsid w:val="00B9734A"/>
    <w:rPr>
      <w:rFonts w:ascii="Cambria" w:hAnsi="Cambria" w:cs="Times New Roman"/>
      <w:b/>
      <w:bCs/>
      <w:i/>
      <w:iCs/>
      <w:color w:val="4F81BD"/>
      <w:sz w:val="20"/>
      <w:szCs w:val="20"/>
    </w:rPr>
  </w:style>
  <w:style w:type="character" w:customStyle="1" w:styleId="Nadpis5Char">
    <w:name w:val="Nadpis 5 Char"/>
    <w:basedOn w:val="Standardnpsmoodstavce"/>
    <w:link w:val="Nadpis5"/>
    <w:uiPriority w:val="99"/>
    <w:locked/>
    <w:rsid w:val="00B9734A"/>
    <w:rPr>
      <w:rFonts w:ascii="Cambria" w:hAnsi="Cambria" w:cs="Times New Roman"/>
      <w:color w:val="243F60"/>
      <w:sz w:val="20"/>
      <w:szCs w:val="20"/>
    </w:rPr>
  </w:style>
  <w:style w:type="character" w:customStyle="1" w:styleId="Nadpis6Char">
    <w:name w:val="Nadpis 6 Char"/>
    <w:basedOn w:val="Standardnpsmoodstavce"/>
    <w:link w:val="Nadpis6"/>
    <w:uiPriority w:val="99"/>
    <w:locked/>
    <w:rsid w:val="00B9734A"/>
    <w:rPr>
      <w:rFonts w:ascii="Cambria" w:hAnsi="Cambria" w:cs="Times New Roman"/>
      <w:i/>
      <w:iCs/>
      <w:color w:val="243F60"/>
      <w:sz w:val="20"/>
      <w:szCs w:val="20"/>
    </w:rPr>
  </w:style>
  <w:style w:type="character" w:customStyle="1" w:styleId="Nadpis7Char">
    <w:name w:val="Nadpis 7 Char"/>
    <w:basedOn w:val="Standardnpsmoodstavce"/>
    <w:link w:val="Nadpis7"/>
    <w:uiPriority w:val="99"/>
    <w:locked/>
    <w:rsid w:val="00B9734A"/>
    <w:rPr>
      <w:rFonts w:ascii="Cambria" w:hAnsi="Cambria" w:cs="Times New Roman"/>
      <w:i/>
      <w:iCs/>
      <w:color w:val="404040"/>
      <w:sz w:val="20"/>
      <w:szCs w:val="20"/>
    </w:rPr>
  </w:style>
  <w:style w:type="character" w:customStyle="1" w:styleId="Nadpis8Char">
    <w:name w:val="Nadpis 8 Char"/>
    <w:basedOn w:val="Standardnpsmoodstavce"/>
    <w:link w:val="Nadpis8"/>
    <w:uiPriority w:val="99"/>
    <w:locked/>
    <w:rsid w:val="00B9734A"/>
    <w:rPr>
      <w:rFonts w:ascii="Cambria" w:hAnsi="Cambria" w:cs="Times New Roman"/>
      <w:color w:val="404040"/>
      <w:sz w:val="20"/>
      <w:szCs w:val="20"/>
    </w:rPr>
  </w:style>
  <w:style w:type="character" w:customStyle="1" w:styleId="Nadpis9Char">
    <w:name w:val="Nadpis 9 Char"/>
    <w:basedOn w:val="Standardnpsmoodstavce"/>
    <w:link w:val="Nadpis9"/>
    <w:uiPriority w:val="99"/>
    <w:locked/>
    <w:rsid w:val="00B9734A"/>
    <w:rPr>
      <w:rFonts w:ascii="Cambria" w:hAnsi="Cambria" w:cs="Times New Roman"/>
      <w:i/>
      <w:iCs/>
      <w:color w:val="404040"/>
      <w:sz w:val="20"/>
      <w:szCs w:val="20"/>
    </w:rPr>
  </w:style>
  <w:style w:type="paragraph" w:styleId="Textbubliny">
    <w:name w:val="Balloon Text"/>
    <w:basedOn w:val="Normln"/>
    <w:link w:val="TextbublinyChar"/>
    <w:uiPriority w:val="99"/>
    <w:semiHidden/>
    <w:rsid w:val="003709F3"/>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3709F3"/>
    <w:rPr>
      <w:rFonts w:ascii="Tahoma" w:hAnsi="Tahoma" w:cs="Tahoma"/>
      <w:sz w:val="16"/>
      <w:szCs w:val="16"/>
    </w:rPr>
  </w:style>
  <w:style w:type="paragraph" w:styleId="Zhlav">
    <w:name w:val="header"/>
    <w:basedOn w:val="Normln"/>
    <w:link w:val="ZhlavChar"/>
    <w:uiPriority w:val="99"/>
    <w:rsid w:val="006561E1"/>
    <w:pPr>
      <w:tabs>
        <w:tab w:val="center" w:pos="4536"/>
        <w:tab w:val="right" w:pos="9072"/>
      </w:tabs>
    </w:pPr>
  </w:style>
  <w:style w:type="character" w:customStyle="1" w:styleId="ZhlavChar">
    <w:name w:val="Záhlaví Char"/>
    <w:basedOn w:val="Standardnpsmoodstavce"/>
    <w:link w:val="Zhlav"/>
    <w:uiPriority w:val="99"/>
    <w:locked/>
    <w:rsid w:val="006561E1"/>
    <w:rPr>
      <w:rFonts w:ascii="Calibri" w:hAnsi="Calibri" w:cs="Times New Roman"/>
      <w:sz w:val="22"/>
    </w:rPr>
  </w:style>
  <w:style w:type="paragraph" w:styleId="Zpat">
    <w:name w:val="footer"/>
    <w:basedOn w:val="Normln"/>
    <w:link w:val="ZpatChar"/>
    <w:uiPriority w:val="99"/>
    <w:rsid w:val="006561E1"/>
    <w:pPr>
      <w:tabs>
        <w:tab w:val="center" w:pos="4536"/>
        <w:tab w:val="right" w:pos="9072"/>
      </w:tabs>
    </w:pPr>
  </w:style>
  <w:style w:type="character" w:customStyle="1" w:styleId="ZpatChar">
    <w:name w:val="Zápatí Char"/>
    <w:basedOn w:val="Standardnpsmoodstavce"/>
    <w:link w:val="Zpat"/>
    <w:uiPriority w:val="99"/>
    <w:locked/>
    <w:rsid w:val="006561E1"/>
    <w:rPr>
      <w:rFonts w:ascii="Calibri" w:hAnsi="Calibri" w:cs="Times New Roman"/>
      <w:sz w:val="22"/>
    </w:rPr>
  </w:style>
  <w:style w:type="character" w:styleId="Hypertextovodkaz">
    <w:name w:val="Hyperlink"/>
    <w:basedOn w:val="Standardnpsmoodstavce"/>
    <w:uiPriority w:val="99"/>
    <w:rsid w:val="000C1B4F"/>
    <w:rPr>
      <w:rFonts w:cs="Times New Roman"/>
      <w:color w:val="0000FF"/>
      <w:u w:val="single"/>
    </w:rPr>
  </w:style>
  <w:style w:type="character" w:styleId="slostrnky">
    <w:name w:val="page number"/>
    <w:basedOn w:val="Standardnpsmoodstavce"/>
    <w:uiPriority w:val="99"/>
    <w:rsid w:val="000C1B4F"/>
    <w:rPr>
      <w:rFonts w:cs="Times New Roman"/>
    </w:rPr>
  </w:style>
  <w:style w:type="paragraph" w:styleId="Odstavecseseznamem">
    <w:name w:val="List Paragraph"/>
    <w:aliases w:val="Odstavec cíl se seznamem,Odstavec se seznamem1,Nad,Odstavec se seznamem5"/>
    <w:basedOn w:val="Normln"/>
    <w:link w:val="OdstavecseseznamemChar"/>
    <w:uiPriority w:val="34"/>
    <w:qFormat/>
    <w:rsid w:val="00EB7775"/>
    <w:pPr>
      <w:ind w:left="720"/>
      <w:contextualSpacing/>
    </w:pPr>
  </w:style>
  <w:style w:type="character" w:customStyle="1" w:styleId="OdstavecseseznamemChar">
    <w:name w:val="Odstavec se seznamem Char"/>
    <w:aliases w:val="Odstavec cíl se seznamem Char,Odstavec se seznamem1 Char,Nad Char,Odstavec se seznamem5 Char"/>
    <w:link w:val="Odstavecseseznamem"/>
    <w:uiPriority w:val="34"/>
    <w:locked/>
    <w:rsid w:val="008346A6"/>
    <w:rPr>
      <w:rFonts w:ascii="Calibri" w:hAnsi="Calibri"/>
      <w:sz w:val="22"/>
    </w:rPr>
  </w:style>
  <w:style w:type="character" w:styleId="Znakapoznpodarou">
    <w:name w:val="footnote reference"/>
    <w:aliases w:val="Überschrift 4 Zchn1,Título 4 Car Zchn,Heading 4 Char1 Car Zchn,no vale 2 Zchn,no vale 2 Car Zchn,PGI Fußnote Ziffer,BVI fnr,Footnote symbol,Footnote Reference Superscript,Appel note de bas de p,Appel note de bas de page,Légende"/>
    <w:basedOn w:val="Standardnpsmoodstavce"/>
    <w:uiPriority w:val="99"/>
    <w:rsid w:val="00CC70F8"/>
    <w:rPr>
      <w:rFonts w:ascii="Arial" w:hAnsi="Arial" w:cs="Times New Roman"/>
      <w:sz w:val="16"/>
      <w:vertAlign w:val="superscript"/>
    </w:rPr>
  </w:style>
  <w:style w:type="paragraph" w:styleId="Textpoznpodarou">
    <w:name w:val="footnote text"/>
    <w:aliases w:val="Char1,Schriftart: 9 pt,Schriftart: 10 pt,Schriftart: 8 pt,Text poznámky pod čiarou 007,Footnote,Fußnotentextf,Geneva 9,Font: Geneva 9,Boston 10,f,pozn. pod čarou,Text pozn. pod čarou1,Char Char Char1,Footnote Text Char1,o,fn"/>
    <w:basedOn w:val="Normln"/>
    <w:link w:val="TextpoznpodarouChar"/>
    <w:uiPriority w:val="99"/>
    <w:rsid w:val="00CC70F8"/>
    <w:pPr>
      <w:overflowPunct/>
      <w:autoSpaceDE/>
      <w:autoSpaceDN/>
      <w:adjustRightInd/>
      <w:textAlignment w:val="auto"/>
    </w:pPr>
    <w:rPr>
      <w:rFonts w:ascii="Arial" w:hAnsi="Arial" w:cs="Arial"/>
      <w:sz w:val="16"/>
      <w:lang w:eastAsia="en-US"/>
    </w:rPr>
  </w:style>
  <w:style w:type="character" w:customStyle="1" w:styleId="TextpoznpodarouChar">
    <w:name w:val="Text pozn. pod čarou Char"/>
    <w:aliases w:val="Char1 Char,Schriftart: 9 pt Char,Schriftart: 10 pt Char,Schriftart: 8 pt Char,Text poznámky pod čiarou 007 Char,Footnote Char,Fußnotentextf Char,Geneva 9 Char,Font: Geneva 9 Char,Boston 10 Char,f Char,pozn. pod čarou Char"/>
    <w:basedOn w:val="Standardnpsmoodstavce"/>
    <w:link w:val="Textpoznpodarou"/>
    <w:uiPriority w:val="99"/>
    <w:locked/>
    <w:rsid w:val="00CC70F8"/>
    <w:rPr>
      <w:rFonts w:ascii="Arial" w:hAnsi="Arial" w:cs="Arial"/>
      <w:sz w:val="16"/>
      <w:lang w:eastAsia="en-US"/>
    </w:rPr>
  </w:style>
  <w:style w:type="paragraph" w:styleId="Titulek">
    <w:name w:val="caption"/>
    <w:basedOn w:val="Normln"/>
    <w:next w:val="Normln"/>
    <w:link w:val="TitulekChar"/>
    <w:uiPriority w:val="99"/>
    <w:qFormat/>
    <w:rsid w:val="00CC70F8"/>
    <w:pPr>
      <w:overflowPunct/>
      <w:autoSpaceDE/>
      <w:autoSpaceDN/>
      <w:adjustRightInd/>
      <w:textAlignment w:val="auto"/>
    </w:pPr>
    <w:rPr>
      <w:rFonts w:ascii="Arial" w:hAnsi="Arial" w:cs="Arial"/>
      <w:b/>
      <w:bCs/>
      <w:color w:val="4F81BD"/>
      <w:sz w:val="20"/>
      <w:lang w:eastAsia="en-US"/>
    </w:rPr>
  </w:style>
  <w:style w:type="character" w:customStyle="1" w:styleId="TitulekChar">
    <w:name w:val="Titulek Char"/>
    <w:basedOn w:val="Standardnpsmoodstavce"/>
    <w:link w:val="Titulek"/>
    <w:uiPriority w:val="99"/>
    <w:locked/>
    <w:rsid w:val="00CC70F8"/>
    <w:rPr>
      <w:rFonts w:ascii="Arial" w:hAnsi="Arial" w:cs="Arial"/>
      <w:b/>
      <w:bCs/>
      <w:color w:val="4F81BD"/>
      <w:lang w:eastAsia="en-US"/>
    </w:rPr>
  </w:style>
  <w:style w:type="table" w:customStyle="1" w:styleId="TableGridLight1">
    <w:name w:val="Table Grid Light1"/>
    <w:uiPriority w:val="40"/>
    <w:rsid w:val="00CC70F8"/>
    <w:rPr>
      <w:sz w:val="20"/>
      <w:szCs w:val="20"/>
      <w:lang w:val="en-US"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Neslovannadpisy">
    <w:name w:val="Nečíslované nadpisy"/>
    <w:basedOn w:val="Normln"/>
    <w:uiPriority w:val="99"/>
    <w:rsid w:val="00A57419"/>
    <w:pPr>
      <w:spacing w:after="120"/>
    </w:pPr>
    <w:rPr>
      <w:b/>
      <w:color w:val="18B462"/>
    </w:rPr>
  </w:style>
  <w:style w:type="table" w:customStyle="1" w:styleId="Deloittetable1">
    <w:name w:val="Deloitte table 1"/>
    <w:uiPriority w:val="99"/>
    <w:rsid w:val="00A21A86"/>
    <w:rPr>
      <w:rFonts w:ascii="Arial" w:hAnsi="Arial"/>
      <w:sz w:val="19"/>
      <w:szCs w:val="20"/>
    </w:rPr>
    <w:tblPr>
      <w:tblInd w:w="0" w:type="dxa"/>
      <w:tblBorders>
        <w:bottom w:val="single" w:sz="4" w:space="0" w:color="92D400"/>
        <w:insideH w:val="single" w:sz="4" w:space="0" w:color="92D400"/>
      </w:tblBorders>
      <w:tblCellMar>
        <w:top w:w="28" w:type="dxa"/>
        <w:left w:w="28" w:type="dxa"/>
        <w:bottom w:w="28" w:type="dxa"/>
        <w:right w:w="28" w:type="dxa"/>
      </w:tblCellMar>
    </w:tblPr>
    <w:tcPr>
      <w:shd w:val="clear" w:color="auto" w:fill="FFFFFF"/>
    </w:tcPr>
  </w:style>
  <w:style w:type="paragraph" w:customStyle="1" w:styleId="Vtneslovannadpis">
    <w:name w:val="Větší nečíslovaný nadpis"/>
    <w:basedOn w:val="Neslovannadpisy"/>
    <w:uiPriority w:val="99"/>
    <w:rsid w:val="00A21A86"/>
    <w:pPr>
      <w:spacing w:after="240"/>
    </w:pPr>
    <w:rPr>
      <w:rFonts w:ascii="Cambria" w:hAnsi="Cambria"/>
      <w:color w:val="548DD4"/>
      <w:sz w:val="24"/>
    </w:rPr>
  </w:style>
  <w:style w:type="table" w:styleId="Mkatabulky">
    <w:name w:val="Table Grid"/>
    <w:aliases w:val="Deloitte table 3"/>
    <w:basedOn w:val="Normlntabulka"/>
    <w:uiPriority w:val="99"/>
    <w:rsid w:val="002B7553"/>
    <w:rPr>
      <w:rFonts w:ascii="Arial" w:hAnsi="Arial"/>
      <w:sz w:val="19"/>
      <w:szCs w:val="20"/>
    </w:rPr>
    <w:tblPr>
      <w:tblBorders>
        <w:bottom w:val="single" w:sz="4" w:space="0" w:color="72C7E7"/>
        <w:insideH w:val="single" w:sz="4" w:space="0" w:color="72C7E7"/>
      </w:tblBorders>
      <w:tblCellMar>
        <w:top w:w="28" w:type="dxa"/>
        <w:left w:w="28" w:type="dxa"/>
        <w:bottom w:w="28" w:type="dxa"/>
        <w:right w:w="28" w:type="dxa"/>
      </w:tblCellMar>
    </w:tblPr>
    <w:tcPr>
      <w:shd w:val="clear" w:color="auto" w:fill="FFFFFF"/>
    </w:tcPr>
    <w:tblStylePr w:type="firstRow">
      <w:rPr>
        <w:rFonts w:ascii="Arial" w:hAnsi="Arial" w:cs="Times New Roman"/>
        <w:b/>
        <w:color w:val="FFFFFF"/>
        <w:sz w:val="19"/>
      </w:rPr>
      <w:tblPr/>
      <w:tcPr>
        <w:shd w:val="clear" w:color="auto" w:fill="72C7E7"/>
      </w:tcPr>
    </w:tblStylePr>
    <w:tblStylePr w:type="firstCol">
      <w:rPr>
        <w:rFonts w:ascii="Arial" w:hAnsi="Arial" w:cs="Times New Roman"/>
        <w:sz w:val="19"/>
      </w:rPr>
    </w:tblStylePr>
  </w:style>
  <w:style w:type="paragraph" w:customStyle="1" w:styleId="Textpspvku">
    <w:name w:val="Text příspěvku"/>
    <w:basedOn w:val="Normln"/>
    <w:uiPriority w:val="99"/>
    <w:rsid w:val="00FF70E4"/>
    <w:pPr>
      <w:tabs>
        <w:tab w:val="left" w:pos="284"/>
      </w:tabs>
      <w:overflowPunct/>
      <w:autoSpaceDE/>
      <w:autoSpaceDN/>
      <w:adjustRightInd/>
      <w:spacing w:after="120"/>
      <w:textAlignment w:val="auto"/>
    </w:pPr>
    <w:rPr>
      <w:szCs w:val="24"/>
      <w:lang w:eastAsia="en-US"/>
    </w:rPr>
  </w:style>
  <w:style w:type="table" w:customStyle="1" w:styleId="Deloittetable2">
    <w:name w:val="Deloitte table 2"/>
    <w:uiPriority w:val="99"/>
    <w:rsid w:val="00E528C8"/>
    <w:rPr>
      <w:rFonts w:ascii="Arial" w:hAnsi="Arial"/>
      <w:sz w:val="19"/>
      <w:szCs w:val="20"/>
    </w:rPr>
    <w:tblPr>
      <w:tblInd w:w="0" w:type="dxa"/>
      <w:tblBorders>
        <w:bottom w:val="single" w:sz="4" w:space="0" w:color="00A1DE"/>
        <w:insideH w:val="single" w:sz="4" w:space="0" w:color="00A1DE"/>
      </w:tblBorders>
      <w:tblCellMar>
        <w:top w:w="28" w:type="dxa"/>
        <w:left w:w="28" w:type="dxa"/>
        <w:bottom w:w="28" w:type="dxa"/>
        <w:right w:w="28" w:type="dxa"/>
      </w:tblCellMar>
    </w:tblPr>
    <w:tcPr>
      <w:shd w:val="clear" w:color="auto" w:fill="FFFFFF"/>
    </w:tcPr>
  </w:style>
  <w:style w:type="character" w:customStyle="1" w:styleId="BodytextChar">
    <w:name w:val="Body text Char"/>
    <w:link w:val="BodyText1"/>
    <w:locked/>
    <w:rsid w:val="00416BF2"/>
    <w:rPr>
      <w:rFonts w:ascii="Arial" w:hAnsi="Arial"/>
      <w:color w:val="000000"/>
      <w:sz w:val="48"/>
      <w:lang w:val="cs-CZ" w:eastAsia="en-US"/>
    </w:rPr>
  </w:style>
  <w:style w:type="paragraph" w:customStyle="1" w:styleId="BodyText1">
    <w:name w:val="Body Text1"/>
    <w:link w:val="BodytextChar"/>
    <w:qFormat/>
    <w:rsid w:val="00416BF2"/>
    <w:rPr>
      <w:rFonts w:ascii="Arial" w:hAnsi="Arial" w:cs="Arial"/>
      <w:color w:val="000000"/>
      <w:sz w:val="19"/>
      <w:szCs w:val="48"/>
      <w:lang w:eastAsia="en-US"/>
    </w:rPr>
  </w:style>
  <w:style w:type="character" w:styleId="Odkaznakoment">
    <w:name w:val="annotation reference"/>
    <w:basedOn w:val="Standardnpsmoodstavce"/>
    <w:uiPriority w:val="99"/>
    <w:rsid w:val="001F3C28"/>
    <w:rPr>
      <w:rFonts w:cs="Times New Roman"/>
      <w:sz w:val="16"/>
      <w:szCs w:val="16"/>
    </w:rPr>
  </w:style>
  <w:style w:type="paragraph" w:styleId="Textkomente">
    <w:name w:val="annotation text"/>
    <w:basedOn w:val="Normln"/>
    <w:link w:val="TextkomenteChar"/>
    <w:uiPriority w:val="99"/>
    <w:rsid w:val="001F3C28"/>
    <w:rPr>
      <w:sz w:val="20"/>
    </w:rPr>
  </w:style>
  <w:style w:type="character" w:customStyle="1" w:styleId="TextkomenteChar">
    <w:name w:val="Text komentáře Char"/>
    <w:basedOn w:val="Standardnpsmoodstavce"/>
    <w:link w:val="Textkomente"/>
    <w:uiPriority w:val="99"/>
    <w:locked/>
    <w:rsid w:val="001F3C28"/>
    <w:rPr>
      <w:rFonts w:ascii="Calibri" w:hAnsi="Calibri" w:cs="Times New Roman"/>
    </w:rPr>
  </w:style>
  <w:style w:type="paragraph" w:styleId="Pedmtkomente">
    <w:name w:val="annotation subject"/>
    <w:basedOn w:val="Textkomente"/>
    <w:next w:val="Textkomente"/>
    <w:link w:val="PedmtkomenteChar"/>
    <w:uiPriority w:val="99"/>
    <w:rsid w:val="001F3C28"/>
    <w:rPr>
      <w:b/>
      <w:bCs/>
    </w:rPr>
  </w:style>
  <w:style w:type="character" w:customStyle="1" w:styleId="PedmtkomenteChar">
    <w:name w:val="Předmět komentáře Char"/>
    <w:basedOn w:val="TextkomenteChar"/>
    <w:link w:val="Pedmtkomente"/>
    <w:uiPriority w:val="99"/>
    <w:locked/>
    <w:rsid w:val="001F3C28"/>
    <w:rPr>
      <w:rFonts w:ascii="Calibri" w:hAnsi="Calibri" w:cs="Times New Roman"/>
      <w:b/>
      <w:bCs/>
    </w:rPr>
  </w:style>
  <w:style w:type="paragraph" w:styleId="Obsah1">
    <w:name w:val="toc 1"/>
    <w:basedOn w:val="Normln"/>
    <w:next w:val="Normln"/>
    <w:autoRedefine/>
    <w:uiPriority w:val="39"/>
    <w:locked/>
    <w:rsid w:val="006075D5"/>
    <w:pPr>
      <w:tabs>
        <w:tab w:val="left" w:pos="426"/>
        <w:tab w:val="right" w:leader="dot" w:pos="9060"/>
      </w:tabs>
    </w:pPr>
  </w:style>
  <w:style w:type="paragraph" w:styleId="Obsah2">
    <w:name w:val="toc 2"/>
    <w:basedOn w:val="Normln"/>
    <w:next w:val="Normln"/>
    <w:autoRedefine/>
    <w:uiPriority w:val="39"/>
    <w:locked/>
    <w:rsid w:val="0022745A"/>
    <w:pPr>
      <w:ind w:left="220"/>
    </w:pPr>
  </w:style>
  <w:style w:type="paragraph" w:styleId="Obsah3">
    <w:name w:val="toc 3"/>
    <w:basedOn w:val="Normln"/>
    <w:next w:val="Normln"/>
    <w:autoRedefine/>
    <w:uiPriority w:val="39"/>
    <w:locked/>
    <w:rsid w:val="0022745A"/>
    <w:pPr>
      <w:ind w:left="440"/>
    </w:pPr>
  </w:style>
  <w:style w:type="character" w:customStyle="1" w:styleId="hps">
    <w:name w:val="hps"/>
    <w:basedOn w:val="Standardnpsmoodstavce"/>
    <w:uiPriority w:val="99"/>
    <w:rsid w:val="009F5E79"/>
    <w:rPr>
      <w:rFonts w:cs="Times New Roman"/>
    </w:rPr>
  </w:style>
  <w:style w:type="paragraph" w:styleId="Zkladntext">
    <w:name w:val="Body Text"/>
    <w:basedOn w:val="Normln"/>
    <w:link w:val="ZkladntextChar"/>
    <w:uiPriority w:val="99"/>
    <w:locked/>
    <w:rsid w:val="00BF6C4F"/>
    <w:pPr>
      <w:overflowPunct/>
      <w:autoSpaceDE/>
      <w:autoSpaceDN/>
      <w:adjustRightInd/>
      <w:spacing w:after="240" w:line="240" w:lineRule="atLeast"/>
      <w:textAlignment w:val="auto"/>
    </w:pPr>
    <w:rPr>
      <w:rFonts w:ascii="Georgia" w:hAnsi="Georgia"/>
      <w:sz w:val="24"/>
      <w:lang w:eastAsia="en-US"/>
    </w:rPr>
  </w:style>
  <w:style w:type="character" w:customStyle="1" w:styleId="ZkladntextChar">
    <w:name w:val="Základní text Char"/>
    <w:basedOn w:val="Standardnpsmoodstavce"/>
    <w:link w:val="Zkladntext"/>
    <w:uiPriority w:val="99"/>
    <w:locked/>
    <w:rsid w:val="00BF6C4F"/>
    <w:rPr>
      <w:rFonts w:ascii="Georgia" w:hAnsi="Georgia" w:cs="Times New Roman"/>
      <w:sz w:val="24"/>
      <w:lang w:val="cs-CZ" w:eastAsia="en-US" w:bidi="ar-SA"/>
    </w:rPr>
  </w:style>
  <w:style w:type="paragraph" w:customStyle="1" w:styleId="Legalentity">
    <w:name w:val="Legal entity"/>
    <w:basedOn w:val="Normln"/>
    <w:uiPriority w:val="99"/>
    <w:rsid w:val="00CE3165"/>
    <w:pPr>
      <w:widowControl w:val="0"/>
      <w:suppressAutoHyphens/>
      <w:overflowPunct/>
      <w:spacing w:after="90" w:line="180" w:lineRule="atLeast"/>
      <w:textAlignment w:val="center"/>
    </w:pPr>
    <w:rPr>
      <w:rFonts w:ascii="Arial" w:hAnsi="Arial" w:cs="Arial"/>
      <w:color w:val="000000"/>
      <w:sz w:val="16"/>
      <w:lang w:val="en-GB" w:eastAsia="en-GB"/>
    </w:rPr>
  </w:style>
  <w:style w:type="paragraph" w:customStyle="1" w:styleId="smlouvaheading1">
    <w:name w:val="smlouva heading 1"/>
    <w:next w:val="BodyText1"/>
    <w:uiPriority w:val="99"/>
    <w:rsid w:val="00CE3165"/>
    <w:pPr>
      <w:numPr>
        <w:numId w:val="30"/>
      </w:numPr>
      <w:tabs>
        <w:tab w:val="left" w:pos="873"/>
      </w:tabs>
      <w:spacing w:before="240" w:after="120"/>
      <w:ind w:left="357" w:hanging="357"/>
      <w:jc w:val="both"/>
    </w:pPr>
    <w:rPr>
      <w:rFonts w:ascii="Arial" w:hAnsi="Arial"/>
      <w:b/>
      <w:noProof/>
      <w:color w:val="000000"/>
      <w:sz w:val="19"/>
      <w:szCs w:val="24"/>
      <w:lang w:eastAsia="en-US"/>
    </w:rPr>
  </w:style>
  <w:style w:type="paragraph" w:customStyle="1" w:styleId="CaptionIntroductionparagraph">
    <w:name w:val="Caption Introduction paragraph"/>
    <w:qFormat/>
    <w:rsid w:val="00CE3165"/>
    <w:rPr>
      <w:rFonts w:ascii="Arial" w:hAnsi="Arial"/>
      <w:b/>
      <w:color w:val="00A1DE"/>
      <w:sz w:val="24"/>
      <w:lang w:eastAsia="en-US"/>
    </w:rPr>
  </w:style>
  <w:style w:type="paragraph" w:customStyle="1" w:styleId="smlouvaheading2">
    <w:name w:val="smlouva heading 2"/>
    <w:basedOn w:val="CaptionIntroductionparagraph"/>
    <w:next w:val="BodyText1"/>
    <w:uiPriority w:val="99"/>
    <w:rsid w:val="00CE3165"/>
    <w:pPr>
      <w:numPr>
        <w:ilvl w:val="1"/>
        <w:numId w:val="30"/>
      </w:numPr>
      <w:tabs>
        <w:tab w:val="left" w:pos="567"/>
      </w:tabs>
      <w:spacing w:before="120"/>
      <w:ind w:left="567" w:hanging="567"/>
      <w:jc w:val="both"/>
    </w:pPr>
    <w:rPr>
      <w:b w:val="0"/>
      <w:color w:val="000000"/>
      <w:sz w:val="19"/>
    </w:rPr>
  </w:style>
  <w:style w:type="paragraph" w:customStyle="1" w:styleId="smlouvaheading3">
    <w:name w:val="smlouva heading 3"/>
    <w:basedOn w:val="smlouvaheading2"/>
    <w:next w:val="BodyText1"/>
    <w:uiPriority w:val="99"/>
    <w:rsid w:val="00CE3165"/>
    <w:pPr>
      <w:numPr>
        <w:ilvl w:val="2"/>
      </w:numPr>
      <w:tabs>
        <w:tab w:val="clear" w:pos="567"/>
        <w:tab w:val="left" w:pos="794"/>
      </w:tabs>
      <w:ind w:left="794" w:hanging="794"/>
    </w:pPr>
  </w:style>
  <w:style w:type="paragraph" w:customStyle="1" w:styleId="smlouvaheading4">
    <w:name w:val="smlouva heading 4"/>
    <w:basedOn w:val="smlouvaheading3"/>
    <w:next w:val="BodyText1"/>
    <w:uiPriority w:val="99"/>
    <w:rsid w:val="00CE3165"/>
    <w:pPr>
      <w:numPr>
        <w:ilvl w:val="3"/>
      </w:numPr>
      <w:tabs>
        <w:tab w:val="clear" w:pos="794"/>
        <w:tab w:val="left" w:pos="1021"/>
      </w:tabs>
      <w:ind w:left="1021" w:hanging="1021"/>
    </w:pPr>
    <w:rPr>
      <w:color w:val="auto"/>
    </w:rPr>
  </w:style>
  <w:style w:type="paragraph" w:customStyle="1" w:styleId="smlouvabodytextbold">
    <w:name w:val="smlouva body text bold"/>
    <w:basedOn w:val="smlouvaheading4"/>
    <w:next w:val="BodyText1"/>
    <w:uiPriority w:val="99"/>
    <w:rsid w:val="00CE3165"/>
    <w:pPr>
      <w:numPr>
        <w:ilvl w:val="0"/>
        <w:numId w:val="0"/>
      </w:numPr>
    </w:pPr>
    <w:rPr>
      <w:b/>
    </w:rPr>
  </w:style>
  <w:style w:type="paragraph" w:customStyle="1" w:styleId="Bodytextbold">
    <w:name w:val="Body text bold"/>
    <w:basedOn w:val="smlouvabodytextbold"/>
    <w:next w:val="BodyText1"/>
    <w:uiPriority w:val="99"/>
    <w:rsid w:val="00CE3165"/>
    <w:pPr>
      <w:tabs>
        <w:tab w:val="clear" w:pos="1021"/>
        <w:tab w:val="left" w:pos="1134"/>
      </w:tabs>
    </w:pPr>
    <w:rPr>
      <w:color w:val="000000"/>
    </w:rPr>
  </w:style>
  <w:style w:type="character" w:customStyle="1" w:styleId="CaptionbodyChar">
    <w:name w:val="Caption body Char"/>
    <w:link w:val="Captionbody"/>
    <w:uiPriority w:val="99"/>
    <w:locked/>
    <w:rsid w:val="00CE3165"/>
    <w:rPr>
      <w:rFonts w:ascii="Arial" w:hAnsi="Arial"/>
      <w:color w:val="000000"/>
      <w:sz w:val="22"/>
      <w:lang w:val="en-US" w:eastAsia="en-US"/>
    </w:rPr>
  </w:style>
  <w:style w:type="paragraph" w:customStyle="1" w:styleId="Captionbody">
    <w:name w:val="Caption body"/>
    <w:link w:val="CaptionbodyChar"/>
    <w:uiPriority w:val="99"/>
    <w:rsid w:val="00CE3165"/>
    <w:rPr>
      <w:rFonts w:ascii="Arial" w:hAnsi="Arial"/>
      <w:color w:val="000000"/>
      <w:lang w:val="en-US" w:eastAsia="en-US"/>
    </w:rPr>
  </w:style>
  <w:style w:type="paragraph" w:customStyle="1" w:styleId="Captionheading">
    <w:name w:val="Caption heading"/>
    <w:basedOn w:val="Captionbody"/>
    <w:uiPriority w:val="99"/>
    <w:rsid w:val="00CE3165"/>
    <w:rPr>
      <w:b/>
    </w:rPr>
  </w:style>
  <w:style w:type="paragraph" w:customStyle="1" w:styleId="smlouvabodytext">
    <w:name w:val="smlouva body text"/>
    <w:basedOn w:val="Normln"/>
    <w:uiPriority w:val="99"/>
    <w:rsid w:val="00CE3165"/>
    <w:pPr>
      <w:overflowPunct/>
      <w:autoSpaceDE/>
      <w:autoSpaceDN/>
      <w:adjustRightInd/>
      <w:spacing w:before="120"/>
      <w:textAlignment w:val="auto"/>
    </w:pPr>
    <w:rPr>
      <w:rFonts w:ascii="Arial" w:hAnsi="Arial" w:cs="Arial"/>
      <w:noProof/>
      <w:sz w:val="19"/>
      <w:szCs w:val="24"/>
      <w:lang w:eastAsia="en-US"/>
    </w:rPr>
  </w:style>
  <w:style w:type="paragraph" w:customStyle="1" w:styleId="Bulletslevel1">
    <w:name w:val="Bullets level 1"/>
    <w:basedOn w:val="Normln"/>
    <w:link w:val="Bulletslevel1Char"/>
    <w:uiPriority w:val="99"/>
    <w:rsid w:val="00CE3165"/>
    <w:pPr>
      <w:numPr>
        <w:numId w:val="27"/>
      </w:numPr>
      <w:overflowPunct/>
      <w:autoSpaceDE/>
      <w:autoSpaceDN/>
      <w:adjustRightInd/>
      <w:spacing w:before="120"/>
      <w:ind w:left="360"/>
      <w:textAlignment w:val="auto"/>
    </w:pPr>
    <w:rPr>
      <w:rFonts w:ascii="Arial" w:hAnsi="Arial"/>
      <w:color w:val="000000"/>
      <w:sz w:val="19"/>
      <w:lang w:val="en-GB" w:eastAsia="en-US"/>
    </w:rPr>
  </w:style>
  <w:style w:type="character" w:customStyle="1" w:styleId="Bulletslevel1Char">
    <w:name w:val="Bullets level 1 Char"/>
    <w:link w:val="Bulletslevel1"/>
    <w:uiPriority w:val="99"/>
    <w:locked/>
    <w:rsid w:val="00CE3165"/>
    <w:rPr>
      <w:rFonts w:ascii="Arial" w:hAnsi="Arial"/>
      <w:color w:val="000000"/>
      <w:sz w:val="20"/>
      <w:lang w:val="en-GB" w:eastAsia="en-US"/>
    </w:rPr>
  </w:style>
  <w:style w:type="paragraph" w:customStyle="1" w:styleId="Bulletslevel2">
    <w:name w:val="Bullets level 2"/>
    <w:basedOn w:val="Normln"/>
    <w:link w:val="Bulletslevel2Char"/>
    <w:uiPriority w:val="99"/>
    <w:rsid w:val="00CE3165"/>
    <w:pPr>
      <w:numPr>
        <w:numId w:val="29"/>
      </w:numPr>
      <w:tabs>
        <w:tab w:val="left" w:pos="567"/>
      </w:tabs>
      <w:overflowPunct/>
      <w:autoSpaceDE/>
      <w:autoSpaceDN/>
      <w:adjustRightInd/>
      <w:spacing w:before="120"/>
      <w:textAlignment w:val="auto"/>
    </w:pPr>
    <w:rPr>
      <w:rFonts w:ascii="Arial" w:hAnsi="Arial"/>
      <w:color w:val="000000"/>
      <w:sz w:val="19"/>
      <w:lang w:val="en-GB" w:eastAsia="en-US"/>
    </w:rPr>
  </w:style>
  <w:style w:type="character" w:customStyle="1" w:styleId="Bulletslevel2Char">
    <w:name w:val="Bullets level 2 Char"/>
    <w:link w:val="Bulletslevel2"/>
    <w:uiPriority w:val="99"/>
    <w:locked/>
    <w:rsid w:val="00CE3165"/>
    <w:rPr>
      <w:rFonts w:ascii="Arial" w:hAnsi="Arial"/>
      <w:color w:val="000000"/>
      <w:sz w:val="20"/>
      <w:lang w:val="en-GB" w:eastAsia="en-US"/>
    </w:rPr>
  </w:style>
  <w:style w:type="paragraph" w:customStyle="1" w:styleId="PulloutQuote">
    <w:name w:val="Pullout Quote"/>
    <w:uiPriority w:val="99"/>
    <w:rsid w:val="00CE3165"/>
    <w:pPr>
      <w:pBdr>
        <w:top w:val="single" w:sz="4" w:space="4" w:color="00A1DE"/>
      </w:pBdr>
      <w:suppressAutoHyphens/>
      <w:spacing w:line="320" w:lineRule="exact"/>
    </w:pPr>
    <w:rPr>
      <w:color w:val="00A1DE"/>
      <w:sz w:val="32"/>
      <w:szCs w:val="20"/>
      <w:lang w:val="en-GB" w:eastAsia="en-US"/>
    </w:rPr>
  </w:style>
  <w:style w:type="paragraph" w:customStyle="1" w:styleId="Highlight1">
    <w:name w:val="Highlight 1"/>
    <w:basedOn w:val="Normln"/>
    <w:uiPriority w:val="99"/>
    <w:rsid w:val="00CE3165"/>
    <w:pPr>
      <w:overflowPunct/>
      <w:autoSpaceDE/>
      <w:autoSpaceDN/>
      <w:adjustRightInd/>
      <w:textAlignment w:val="auto"/>
    </w:pPr>
    <w:rPr>
      <w:rFonts w:ascii="Arial" w:hAnsi="Arial" w:cs="Arial"/>
      <w:b/>
      <w:color w:val="3C8A2E"/>
      <w:sz w:val="20"/>
      <w:szCs w:val="16"/>
      <w:lang w:eastAsia="en-US"/>
    </w:rPr>
  </w:style>
  <w:style w:type="paragraph" w:customStyle="1" w:styleId="Highlight2">
    <w:name w:val="Highlight 2"/>
    <w:basedOn w:val="Highlight1"/>
    <w:uiPriority w:val="99"/>
    <w:rsid w:val="00CE3165"/>
    <w:rPr>
      <w:color w:val="92D400"/>
    </w:rPr>
  </w:style>
  <w:style w:type="paragraph" w:styleId="Obsah4">
    <w:name w:val="toc 4"/>
    <w:basedOn w:val="Normln"/>
    <w:next w:val="Normln"/>
    <w:autoRedefine/>
    <w:uiPriority w:val="39"/>
    <w:rsid w:val="00CE3165"/>
    <w:pPr>
      <w:overflowPunct/>
      <w:autoSpaceDE/>
      <w:autoSpaceDN/>
      <w:adjustRightInd/>
      <w:spacing w:after="240"/>
      <w:ind w:left="720"/>
      <w:textAlignment w:val="auto"/>
    </w:pPr>
    <w:rPr>
      <w:rFonts w:ascii="Arial" w:hAnsi="Arial" w:cs="Arial"/>
      <w:sz w:val="19"/>
      <w:szCs w:val="24"/>
      <w:lang w:eastAsia="en-US"/>
    </w:rPr>
  </w:style>
  <w:style w:type="table" w:styleId="Tabulkasprostorovmiefekty1">
    <w:name w:val="Table 3D effects 1"/>
    <w:basedOn w:val="Normlntabulka"/>
    <w:uiPriority w:val="99"/>
    <w:locked/>
    <w:rsid w:val="00CE3165"/>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Deloittetable4">
    <w:name w:val="Deloitte table 4"/>
    <w:uiPriority w:val="99"/>
    <w:rsid w:val="00CE3165"/>
    <w:rPr>
      <w:rFonts w:ascii="Arial" w:hAnsi="Arial"/>
      <w:sz w:val="19"/>
      <w:szCs w:val="20"/>
    </w:rPr>
    <w:tblPr>
      <w:tblInd w:w="0" w:type="dxa"/>
      <w:tblBorders>
        <w:bottom w:val="single" w:sz="4" w:space="0" w:color="3C8A2E"/>
        <w:insideH w:val="single" w:sz="4" w:space="0" w:color="3C8A2E"/>
      </w:tblBorders>
      <w:tblCellMar>
        <w:top w:w="28" w:type="dxa"/>
        <w:left w:w="28" w:type="dxa"/>
        <w:bottom w:w="28" w:type="dxa"/>
        <w:right w:w="28" w:type="dxa"/>
      </w:tblCellMar>
    </w:tblPr>
  </w:style>
  <w:style w:type="table" w:customStyle="1" w:styleId="Deloittetable5">
    <w:name w:val="Deloitte table 5"/>
    <w:uiPriority w:val="99"/>
    <w:rsid w:val="00CE3165"/>
    <w:rPr>
      <w:rFonts w:ascii="Arial" w:hAnsi="Arial"/>
      <w:sz w:val="19"/>
      <w:szCs w:val="20"/>
    </w:rPr>
    <w:tblPr>
      <w:tblInd w:w="0" w:type="dxa"/>
      <w:tblBorders>
        <w:bottom w:val="single" w:sz="4" w:space="0" w:color="C9DD03"/>
        <w:insideH w:val="single" w:sz="4" w:space="0" w:color="C9DD03"/>
      </w:tblBorders>
      <w:tblCellMar>
        <w:top w:w="28" w:type="dxa"/>
        <w:left w:w="28" w:type="dxa"/>
        <w:bottom w:w="28" w:type="dxa"/>
        <w:right w:w="28" w:type="dxa"/>
      </w:tblCellMar>
    </w:tblPr>
    <w:tcPr>
      <w:shd w:val="clear" w:color="auto" w:fill="FFFFFF"/>
    </w:tcPr>
  </w:style>
  <w:style w:type="table" w:customStyle="1" w:styleId="Style1">
    <w:name w:val="Style1"/>
    <w:uiPriority w:val="99"/>
    <w:rsid w:val="00CE3165"/>
    <w:rPr>
      <w:rFonts w:ascii="Arial" w:hAnsi="Arial"/>
      <w:sz w:val="19"/>
      <w:szCs w:val="20"/>
    </w:rPr>
    <w:tblPr>
      <w:tblInd w:w="0" w:type="dxa"/>
      <w:tblCellMar>
        <w:top w:w="0" w:type="dxa"/>
        <w:left w:w="108" w:type="dxa"/>
        <w:bottom w:w="0" w:type="dxa"/>
        <w:right w:w="108" w:type="dxa"/>
      </w:tblCellMar>
    </w:tblPr>
  </w:style>
  <w:style w:type="table" w:customStyle="1" w:styleId="Deloittetable6">
    <w:name w:val="Deloitte table 6"/>
    <w:uiPriority w:val="99"/>
    <w:rsid w:val="00CE3165"/>
    <w:rPr>
      <w:rFonts w:ascii="Arial" w:hAnsi="Arial"/>
      <w:sz w:val="19"/>
      <w:szCs w:val="20"/>
    </w:rPr>
    <w:tblPr>
      <w:tblInd w:w="0" w:type="dxa"/>
      <w:tblBorders>
        <w:bottom w:val="single" w:sz="4" w:space="0" w:color="52D0FF"/>
        <w:insideH w:val="single" w:sz="4" w:space="0" w:color="52D0FF"/>
      </w:tblBorders>
      <w:tblCellMar>
        <w:top w:w="28" w:type="dxa"/>
        <w:left w:w="28" w:type="dxa"/>
        <w:bottom w:w="28" w:type="dxa"/>
        <w:right w:w="28" w:type="dxa"/>
      </w:tblCellMar>
    </w:tblPr>
    <w:tcPr>
      <w:shd w:val="clear" w:color="auto" w:fill="FFFFFF"/>
    </w:tcPr>
  </w:style>
  <w:style w:type="table" w:customStyle="1" w:styleId="Deloittetable7">
    <w:name w:val="Deloitte table 7"/>
    <w:uiPriority w:val="99"/>
    <w:rsid w:val="00CE3165"/>
    <w:rPr>
      <w:rFonts w:ascii="Arial" w:hAnsi="Arial"/>
      <w:sz w:val="19"/>
      <w:szCs w:val="20"/>
    </w:rPr>
    <w:tblPr>
      <w:tblInd w:w="0" w:type="dxa"/>
      <w:tblBorders>
        <w:bottom w:val="single" w:sz="4" w:space="0" w:color="2D6823"/>
        <w:insideH w:val="single" w:sz="4" w:space="0" w:color="2D6823"/>
      </w:tblBorders>
      <w:tblCellMar>
        <w:top w:w="28" w:type="dxa"/>
        <w:left w:w="28" w:type="dxa"/>
        <w:bottom w:w="28" w:type="dxa"/>
        <w:right w:w="28" w:type="dxa"/>
      </w:tblCellMar>
    </w:tblPr>
    <w:tcPr>
      <w:shd w:val="clear" w:color="auto" w:fill="FFFFFF"/>
    </w:tcPr>
  </w:style>
  <w:style w:type="table" w:styleId="Tabulkasprostorovmiefekty3">
    <w:name w:val="Table 3D effects 3"/>
    <w:basedOn w:val="Normlntabulka"/>
    <w:uiPriority w:val="99"/>
    <w:locked/>
    <w:rsid w:val="00CE3165"/>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Deloittetable8">
    <w:name w:val="Deloitte table 8"/>
    <w:uiPriority w:val="99"/>
    <w:rsid w:val="00CE3165"/>
    <w:pPr>
      <w:contextualSpacing/>
    </w:pPr>
    <w:rPr>
      <w:rFonts w:ascii="Arial" w:hAnsi="Arial"/>
      <w:sz w:val="19"/>
      <w:szCs w:val="20"/>
    </w:rPr>
    <w:tblPr>
      <w:tblInd w:w="0" w:type="dxa"/>
      <w:tblBorders>
        <w:top w:val="single" w:sz="4" w:space="0" w:color="2D6823"/>
        <w:bottom w:val="single" w:sz="4" w:space="0" w:color="2D6823"/>
        <w:insideH w:val="single" w:sz="4" w:space="0" w:color="2D6823"/>
      </w:tblBorders>
      <w:tblCellMar>
        <w:top w:w="28" w:type="dxa"/>
        <w:left w:w="28" w:type="dxa"/>
        <w:bottom w:w="28" w:type="dxa"/>
        <w:right w:w="28" w:type="dxa"/>
      </w:tblCellMar>
    </w:tblPr>
  </w:style>
  <w:style w:type="table" w:customStyle="1" w:styleId="Deloittetable81">
    <w:name w:val="Deloitte table 8.1"/>
    <w:uiPriority w:val="99"/>
    <w:rsid w:val="00CE3165"/>
    <w:rPr>
      <w:rFonts w:ascii="Arial" w:hAnsi="Arial"/>
      <w:sz w:val="19"/>
      <w:szCs w:val="20"/>
    </w:rPr>
    <w:tblPr>
      <w:tblInd w:w="0" w:type="dxa"/>
      <w:tblBorders>
        <w:top w:val="single" w:sz="4" w:space="0" w:color="92D400"/>
        <w:bottom w:val="single" w:sz="4" w:space="0" w:color="92D400"/>
        <w:insideH w:val="single" w:sz="4" w:space="0" w:color="92D400"/>
      </w:tblBorders>
      <w:tblCellMar>
        <w:top w:w="28" w:type="dxa"/>
        <w:left w:w="28" w:type="dxa"/>
        <w:bottom w:w="28" w:type="dxa"/>
        <w:right w:w="28" w:type="dxa"/>
      </w:tblCellMar>
    </w:tblPr>
    <w:tcPr>
      <w:shd w:val="clear" w:color="auto" w:fill="FFFFFF"/>
    </w:tcPr>
  </w:style>
  <w:style w:type="table" w:customStyle="1" w:styleId="Deloittetable82">
    <w:name w:val="Deloitte table 8.2"/>
    <w:uiPriority w:val="99"/>
    <w:rsid w:val="00CE3165"/>
    <w:rPr>
      <w:rFonts w:ascii="Arial" w:hAnsi="Arial"/>
      <w:sz w:val="19"/>
      <w:szCs w:val="20"/>
    </w:rPr>
    <w:tblPr>
      <w:tblInd w:w="0" w:type="dxa"/>
      <w:tblBorders>
        <w:top w:val="single" w:sz="4" w:space="0" w:color="00A1DE"/>
        <w:bottom w:val="single" w:sz="4" w:space="0" w:color="00A1DE"/>
        <w:insideH w:val="single" w:sz="4" w:space="0" w:color="00A1DE"/>
      </w:tblBorders>
      <w:tblCellMar>
        <w:top w:w="28" w:type="dxa"/>
        <w:left w:w="28" w:type="dxa"/>
        <w:bottom w:w="28" w:type="dxa"/>
        <w:right w:w="28" w:type="dxa"/>
      </w:tblCellMar>
    </w:tblPr>
    <w:tcPr>
      <w:shd w:val="clear" w:color="auto" w:fill="FFFFFF"/>
    </w:tcPr>
  </w:style>
  <w:style w:type="table" w:customStyle="1" w:styleId="Deloittetable83">
    <w:name w:val="Deloitte table 8.3"/>
    <w:uiPriority w:val="99"/>
    <w:rsid w:val="00CE3165"/>
    <w:rPr>
      <w:rFonts w:ascii="Arial" w:hAnsi="Arial"/>
      <w:sz w:val="19"/>
      <w:szCs w:val="20"/>
    </w:rPr>
    <w:tblPr>
      <w:tblInd w:w="0" w:type="dxa"/>
      <w:tblBorders>
        <w:top w:val="single" w:sz="4" w:space="0" w:color="72C7E7"/>
        <w:bottom w:val="single" w:sz="4" w:space="0" w:color="72C7E7"/>
        <w:insideH w:val="single" w:sz="4" w:space="0" w:color="72C7E7"/>
      </w:tblBorders>
      <w:tblCellMar>
        <w:top w:w="28" w:type="dxa"/>
        <w:left w:w="28" w:type="dxa"/>
        <w:bottom w:w="28" w:type="dxa"/>
        <w:right w:w="28" w:type="dxa"/>
      </w:tblCellMar>
    </w:tblPr>
    <w:tcPr>
      <w:shd w:val="clear" w:color="auto" w:fill="FFFFFF"/>
    </w:tcPr>
  </w:style>
  <w:style w:type="table" w:customStyle="1" w:styleId="Deloittetable84">
    <w:name w:val="Deloitte table 8.4"/>
    <w:uiPriority w:val="99"/>
    <w:rsid w:val="00CE3165"/>
    <w:rPr>
      <w:rFonts w:ascii="Arial" w:hAnsi="Arial"/>
      <w:sz w:val="19"/>
      <w:szCs w:val="20"/>
    </w:rPr>
    <w:tblPr>
      <w:tblInd w:w="0" w:type="dxa"/>
      <w:tblBorders>
        <w:top w:val="single" w:sz="4" w:space="0" w:color="3C8A2E"/>
        <w:bottom w:val="single" w:sz="4" w:space="0" w:color="3C8A2E"/>
        <w:insideH w:val="single" w:sz="4" w:space="0" w:color="3C8A2E"/>
      </w:tblBorders>
      <w:tblCellMar>
        <w:top w:w="28" w:type="dxa"/>
        <w:left w:w="28" w:type="dxa"/>
        <w:bottom w:w="28" w:type="dxa"/>
        <w:right w:w="28" w:type="dxa"/>
      </w:tblCellMar>
    </w:tblPr>
    <w:tcPr>
      <w:shd w:val="clear" w:color="auto" w:fill="FFFFFF"/>
    </w:tcPr>
  </w:style>
  <w:style w:type="table" w:customStyle="1" w:styleId="Deloittetable85">
    <w:name w:val="Deloitte table 8.5"/>
    <w:rsid w:val="00CE3165"/>
    <w:rPr>
      <w:rFonts w:ascii="Arial" w:hAnsi="Arial"/>
      <w:sz w:val="19"/>
      <w:szCs w:val="20"/>
    </w:rPr>
    <w:tblPr>
      <w:tblInd w:w="0" w:type="dxa"/>
      <w:tblBorders>
        <w:top w:val="single" w:sz="4" w:space="0" w:color="C9DD03"/>
        <w:bottom w:val="single" w:sz="4" w:space="0" w:color="C9DD03"/>
        <w:insideH w:val="single" w:sz="4" w:space="0" w:color="C9DD03"/>
      </w:tblBorders>
      <w:tblCellMar>
        <w:top w:w="28" w:type="dxa"/>
        <w:left w:w="28" w:type="dxa"/>
        <w:bottom w:w="28" w:type="dxa"/>
        <w:right w:w="28" w:type="dxa"/>
      </w:tblCellMar>
    </w:tblPr>
    <w:tcPr>
      <w:shd w:val="clear" w:color="auto" w:fill="FFFFFF"/>
    </w:tcPr>
  </w:style>
  <w:style w:type="table" w:customStyle="1" w:styleId="Deloittetable86">
    <w:name w:val="Deloitte table 8.6"/>
    <w:uiPriority w:val="99"/>
    <w:rsid w:val="00CE3165"/>
    <w:rPr>
      <w:rFonts w:ascii="Arial" w:hAnsi="Arial"/>
      <w:sz w:val="19"/>
      <w:szCs w:val="20"/>
    </w:rPr>
    <w:tblPr>
      <w:tblInd w:w="0" w:type="dxa"/>
      <w:tblBorders>
        <w:top w:val="single" w:sz="4" w:space="0" w:color="00A1DE"/>
        <w:bottom w:val="single" w:sz="4" w:space="0" w:color="00A1DE"/>
        <w:insideH w:val="single" w:sz="4" w:space="0" w:color="00A1DE"/>
      </w:tblBorders>
      <w:tblCellMar>
        <w:top w:w="28" w:type="dxa"/>
        <w:left w:w="28" w:type="dxa"/>
        <w:bottom w:w="28" w:type="dxa"/>
        <w:right w:w="28" w:type="dxa"/>
      </w:tblCellMar>
    </w:tblPr>
    <w:tcPr>
      <w:shd w:val="clear" w:color="auto" w:fill="FFFFFF"/>
    </w:tcPr>
  </w:style>
  <w:style w:type="table" w:styleId="Sloupcetabulky3">
    <w:name w:val="Table Columns 3"/>
    <w:basedOn w:val="Normlntabulka"/>
    <w:uiPriority w:val="99"/>
    <w:locked/>
    <w:rsid w:val="00CE3165"/>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Barevnseznamzvraznn4">
    <w:name w:val="Colorful List Accent 4"/>
    <w:basedOn w:val="Normlntabulka"/>
    <w:uiPriority w:val="99"/>
    <w:rsid w:val="00CE3165"/>
    <w:rPr>
      <w:color w:val="000000"/>
      <w:sz w:val="20"/>
      <w:szCs w:val="20"/>
    </w:rPr>
    <w:tblPr>
      <w:tblStyleRowBandSize w:val="1"/>
      <w:tblStyleColBandSize w:val="1"/>
    </w:tblPr>
    <w:tcPr>
      <w:shd w:val="clear" w:color="auto" w:fill="F1F9FC"/>
    </w:tcPr>
    <w:tblStylePr w:type="firstRow">
      <w:rPr>
        <w:rFonts w:cs="Times New Roman"/>
        <w:b/>
        <w:bCs/>
        <w:color w:val="FFFFFF"/>
      </w:rPr>
      <w:tblPr/>
      <w:tcPr>
        <w:tcBorders>
          <w:bottom w:val="single" w:sz="12" w:space="0" w:color="FFFFFF"/>
        </w:tcBorders>
        <w:shd w:val="clear" w:color="auto" w:fill="007FB1"/>
      </w:tcPr>
    </w:tblStylePr>
    <w:tblStylePr w:type="lastRow">
      <w:rPr>
        <w:rFonts w:cs="Times New Roman"/>
        <w:b/>
        <w:bCs/>
        <w:color w:val="007FB1"/>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BF1F9"/>
      </w:tcPr>
    </w:tblStylePr>
    <w:tblStylePr w:type="band1Horz">
      <w:rPr>
        <w:rFonts w:cs="Times New Roman"/>
      </w:rPr>
      <w:tblPr/>
      <w:tcPr>
        <w:shd w:val="clear" w:color="auto" w:fill="E2F3FA"/>
      </w:tcPr>
    </w:tblStylePr>
  </w:style>
  <w:style w:type="table" w:styleId="Stednmka2zvraznn4">
    <w:name w:val="Medium Grid 2 Accent 4"/>
    <w:basedOn w:val="Normlntabulka"/>
    <w:uiPriority w:val="99"/>
    <w:rsid w:val="00CE3165"/>
    <w:rPr>
      <w:rFonts w:ascii="Arial" w:hAnsi="Arial"/>
      <w:color w:val="000000"/>
      <w:sz w:val="20"/>
      <w:szCs w:val="20"/>
    </w:rPr>
    <w:tblPr>
      <w:tblStyleRowBandSize w:val="1"/>
      <w:tblStyleColBandSize w:val="1"/>
      <w:tblBorders>
        <w:top w:val="single" w:sz="8" w:space="0" w:color="72C7E7"/>
        <w:left w:val="single" w:sz="8" w:space="0" w:color="72C7E7"/>
        <w:bottom w:val="single" w:sz="8" w:space="0" w:color="72C7E7"/>
        <w:right w:val="single" w:sz="8" w:space="0" w:color="72C7E7"/>
        <w:insideH w:val="single" w:sz="8" w:space="0" w:color="72C7E7"/>
        <w:insideV w:val="single" w:sz="8" w:space="0" w:color="72C7E7"/>
      </w:tblBorders>
    </w:tblPr>
    <w:tcPr>
      <w:shd w:val="clear" w:color="auto" w:fill="DBF1F9"/>
    </w:tcPr>
    <w:tblStylePr w:type="firstRow">
      <w:rPr>
        <w:rFonts w:cs="Times New Roman"/>
        <w:b/>
        <w:bCs/>
        <w:color w:val="000000"/>
      </w:rPr>
      <w:tblPr/>
      <w:tcPr>
        <w:shd w:val="clear" w:color="auto" w:fill="F1F9F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2F3FA"/>
      </w:tcPr>
    </w:tblStylePr>
    <w:tblStylePr w:type="band1Vert">
      <w:rPr>
        <w:rFonts w:cs="Times New Roman"/>
      </w:rPr>
      <w:tblPr/>
      <w:tcPr>
        <w:shd w:val="clear" w:color="auto" w:fill="B8E2F3"/>
      </w:tcPr>
    </w:tblStylePr>
    <w:tblStylePr w:type="band1Horz">
      <w:rPr>
        <w:rFonts w:cs="Times New Roman"/>
      </w:rPr>
      <w:tblPr/>
      <w:tcPr>
        <w:tcBorders>
          <w:insideH w:val="single" w:sz="6" w:space="0" w:color="72C7E7"/>
          <w:insideV w:val="single" w:sz="6" w:space="0" w:color="72C7E7"/>
        </w:tcBorders>
        <w:shd w:val="clear" w:color="auto" w:fill="B8E2F3"/>
      </w:tcPr>
    </w:tblStylePr>
    <w:tblStylePr w:type="nwCell">
      <w:rPr>
        <w:rFonts w:cs="Times New Roman"/>
      </w:rPr>
      <w:tblPr/>
      <w:tcPr>
        <w:shd w:val="clear" w:color="auto" w:fill="FFFFFF"/>
      </w:tcPr>
    </w:tblStylePr>
  </w:style>
  <w:style w:type="paragraph" w:styleId="Obsah5">
    <w:name w:val="toc 5"/>
    <w:basedOn w:val="Normln"/>
    <w:next w:val="Normln"/>
    <w:autoRedefine/>
    <w:uiPriority w:val="39"/>
    <w:rsid w:val="00CE3165"/>
    <w:pPr>
      <w:overflowPunct/>
      <w:autoSpaceDE/>
      <w:autoSpaceDN/>
      <w:adjustRightInd/>
      <w:spacing w:after="100"/>
      <w:ind w:left="960"/>
      <w:textAlignment w:val="auto"/>
    </w:pPr>
    <w:rPr>
      <w:rFonts w:ascii="Arial" w:hAnsi="Arial" w:cs="Arial"/>
      <w:sz w:val="19"/>
      <w:szCs w:val="24"/>
      <w:lang w:eastAsia="en-US"/>
    </w:rPr>
  </w:style>
  <w:style w:type="paragraph" w:customStyle="1" w:styleId="Highlight3">
    <w:name w:val="Highlight 3"/>
    <w:basedOn w:val="Highlight2"/>
    <w:uiPriority w:val="99"/>
    <w:rsid w:val="00CE3165"/>
    <w:rPr>
      <w:color w:val="00A1DE"/>
    </w:rPr>
  </w:style>
  <w:style w:type="paragraph" w:styleId="Nadpisobsahu">
    <w:name w:val="TOC Heading"/>
    <w:basedOn w:val="Nadpis1"/>
    <w:next w:val="Normln"/>
    <w:uiPriority w:val="99"/>
    <w:qFormat/>
    <w:rsid w:val="00CE3165"/>
    <w:pPr>
      <w:numPr>
        <w:numId w:val="0"/>
      </w:numPr>
      <w:overflowPunct/>
      <w:autoSpaceDE/>
      <w:autoSpaceDN/>
      <w:adjustRightInd/>
      <w:spacing w:line="276" w:lineRule="auto"/>
      <w:jc w:val="left"/>
      <w:textAlignment w:val="auto"/>
      <w:outlineLvl w:val="9"/>
    </w:pPr>
    <w:rPr>
      <w:rFonts w:ascii="Arial" w:hAnsi="Arial"/>
      <w:color w:val="001D58"/>
      <w:sz w:val="28"/>
      <w:lang w:eastAsia="en-US"/>
    </w:rPr>
  </w:style>
  <w:style w:type="character" w:customStyle="1" w:styleId="st1">
    <w:name w:val="st1"/>
    <w:uiPriority w:val="99"/>
    <w:rsid w:val="00CE3165"/>
  </w:style>
  <w:style w:type="paragraph" w:customStyle="1" w:styleId="Default">
    <w:name w:val="Default"/>
    <w:uiPriority w:val="99"/>
    <w:rsid w:val="00CE3165"/>
    <w:pPr>
      <w:autoSpaceDE w:val="0"/>
      <w:autoSpaceDN w:val="0"/>
      <w:adjustRightInd w:val="0"/>
    </w:pPr>
    <w:rPr>
      <w:color w:val="000000"/>
      <w:sz w:val="24"/>
      <w:szCs w:val="24"/>
    </w:rPr>
  </w:style>
  <w:style w:type="paragraph" w:styleId="Normlnweb">
    <w:name w:val="Normal (Web)"/>
    <w:basedOn w:val="Normln"/>
    <w:uiPriority w:val="99"/>
    <w:locked/>
    <w:rsid w:val="00CE3165"/>
    <w:pPr>
      <w:overflowPunct/>
      <w:autoSpaceDE/>
      <w:autoSpaceDN/>
      <w:adjustRightInd/>
      <w:spacing w:before="100" w:beforeAutospacing="1" w:after="100" w:afterAutospacing="1"/>
      <w:textAlignment w:val="auto"/>
    </w:pPr>
    <w:rPr>
      <w:rFonts w:ascii="Arial Unicode MS" w:hAnsi="Arial Unicode MS" w:cs="Arial Unicode MS"/>
      <w:sz w:val="24"/>
      <w:szCs w:val="24"/>
      <w:lang w:val="en-US"/>
    </w:rPr>
  </w:style>
  <w:style w:type="character" w:customStyle="1" w:styleId="apple-converted-space">
    <w:name w:val="apple-converted-space"/>
    <w:basedOn w:val="Standardnpsmoodstavce"/>
    <w:uiPriority w:val="99"/>
    <w:rsid w:val="00CE3165"/>
    <w:rPr>
      <w:rFonts w:cs="Times New Roman"/>
    </w:rPr>
  </w:style>
  <w:style w:type="paragraph" w:customStyle="1" w:styleId="Styl1">
    <w:name w:val="Styl1"/>
    <w:basedOn w:val="Normln"/>
    <w:uiPriority w:val="99"/>
    <w:rsid w:val="00CE3165"/>
    <w:pPr>
      <w:numPr>
        <w:numId w:val="31"/>
      </w:numPr>
      <w:tabs>
        <w:tab w:val="left" w:pos="540"/>
      </w:tabs>
      <w:overflowPunct/>
      <w:autoSpaceDE/>
      <w:autoSpaceDN/>
      <w:adjustRightInd/>
      <w:spacing w:after="60"/>
      <w:jc w:val="center"/>
      <w:textAlignment w:val="auto"/>
    </w:pPr>
    <w:rPr>
      <w:rFonts w:ascii="Cambria" w:hAnsi="Cambria" w:cs="Arial"/>
      <w:b/>
      <w:szCs w:val="22"/>
    </w:rPr>
  </w:style>
  <w:style w:type="paragraph" w:customStyle="1" w:styleId="Zkladntext21">
    <w:name w:val="Základní text 21"/>
    <w:basedOn w:val="Default"/>
    <w:next w:val="Default"/>
    <w:uiPriority w:val="99"/>
    <w:rsid w:val="00CE3165"/>
    <w:rPr>
      <w:rFonts w:ascii="Tahoma" w:hAnsi="Tahoma" w:cs="Tahoma"/>
      <w:color w:val="auto"/>
    </w:rPr>
  </w:style>
  <w:style w:type="character" w:styleId="Siln">
    <w:name w:val="Strong"/>
    <w:basedOn w:val="Standardnpsmoodstavce"/>
    <w:uiPriority w:val="99"/>
    <w:qFormat/>
    <w:rsid w:val="00CE3165"/>
    <w:rPr>
      <w:rFonts w:cs="Times New Roman"/>
      <w:b/>
    </w:rPr>
  </w:style>
  <w:style w:type="paragraph" w:styleId="Revize">
    <w:name w:val="Revision"/>
    <w:hidden/>
    <w:uiPriority w:val="99"/>
    <w:semiHidden/>
    <w:rsid w:val="00251456"/>
    <w:rPr>
      <w:rFonts w:ascii="Calibri" w:hAnsi="Calibri"/>
      <w:szCs w:val="20"/>
    </w:rPr>
  </w:style>
  <w:style w:type="paragraph" w:styleId="Nzev">
    <w:name w:val="Title"/>
    <w:basedOn w:val="Normln"/>
    <w:next w:val="Normln"/>
    <w:link w:val="NzevChar"/>
    <w:uiPriority w:val="99"/>
    <w:qFormat/>
    <w:rsid w:val="008C0CD3"/>
    <w:pPr>
      <w:pBdr>
        <w:bottom w:val="single" w:sz="8" w:space="4" w:color="4F81BD"/>
      </w:pBdr>
      <w:spacing w:after="300"/>
      <w:contextualSpacing/>
    </w:pPr>
    <w:rPr>
      <w:rFonts w:ascii="Cambria" w:hAnsi="Cambria"/>
      <w:color w:val="17365D"/>
      <w:spacing w:val="5"/>
      <w:kern w:val="28"/>
      <w:sz w:val="52"/>
      <w:szCs w:val="52"/>
    </w:rPr>
  </w:style>
  <w:style w:type="character" w:customStyle="1" w:styleId="NzevChar">
    <w:name w:val="Název Char"/>
    <w:basedOn w:val="Standardnpsmoodstavce"/>
    <w:link w:val="Nzev"/>
    <w:uiPriority w:val="99"/>
    <w:locked/>
    <w:rsid w:val="008C0CD3"/>
    <w:rPr>
      <w:rFonts w:ascii="Cambria" w:hAnsi="Cambria" w:cs="Times New Roman"/>
      <w:color w:val="17365D"/>
      <w:spacing w:val="5"/>
      <w:kern w:val="28"/>
      <w:sz w:val="52"/>
      <w:szCs w:val="52"/>
    </w:rPr>
  </w:style>
  <w:style w:type="character" w:styleId="Sledovanodkaz">
    <w:name w:val="FollowedHyperlink"/>
    <w:basedOn w:val="Standardnpsmoodstavce"/>
    <w:uiPriority w:val="99"/>
    <w:locked/>
    <w:rsid w:val="00B35620"/>
    <w:rPr>
      <w:rFonts w:cs="Times New Roman"/>
      <w:color w:val="800080"/>
      <w:u w:val="single"/>
    </w:rPr>
  </w:style>
  <w:style w:type="paragraph" w:styleId="Obsah6">
    <w:name w:val="toc 6"/>
    <w:basedOn w:val="Normln"/>
    <w:next w:val="Normln"/>
    <w:autoRedefine/>
    <w:uiPriority w:val="39"/>
    <w:unhideWhenUsed/>
    <w:locked/>
    <w:rsid w:val="00F50BC7"/>
    <w:pPr>
      <w:overflowPunct/>
      <w:autoSpaceDE/>
      <w:autoSpaceDN/>
      <w:adjustRightInd/>
      <w:spacing w:after="100" w:line="276" w:lineRule="auto"/>
      <w:ind w:left="1100"/>
      <w:jc w:val="left"/>
      <w:textAlignment w:val="auto"/>
    </w:pPr>
    <w:rPr>
      <w:rFonts w:asciiTheme="minorHAnsi" w:eastAsiaTheme="minorEastAsia" w:hAnsiTheme="minorHAnsi" w:cstheme="minorBidi"/>
      <w:szCs w:val="22"/>
    </w:rPr>
  </w:style>
  <w:style w:type="paragraph" w:styleId="Obsah7">
    <w:name w:val="toc 7"/>
    <w:basedOn w:val="Normln"/>
    <w:next w:val="Normln"/>
    <w:autoRedefine/>
    <w:uiPriority w:val="39"/>
    <w:unhideWhenUsed/>
    <w:locked/>
    <w:rsid w:val="00F50BC7"/>
    <w:pPr>
      <w:overflowPunct/>
      <w:autoSpaceDE/>
      <w:autoSpaceDN/>
      <w:adjustRightInd/>
      <w:spacing w:after="100" w:line="276" w:lineRule="auto"/>
      <w:ind w:left="1320"/>
      <w:jc w:val="left"/>
      <w:textAlignment w:val="auto"/>
    </w:pPr>
    <w:rPr>
      <w:rFonts w:asciiTheme="minorHAnsi" w:eastAsiaTheme="minorEastAsia" w:hAnsiTheme="minorHAnsi" w:cstheme="minorBidi"/>
      <w:szCs w:val="22"/>
    </w:rPr>
  </w:style>
  <w:style w:type="paragraph" w:styleId="Obsah8">
    <w:name w:val="toc 8"/>
    <w:basedOn w:val="Normln"/>
    <w:next w:val="Normln"/>
    <w:autoRedefine/>
    <w:uiPriority w:val="39"/>
    <w:unhideWhenUsed/>
    <w:locked/>
    <w:rsid w:val="00F50BC7"/>
    <w:pPr>
      <w:overflowPunct/>
      <w:autoSpaceDE/>
      <w:autoSpaceDN/>
      <w:adjustRightInd/>
      <w:spacing w:after="100" w:line="276" w:lineRule="auto"/>
      <w:ind w:left="1540"/>
      <w:jc w:val="left"/>
      <w:textAlignment w:val="auto"/>
    </w:pPr>
    <w:rPr>
      <w:rFonts w:asciiTheme="minorHAnsi" w:eastAsiaTheme="minorEastAsia" w:hAnsiTheme="minorHAnsi" w:cstheme="minorBidi"/>
      <w:szCs w:val="22"/>
    </w:rPr>
  </w:style>
  <w:style w:type="paragraph" w:styleId="Obsah9">
    <w:name w:val="toc 9"/>
    <w:basedOn w:val="Normln"/>
    <w:next w:val="Normln"/>
    <w:autoRedefine/>
    <w:uiPriority w:val="39"/>
    <w:unhideWhenUsed/>
    <w:locked/>
    <w:rsid w:val="00F50BC7"/>
    <w:pPr>
      <w:overflowPunct/>
      <w:autoSpaceDE/>
      <w:autoSpaceDN/>
      <w:adjustRightInd/>
      <w:spacing w:after="100" w:line="276" w:lineRule="auto"/>
      <w:ind w:left="1760"/>
      <w:jc w:val="left"/>
      <w:textAlignment w:val="auto"/>
    </w:pPr>
    <w:rPr>
      <w:rFonts w:asciiTheme="minorHAnsi" w:eastAsiaTheme="minorEastAsia" w:hAnsiTheme="minorHAnsi" w:cstheme="minorBid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cs-CZ" w:eastAsia="cs-CZ"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ln">
    <w:name w:val="Normal"/>
    <w:qFormat/>
    <w:rsid w:val="00A21A86"/>
    <w:pPr>
      <w:overflowPunct w:val="0"/>
      <w:autoSpaceDE w:val="0"/>
      <w:autoSpaceDN w:val="0"/>
      <w:adjustRightInd w:val="0"/>
      <w:jc w:val="both"/>
      <w:textAlignment w:val="baseline"/>
    </w:pPr>
    <w:rPr>
      <w:rFonts w:ascii="Calibri" w:hAnsi="Calibri"/>
      <w:szCs w:val="20"/>
    </w:rPr>
  </w:style>
  <w:style w:type="paragraph" w:styleId="Nadpis1">
    <w:name w:val="heading 1"/>
    <w:basedOn w:val="Normln"/>
    <w:next w:val="Normln"/>
    <w:link w:val="Nadpis1Char"/>
    <w:uiPriority w:val="99"/>
    <w:qFormat/>
    <w:rsid w:val="00180C0D"/>
    <w:pPr>
      <w:keepNext/>
      <w:keepLines/>
      <w:numPr>
        <w:numId w:val="1"/>
      </w:numPr>
      <w:spacing w:before="480"/>
      <w:outlineLvl w:val="0"/>
    </w:pPr>
    <w:rPr>
      <w:rFonts w:ascii="Cambria" w:hAnsi="Cambria"/>
      <w:b/>
      <w:bCs/>
      <w:color w:val="1F497D"/>
      <w:sz w:val="36"/>
      <w:szCs w:val="28"/>
    </w:rPr>
  </w:style>
  <w:style w:type="paragraph" w:styleId="Nadpis2">
    <w:name w:val="heading 2"/>
    <w:basedOn w:val="Normln"/>
    <w:next w:val="Normln"/>
    <w:link w:val="Nadpis2Char"/>
    <w:uiPriority w:val="99"/>
    <w:qFormat/>
    <w:rsid w:val="00CC70F8"/>
    <w:pPr>
      <w:keepNext/>
      <w:keepLines/>
      <w:numPr>
        <w:ilvl w:val="1"/>
        <w:numId w:val="1"/>
      </w:numPr>
      <w:spacing w:before="200" w:after="240"/>
      <w:outlineLvl w:val="1"/>
    </w:pPr>
    <w:rPr>
      <w:rFonts w:ascii="Cambria" w:hAnsi="Cambria"/>
      <w:b/>
      <w:bCs/>
      <w:color w:val="548DD4"/>
      <w:sz w:val="28"/>
      <w:szCs w:val="26"/>
    </w:rPr>
  </w:style>
  <w:style w:type="paragraph" w:styleId="Nadpis3">
    <w:name w:val="heading 3"/>
    <w:basedOn w:val="Normln"/>
    <w:next w:val="Normln"/>
    <w:link w:val="Nadpis3Char"/>
    <w:uiPriority w:val="99"/>
    <w:qFormat/>
    <w:rsid w:val="00433BD7"/>
    <w:pPr>
      <w:keepNext/>
      <w:keepLines/>
      <w:numPr>
        <w:ilvl w:val="2"/>
        <w:numId w:val="1"/>
      </w:numPr>
      <w:spacing w:before="200" w:after="240"/>
      <w:outlineLvl w:val="2"/>
    </w:pPr>
    <w:rPr>
      <w:rFonts w:ascii="Cambria" w:hAnsi="Cambria"/>
      <w:b/>
      <w:bCs/>
      <w:color w:val="365F91"/>
      <w:sz w:val="26"/>
    </w:rPr>
  </w:style>
  <w:style w:type="paragraph" w:styleId="Nadpis4">
    <w:name w:val="heading 4"/>
    <w:basedOn w:val="Normln"/>
    <w:next w:val="Normln"/>
    <w:link w:val="Nadpis4Char"/>
    <w:uiPriority w:val="99"/>
    <w:qFormat/>
    <w:rsid w:val="00B9734A"/>
    <w:pPr>
      <w:keepNext/>
      <w:keepLines/>
      <w:numPr>
        <w:ilvl w:val="3"/>
        <w:numId w:val="1"/>
      </w:numPr>
      <w:spacing w:before="200"/>
      <w:outlineLvl w:val="3"/>
    </w:pPr>
    <w:rPr>
      <w:rFonts w:ascii="Cambria" w:hAnsi="Cambria"/>
      <w:b/>
      <w:bCs/>
      <w:i/>
      <w:iCs/>
      <w:color w:val="4F81BD"/>
    </w:rPr>
  </w:style>
  <w:style w:type="paragraph" w:styleId="Nadpis5">
    <w:name w:val="heading 5"/>
    <w:basedOn w:val="Normln"/>
    <w:next w:val="Normln"/>
    <w:link w:val="Nadpis5Char"/>
    <w:uiPriority w:val="99"/>
    <w:qFormat/>
    <w:rsid w:val="00B9734A"/>
    <w:pPr>
      <w:keepNext/>
      <w:keepLines/>
      <w:numPr>
        <w:ilvl w:val="4"/>
        <w:numId w:val="1"/>
      </w:numPr>
      <w:spacing w:before="200"/>
      <w:outlineLvl w:val="4"/>
    </w:pPr>
    <w:rPr>
      <w:rFonts w:ascii="Cambria" w:hAnsi="Cambria"/>
      <w:color w:val="243F60"/>
    </w:rPr>
  </w:style>
  <w:style w:type="paragraph" w:styleId="Nadpis6">
    <w:name w:val="heading 6"/>
    <w:basedOn w:val="Normln"/>
    <w:next w:val="Normln"/>
    <w:link w:val="Nadpis6Char"/>
    <w:uiPriority w:val="99"/>
    <w:qFormat/>
    <w:rsid w:val="00B9734A"/>
    <w:pPr>
      <w:keepNext/>
      <w:keepLines/>
      <w:numPr>
        <w:ilvl w:val="5"/>
        <w:numId w:val="1"/>
      </w:numPr>
      <w:spacing w:before="200"/>
      <w:outlineLvl w:val="5"/>
    </w:pPr>
    <w:rPr>
      <w:rFonts w:ascii="Cambria" w:hAnsi="Cambria"/>
      <w:i/>
      <w:iCs/>
      <w:color w:val="243F60"/>
    </w:rPr>
  </w:style>
  <w:style w:type="paragraph" w:styleId="Nadpis7">
    <w:name w:val="heading 7"/>
    <w:basedOn w:val="Normln"/>
    <w:next w:val="Normln"/>
    <w:link w:val="Nadpis7Char"/>
    <w:uiPriority w:val="99"/>
    <w:qFormat/>
    <w:rsid w:val="00B9734A"/>
    <w:pPr>
      <w:keepNext/>
      <w:keepLines/>
      <w:numPr>
        <w:ilvl w:val="6"/>
        <w:numId w:val="1"/>
      </w:numPr>
      <w:spacing w:before="200"/>
      <w:outlineLvl w:val="6"/>
    </w:pPr>
    <w:rPr>
      <w:rFonts w:ascii="Cambria" w:hAnsi="Cambria"/>
      <w:i/>
      <w:iCs/>
      <w:color w:val="404040"/>
    </w:rPr>
  </w:style>
  <w:style w:type="paragraph" w:styleId="Nadpis8">
    <w:name w:val="heading 8"/>
    <w:basedOn w:val="Normln"/>
    <w:next w:val="Normln"/>
    <w:link w:val="Nadpis8Char"/>
    <w:uiPriority w:val="99"/>
    <w:qFormat/>
    <w:rsid w:val="00B9734A"/>
    <w:pPr>
      <w:keepNext/>
      <w:keepLines/>
      <w:numPr>
        <w:ilvl w:val="7"/>
        <w:numId w:val="1"/>
      </w:numPr>
      <w:spacing w:before="200"/>
      <w:outlineLvl w:val="7"/>
    </w:pPr>
    <w:rPr>
      <w:rFonts w:ascii="Cambria" w:hAnsi="Cambria"/>
      <w:color w:val="404040"/>
      <w:sz w:val="20"/>
    </w:rPr>
  </w:style>
  <w:style w:type="paragraph" w:styleId="Nadpis9">
    <w:name w:val="heading 9"/>
    <w:basedOn w:val="Normln"/>
    <w:next w:val="Normln"/>
    <w:link w:val="Nadpis9Char"/>
    <w:uiPriority w:val="99"/>
    <w:qFormat/>
    <w:rsid w:val="00B9734A"/>
    <w:pPr>
      <w:keepNext/>
      <w:keepLines/>
      <w:numPr>
        <w:ilvl w:val="8"/>
        <w:numId w:val="1"/>
      </w:numPr>
      <w:spacing w:before="200"/>
      <w:outlineLvl w:val="8"/>
    </w:pPr>
    <w:rPr>
      <w:rFonts w:ascii="Cambria" w:hAnsi="Cambria"/>
      <w:i/>
      <w:iCs/>
      <w:color w:val="404040"/>
      <w:sz w:val="20"/>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180C0D"/>
    <w:rPr>
      <w:rFonts w:ascii="Cambria" w:hAnsi="Cambria" w:cs="Times New Roman"/>
      <w:b/>
      <w:bCs/>
      <w:color w:val="1F497D"/>
      <w:sz w:val="28"/>
      <w:szCs w:val="28"/>
    </w:rPr>
  </w:style>
  <w:style w:type="character" w:customStyle="1" w:styleId="Nadpis2Char">
    <w:name w:val="Nadpis 2 Char"/>
    <w:basedOn w:val="Standardnpsmoodstavce"/>
    <w:link w:val="Nadpis2"/>
    <w:uiPriority w:val="99"/>
    <w:locked/>
    <w:rsid w:val="00CC70F8"/>
    <w:rPr>
      <w:rFonts w:ascii="Cambria" w:hAnsi="Cambria" w:cs="Times New Roman"/>
      <w:b/>
      <w:bCs/>
      <w:color w:val="548DD4"/>
      <w:sz w:val="26"/>
      <w:szCs w:val="26"/>
    </w:rPr>
  </w:style>
  <w:style w:type="character" w:customStyle="1" w:styleId="Nadpis3Char">
    <w:name w:val="Nadpis 3 Char"/>
    <w:basedOn w:val="Standardnpsmoodstavce"/>
    <w:link w:val="Nadpis3"/>
    <w:uiPriority w:val="99"/>
    <w:locked/>
    <w:rsid w:val="00433BD7"/>
    <w:rPr>
      <w:rFonts w:ascii="Cambria" w:hAnsi="Cambria" w:cs="Times New Roman"/>
      <w:b/>
      <w:bCs/>
      <w:color w:val="365F91"/>
      <w:sz w:val="20"/>
      <w:szCs w:val="20"/>
    </w:rPr>
  </w:style>
  <w:style w:type="character" w:customStyle="1" w:styleId="Nadpis4Char">
    <w:name w:val="Nadpis 4 Char"/>
    <w:basedOn w:val="Standardnpsmoodstavce"/>
    <w:link w:val="Nadpis4"/>
    <w:uiPriority w:val="99"/>
    <w:locked/>
    <w:rsid w:val="00B9734A"/>
    <w:rPr>
      <w:rFonts w:ascii="Cambria" w:hAnsi="Cambria" w:cs="Times New Roman"/>
      <w:b/>
      <w:bCs/>
      <w:i/>
      <w:iCs/>
      <w:color w:val="4F81BD"/>
      <w:sz w:val="20"/>
      <w:szCs w:val="20"/>
    </w:rPr>
  </w:style>
  <w:style w:type="character" w:customStyle="1" w:styleId="Nadpis5Char">
    <w:name w:val="Nadpis 5 Char"/>
    <w:basedOn w:val="Standardnpsmoodstavce"/>
    <w:link w:val="Nadpis5"/>
    <w:uiPriority w:val="99"/>
    <w:locked/>
    <w:rsid w:val="00B9734A"/>
    <w:rPr>
      <w:rFonts w:ascii="Cambria" w:hAnsi="Cambria" w:cs="Times New Roman"/>
      <w:color w:val="243F60"/>
      <w:sz w:val="20"/>
      <w:szCs w:val="20"/>
    </w:rPr>
  </w:style>
  <w:style w:type="character" w:customStyle="1" w:styleId="Nadpis6Char">
    <w:name w:val="Nadpis 6 Char"/>
    <w:basedOn w:val="Standardnpsmoodstavce"/>
    <w:link w:val="Nadpis6"/>
    <w:uiPriority w:val="99"/>
    <w:locked/>
    <w:rsid w:val="00B9734A"/>
    <w:rPr>
      <w:rFonts w:ascii="Cambria" w:hAnsi="Cambria" w:cs="Times New Roman"/>
      <w:i/>
      <w:iCs/>
      <w:color w:val="243F60"/>
      <w:sz w:val="20"/>
      <w:szCs w:val="20"/>
    </w:rPr>
  </w:style>
  <w:style w:type="character" w:customStyle="1" w:styleId="Nadpis7Char">
    <w:name w:val="Nadpis 7 Char"/>
    <w:basedOn w:val="Standardnpsmoodstavce"/>
    <w:link w:val="Nadpis7"/>
    <w:uiPriority w:val="99"/>
    <w:locked/>
    <w:rsid w:val="00B9734A"/>
    <w:rPr>
      <w:rFonts w:ascii="Cambria" w:hAnsi="Cambria" w:cs="Times New Roman"/>
      <w:i/>
      <w:iCs/>
      <w:color w:val="404040"/>
      <w:sz w:val="20"/>
      <w:szCs w:val="20"/>
    </w:rPr>
  </w:style>
  <w:style w:type="character" w:customStyle="1" w:styleId="Nadpis8Char">
    <w:name w:val="Nadpis 8 Char"/>
    <w:basedOn w:val="Standardnpsmoodstavce"/>
    <w:link w:val="Nadpis8"/>
    <w:uiPriority w:val="99"/>
    <w:locked/>
    <w:rsid w:val="00B9734A"/>
    <w:rPr>
      <w:rFonts w:ascii="Cambria" w:hAnsi="Cambria" w:cs="Times New Roman"/>
      <w:color w:val="404040"/>
      <w:sz w:val="20"/>
      <w:szCs w:val="20"/>
    </w:rPr>
  </w:style>
  <w:style w:type="character" w:customStyle="1" w:styleId="Nadpis9Char">
    <w:name w:val="Nadpis 9 Char"/>
    <w:basedOn w:val="Standardnpsmoodstavce"/>
    <w:link w:val="Nadpis9"/>
    <w:uiPriority w:val="99"/>
    <w:locked/>
    <w:rsid w:val="00B9734A"/>
    <w:rPr>
      <w:rFonts w:ascii="Cambria" w:hAnsi="Cambria" w:cs="Times New Roman"/>
      <w:i/>
      <w:iCs/>
      <w:color w:val="404040"/>
      <w:sz w:val="20"/>
      <w:szCs w:val="20"/>
    </w:rPr>
  </w:style>
  <w:style w:type="paragraph" w:styleId="Textbubliny">
    <w:name w:val="Balloon Text"/>
    <w:basedOn w:val="Normln"/>
    <w:link w:val="TextbublinyChar"/>
    <w:uiPriority w:val="99"/>
    <w:semiHidden/>
    <w:rsid w:val="003709F3"/>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3709F3"/>
    <w:rPr>
      <w:rFonts w:ascii="Tahoma" w:hAnsi="Tahoma" w:cs="Tahoma"/>
      <w:sz w:val="16"/>
      <w:szCs w:val="16"/>
    </w:rPr>
  </w:style>
  <w:style w:type="paragraph" w:styleId="Zhlav">
    <w:name w:val="header"/>
    <w:basedOn w:val="Normln"/>
    <w:link w:val="ZhlavChar"/>
    <w:uiPriority w:val="99"/>
    <w:rsid w:val="006561E1"/>
    <w:pPr>
      <w:tabs>
        <w:tab w:val="center" w:pos="4536"/>
        <w:tab w:val="right" w:pos="9072"/>
      </w:tabs>
    </w:pPr>
  </w:style>
  <w:style w:type="character" w:customStyle="1" w:styleId="ZhlavChar">
    <w:name w:val="Záhlaví Char"/>
    <w:basedOn w:val="Standardnpsmoodstavce"/>
    <w:link w:val="Zhlav"/>
    <w:uiPriority w:val="99"/>
    <w:locked/>
    <w:rsid w:val="006561E1"/>
    <w:rPr>
      <w:rFonts w:ascii="Calibri" w:hAnsi="Calibri" w:cs="Times New Roman"/>
      <w:sz w:val="22"/>
    </w:rPr>
  </w:style>
  <w:style w:type="paragraph" w:styleId="Zpat">
    <w:name w:val="footer"/>
    <w:basedOn w:val="Normln"/>
    <w:link w:val="ZpatChar"/>
    <w:uiPriority w:val="99"/>
    <w:rsid w:val="006561E1"/>
    <w:pPr>
      <w:tabs>
        <w:tab w:val="center" w:pos="4536"/>
        <w:tab w:val="right" w:pos="9072"/>
      </w:tabs>
    </w:pPr>
  </w:style>
  <w:style w:type="character" w:customStyle="1" w:styleId="ZpatChar">
    <w:name w:val="Zápatí Char"/>
    <w:basedOn w:val="Standardnpsmoodstavce"/>
    <w:link w:val="Zpat"/>
    <w:uiPriority w:val="99"/>
    <w:locked/>
    <w:rsid w:val="006561E1"/>
    <w:rPr>
      <w:rFonts w:ascii="Calibri" w:hAnsi="Calibri" w:cs="Times New Roman"/>
      <w:sz w:val="22"/>
    </w:rPr>
  </w:style>
  <w:style w:type="character" w:styleId="Hypertextovodkaz">
    <w:name w:val="Hyperlink"/>
    <w:basedOn w:val="Standardnpsmoodstavce"/>
    <w:uiPriority w:val="99"/>
    <w:rsid w:val="000C1B4F"/>
    <w:rPr>
      <w:rFonts w:cs="Times New Roman"/>
      <w:color w:val="0000FF"/>
      <w:u w:val="single"/>
    </w:rPr>
  </w:style>
  <w:style w:type="character" w:styleId="slostrnky">
    <w:name w:val="page number"/>
    <w:basedOn w:val="Standardnpsmoodstavce"/>
    <w:uiPriority w:val="99"/>
    <w:rsid w:val="000C1B4F"/>
    <w:rPr>
      <w:rFonts w:cs="Times New Roman"/>
    </w:rPr>
  </w:style>
  <w:style w:type="paragraph" w:styleId="Odstavecseseznamem">
    <w:name w:val="List Paragraph"/>
    <w:aliases w:val="Odstavec cíl se seznamem,Odstavec se seznamem1,Nad,Odstavec se seznamem5"/>
    <w:basedOn w:val="Normln"/>
    <w:link w:val="OdstavecseseznamemChar"/>
    <w:uiPriority w:val="34"/>
    <w:qFormat/>
    <w:rsid w:val="00EB7775"/>
    <w:pPr>
      <w:ind w:left="720"/>
      <w:contextualSpacing/>
    </w:pPr>
  </w:style>
  <w:style w:type="character" w:customStyle="1" w:styleId="OdstavecseseznamemChar">
    <w:name w:val="Odstavec se seznamem Char"/>
    <w:aliases w:val="Odstavec cíl se seznamem Char,Odstavec se seznamem1 Char,Nad Char,Odstavec se seznamem5 Char"/>
    <w:link w:val="Odstavecseseznamem"/>
    <w:uiPriority w:val="34"/>
    <w:locked/>
    <w:rsid w:val="008346A6"/>
    <w:rPr>
      <w:rFonts w:ascii="Calibri" w:hAnsi="Calibri"/>
      <w:sz w:val="22"/>
    </w:rPr>
  </w:style>
  <w:style w:type="character" w:styleId="Znakapoznpodarou">
    <w:name w:val="footnote reference"/>
    <w:aliases w:val="Überschrift 4 Zchn1,Título 4 Car Zchn,Heading 4 Char1 Car Zchn,no vale 2 Zchn,no vale 2 Car Zchn,PGI Fußnote Ziffer,BVI fnr,Footnote symbol,Footnote Reference Superscript,Appel note de bas de p,Appel note de bas de page,Légende"/>
    <w:basedOn w:val="Standardnpsmoodstavce"/>
    <w:uiPriority w:val="99"/>
    <w:rsid w:val="00CC70F8"/>
    <w:rPr>
      <w:rFonts w:ascii="Arial" w:hAnsi="Arial" w:cs="Times New Roman"/>
      <w:sz w:val="16"/>
      <w:vertAlign w:val="superscript"/>
    </w:rPr>
  </w:style>
  <w:style w:type="paragraph" w:styleId="Textpoznpodarou">
    <w:name w:val="footnote text"/>
    <w:aliases w:val="Char1,Schriftart: 9 pt,Schriftart: 10 pt,Schriftart: 8 pt,Text poznámky pod čiarou 007,Footnote,Fußnotentextf,Geneva 9,Font: Geneva 9,Boston 10,f,pozn. pod čarou,Text pozn. pod čarou1,Char Char Char1,Footnote Text Char1,o,fn"/>
    <w:basedOn w:val="Normln"/>
    <w:link w:val="TextpoznpodarouChar"/>
    <w:uiPriority w:val="99"/>
    <w:rsid w:val="00CC70F8"/>
    <w:pPr>
      <w:overflowPunct/>
      <w:autoSpaceDE/>
      <w:autoSpaceDN/>
      <w:adjustRightInd/>
      <w:textAlignment w:val="auto"/>
    </w:pPr>
    <w:rPr>
      <w:rFonts w:ascii="Arial" w:hAnsi="Arial" w:cs="Arial"/>
      <w:sz w:val="16"/>
      <w:lang w:eastAsia="en-US"/>
    </w:rPr>
  </w:style>
  <w:style w:type="character" w:customStyle="1" w:styleId="TextpoznpodarouChar">
    <w:name w:val="Text pozn. pod čarou Char"/>
    <w:aliases w:val="Char1 Char,Schriftart: 9 pt Char,Schriftart: 10 pt Char,Schriftart: 8 pt Char,Text poznámky pod čiarou 007 Char,Footnote Char,Fußnotentextf Char,Geneva 9 Char,Font: Geneva 9 Char,Boston 10 Char,f Char,pozn. pod čarou Char"/>
    <w:basedOn w:val="Standardnpsmoodstavce"/>
    <w:link w:val="Textpoznpodarou"/>
    <w:uiPriority w:val="99"/>
    <w:locked/>
    <w:rsid w:val="00CC70F8"/>
    <w:rPr>
      <w:rFonts w:ascii="Arial" w:hAnsi="Arial" w:cs="Arial"/>
      <w:sz w:val="16"/>
      <w:lang w:eastAsia="en-US"/>
    </w:rPr>
  </w:style>
  <w:style w:type="paragraph" w:styleId="Titulek">
    <w:name w:val="caption"/>
    <w:basedOn w:val="Normln"/>
    <w:next w:val="Normln"/>
    <w:link w:val="TitulekChar"/>
    <w:uiPriority w:val="99"/>
    <w:qFormat/>
    <w:rsid w:val="00CC70F8"/>
    <w:pPr>
      <w:overflowPunct/>
      <w:autoSpaceDE/>
      <w:autoSpaceDN/>
      <w:adjustRightInd/>
      <w:textAlignment w:val="auto"/>
    </w:pPr>
    <w:rPr>
      <w:rFonts w:ascii="Arial" w:hAnsi="Arial" w:cs="Arial"/>
      <w:b/>
      <w:bCs/>
      <w:color w:val="4F81BD"/>
      <w:sz w:val="20"/>
      <w:lang w:eastAsia="en-US"/>
    </w:rPr>
  </w:style>
  <w:style w:type="character" w:customStyle="1" w:styleId="TitulekChar">
    <w:name w:val="Titulek Char"/>
    <w:basedOn w:val="Standardnpsmoodstavce"/>
    <w:link w:val="Titulek"/>
    <w:uiPriority w:val="99"/>
    <w:locked/>
    <w:rsid w:val="00CC70F8"/>
    <w:rPr>
      <w:rFonts w:ascii="Arial" w:hAnsi="Arial" w:cs="Arial"/>
      <w:b/>
      <w:bCs/>
      <w:color w:val="4F81BD"/>
      <w:lang w:eastAsia="en-US"/>
    </w:rPr>
  </w:style>
  <w:style w:type="table" w:customStyle="1" w:styleId="TableGridLight1">
    <w:name w:val="Table Grid Light1"/>
    <w:uiPriority w:val="40"/>
    <w:rsid w:val="00CC70F8"/>
    <w:rPr>
      <w:sz w:val="20"/>
      <w:szCs w:val="20"/>
      <w:lang w:val="en-US"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Neslovannadpisy">
    <w:name w:val="Nečíslované nadpisy"/>
    <w:basedOn w:val="Normln"/>
    <w:uiPriority w:val="99"/>
    <w:rsid w:val="00A57419"/>
    <w:pPr>
      <w:spacing w:after="120"/>
    </w:pPr>
    <w:rPr>
      <w:b/>
      <w:color w:val="18B462"/>
    </w:rPr>
  </w:style>
  <w:style w:type="table" w:customStyle="1" w:styleId="Deloittetable1">
    <w:name w:val="Deloitte table 1"/>
    <w:uiPriority w:val="99"/>
    <w:rsid w:val="00A21A86"/>
    <w:rPr>
      <w:rFonts w:ascii="Arial" w:hAnsi="Arial"/>
      <w:sz w:val="19"/>
      <w:szCs w:val="20"/>
    </w:rPr>
    <w:tblPr>
      <w:tblInd w:w="0" w:type="dxa"/>
      <w:tblBorders>
        <w:bottom w:val="single" w:sz="4" w:space="0" w:color="92D400"/>
        <w:insideH w:val="single" w:sz="4" w:space="0" w:color="92D400"/>
      </w:tblBorders>
      <w:tblCellMar>
        <w:top w:w="28" w:type="dxa"/>
        <w:left w:w="28" w:type="dxa"/>
        <w:bottom w:w="28" w:type="dxa"/>
        <w:right w:w="28" w:type="dxa"/>
      </w:tblCellMar>
    </w:tblPr>
    <w:tcPr>
      <w:shd w:val="clear" w:color="auto" w:fill="FFFFFF"/>
    </w:tcPr>
  </w:style>
  <w:style w:type="paragraph" w:customStyle="1" w:styleId="Vtneslovannadpis">
    <w:name w:val="Větší nečíslovaný nadpis"/>
    <w:basedOn w:val="Neslovannadpisy"/>
    <w:uiPriority w:val="99"/>
    <w:rsid w:val="00A21A86"/>
    <w:pPr>
      <w:spacing w:after="240"/>
    </w:pPr>
    <w:rPr>
      <w:rFonts w:ascii="Cambria" w:hAnsi="Cambria"/>
      <w:color w:val="548DD4"/>
      <w:sz w:val="24"/>
    </w:rPr>
  </w:style>
  <w:style w:type="table" w:styleId="Mkatabulky">
    <w:name w:val="Table Grid"/>
    <w:aliases w:val="Deloitte table 3"/>
    <w:basedOn w:val="Normlntabulka"/>
    <w:uiPriority w:val="99"/>
    <w:rsid w:val="002B7553"/>
    <w:rPr>
      <w:rFonts w:ascii="Arial" w:hAnsi="Arial"/>
      <w:sz w:val="19"/>
      <w:szCs w:val="20"/>
    </w:rPr>
    <w:tblPr>
      <w:tblBorders>
        <w:bottom w:val="single" w:sz="4" w:space="0" w:color="72C7E7"/>
        <w:insideH w:val="single" w:sz="4" w:space="0" w:color="72C7E7"/>
      </w:tblBorders>
      <w:tblCellMar>
        <w:top w:w="28" w:type="dxa"/>
        <w:left w:w="28" w:type="dxa"/>
        <w:bottom w:w="28" w:type="dxa"/>
        <w:right w:w="28" w:type="dxa"/>
      </w:tblCellMar>
    </w:tblPr>
    <w:tcPr>
      <w:shd w:val="clear" w:color="auto" w:fill="FFFFFF"/>
    </w:tcPr>
    <w:tblStylePr w:type="firstRow">
      <w:rPr>
        <w:rFonts w:ascii="Arial" w:hAnsi="Arial" w:cs="Times New Roman"/>
        <w:b/>
        <w:color w:val="FFFFFF"/>
        <w:sz w:val="19"/>
      </w:rPr>
      <w:tblPr/>
      <w:tcPr>
        <w:shd w:val="clear" w:color="auto" w:fill="72C7E7"/>
      </w:tcPr>
    </w:tblStylePr>
    <w:tblStylePr w:type="firstCol">
      <w:rPr>
        <w:rFonts w:ascii="Arial" w:hAnsi="Arial" w:cs="Times New Roman"/>
        <w:sz w:val="19"/>
      </w:rPr>
    </w:tblStylePr>
  </w:style>
  <w:style w:type="paragraph" w:customStyle="1" w:styleId="Textpspvku">
    <w:name w:val="Text příspěvku"/>
    <w:basedOn w:val="Normln"/>
    <w:uiPriority w:val="99"/>
    <w:rsid w:val="00FF70E4"/>
    <w:pPr>
      <w:tabs>
        <w:tab w:val="left" w:pos="284"/>
      </w:tabs>
      <w:overflowPunct/>
      <w:autoSpaceDE/>
      <w:autoSpaceDN/>
      <w:adjustRightInd/>
      <w:spacing w:after="120"/>
      <w:textAlignment w:val="auto"/>
    </w:pPr>
    <w:rPr>
      <w:szCs w:val="24"/>
      <w:lang w:eastAsia="en-US"/>
    </w:rPr>
  </w:style>
  <w:style w:type="table" w:customStyle="1" w:styleId="Deloittetable2">
    <w:name w:val="Deloitte table 2"/>
    <w:uiPriority w:val="99"/>
    <w:rsid w:val="00E528C8"/>
    <w:rPr>
      <w:rFonts w:ascii="Arial" w:hAnsi="Arial"/>
      <w:sz w:val="19"/>
      <w:szCs w:val="20"/>
    </w:rPr>
    <w:tblPr>
      <w:tblInd w:w="0" w:type="dxa"/>
      <w:tblBorders>
        <w:bottom w:val="single" w:sz="4" w:space="0" w:color="00A1DE"/>
        <w:insideH w:val="single" w:sz="4" w:space="0" w:color="00A1DE"/>
      </w:tblBorders>
      <w:tblCellMar>
        <w:top w:w="28" w:type="dxa"/>
        <w:left w:w="28" w:type="dxa"/>
        <w:bottom w:w="28" w:type="dxa"/>
        <w:right w:w="28" w:type="dxa"/>
      </w:tblCellMar>
    </w:tblPr>
    <w:tcPr>
      <w:shd w:val="clear" w:color="auto" w:fill="FFFFFF"/>
    </w:tcPr>
  </w:style>
  <w:style w:type="character" w:customStyle="1" w:styleId="BodytextChar">
    <w:name w:val="Body text Char"/>
    <w:link w:val="BodyText1"/>
    <w:locked/>
    <w:rsid w:val="00416BF2"/>
    <w:rPr>
      <w:rFonts w:ascii="Arial" w:hAnsi="Arial"/>
      <w:color w:val="000000"/>
      <w:sz w:val="48"/>
      <w:lang w:val="cs-CZ" w:eastAsia="en-US"/>
    </w:rPr>
  </w:style>
  <w:style w:type="paragraph" w:customStyle="1" w:styleId="BodyText1">
    <w:name w:val="Body Text1"/>
    <w:link w:val="BodytextChar"/>
    <w:qFormat/>
    <w:rsid w:val="00416BF2"/>
    <w:rPr>
      <w:rFonts w:ascii="Arial" w:hAnsi="Arial" w:cs="Arial"/>
      <w:color w:val="000000"/>
      <w:sz w:val="19"/>
      <w:szCs w:val="48"/>
      <w:lang w:eastAsia="en-US"/>
    </w:rPr>
  </w:style>
  <w:style w:type="character" w:styleId="Odkaznakoment">
    <w:name w:val="annotation reference"/>
    <w:basedOn w:val="Standardnpsmoodstavce"/>
    <w:uiPriority w:val="99"/>
    <w:rsid w:val="001F3C28"/>
    <w:rPr>
      <w:rFonts w:cs="Times New Roman"/>
      <w:sz w:val="16"/>
      <w:szCs w:val="16"/>
    </w:rPr>
  </w:style>
  <w:style w:type="paragraph" w:styleId="Textkomente">
    <w:name w:val="annotation text"/>
    <w:basedOn w:val="Normln"/>
    <w:link w:val="TextkomenteChar"/>
    <w:uiPriority w:val="99"/>
    <w:rsid w:val="001F3C28"/>
    <w:rPr>
      <w:sz w:val="20"/>
    </w:rPr>
  </w:style>
  <w:style w:type="character" w:customStyle="1" w:styleId="TextkomenteChar">
    <w:name w:val="Text komentáře Char"/>
    <w:basedOn w:val="Standardnpsmoodstavce"/>
    <w:link w:val="Textkomente"/>
    <w:uiPriority w:val="99"/>
    <w:locked/>
    <w:rsid w:val="001F3C28"/>
    <w:rPr>
      <w:rFonts w:ascii="Calibri" w:hAnsi="Calibri" w:cs="Times New Roman"/>
    </w:rPr>
  </w:style>
  <w:style w:type="paragraph" w:styleId="Pedmtkomente">
    <w:name w:val="annotation subject"/>
    <w:basedOn w:val="Textkomente"/>
    <w:next w:val="Textkomente"/>
    <w:link w:val="PedmtkomenteChar"/>
    <w:uiPriority w:val="99"/>
    <w:rsid w:val="001F3C28"/>
    <w:rPr>
      <w:b/>
      <w:bCs/>
    </w:rPr>
  </w:style>
  <w:style w:type="character" w:customStyle="1" w:styleId="PedmtkomenteChar">
    <w:name w:val="Předmět komentáře Char"/>
    <w:basedOn w:val="TextkomenteChar"/>
    <w:link w:val="Pedmtkomente"/>
    <w:uiPriority w:val="99"/>
    <w:locked/>
    <w:rsid w:val="001F3C28"/>
    <w:rPr>
      <w:rFonts w:ascii="Calibri" w:hAnsi="Calibri" w:cs="Times New Roman"/>
      <w:b/>
      <w:bCs/>
    </w:rPr>
  </w:style>
  <w:style w:type="paragraph" w:styleId="Obsah1">
    <w:name w:val="toc 1"/>
    <w:basedOn w:val="Normln"/>
    <w:next w:val="Normln"/>
    <w:autoRedefine/>
    <w:uiPriority w:val="39"/>
    <w:locked/>
    <w:rsid w:val="006075D5"/>
    <w:pPr>
      <w:tabs>
        <w:tab w:val="left" w:pos="426"/>
        <w:tab w:val="right" w:leader="dot" w:pos="9060"/>
      </w:tabs>
    </w:pPr>
  </w:style>
  <w:style w:type="paragraph" w:styleId="Obsah2">
    <w:name w:val="toc 2"/>
    <w:basedOn w:val="Normln"/>
    <w:next w:val="Normln"/>
    <w:autoRedefine/>
    <w:uiPriority w:val="39"/>
    <w:locked/>
    <w:rsid w:val="0022745A"/>
    <w:pPr>
      <w:ind w:left="220"/>
    </w:pPr>
  </w:style>
  <w:style w:type="paragraph" w:styleId="Obsah3">
    <w:name w:val="toc 3"/>
    <w:basedOn w:val="Normln"/>
    <w:next w:val="Normln"/>
    <w:autoRedefine/>
    <w:uiPriority w:val="39"/>
    <w:locked/>
    <w:rsid w:val="0022745A"/>
    <w:pPr>
      <w:ind w:left="440"/>
    </w:pPr>
  </w:style>
  <w:style w:type="character" w:customStyle="1" w:styleId="hps">
    <w:name w:val="hps"/>
    <w:basedOn w:val="Standardnpsmoodstavce"/>
    <w:uiPriority w:val="99"/>
    <w:rsid w:val="009F5E79"/>
    <w:rPr>
      <w:rFonts w:cs="Times New Roman"/>
    </w:rPr>
  </w:style>
  <w:style w:type="paragraph" w:styleId="Zkladntext">
    <w:name w:val="Body Text"/>
    <w:basedOn w:val="Normln"/>
    <w:link w:val="ZkladntextChar"/>
    <w:uiPriority w:val="99"/>
    <w:locked/>
    <w:rsid w:val="00BF6C4F"/>
    <w:pPr>
      <w:overflowPunct/>
      <w:autoSpaceDE/>
      <w:autoSpaceDN/>
      <w:adjustRightInd/>
      <w:spacing w:after="240" w:line="240" w:lineRule="atLeast"/>
      <w:textAlignment w:val="auto"/>
    </w:pPr>
    <w:rPr>
      <w:rFonts w:ascii="Georgia" w:hAnsi="Georgia"/>
      <w:sz w:val="24"/>
      <w:lang w:eastAsia="en-US"/>
    </w:rPr>
  </w:style>
  <w:style w:type="character" w:customStyle="1" w:styleId="ZkladntextChar">
    <w:name w:val="Základní text Char"/>
    <w:basedOn w:val="Standardnpsmoodstavce"/>
    <w:link w:val="Zkladntext"/>
    <w:uiPriority w:val="99"/>
    <w:locked/>
    <w:rsid w:val="00BF6C4F"/>
    <w:rPr>
      <w:rFonts w:ascii="Georgia" w:hAnsi="Georgia" w:cs="Times New Roman"/>
      <w:sz w:val="24"/>
      <w:lang w:val="cs-CZ" w:eastAsia="en-US" w:bidi="ar-SA"/>
    </w:rPr>
  </w:style>
  <w:style w:type="paragraph" w:customStyle="1" w:styleId="Legalentity">
    <w:name w:val="Legal entity"/>
    <w:basedOn w:val="Normln"/>
    <w:uiPriority w:val="99"/>
    <w:rsid w:val="00CE3165"/>
    <w:pPr>
      <w:widowControl w:val="0"/>
      <w:suppressAutoHyphens/>
      <w:overflowPunct/>
      <w:spacing w:after="90" w:line="180" w:lineRule="atLeast"/>
      <w:textAlignment w:val="center"/>
    </w:pPr>
    <w:rPr>
      <w:rFonts w:ascii="Arial" w:hAnsi="Arial" w:cs="Arial"/>
      <w:color w:val="000000"/>
      <w:sz w:val="16"/>
      <w:lang w:val="en-GB" w:eastAsia="en-GB"/>
    </w:rPr>
  </w:style>
  <w:style w:type="paragraph" w:customStyle="1" w:styleId="smlouvaheading1">
    <w:name w:val="smlouva heading 1"/>
    <w:next w:val="BodyText1"/>
    <w:uiPriority w:val="99"/>
    <w:rsid w:val="00CE3165"/>
    <w:pPr>
      <w:numPr>
        <w:numId w:val="30"/>
      </w:numPr>
      <w:tabs>
        <w:tab w:val="left" w:pos="873"/>
      </w:tabs>
      <w:spacing w:before="240" w:after="120"/>
      <w:ind w:left="357" w:hanging="357"/>
      <w:jc w:val="both"/>
    </w:pPr>
    <w:rPr>
      <w:rFonts w:ascii="Arial" w:hAnsi="Arial"/>
      <w:b/>
      <w:noProof/>
      <w:color w:val="000000"/>
      <w:sz w:val="19"/>
      <w:szCs w:val="24"/>
      <w:lang w:eastAsia="en-US"/>
    </w:rPr>
  </w:style>
  <w:style w:type="paragraph" w:customStyle="1" w:styleId="CaptionIntroductionparagraph">
    <w:name w:val="Caption Introduction paragraph"/>
    <w:qFormat/>
    <w:rsid w:val="00CE3165"/>
    <w:rPr>
      <w:rFonts w:ascii="Arial" w:hAnsi="Arial"/>
      <w:b/>
      <w:color w:val="00A1DE"/>
      <w:sz w:val="24"/>
      <w:lang w:eastAsia="en-US"/>
    </w:rPr>
  </w:style>
  <w:style w:type="paragraph" w:customStyle="1" w:styleId="smlouvaheading2">
    <w:name w:val="smlouva heading 2"/>
    <w:basedOn w:val="CaptionIntroductionparagraph"/>
    <w:next w:val="BodyText1"/>
    <w:uiPriority w:val="99"/>
    <w:rsid w:val="00CE3165"/>
    <w:pPr>
      <w:numPr>
        <w:ilvl w:val="1"/>
        <w:numId w:val="30"/>
      </w:numPr>
      <w:tabs>
        <w:tab w:val="left" w:pos="567"/>
      </w:tabs>
      <w:spacing w:before="120"/>
      <w:ind w:left="567" w:hanging="567"/>
      <w:jc w:val="both"/>
    </w:pPr>
    <w:rPr>
      <w:b w:val="0"/>
      <w:color w:val="000000"/>
      <w:sz w:val="19"/>
    </w:rPr>
  </w:style>
  <w:style w:type="paragraph" w:customStyle="1" w:styleId="smlouvaheading3">
    <w:name w:val="smlouva heading 3"/>
    <w:basedOn w:val="smlouvaheading2"/>
    <w:next w:val="BodyText1"/>
    <w:uiPriority w:val="99"/>
    <w:rsid w:val="00CE3165"/>
    <w:pPr>
      <w:numPr>
        <w:ilvl w:val="2"/>
      </w:numPr>
      <w:tabs>
        <w:tab w:val="clear" w:pos="567"/>
        <w:tab w:val="left" w:pos="794"/>
      </w:tabs>
      <w:ind w:left="794" w:hanging="794"/>
    </w:pPr>
  </w:style>
  <w:style w:type="paragraph" w:customStyle="1" w:styleId="smlouvaheading4">
    <w:name w:val="smlouva heading 4"/>
    <w:basedOn w:val="smlouvaheading3"/>
    <w:next w:val="BodyText1"/>
    <w:uiPriority w:val="99"/>
    <w:rsid w:val="00CE3165"/>
    <w:pPr>
      <w:numPr>
        <w:ilvl w:val="3"/>
      </w:numPr>
      <w:tabs>
        <w:tab w:val="clear" w:pos="794"/>
        <w:tab w:val="left" w:pos="1021"/>
      </w:tabs>
      <w:ind w:left="1021" w:hanging="1021"/>
    </w:pPr>
    <w:rPr>
      <w:color w:val="auto"/>
    </w:rPr>
  </w:style>
  <w:style w:type="paragraph" w:customStyle="1" w:styleId="smlouvabodytextbold">
    <w:name w:val="smlouva body text bold"/>
    <w:basedOn w:val="smlouvaheading4"/>
    <w:next w:val="BodyText1"/>
    <w:uiPriority w:val="99"/>
    <w:rsid w:val="00CE3165"/>
    <w:pPr>
      <w:numPr>
        <w:ilvl w:val="0"/>
        <w:numId w:val="0"/>
      </w:numPr>
    </w:pPr>
    <w:rPr>
      <w:b/>
    </w:rPr>
  </w:style>
  <w:style w:type="paragraph" w:customStyle="1" w:styleId="Bodytextbold">
    <w:name w:val="Body text bold"/>
    <w:basedOn w:val="smlouvabodytextbold"/>
    <w:next w:val="BodyText1"/>
    <w:uiPriority w:val="99"/>
    <w:rsid w:val="00CE3165"/>
    <w:pPr>
      <w:tabs>
        <w:tab w:val="clear" w:pos="1021"/>
        <w:tab w:val="left" w:pos="1134"/>
      </w:tabs>
    </w:pPr>
    <w:rPr>
      <w:color w:val="000000"/>
    </w:rPr>
  </w:style>
  <w:style w:type="character" w:customStyle="1" w:styleId="CaptionbodyChar">
    <w:name w:val="Caption body Char"/>
    <w:link w:val="Captionbody"/>
    <w:uiPriority w:val="99"/>
    <w:locked/>
    <w:rsid w:val="00CE3165"/>
    <w:rPr>
      <w:rFonts w:ascii="Arial" w:hAnsi="Arial"/>
      <w:color w:val="000000"/>
      <w:sz w:val="22"/>
      <w:lang w:val="en-US" w:eastAsia="en-US"/>
    </w:rPr>
  </w:style>
  <w:style w:type="paragraph" w:customStyle="1" w:styleId="Captionbody">
    <w:name w:val="Caption body"/>
    <w:link w:val="CaptionbodyChar"/>
    <w:uiPriority w:val="99"/>
    <w:rsid w:val="00CE3165"/>
    <w:rPr>
      <w:rFonts w:ascii="Arial" w:hAnsi="Arial"/>
      <w:color w:val="000000"/>
      <w:lang w:val="en-US" w:eastAsia="en-US"/>
    </w:rPr>
  </w:style>
  <w:style w:type="paragraph" w:customStyle="1" w:styleId="Captionheading">
    <w:name w:val="Caption heading"/>
    <w:basedOn w:val="Captionbody"/>
    <w:uiPriority w:val="99"/>
    <w:rsid w:val="00CE3165"/>
    <w:rPr>
      <w:b/>
    </w:rPr>
  </w:style>
  <w:style w:type="paragraph" w:customStyle="1" w:styleId="smlouvabodytext">
    <w:name w:val="smlouva body text"/>
    <w:basedOn w:val="Normln"/>
    <w:uiPriority w:val="99"/>
    <w:rsid w:val="00CE3165"/>
    <w:pPr>
      <w:overflowPunct/>
      <w:autoSpaceDE/>
      <w:autoSpaceDN/>
      <w:adjustRightInd/>
      <w:spacing w:before="120"/>
      <w:textAlignment w:val="auto"/>
    </w:pPr>
    <w:rPr>
      <w:rFonts w:ascii="Arial" w:hAnsi="Arial" w:cs="Arial"/>
      <w:noProof/>
      <w:sz w:val="19"/>
      <w:szCs w:val="24"/>
      <w:lang w:eastAsia="en-US"/>
    </w:rPr>
  </w:style>
  <w:style w:type="paragraph" w:customStyle="1" w:styleId="Bulletslevel1">
    <w:name w:val="Bullets level 1"/>
    <w:basedOn w:val="Normln"/>
    <w:link w:val="Bulletslevel1Char"/>
    <w:uiPriority w:val="99"/>
    <w:rsid w:val="00CE3165"/>
    <w:pPr>
      <w:numPr>
        <w:numId w:val="27"/>
      </w:numPr>
      <w:overflowPunct/>
      <w:autoSpaceDE/>
      <w:autoSpaceDN/>
      <w:adjustRightInd/>
      <w:spacing w:before="120"/>
      <w:ind w:left="360"/>
      <w:textAlignment w:val="auto"/>
    </w:pPr>
    <w:rPr>
      <w:rFonts w:ascii="Arial" w:hAnsi="Arial"/>
      <w:color w:val="000000"/>
      <w:sz w:val="19"/>
      <w:lang w:val="en-GB" w:eastAsia="en-US"/>
    </w:rPr>
  </w:style>
  <w:style w:type="character" w:customStyle="1" w:styleId="Bulletslevel1Char">
    <w:name w:val="Bullets level 1 Char"/>
    <w:link w:val="Bulletslevel1"/>
    <w:uiPriority w:val="99"/>
    <w:locked/>
    <w:rsid w:val="00CE3165"/>
    <w:rPr>
      <w:rFonts w:ascii="Arial" w:hAnsi="Arial"/>
      <w:color w:val="000000"/>
      <w:sz w:val="20"/>
      <w:lang w:val="en-GB" w:eastAsia="en-US"/>
    </w:rPr>
  </w:style>
  <w:style w:type="paragraph" w:customStyle="1" w:styleId="Bulletslevel2">
    <w:name w:val="Bullets level 2"/>
    <w:basedOn w:val="Normln"/>
    <w:link w:val="Bulletslevel2Char"/>
    <w:uiPriority w:val="99"/>
    <w:rsid w:val="00CE3165"/>
    <w:pPr>
      <w:numPr>
        <w:numId w:val="29"/>
      </w:numPr>
      <w:tabs>
        <w:tab w:val="left" w:pos="567"/>
      </w:tabs>
      <w:overflowPunct/>
      <w:autoSpaceDE/>
      <w:autoSpaceDN/>
      <w:adjustRightInd/>
      <w:spacing w:before="120"/>
      <w:textAlignment w:val="auto"/>
    </w:pPr>
    <w:rPr>
      <w:rFonts w:ascii="Arial" w:hAnsi="Arial"/>
      <w:color w:val="000000"/>
      <w:sz w:val="19"/>
      <w:lang w:val="en-GB" w:eastAsia="en-US"/>
    </w:rPr>
  </w:style>
  <w:style w:type="character" w:customStyle="1" w:styleId="Bulletslevel2Char">
    <w:name w:val="Bullets level 2 Char"/>
    <w:link w:val="Bulletslevel2"/>
    <w:uiPriority w:val="99"/>
    <w:locked/>
    <w:rsid w:val="00CE3165"/>
    <w:rPr>
      <w:rFonts w:ascii="Arial" w:hAnsi="Arial"/>
      <w:color w:val="000000"/>
      <w:sz w:val="20"/>
      <w:lang w:val="en-GB" w:eastAsia="en-US"/>
    </w:rPr>
  </w:style>
  <w:style w:type="paragraph" w:customStyle="1" w:styleId="PulloutQuote">
    <w:name w:val="Pullout Quote"/>
    <w:uiPriority w:val="99"/>
    <w:rsid w:val="00CE3165"/>
    <w:pPr>
      <w:pBdr>
        <w:top w:val="single" w:sz="4" w:space="4" w:color="00A1DE"/>
      </w:pBdr>
      <w:suppressAutoHyphens/>
      <w:spacing w:line="320" w:lineRule="exact"/>
    </w:pPr>
    <w:rPr>
      <w:color w:val="00A1DE"/>
      <w:sz w:val="32"/>
      <w:szCs w:val="20"/>
      <w:lang w:val="en-GB" w:eastAsia="en-US"/>
    </w:rPr>
  </w:style>
  <w:style w:type="paragraph" w:customStyle="1" w:styleId="Highlight1">
    <w:name w:val="Highlight 1"/>
    <w:basedOn w:val="Normln"/>
    <w:uiPriority w:val="99"/>
    <w:rsid w:val="00CE3165"/>
    <w:pPr>
      <w:overflowPunct/>
      <w:autoSpaceDE/>
      <w:autoSpaceDN/>
      <w:adjustRightInd/>
      <w:textAlignment w:val="auto"/>
    </w:pPr>
    <w:rPr>
      <w:rFonts w:ascii="Arial" w:hAnsi="Arial" w:cs="Arial"/>
      <w:b/>
      <w:color w:val="3C8A2E"/>
      <w:sz w:val="20"/>
      <w:szCs w:val="16"/>
      <w:lang w:eastAsia="en-US"/>
    </w:rPr>
  </w:style>
  <w:style w:type="paragraph" w:customStyle="1" w:styleId="Highlight2">
    <w:name w:val="Highlight 2"/>
    <w:basedOn w:val="Highlight1"/>
    <w:uiPriority w:val="99"/>
    <w:rsid w:val="00CE3165"/>
    <w:rPr>
      <w:color w:val="92D400"/>
    </w:rPr>
  </w:style>
  <w:style w:type="paragraph" w:styleId="Obsah4">
    <w:name w:val="toc 4"/>
    <w:basedOn w:val="Normln"/>
    <w:next w:val="Normln"/>
    <w:autoRedefine/>
    <w:uiPriority w:val="39"/>
    <w:rsid w:val="00CE3165"/>
    <w:pPr>
      <w:overflowPunct/>
      <w:autoSpaceDE/>
      <w:autoSpaceDN/>
      <w:adjustRightInd/>
      <w:spacing w:after="240"/>
      <w:ind w:left="720"/>
      <w:textAlignment w:val="auto"/>
    </w:pPr>
    <w:rPr>
      <w:rFonts w:ascii="Arial" w:hAnsi="Arial" w:cs="Arial"/>
      <w:sz w:val="19"/>
      <w:szCs w:val="24"/>
      <w:lang w:eastAsia="en-US"/>
    </w:rPr>
  </w:style>
  <w:style w:type="table" w:styleId="Tabulkasprostorovmiefekty1">
    <w:name w:val="Table 3D effects 1"/>
    <w:basedOn w:val="Normlntabulka"/>
    <w:uiPriority w:val="99"/>
    <w:locked/>
    <w:rsid w:val="00CE3165"/>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Deloittetable4">
    <w:name w:val="Deloitte table 4"/>
    <w:uiPriority w:val="99"/>
    <w:rsid w:val="00CE3165"/>
    <w:rPr>
      <w:rFonts w:ascii="Arial" w:hAnsi="Arial"/>
      <w:sz w:val="19"/>
      <w:szCs w:val="20"/>
    </w:rPr>
    <w:tblPr>
      <w:tblInd w:w="0" w:type="dxa"/>
      <w:tblBorders>
        <w:bottom w:val="single" w:sz="4" w:space="0" w:color="3C8A2E"/>
        <w:insideH w:val="single" w:sz="4" w:space="0" w:color="3C8A2E"/>
      </w:tblBorders>
      <w:tblCellMar>
        <w:top w:w="28" w:type="dxa"/>
        <w:left w:w="28" w:type="dxa"/>
        <w:bottom w:w="28" w:type="dxa"/>
        <w:right w:w="28" w:type="dxa"/>
      </w:tblCellMar>
    </w:tblPr>
  </w:style>
  <w:style w:type="table" w:customStyle="1" w:styleId="Deloittetable5">
    <w:name w:val="Deloitte table 5"/>
    <w:uiPriority w:val="99"/>
    <w:rsid w:val="00CE3165"/>
    <w:rPr>
      <w:rFonts w:ascii="Arial" w:hAnsi="Arial"/>
      <w:sz w:val="19"/>
      <w:szCs w:val="20"/>
    </w:rPr>
    <w:tblPr>
      <w:tblInd w:w="0" w:type="dxa"/>
      <w:tblBorders>
        <w:bottom w:val="single" w:sz="4" w:space="0" w:color="C9DD03"/>
        <w:insideH w:val="single" w:sz="4" w:space="0" w:color="C9DD03"/>
      </w:tblBorders>
      <w:tblCellMar>
        <w:top w:w="28" w:type="dxa"/>
        <w:left w:w="28" w:type="dxa"/>
        <w:bottom w:w="28" w:type="dxa"/>
        <w:right w:w="28" w:type="dxa"/>
      </w:tblCellMar>
    </w:tblPr>
    <w:tcPr>
      <w:shd w:val="clear" w:color="auto" w:fill="FFFFFF"/>
    </w:tcPr>
  </w:style>
  <w:style w:type="table" w:customStyle="1" w:styleId="Style1">
    <w:name w:val="Style1"/>
    <w:uiPriority w:val="99"/>
    <w:rsid w:val="00CE3165"/>
    <w:rPr>
      <w:rFonts w:ascii="Arial" w:hAnsi="Arial"/>
      <w:sz w:val="19"/>
      <w:szCs w:val="20"/>
    </w:rPr>
    <w:tblPr>
      <w:tblInd w:w="0" w:type="dxa"/>
      <w:tblCellMar>
        <w:top w:w="0" w:type="dxa"/>
        <w:left w:w="108" w:type="dxa"/>
        <w:bottom w:w="0" w:type="dxa"/>
        <w:right w:w="108" w:type="dxa"/>
      </w:tblCellMar>
    </w:tblPr>
  </w:style>
  <w:style w:type="table" w:customStyle="1" w:styleId="Deloittetable6">
    <w:name w:val="Deloitte table 6"/>
    <w:uiPriority w:val="99"/>
    <w:rsid w:val="00CE3165"/>
    <w:rPr>
      <w:rFonts w:ascii="Arial" w:hAnsi="Arial"/>
      <w:sz w:val="19"/>
      <w:szCs w:val="20"/>
    </w:rPr>
    <w:tblPr>
      <w:tblInd w:w="0" w:type="dxa"/>
      <w:tblBorders>
        <w:bottom w:val="single" w:sz="4" w:space="0" w:color="52D0FF"/>
        <w:insideH w:val="single" w:sz="4" w:space="0" w:color="52D0FF"/>
      </w:tblBorders>
      <w:tblCellMar>
        <w:top w:w="28" w:type="dxa"/>
        <w:left w:w="28" w:type="dxa"/>
        <w:bottom w:w="28" w:type="dxa"/>
        <w:right w:w="28" w:type="dxa"/>
      </w:tblCellMar>
    </w:tblPr>
    <w:tcPr>
      <w:shd w:val="clear" w:color="auto" w:fill="FFFFFF"/>
    </w:tcPr>
  </w:style>
  <w:style w:type="table" w:customStyle="1" w:styleId="Deloittetable7">
    <w:name w:val="Deloitte table 7"/>
    <w:uiPriority w:val="99"/>
    <w:rsid w:val="00CE3165"/>
    <w:rPr>
      <w:rFonts w:ascii="Arial" w:hAnsi="Arial"/>
      <w:sz w:val="19"/>
      <w:szCs w:val="20"/>
    </w:rPr>
    <w:tblPr>
      <w:tblInd w:w="0" w:type="dxa"/>
      <w:tblBorders>
        <w:bottom w:val="single" w:sz="4" w:space="0" w:color="2D6823"/>
        <w:insideH w:val="single" w:sz="4" w:space="0" w:color="2D6823"/>
      </w:tblBorders>
      <w:tblCellMar>
        <w:top w:w="28" w:type="dxa"/>
        <w:left w:w="28" w:type="dxa"/>
        <w:bottom w:w="28" w:type="dxa"/>
        <w:right w:w="28" w:type="dxa"/>
      </w:tblCellMar>
    </w:tblPr>
    <w:tcPr>
      <w:shd w:val="clear" w:color="auto" w:fill="FFFFFF"/>
    </w:tcPr>
  </w:style>
  <w:style w:type="table" w:styleId="Tabulkasprostorovmiefekty3">
    <w:name w:val="Table 3D effects 3"/>
    <w:basedOn w:val="Normlntabulka"/>
    <w:uiPriority w:val="99"/>
    <w:locked/>
    <w:rsid w:val="00CE3165"/>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Deloittetable8">
    <w:name w:val="Deloitte table 8"/>
    <w:uiPriority w:val="99"/>
    <w:rsid w:val="00CE3165"/>
    <w:pPr>
      <w:contextualSpacing/>
    </w:pPr>
    <w:rPr>
      <w:rFonts w:ascii="Arial" w:hAnsi="Arial"/>
      <w:sz w:val="19"/>
      <w:szCs w:val="20"/>
    </w:rPr>
    <w:tblPr>
      <w:tblInd w:w="0" w:type="dxa"/>
      <w:tblBorders>
        <w:top w:val="single" w:sz="4" w:space="0" w:color="2D6823"/>
        <w:bottom w:val="single" w:sz="4" w:space="0" w:color="2D6823"/>
        <w:insideH w:val="single" w:sz="4" w:space="0" w:color="2D6823"/>
      </w:tblBorders>
      <w:tblCellMar>
        <w:top w:w="28" w:type="dxa"/>
        <w:left w:w="28" w:type="dxa"/>
        <w:bottom w:w="28" w:type="dxa"/>
        <w:right w:w="28" w:type="dxa"/>
      </w:tblCellMar>
    </w:tblPr>
  </w:style>
  <w:style w:type="table" w:customStyle="1" w:styleId="Deloittetable81">
    <w:name w:val="Deloitte table 8.1"/>
    <w:uiPriority w:val="99"/>
    <w:rsid w:val="00CE3165"/>
    <w:rPr>
      <w:rFonts w:ascii="Arial" w:hAnsi="Arial"/>
      <w:sz w:val="19"/>
      <w:szCs w:val="20"/>
    </w:rPr>
    <w:tblPr>
      <w:tblInd w:w="0" w:type="dxa"/>
      <w:tblBorders>
        <w:top w:val="single" w:sz="4" w:space="0" w:color="92D400"/>
        <w:bottom w:val="single" w:sz="4" w:space="0" w:color="92D400"/>
        <w:insideH w:val="single" w:sz="4" w:space="0" w:color="92D400"/>
      </w:tblBorders>
      <w:tblCellMar>
        <w:top w:w="28" w:type="dxa"/>
        <w:left w:w="28" w:type="dxa"/>
        <w:bottom w:w="28" w:type="dxa"/>
        <w:right w:w="28" w:type="dxa"/>
      </w:tblCellMar>
    </w:tblPr>
    <w:tcPr>
      <w:shd w:val="clear" w:color="auto" w:fill="FFFFFF"/>
    </w:tcPr>
  </w:style>
  <w:style w:type="table" w:customStyle="1" w:styleId="Deloittetable82">
    <w:name w:val="Deloitte table 8.2"/>
    <w:uiPriority w:val="99"/>
    <w:rsid w:val="00CE3165"/>
    <w:rPr>
      <w:rFonts w:ascii="Arial" w:hAnsi="Arial"/>
      <w:sz w:val="19"/>
      <w:szCs w:val="20"/>
    </w:rPr>
    <w:tblPr>
      <w:tblInd w:w="0" w:type="dxa"/>
      <w:tblBorders>
        <w:top w:val="single" w:sz="4" w:space="0" w:color="00A1DE"/>
        <w:bottom w:val="single" w:sz="4" w:space="0" w:color="00A1DE"/>
        <w:insideH w:val="single" w:sz="4" w:space="0" w:color="00A1DE"/>
      </w:tblBorders>
      <w:tblCellMar>
        <w:top w:w="28" w:type="dxa"/>
        <w:left w:w="28" w:type="dxa"/>
        <w:bottom w:w="28" w:type="dxa"/>
        <w:right w:w="28" w:type="dxa"/>
      </w:tblCellMar>
    </w:tblPr>
    <w:tcPr>
      <w:shd w:val="clear" w:color="auto" w:fill="FFFFFF"/>
    </w:tcPr>
  </w:style>
  <w:style w:type="table" w:customStyle="1" w:styleId="Deloittetable83">
    <w:name w:val="Deloitte table 8.3"/>
    <w:uiPriority w:val="99"/>
    <w:rsid w:val="00CE3165"/>
    <w:rPr>
      <w:rFonts w:ascii="Arial" w:hAnsi="Arial"/>
      <w:sz w:val="19"/>
      <w:szCs w:val="20"/>
    </w:rPr>
    <w:tblPr>
      <w:tblInd w:w="0" w:type="dxa"/>
      <w:tblBorders>
        <w:top w:val="single" w:sz="4" w:space="0" w:color="72C7E7"/>
        <w:bottom w:val="single" w:sz="4" w:space="0" w:color="72C7E7"/>
        <w:insideH w:val="single" w:sz="4" w:space="0" w:color="72C7E7"/>
      </w:tblBorders>
      <w:tblCellMar>
        <w:top w:w="28" w:type="dxa"/>
        <w:left w:w="28" w:type="dxa"/>
        <w:bottom w:w="28" w:type="dxa"/>
        <w:right w:w="28" w:type="dxa"/>
      </w:tblCellMar>
    </w:tblPr>
    <w:tcPr>
      <w:shd w:val="clear" w:color="auto" w:fill="FFFFFF"/>
    </w:tcPr>
  </w:style>
  <w:style w:type="table" w:customStyle="1" w:styleId="Deloittetable84">
    <w:name w:val="Deloitte table 8.4"/>
    <w:uiPriority w:val="99"/>
    <w:rsid w:val="00CE3165"/>
    <w:rPr>
      <w:rFonts w:ascii="Arial" w:hAnsi="Arial"/>
      <w:sz w:val="19"/>
      <w:szCs w:val="20"/>
    </w:rPr>
    <w:tblPr>
      <w:tblInd w:w="0" w:type="dxa"/>
      <w:tblBorders>
        <w:top w:val="single" w:sz="4" w:space="0" w:color="3C8A2E"/>
        <w:bottom w:val="single" w:sz="4" w:space="0" w:color="3C8A2E"/>
        <w:insideH w:val="single" w:sz="4" w:space="0" w:color="3C8A2E"/>
      </w:tblBorders>
      <w:tblCellMar>
        <w:top w:w="28" w:type="dxa"/>
        <w:left w:w="28" w:type="dxa"/>
        <w:bottom w:w="28" w:type="dxa"/>
        <w:right w:w="28" w:type="dxa"/>
      </w:tblCellMar>
    </w:tblPr>
    <w:tcPr>
      <w:shd w:val="clear" w:color="auto" w:fill="FFFFFF"/>
    </w:tcPr>
  </w:style>
  <w:style w:type="table" w:customStyle="1" w:styleId="Deloittetable85">
    <w:name w:val="Deloitte table 8.5"/>
    <w:rsid w:val="00CE3165"/>
    <w:rPr>
      <w:rFonts w:ascii="Arial" w:hAnsi="Arial"/>
      <w:sz w:val="19"/>
      <w:szCs w:val="20"/>
    </w:rPr>
    <w:tblPr>
      <w:tblInd w:w="0" w:type="dxa"/>
      <w:tblBorders>
        <w:top w:val="single" w:sz="4" w:space="0" w:color="C9DD03"/>
        <w:bottom w:val="single" w:sz="4" w:space="0" w:color="C9DD03"/>
        <w:insideH w:val="single" w:sz="4" w:space="0" w:color="C9DD03"/>
      </w:tblBorders>
      <w:tblCellMar>
        <w:top w:w="28" w:type="dxa"/>
        <w:left w:w="28" w:type="dxa"/>
        <w:bottom w:w="28" w:type="dxa"/>
        <w:right w:w="28" w:type="dxa"/>
      </w:tblCellMar>
    </w:tblPr>
    <w:tcPr>
      <w:shd w:val="clear" w:color="auto" w:fill="FFFFFF"/>
    </w:tcPr>
  </w:style>
  <w:style w:type="table" w:customStyle="1" w:styleId="Deloittetable86">
    <w:name w:val="Deloitte table 8.6"/>
    <w:uiPriority w:val="99"/>
    <w:rsid w:val="00CE3165"/>
    <w:rPr>
      <w:rFonts w:ascii="Arial" w:hAnsi="Arial"/>
      <w:sz w:val="19"/>
      <w:szCs w:val="20"/>
    </w:rPr>
    <w:tblPr>
      <w:tblInd w:w="0" w:type="dxa"/>
      <w:tblBorders>
        <w:top w:val="single" w:sz="4" w:space="0" w:color="00A1DE"/>
        <w:bottom w:val="single" w:sz="4" w:space="0" w:color="00A1DE"/>
        <w:insideH w:val="single" w:sz="4" w:space="0" w:color="00A1DE"/>
      </w:tblBorders>
      <w:tblCellMar>
        <w:top w:w="28" w:type="dxa"/>
        <w:left w:w="28" w:type="dxa"/>
        <w:bottom w:w="28" w:type="dxa"/>
        <w:right w:w="28" w:type="dxa"/>
      </w:tblCellMar>
    </w:tblPr>
    <w:tcPr>
      <w:shd w:val="clear" w:color="auto" w:fill="FFFFFF"/>
    </w:tcPr>
  </w:style>
  <w:style w:type="table" w:styleId="Sloupcetabulky3">
    <w:name w:val="Table Columns 3"/>
    <w:basedOn w:val="Normlntabulka"/>
    <w:uiPriority w:val="99"/>
    <w:locked/>
    <w:rsid w:val="00CE3165"/>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Barevnseznamzvraznn4">
    <w:name w:val="Colorful List Accent 4"/>
    <w:basedOn w:val="Normlntabulka"/>
    <w:uiPriority w:val="99"/>
    <w:rsid w:val="00CE3165"/>
    <w:rPr>
      <w:color w:val="000000"/>
      <w:sz w:val="20"/>
      <w:szCs w:val="20"/>
    </w:rPr>
    <w:tblPr>
      <w:tblStyleRowBandSize w:val="1"/>
      <w:tblStyleColBandSize w:val="1"/>
    </w:tblPr>
    <w:tcPr>
      <w:shd w:val="clear" w:color="auto" w:fill="F1F9FC"/>
    </w:tcPr>
    <w:tblStylePr w:type="firstRow">
      <w:rPr>
        <w:rFonts w:cs="Times New Roman"/>
        <w:b/>
        <w:bCs/>
        <w:color w:val="FFFFFF"/>
      </w:rPr>
      <w:tblPr/>
      <w:tcPr>
        <w:tcBorders>
          <w:bottom w:val="single" w:sz="12" w:space="0" w:color="FFFFFF"/>
        </w:tcBorders>
        <w:shd w:val="clear" w:color="auto" w:fill="007FB1"/>
      </w:tcPr>
    </w:tblStylePr>
    <w:tblStylePr w:type="lastRow">
      <w:rPr>
        <w:rFonts w:cs="Times New Roman"/>
        <w:b/>
        <w:bCs/>
        <w:color w:val="007FB1"/>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BF1F9"/>
      </w:tcPr>
    </w:tblStylePr>
    <w:tblStylePr w:type="band1Horz">
      <w:rPr>
        <w:rFonts w:cs="Times New Roman"/>
      </w:rPr>
      <w:tblPr/>
      <w:tcPr>
        <w:shd w:val="clear" w:color="auto" w:fill="E2F3FA"/>
      </w:tcPr>
    </w:tblStylePr>
  </w:style>
  <w:style w:type="table" w:styleId="Stednmka2zvraznn4">
    <w:name w:val="Medium Grid 2 Accent 4"/>
    <w:basedOn w:val="Normlntabulka"/>
    <w:uiPriority w:val="99"/>
    <w:rsid w:val="00CE3165"/>
    <w:rPr>
      <w:rFonts w:ascii="Arial" w:hAnsi="Arial"/>
      <w:color w:val="000000"/>
      <w:sz w:val="20"/>
      <w:szCs w:val="20"/>
    </w:rPr>
    <w:tblPr>
      <w:tblStyleRowBandSize w:val="1"/>
      <w:tblStyleColBandSize w:val="1"/>
      <w:tblBorders>
        <w:top w:val="single" w:sz="8" w:space="0" w:color="72C7E7"/>
        <w:left w:val="single" w:sz="8" w:space="0" w:color="72C7E7"/>
        <w:bottom w:val="single" w:sz="8" w:space="0" w:color="72C7E7"/>
        <w:right w:val="single" w:sz="8" w:space="0" w:color="72C7E7"/>
        <w:insideH w:val="single" w:sz="8" w:space="0" w:color="72C7E7"/>
        <w:insideV w:val="single" w:sz="8" w:space="0" w:color="72C7E7"/>
      </w:tblBorders>
    </w:tblPr>
    <w:tcPr>
      <w:shd w:val="clear" w:color="auto" w:fill="DBF1F9"/>
    </w:tcPr>
    <w:tblStylePr w:type="firstRow">
      <w:rPr>
        <w:rFonts w:cs="Times New Roman"/>
        <w:b/>
        <w:bCs/>
        <w:color w:val="000000"/>
      </w:rPr>
      <w:tblPr/>
      <w:tcPr>
        <w:shd w:val="clear" w:color="auto" w:fill="F1F9F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2F3FA"/>
      </w:tcPr>
    </w:tblStylePr>
    <w:tblStylePr w:type="band1Vert">
      <w:rPr>
        <w:rFonts w:cs="Times New Roman"/>
      </w:rPr>
      <w:tblPr/>
      <w:tcPr>
        <w:shd w:val="clear" w:color="auto" w:fill="B8E2F3"/>
      </w:tcPr>
    </w:tblStylePr>
    <w:tblStylePr w:type="band1Horz">
      <w:rPr>
        <w:rFonts w:cs="Times New Roman"/>
      </w:rPr>
      <w:tblPr/>
      <w:tcPr>
        <w:tcBorders>
          <w:insideH w:val="single" w:sz="6" w:space="0" w:color="72C7E7"/>
          <w:insideV w:val="single" w:sz="6" w:space="0" w:color="72C7E7"/>
        </w:tcBorders>
        <w:shd w:val="clear" w:color="auto" w:fill="B8E2F3"/>
      </w:tcPr>
    </w:tblStylePr>
    <w:tblStylePr w:type="nwCell">
      <w:rPr>
        <w:rFonts w:cs="Times New Roman"/>
      </w:rPr>
      <w:tblPr/>
      <w:tcPr>
        <w:shd w:val="clear" w:color="auto" w:fill="FFFFFF"/>
      </w:tcPr>
    </w:tblStylePr>
  </w:style>
  <w:style w:type="paragraph" w:styleId="Obsah5">
    <w:name w:val="toc 5"/>
    <w:basedOn w:val="Normln"/>
    <w:next w:val="Normln"/>
    <w:autoRedefine/>
    <w:uiPriority w:val="39"/>
    <w:rsid w:val="00CE3165"/>
    <w:pPr>
      <w:overflowPunct/>
      <w:autoSpaceDE/>
      <w:autoSpaceDN/>
      <w:adjustRightInd/>
      <w:spacing w:after="100"/>
      <w:ind w:left="960"/>
      <w:textAlignment w:val="auto"/>
    </w:pPr>
    <w:rPr>
      <w:rFonts w:ascii="Arial" w:hAnsi="Arial" w:cs="Arial"/>
      <w:sz w:val="19"/>
      <w:szCs w:val="24"/>
      <w:lang w:eastAsia="en-US"/>
    </w:rPr>
  </w:style>
  <w:style w:type="paragraph" w:customStyle="1" w:styleId="Highlight3">
    <w:name w:val="Highlight 3"/>
    <w:basedOn w:val="Highlight2"/>
    <w:uiPriority w:val="99"/>
    <w:rsid w:val="00CE3165"/>
    <w:rPr>
      <w:color w:val="00A1DE"/>
    </w:rPr>
  </w:style>
  <w:style w:type="paragraph" w:styleId="Nadpisobsahu">
    <w:name w:val="TOC Heading"/>
    <w:basedOn w:val="Nadpis1"/>
    <w:next w:val="Normln"/>
    <w:uiPriority w:val="99"/>
    <w:qFormat/>
    <w:rsid w:val="00CE3165"/>
    <w:pPr>
      <w:numPr>
        <w:numId w:val="0"/>
      </w:numPr>
      <w:overflowPunct/>
      <w:autoSpaceDE/>
      <w:autoSpaceDN/>
      <w:adjustRightInd/>
      <w:spacing w:line="276" w:lineRule="auto"/>
      <w:jc w:val="left"/>
      <w:textAlignment w:val="auto"/>
      <w:outlineLvl w:val="9"/>
    </w:pPr>
    <w:rPr>
      <w:rFonts w:ascii="Arial" w:hAnsi="Arial"/>
      <w:color w:val="001D58"/>
      <w:sz w:val="28"/>
      <w:lang w:eastAsia="en-US"/>
    </w:rPr>
  </w:style>
  <w:style w:type="character" w:customStyle="1" w:styleId="st1">
    <w:name w:val="st1"/>
    <w:uiPriority w:val="99"/>
    <w:rsid w:val="00CE3165"/>
  </w:style>
  <w:style w:type="paragraph" w:customStyle="1" w:styleId="Default">
    <w:name w:val="Default"/>
    <w:uiPriority w:val="99"/>
    <w:rsid w:val="00CE3165"/>
    <w:pPr>
      <w:autoSpaceDE w:val="0"/>
      <w:autoSpaceDN w:val="0"/>
      <w:adjustRightInd w:val="0"/>
    </w:pPr>
    <w:rPr>
      <w:color w:val="000000"/>
      <w:sz w:val="24"/>
      <w:szCs w:val="24"/>
    </w:rPr>
  </w:style>
  <w:style w:type="paragraph" w:styleId="Normlnweb">
    <w:name w:val="Normal (Web)"/>
    <w:basedOn w:val="Normln"/>
    <w:uiPriority w:val="99"/>
    <w:locked/>
    <w:rsid w:val="00CE3165"/>
    <w:pPr>
      <w:overflowPunct/>
      <w:autoSpaceDE/>
      <w:autoSpaceDN/>
      <w:adjustRightInd/>
      <w:spacing w:before="100" w:beforeAutospacing="1" w:after="100" w:afterAutospacing="1"/>
      <w:textAlignment w:val="auto"/>
    </w:pPr>
    <w:rPr>
      <w:rFonts w:ascii="Arial Unicode MS" w:hAnsi="Arial Unicode MS" w:cs="Arial Unicode MS"/>
      <w:sz w:val="24"/>
      <w:szCs w:val="24"/>
      <w:lang w:val="en-US"/>
    </w:rPr>
  </w:style>
  <w:style w:type="character" w:customStyle="1" w:styleId="apple-converted-space">
    <w:name w:val="apple-converted-space"/>
    <w:basedOn w:val="Standardnpsmoodstavce"/>
    <w:uiPriority w:val="99"/>
    <w:rsid w:val="00CE3165"/>
    <w:rPr>
      <w:rFonts w:cs="Times New Roman"/>
    </w:rPr>
  </w:style>
  <w:style w:type="paragraph" w:customStyle="1" w:styleId="Styl1">
    <w:name w:val="Styl1"/>
    <w:basedOn w:val="Normln"/>
    <w:uiPriority w:val="99"/>
    <w:rsid w:val="00CE3165"/>
    <w:pPr>
      <w:numPr>
        <w:numId w:val="31"/>
      </w:numPr>
      <w:tabs>
        <w:tab w:val="left" w:pos="540"/>
      </w:tabs>
      <w:overflowPunct/>
      <w:autoSpaceDE/>
      <w:autoSpaceDN/>
      <w:adjustRightInd/>
      <w:spacing w:after="60"/>
      <w:jc w:val="center"/>
      <w:textAlignment w:val="auto"/>
    </w:pPr>
    <w:rPr>
      <w:rFonts w:ascii="Cambria" w:hAnsi="Cambria" w:cs="Arial"/>
      <w:b/>
      <w:szCs w:val="22"/>
    </w:rPr>
  </w:style>
  <w:style w:type="paragraph" w:customStyle="1" w:styleId="Zkladntext21">
    <w:name w:val="Základní text 21"/>
    <w:basedOn w:val="Default"/>
    <w:next w:val="Default"/>
    <w:uiPriority w:val="99"/>
    <w:rsid w:val="00CE3165"/>
    <w:rPr>
      <w:rFonts w:ascii="Tahoma" w:hAnsi="Tahoma" w:cs="Tahoma"/>
      <w:color w:val="auto"/>
    </w:rPr>
  </w:style>
  <w:style w:type="character" w:styleId="Siln">
    <w:name w:val="Strong"/>
    <w:basedOn w:val="Standardnpsmoodstavce"/>
    <w:uiPriority w:val="99"/>
    <w:qFormat/>
    <w:rsid w:val="00CE3165"/>
    <w:rPr>
      <w:rFonts w:cs="Times New Roman"/>
      <w:b/>
    </w:rPr>
  </w:style>
  <w:style w:type="paragraph" w:styleId="Revize">
    <w:name w:val="Revision"/>
    <w:hidden/>
    <w:uiPriority w:val="99"/>
    <w:semiHidden/>
    <w:rsid w:val="00251456"/>
    <w:rPr>
      <w:rFonts w:ascii="Calibri" w:hAnsi="Calibri"/>
      <w:szCs w:val="20"/>
    </w:rPr>
  </w:style>
  <w:style w:type="paragraph" w:styleId="Nzev">
    <w:name w:val="Title"/>
    <w:basedOn w:val="Normln"/>
    <w:next w:val="Normln"/>
    <w:link w:val="NzevChar"/>
    <w:uiPriority w:val="99"/>
    <w:qFormat/>
    <w:rsid w:val="008C0CD3"/>
    <w:pPr>
      <w:pBdr>
        <w:bottom w:val="single" w:sz="8" w:space="4" w:color="4F81BD"/>
      </w:pBdr>
      <w:spacing w:after="300"/>
      <w:contextualSpacing/>
    </w:pPr>
    <w:rPr>
      <w:rFonts w:ascii="Cambria" w:hAnsi="Cambria"/>
      <w:color w:val="17365D"/>
      <w:spacing w:val="5"/>
      <w:kern w:val="28"/>
      <w:sz w:val="52"/>
      <w:szCs w:val="52"/>
    </w:rPr>
  </w:style>
  <w:style w:type="character" w:customStyle="1" w:styleId="NzevChar">
    <w:name w:val="Název Char"/>
    <w:basedOn w:val="Standardnpsmoodstavce"/>
    <w:link w:val="Nzev"/>
    <w:uiPriority w:val="99"/>
    <w:locked/>
    <w:rsid w:val="008C0CD3"/>
    <w:rPr>
      <w:rFonts w:ascii="Cambria" w:hAnsi="Cambria" w:cs="Times New Roman"/>
      <w:color w:val="17365D"/>
      <w:spacing w:val="5"/>
      <w:kern w:val="28"/>
      <w:sz w:val="52"/>
      <w:szCs w:val="52"/>
    </w:rPr>
  </w:style>
  <w:style w:type="character" w:styleId="Sledovanodkaz">
    <w:name w:val="FollowedHyperlink"/>
    <w:basedOn w:val="Standardnpsmoodstavce"/>
    <w:uiPriority w:val="99"/>
    <w:locked/>
    <w:rsid w:val="00B35620"/>
    <w:rPr>
      <w:rFonts w:cs="Times New Roman"/>
      <w:color w:val="800080"/>
      <w:u w:val="single"/>
    </w:rPr>
  </w:style>
  <w:style w:type="paragraph" w:styleId="Obsah6">
    <w:name w:val="toc 6"/>
    <w:basedOn w:val="Normln"/>
    <w:next w:val="Normln"/>
    <w:autoRedefine/>
    <w:uiPriority w:val="39"/>
    <w:unhideWhenUsed/>
    <w:locked/>
    <w:rsid w:val="00F50BC7"/>
    <w:pPr>
      <w:overflowPunct/>
      <w:autoSpaceDE/>
      <w:autoSpaceDN/>
      <w:adjustRightInd/>
      <w:spacing w:after="100" w:line="276" w:lineRule="auto"/>
      <w:ind w:left="1100"/>
      <w:jc w:val="left"/>
      <w:textAlignment w:val="auto"/>
    </w:pPr>
    <w:rPr>
      <w:rFonts w:asciiTheme="minorHAnsi" w:eastAsiaTheme="minorEastAsia" w:hAnsiTheme="minorHAnsi" w:cstheme="minorBidi"/>
      <w:szCs w:val="22"/>
    </w:rPr>
  </w:style>
  <w:style w:type="paragraph" w:styleId="Obsah7">
    <w:name w:val="toc 7"/>
    <w:basedOn w:val="Normln"/>
    <w:next w:val="Normln"/>
    <w:autoRedefine/>
    <w:uiPriority w:val="39"/>
    <w:unhideWhenUsed/>
    <w:locked/>
    <w:rsid w:val="00F50BC7"/>
    <w:pPr>
      <w:overflowPunct/>
      <w:autoSpaceDE/>
      <w:autoSpaceDN/>
      <w:adjustRightInd/>
      <w:spacing w:after="100" w:line="276" w:lineRule="auto"/>
      <w:ind w:left="1320"/>
      <w:jc w:val="left"/>
      <w:textAlignment w:val="auto"/>
    </w:pPr>
    <w:rPr>
      <w:rFonts w:asciiTheme="minorHAnsi" w:eastAsiaTheme="minorEastAsia" w:hAnsiTheme="minorHAnsi" w:cstheme="minorBidi"/>
      <w:szCs w:val="22"/>
    </w:rPr>
  </w:style>
  <w:style w:type="paragraph" w:styleId="Obsah8">
    <w:name w:val="toc 8"/>
    <w:basedOn w:val="Normln"/>
    <w:next w:val="Normln"/>
    <w:autoRedefine/>
    <w:uiPriority w:val="39"/>
    <w:unhideWhenUsed/>
    <w:locked/>
    <w:rsid w:val="00F50BC7"/>
    <w:pPr>
      <w:overflowPunct/>
      <w:autoSpaceDE/>
      <w:autoSpaceDN/>
      <w:adjustRightInd/>
      <w:spacing w:after="100" w:line="276" w:lineRule="auto"/>
      <w:ind w:left="1540"/>
      <w:jc w:val="left"/>
      <w:textAlignment w:val="auto"/>
    </w:pPr>
    <w:rPr>
      <w:rFonts w:asciiTheme="minorHAnsi" w:eastAsiaTheme="minorEastAsia" w:hAnsiTheme="minorHAnsi" w:cstheme="minorBidi"/>
      <w:szCs w:val="22"/>
    </w:rPr>
  </w:style>
  <w:style w:type="paragraph" w:styleId="Obsah9">
    <w:name w:val="toc 9"/>
    <w:basedOn w:val="Normln"/>
    <w:next w:val="Normln"/>
    <w:autoRedefine/>
    <w:uiPriority w:val="39"/>
    <w:unhideWhenUsed/>
    <w:locked/>
    <w:rsid w:val="00F50BC7"/>
    <w:pPr>
      <w:overflowPunct/>
      <w:autoSpaceDE/>
      <w:autoSpaceDN/>
      <w:adjustRightInd/>
      <w:spacing w:after="100" w:line="276" w:lineRule="auto"/>
      <w:ind w:left="1760"/>
      <w:jc w:val="left"/>
      <w:textAlignment w:val="auto"/>
    </w:pPr>
    <w:rPr>
      <w:rFonts w:asciiTheme="minorHAnsi" w:eastAsiaTheme="minorEastAsia"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9606555">
      <w:marLeft w:val="0"/>
      <w:marRight w:val="0"/>
      <w:marTop w:val="0"/>
      <w:marBottom w:val="0"/>
      <w:divBdr>
        <w:top w:val="none" w:sz="0" w:space="0" w:color="auto"/>
        <w:left w:val="none" w:sz="0" w:space="0" w:color="auto"/>
        <w:bottom w:val="none" w:sz="0" w:space="0" w:color="auto"/>
        <w:right w:val="none" w:sz="0" w:space="0" w:color="auto"/>
      </w:divBdr>
    </w:div>
    <w:div w:id="1909606556">
      <w:marLeft w:val="0"/>
      <w:marRight w:val="0"/>
      <w:marTop w:val="0"/>
      <w:marBottom w:val="0"/>
      <w:divBdr>
        <w:top w:val="none" w:sz="0" w:space="0" w:color="auto"/>
        <w:left w:val="none" w:sz="0" w:space="0" w:color="auto"/>
        <w:bottom w:val="none" w:sz="0" w:space="0" w:color="auto"/>
        <w:right w:val="none" w:sz="0" w:space="0" w:color="auto"/>
      </w:divBdr>
    </w:div>
    <w:div w:id="1909606557">
      <w:marLeft w:val="0"/>
      <w:marRight w:val="0"/>
      <w:marTop w:val="0"/>
      <w:marBottom w:val="0"/>
      <w:divBdr>
        <w:top w:val="none" w:sz="0" w:space="0" w:color="auto"/>
        <w:left w:val="none" w:sz="0" w:space="0" w:color="auto"/>
        <w:bottom w:val="none" w:sz="0" w:space="0" w:color="auto"/>
        <w:right w:val="none" w:sz="0" w:space="0" w:color="auto"/>
      </w:divBdr>
    </w:div>
    <w:div w:id="1909606558">
      <w:marLeft w:val="0"/>
      <w:marRight w:val="0"/>
      <w:marTop w:val="0"/>
      <w:marBottom w:val="0"/>
      <w:divBdr>
        <w:top w:val="none" w:sz="0" w:space="0" w:color="auto"/>
        <w:left w:val="none" w:sz="0" w:space="0" w:color="auto"/>
        <w:bottom w:val="none" w:sz="0" w:space="0" w:color="auto"/>
        <w:right w:val="none" w:sz="0" w:space="0" w:color="auto"/>
      </w:divBdr>
    </w:div>
    <w:div w:id="1909606559">
      <w:marLeft w:val="0"/>
      <w:marRight w:val="0"/>
      <w:marTop w:val="0"/>
      <w:marBottom w:val="0"/>
      <w:divBdr>
        <w:top w:val="none" w:sz="0" w:space="0" w:color="auto"/>
        <w:left w:val="none" w:sz="0" w:space="0" w:color="auto"/>
        <w:bottom w:val="none" w:sz="0" w:space="0" w:color="auto"/>
        <w:right w:val="none" w:sz="0" w:space="0" w:color="auto"/>
      </w:divBdr>
    </w:div>
    <w:div w:id="1909606560">
      <w:marLeft w:val="0"/>
      <w:marRight w:val="0"/>
      <w:marTop w:val="0"/>
      <w:marBottom w:val="0"/>
      <w:divBdr>
        <w:top w:val="none" w:sz="0" w:space="0" w:color="auto"/>
        <w:left w:val="none" w:sz="0" w:space="0" w:color="auto"/>
        <w:bottom w:val="none" w:sz="0" w:space="0" w:color="auto"/>
        <w:right w:val="none" w:sz="0" w:space="0" w:color="auto"/>
      </w:divBdr>
    </w:div>
    <w:div w:id="1909606561">
      <w:marLeft w:val="0"/>
      <w:marRight w:val="0"/>
      <w:marTop w:val="0"/>
      <w:marBottom w:val="0"/>
      <w:divBdr>
        <w:top w:val="none" w:sz="0" w:space="0" w:color="auto"/>
        <w:left w:val="none" w:sz="0" w:space="0" w:color="auto"/>
        <w:bottom w:val="none" w:sz="0" w:space="0" w:color="auto"/>
        <w:right w:val="none" w:sz="0" w:space="0" w:color="auto"/>
      </w:divBdr>
    </w:div>
    <w:div w:id="1909606562">
      <w:marLeft w:val="0"/>
      <w:marRight w:val="0"/>
      <w:marTop w:val="0"/>
      <w:marBottom w:val="0"/>
      <w:divBdr>
        <w:top w:val="none" w:sz="0" w:space="0" w:color="auto"/>
        <w:left w:val="none" w:sz="0" w:space="0" w:color="auto"/>
        <w:bottom w:val="none" w:sz="0" w:space="0" w:color="auto"/>
        <w:right w:val="none" w:sz="0" w:space="0" w:color="auto"/>
      </w:divBdr>
    </w:div>
    <w:div w:id="1909606563">
      <w:marLeft w:val="0"/>
      <w:marRight w:val="0"/>
      <w:marTop w:val="0"/>
      <w:marBottom w:val="0"/>
      <w:divBdr>
        <w:top w:val="none" w:sz="0" w:space="0" w:color="auto"/>
        <w:left w:val="none" w:sz="0" w:space="0" w:color="auto"/>
        <w:bottom w:val="none" w:sz="0" w:space="0" w:color="auto"/>
        <w:right w:val="none" w:sz="0" w:space="0" w:color="auto"/>
      </w:divBdr>
    </w:div>
    <w:div w:id="1909606564">
      <w:marLeft w:val="0"/>
      <w:marRight w:val="0"/>
      <w:marTop w:val="0"/>
      <w:marBottom w:val="0"/>
      <w:divBdr>
        <w:top w:val="none" w:sz="0" w:space="0" w:color="auto"/>
        <w:left w:val="none" w:sz="0" w:space="0" w:color="auto"/>
        <w:bottom w:val="none" w:sz="0" w:space="0" w:color="auto"/>
        <w:right w:val="none" w:sz="0" w:space="0" w:color="auto"/>
      </w:divBdr>
    </w:div>
    <w:div w:id="1909606565">
      <w:marLeft w:val="0"/>
      <w:marRight w:val="0"/>
      <w:marTop w:val="0"/>
      <w:marBottom w:val="0"/>
      <w:divBdr>
        <w:top w:val="none" w:sz="0" w:space="0" w:color="auto"/>
        <w:left w:val="none" w:sz="0" w:space="0" w:color="auto"/>
        <w:bottom w:val="none" w:sz="0" w:space="0" w:color="auto"/>
        <w:right w:val="none" w:sz="0" w:space="0" w:color="auto"/>
      </w:divBdr>
    </w:div>
    <w:div w:id="1909606566">
      <w:marLeft w:val="0"/>
      <w:marRight w:val="0"/>
      <w:marTop w:val="0"/>
      <w:marBottom w:val="0"/>
      <w:divBdr>
        <w:top w:val="none" w:sz="0" w:space="0" w:color="auto"/>
        <w:left w:val="none" w:sz="0" w:space="0" w:color="auto"/>
        <w:bottom w:val="none" w:sz="0" w:space="0" w:color="auto"/>
        <w:right w:val="none" w:sz="0" w:space="0" w:color="auto"/>
      </w:divBdr>
    </w:div>
    <w:div w:id="1909606567">
      <w:marLeft w:val="0"/>
      <w:marRight w:val="0"/>
      <w:marTop w:val="0"/>
      <w:marBottom w:val="0"/>
      <w:divBdr>
        <w:top w:val="none" w:sz="0" w:space="0" w:color="auto"/>
        <w:left w:val="none" w:sz="0" w:space="0" w:color="auto"/>
        <w:bottom w:val="none" w:sz="0" w:space="0" w:color="auto"/>
        <w:right w:val="none" w:sz="0" w:space="0" w:color="auto"/>
      </w:divBdr>
    </w:div>
    <w:div w:id="1909606568">
      <w:marLeft w:val="0"/>
      <w:marRight w:val="0"/>
      <w:marTop w:val="0"/>
      <w:marBottom w:val="0"/>
      <w:divBdr>
        <w:top w:val="none" w:sz="0" w:space="0" w:color="auto"/>
        <w:left w:val="none" w:sz="0" w:space="0" w:color="auto"/>
        <w:bottom w:val="none" w:sz="0" w:space="0" w:color="auto"/>
        <w:right w:val="none" w:sz="0" w:space="0" w:color="auto"/>
      </w:divBdr>
    </w:div>
    <w:div w:id="1909606569">
      <w:marLeft w:val="0"/>
      <w:marRight w:val="0"/>
      <w:marTop w:val="0"/>
      <w:marBottom w:val="0"/>
      <w:divBdr>
        <w:top w:val="none" w:sz="0" w:space="0" w:color="auto"/>
        <w:left w:val="none" w:sz="0" w:space="0" w:color="auto"/>
        <w:bottom w:val="none" w:sz="0" w:space="0" w:color="auto"/>
        <w:right w:val="none" w:sz="0" w:space="0" w:color="auto"/>
      </w:divBdr>
    </w:div>
    <w:div w:id="1909606570">
      <w:marLeft w:val="0"/>
      <w:marRight w:val="0"/>
      <w:marTop w:val="0"/>
      <w:marBottom w:val="0"/>
      <w:divBdr>
        <w:top w:val="none" w:sz="0" w:space="0" w:color="auto"/>
        <w:left w:val="none" w:sz="0" w:space="0" w:color="auto"/>
        <w:bottom w:val="none" w:sz="0" w:space="0" w:color="auto"/>
        <w:right w:val="none" w:sz="0" w:space="0" w:color="auto"/>
      </w:divBdr>
    </w:div>
    <w:div w:id="1909606571">
      <w:marLeft w:val="0"/>
      <w:marRight w:val="0"/>
      <w:marTop w:val="0"/>
      <w:marBottom w:val="0"/>
      <w:divBdr>
        <w:top w:val="none" w:sz="0" w:space="0" w:color="auto"/>
        <w:left w:val="none" w:sz="0" w:space="0" w:color="auto"/>
        <w:bottom w:val="none" w:sz="0" w:space="0" w:color="auto"/>
        <w:right w:val="none" w:sz="0" w:space="0" w:color="auto"/>
      </w:divBdr>
    </w:div>
    <w:div w:id="1909606572">
      <w:marLeft w:val="0"/>
      <w:marRight w:val="0"/>
      <w:marTop w:val="0"/>
      <w:marBottom w:val="0"/>
      <w:divBdr>
        <w:top w:val="none" w:sz="0" w:space="0" w:color="auto"/>
        <w:left w:val="none" w:sz="0" w:space="0" w:color="auto"/>
        <w:bottom w:val="none" w:sz="0" w:space="0" w:color="auto"/>
        <w:right w:val="none" w:sz="0" w:space="0" w:color="auto"/>
      </w:divBdr>
    </w:div>
    <w:div w:id="1909606573">
      <w:marLeft w:val="0"/>
      <w:marRight w:val="0"/>
      <w:marTop w:val="0"/>
      <w:marBottom w:val="0"/>
      <w:divBdr>
        <w:top w:val="none" w:sz="0" w:space="0" w:color="auto"/>
        <w:left w:val="none" w:sz="0" w:space="0" w:color="auto"/>
        <w:bottom w:val="none" w:sz="0" w:space="0" w:color="auto"/>
        <w:right w:val="none" w:sz="0" w:space="0" w:color="auto"/>
      </w:divBdr>
    </w:div>
    <w:div w:id="1909606574">
      <w:marLeft w:val="0"/>
      <w:marRight w:val="0"/>
      <w:marTop w:val="0"/>
      <w:marBottom w:val="0"/>
      <w:divBdr>
        <w:top w:val="none" w:sz="0" w:space="0" w:color="auto"/>
        <w:left w:val="none" w:sz="0" w:space="0" w:color="auto"/>
        <w:bottom w:val="none" w:sz="0" w:space="0" w:color="auto"/>
        <w:right w:val="none" w:sz="0" w:space="0" w:color="auto"/>
      </w:divBdr>
    </w:div>
    <w:div w:id="1909606575">
      <w:marLeft w:val="0"/>
      <w:marRight w:val="0"/>
      <w:marTop w:val="0"/>
      <w:marBottom w:val="0"/>
      <w:divBdr>
        <w:top w:val="none" w:sz="0" w:space="0" w:color="auto"/>
        <w:left w:val="none" w:sz="0" w:space="0" w:color="auto"/>
        <w:bottom w:val="none" w:sz="0" w:space="0" w:color="auto"/>
        <w:right w:val="none" w:sz="0" w:space="0" w:color="auto"/>
      </w:divBdr>
    </w:div>
    <w:div w:id="1909606576">
      <w:marLeft w:val="0"/>
      <w:marRight w:val="0"/>
      <w:marTop w:val="0"/>
      <w:marBottom w:val="0"/>
      <w:divBdr>
        <w:top w:val="none" w:sz="0" w:space="0" w:color="auto"/>
        <w:left w:val="none" w:sz="0" w:space="0" w:color="auto"/>
        <w:bottom w:val="none" w:sz="0" w:space="0" w:color="auto"/>
        <w:right w:val="none" w:sz="0" w:space="0" w:color="auto"/>
      </w:divBdr>
    </w:div>
    <w:div w:id="1909606577">
      <w:marLeft w:val="0"/>
      <w:marRight w:val="0"/>
      <w:marTop w:val="0"/>
      <w:marBottom w:val="0"/>
      <w:divBdr>
        <w:top w:val="none" w:sz="0" w:space="0" w:color="auto"/>
        <w:left w:val="none" w:sz="0" w:space="0" w:color="auto"/>
        <w:bottom w:val="none" w:sz="0" w:space="0" w:color="auto"/>
        <w:right w:val="none" w:sz="0" w:space="0" w:color="auto"/>
      </w:divBdr>
    </w:div>
    <w:div w:id="1909606578">
      <w:marLeft w:val="0"/>
      <w:marRight w:val="0"/>
      <w:marTop w:val="0"/>
      <w:marBottom w:val="0"/>
      <w:divBdr>
        <w:top w:val="none" w:sz="0" w:space="0" w:color="auto"/>
        <w:left w:val="none" w:sz="0" w:space="0" w:color="auto"/>
        <w:bottom w:val="none" w:sz="0" w:space="0" w:color="auto"/>
        <w:right w:val="none" w:sz="0" w:space="0" w:color="auto"/>
      </w:divBdr>
    </w:div>
    <w:div w:id="1909606579">
      <w:marLeft w:val="0"/>
      <w:marRight w:val="0"/>
      <w:marTop w:val="0"/>
      <w:marBottom w:val="0"/>
      <w:divBdr>
        <w:top w:val="none" w:sz="0" w:space="0" w:color="auto"/>
        <w:left w:val="none" w:sz="0" w:space="0" w:color="auto"/>
        <w:bottom w:val="none" w:sz="0" w:space="0" w:color="auto"/>
        <w:right w:val="none" w:sz="0" w:space="0" w:color="auto"/>
      </w:divBdr>
    </w:div>
    <w:div w:id="1909606580">
      <w:marLeft w:val="0"/>
      <w:marRight w:val="0"/>
      <w:marTop w:val="0"/>
      <w:marBottom w:val="0"/>
      <w:divBdr>
        <w:top w:val="none" w:sz="0" w:space="0" w:color="auto"/>
        <w:left w:val="none" w:sz="0" w:space="0" w:color="auto"/>
        <w:bottom w:val="none" w:sz="0" w:space="0" w:color="auto"/>
        <w:right w:val="none" w:sz="0" w:space="0" w:color="auto"/>
      </w:divBdr>
    </w:div>
    <w:div w:id="1909606581">
      <w:marLeft w:val="0"/>
      <w:marRight w:val="0"/>
      <w:marTop w:val="0"/>
      <w:marBottom w:val="0"/>
      <w:divBdr>
        <w:top w:val="none" w:sz="0" w:space="0" w:color="auto"/>
        <w:left w:val="none" w:sz="0" w:space="0" w:color="auto"/>
        <w:bottom w:val="none" w:sz="0" w:space="0" w:color="auto"/>
        <w:right w:val="none" w:sz="0" w:space="0" w:color="auto"/>
      </w:divBdr>
    </w:div>
    <w:div w:id="1909606582">
      <w:marLeft w:val="0"/>
      <w:marRight w:val="0"/>
      <w:marTop w:val="0"/>
      <w:marBottom w:val="0"/>
      <w:divBdr>
        <w:top w:val="none" w:sz="0" w:space="0" w:color="auto"/>
        <w:left w:val="none" w:sz="0" w:space="0" w:color="auto"/>
        <w:bottom w:val="none" w:sz="0" w:space="0" w:color="auto"/>
        <w:right w:val="none" w:sz="0" w:space="0" w:color="auto"/>
      </w:divBdr>
    </w:div>
    <w:div w:id="1909606583">
      <w:marLeft w:val="0"/>
      <w:marRight w:val="0"/>
      <w:marTop w:val="0"/>
      <w:marBottom w:val="0"/>
      <w:divBdr>
        <w:top w:val="none" w:sz="0" w:space="0" w:color="auto"/>
        <w:left w:val="none" w:sz="0" w:space="0" w:color="auto"/>
        <w:bottom w:val="none" w:sz="0" w:space="0" w:color="auto"/>
        <w:right w:val="none" w:sz="0" w:space="0" w:color="auto"/>
      </w:divBdr>
    </w:div>
    <w:div w:id="1909606584">
      <w:marLeft w:val="0"/>
      <w:marRight w:val="0"/>
      <w:marTop w:val="0"/>
      <w:marBottom w:val="0"/>
      <w:divBdr>
        <w:top w:val="none" w:sz="0" w:space="0" w:color="auto"/>
        <w:left w:val="none" w:sz="0" w:space="0" w:color="auto"/>
        <w:bottom w:val="none" w:sz="0" w:space="0" w:color="auto"/>
        <w:right w:val="none" w:sz="0" w:space="0" w:color="auto"/>
      </w:divBdr>
    </w:div>
    <w:div w:id="1909606585">
      <w:marLeft w:val="0"/>
      <w:marRight w:val="0"/>
      <w:marTop w:val="0"/>
      <w:marBottom w:val="0"/>
      <w:divBdr>
        <w:top w:val="none" w:sz="0" w:space="0" w:color="auto"/>
        <w:left w:val="none" w:sz="0" w:space="0" w:color="auto"/>
        <w:bottom w:val="none" w:sz="0" w:space="0" w:color="auto"/>
        <w:right w:val="none" w:sz="0" w:space="0" w:color="auto"/>
      </w:divBdr>
    </w:div>
    <w:div w:id="1909606586">
      <w:marLeft w:val="0"/>
      <w:marRight w:val="0"/>
      <w:marTop w:val="0"/>
      <w:marBottom w:val="0"/>
      <w:divBdr>
        <w:top w:val="none" w:sz="0" w:space="0" w:color="auto"/>
        <w:left w:val="none" w:sz="0" w:space="0" w:color="auto"/>
        <w:bottom w:val="none" w:sz="0" w:space="0" w:color="auto"/>
        <w:right w:val="none" w:sz="0" w:space="0" w:color="auto"/>
      </w:divBdr>
    </w:div>
    <w:div w:id="1909606587">
      <w:marLeft w:val="0"/>
      <w:marRight w:val="0"/>
      <w:marTop w:val="0"/>
      <w:marBottom w:val="0"/>
      <w:divBdr>
        <w:top w:val="none" w:sz="0" w:space="0" w:color="auto"/>
        <w:left w:val="none" w:sz="0" w:space="0" w:color="auto"/>
        <w:bottom w:val="none" w:sz="0" w:space="0" w:color="auto"/>
        <w:right w:val="none" w:sz="0" w:space="0" w:color="auto"/>
      </w:divBdr>
    </w:div>
    <w:div w:id="1909606588">
      <w:marLeft w:val="0"/>
      <w:marRight w:val="0"/>
      <w:marTop w:val="0"/>
      <w:marBottom w:val="0"/>
      <w:divBdr>
        <w:top w:val="none" w:sz="0" w:space="0" w:color="auto"/>
        <w:left w:val="none" w:sz="0" w:space="0" w:color="auto"/>
        <w:bottom w:val="none" w:sz="0" w:space="0" w:color="auto"/>
        <w:right w:val="none" w:sz="0" w:space="0" w:color="auto"/>
      </w:divBdr>
    </w:div>
    <w:div w:id="1909606589">
      <w:marLeft w:val="0"/>
      <w:marRight w:val="0"/>
      <w:marTop w:val="0"/>
      <w:marBottom w:val="0"/>
      <w:divBdr>
        <w:top w:val="none" w:sz="0" w:space="0" w:color="auto"/>
        <w:left w:val="none" w:sz="0" w:space="0" w:color="auto"/>
        <w:bottom w:val="none" w:sz="0" w:space="0" w:color="auto"/>
        <w:right w:val="none" w:sz="0" w:space="0" w:color="auto"/>
      </w:divBdr>
    </w:div>
    <w:div w:id="1909606590">
      <w:marLeft w:val="0"/>
      <w:marRight w:val="0"/>
      <w:marTop w:val="0"/>
      <w:marBottom w:val="0"/>
      <w:divBdr>
        <w:top w:val="none" w:sz="0" w:space="0" w:color="auto"/>
        <w:left w:val="none" w:sz="0" w:space="0" w:color="auto"/>
        <w:bottom w:val="none" w:sz="0" w:space="0" w:color="auto"/>
        <w:right w:val="none" w:sz="0" w:space="0" w:color="auto"/>
      </w:divBdr>
    </w:div>
    <w:div w:id="1909606591">
      <w:marLeft w:val="0"/>
      <w:marRight w:val="0"/>
      <w:marTop w:val="0"/>
      <w:marBottom w:val="0"/>
      <w:divBdr>
        <w:top w:val="none" w:sz="0" w:space="0" w:color="auto"/>
        <w:left w:val="none" w:sz="0" w:space="0" w:color="auto"/>
        <w:bottom w:val="none" w:sz="0" w:space="0" w:color="auto"/>
        <w:right w:val="none" w:sz="0" w:space="0" w:color="auto"/>
      </w:divBdr>
    </w:div>
    <w:div w:id="1909606592">
      <w:marLeft w:val="0"/>
      <w:marRight w:val="0"/>
      <w:marTop w:val="0"/>
      <w:marBottom w:val="0"/>
      <w:divBdr>
        <w:top w:val="none" w:sz="0" w:space="0" w:color="auto"/>
        <w:left w:val="none" w:sz="0" w:space="0" w:color="auto"/>
        <w:bottom w:val="none" w:sz="0" w:space="0" w:color="auto"/>
        <w:right w:val="none" w:sz="0" w:space="0" w:color="auto"/>
      </w:divBdr>
    </w:div>
    <w:div w:id="1909606593">
      <w:marLeft w:val="0"/>
      <w:marRight w:val="0"/>
      <w:marTop w:val="0"/>
      <w:marBottom w:val="0"/>
      <w:divBdr>
        <w:top w:val="none" w:sz="0" w:space="0" w:color="auto"/>
        <w:left w:val="none" w:sz="0" w:space="0" w:color="auto"/>
        <w:bottom w:val="none" w:sz="0" w:space="0" w:color="auto"/>
        <w:right w:val="none" w:sz="0" w:space="0" w:color="auto"/>
      </w:divBdr>
    </w:div>
    <w:div w:id="1909606594">
      <w:marLeft w:val="0"/>
      <w:marRight w:val="0"/>
      <w:marTop w:val="0"/>
      <w:marBottom w:val="0"/>
      <w:divBdr>
        <w:top w:val="none" w:sz="0" w:space="0" w:color="auto"/>
        <w:left w:val="none" w:sz="0" w:space="0" w:color="auto"/>
        <w:bottom w:val="none" w:sz="0" w:space="0" w:color="auto"/>
        <w:right w:val="none" w:sz="0" w:space="0" w:color="auto"/>
      </w:divBdr>
    </w:div>
    <w:div w:id="1909606595">
      <w:marLeft w:val="0"/>
      <w:marRight w:val="0"/>
      <w:marTop w:val="0"/>
      <w:marBottom w:val="0"/>
      <w:divBdr>
        <w:top w:val="none" w:sz="0" w:space="0" w:color="auto"/>
        <w:left w:val="none" w:sz="0" w:space="0" w:color="auto"/>
        <w:bottom w:val="none" w:sz="0" w:space="0" w:color="auto"/>
        <w:right w:val="none" w:sz="0" w:space="0" w:color="auto"/>
      </w:divBdr>
    </w:div>
    <w:div w:id="1909606596">
      <w:marLeft w:val="0"/>
      <w:marRight w:val="0"/>
      <w:marTop w:val="0"/>
      <w:marBottom w:val="0"/>
      <w:divBdr>
        <w:top w:val="none" w:sz="0" w:space="0" w:color="auto"/>
        <w:left w:val="none" w:sz="0" w:space="0" w:color="auto"/>
        <w:bottom w:val="none" w:sz="0" w:space="0" w:color="auto"/>
        <w:right w:val="none" w:sz="0" w:space="0" w:color="auto"/>
      </w:divBdr>
    </w:div>
    <w:div w:id="1909606597">
      <w:marLeft w:val="0"/>
      <w:marRight w:val="0"/>
      <w:marTop w:val="0"/>
      <w:marBottom w:val="0"/>
      <w:divBdr>
        <w:top w:val="none" w:sz="0" w:space="0" w:color="auto"/>
        <w:left w:val="none" w:sz="0" w:space="0" w:color="auto"/>
        <w:bottom w:val="none" w:sz="0" w:space="0" w:color="auto"/>
        <w:right w:val="none" w:sz="0" w:space="0" w:color="auto"/>
      </w:divBdr>
    </w:div>
    <w:div w:id="1909606598">
      <w:marLeft w:val="0"/>
      <w:marRight w:val="0"/>
      <w:marTop w:val="0"/>
      <w:marBottom w:val="0"/>
      <w:divBdr>
        <w:top w:val="none" w:sz="0" w:space="0" w:color="auto"/>
        <w:left w:val="none" w:sz="0" w:space="0" w:color="auto"/>
        <w:bottom w:val="none" w:sz="0" w:space="0" w:color="auto"/>
        <w:right w:val="none" w:sz="0" w:space="0" w:color="auto"/>
      </w:divBdr>
    </w:div>
    <w:div w:id="1909606599">
      <w:marLeft w:val="0"/>
      <w:marRight w:val="0"/>
      <w:marTop w:val="0"/>
      <w:marBottom w:val="0"/>
      <w:divBdr>
        <w:top w:val="none" w:sz="0" w:space="0" w:color="auto"/>
        <w:left w:val="none" w:sz="0" w:space="0" w:color="auto"/>
        <w:bottom w:val="none" w:sz="0" w:space="0" w:color="auto"/>
        <w:right w:val="none" w:sz="0" w:space="0" w:color="auto"/>
      </w:divBdr>
    </w:div>
    <w:div w:id="1909606600">
      <w:marLeft w:val="0"/>
      <w:marRight w:val="0"/>
      <w:marTop w:val="0"/>
      <w:marBottom w:val="0"/>
      <w:divBdr>
        <w:top w:val="none" w:sz="0" w:space="0" w:color="auto"/>
        <w:left w:val="none" w:sz="0" w:space="0" w:color="auto"/>
        <w:bottom w:val="none" w:sz="0" w:space="0" w:color="auto"/>
        <w:right w:val="none" w:sz="0" w:space="0" w:color="auto"/>
      </w:divBdr>
    </w:div>
    <w:div w:id="1909606601">
      <w:marLeft w:val="0"/>
      <w:marRight w:val="0"/>
      <w:marTop w:val="0"/>
      <w:marBottom w:val="0"/>
      <w:divBdr>
        <w:top w:val="none" w:sz="0" w:space="0" w:color="auto"/>
        <w:left w:val="none" w:sz="0" w:space="0" w:color="auto"/>
        <w:bottom w:val="none" w:sz="0" w:space="0" w:color="auto"/>
        <w:right w:val="none" w:sz="0" w:space="0" w:color="auto"/>
      </w:divBdr>
    </w:div>
    <w:div w:id="1909606602">
      <w:marLeft w:val="0"/>
      <w:marRight w:val="0"/>
      <w:marTop w:val="0"/>
      <w:marBottom w:val="0"/>
      <w:divBdr>
        <w:top w:val="none" w:sz="0" w:space="0" w:color="auto"/>
        <w:left w:val="none" w:sz="0" w:space="0" w:color="auto"/>
        <w:bottom w:val="none" w:sz="0" w:space="0" w:color="auto"/>
        <w:right w:val="none" w:sz="0" w:space="0" w:color="auto"/>
      </w:divBdr>
    </w:div>
    <w:div w:id="1909606603">
      <w:marLeft w:val="0"/>
      <w:marRight w:val="0"/>
      <w:marTop w:val="0"/>
      <w:marBottom w:val="0"/>
      <w:divBdr>
        <w:top w:val="none" w:sz="0" w:space="0" w:color="auto"/>
        <w:left w:val="none" w:sz="0" w:space="0" w:color="auto"/>
        <w:bottom w:val="none" w:sz="0" w:space="0" w:color="auto"/>
        <w:right w:val="none" w:sz="0" w:space="0" w:color="auto"/>
      </w:divBdr>
    </w:div>
    <w:div w:id="1909606604">
      <w:marLeft w:val="0"/>
      <w:marRight w:val="0"/>
      <w:marTop w:val="0"/>
      <w:marBottom w:val="0"/>
      <w:divBdr>
        <w:top w:val="none" w:sz="0" w:space="0" w:color="auto"/>
        <w:left w:val="none" w:sz="0" w:space="0" w:color="auto"/>
        <w:bottom w:val="none" w:sz="0" w:space="0" w:color="auto"/>
        <w:right w:val="none" w:sz="0" w:space="0" w:color="auto"/>
      </w:divBdr>
    </w:div>
    <w:div w:id="1909606605">
      <w:marLeft w:val="0"/>
      <w:marRight w:val="0"/>
      <w:marTop w:val="0"/>
      <w:marBottom w:val="0"/>
      <w:divBdr>
        <w:top w:val="none" w:sz="0" w:space="0" w:color="auto"/>
        <w:left w:val="none" w:sz="0" w:space="0" w:color="auto"/>
        <w:bottom w:val="none" w:sz="0" w:space="0" w:color="auto"/>
        <w:right w:val="none" w:sz="0" w:space="0" w:color="auto"/>
      </w:divBdr>
    </w:div>
    <w:div w:id="1909606606">
      <w:marLeft w:val="0"/>
      <w:marRight w:val="0"/>
      <w:marTop w:val="0"/>
      <w:marBottom w:val="0"/>
      <w:divBdr>
        <w:top w:val="none" w:sz="0" w:space="0" w:color="auto"/>
        <w:left w:val="none" w:sz="0" w:space="0" w:color="auto"/>
        <w:bottom w:val="none" w:sz="0" w:space="0" w:color="auto"/>
        <w:right w:val="none" w:sz="0" w:space="0" w:color="auto"/>
      </w:divBdr>
    </w:div>
    <w:div w:id="1909606607">
      <w:marLeft w:val="0"/>
      <w:marRight w:val="0"/>
      <w:marTop w:val="0"/>
      <w:marBottom w:val="0"/>
      <w:divBdr>
        <w:top w:val="none" w:sz="0" w:space="0" w:color="auto"/>
        <w:left w:val="none" w:sz="0" w:space="0" w:color="auto"/>
        <w:bottom w:val="none" w:sz="0" w:space="0" w:color="auto"/>
        <w:right w:val="none" w:sz="0" w:space="0" w:color="auto"/>
      </w:divBdr>
    </w:div>
    <w:div w:id="1909606608">
      <w:marLeft w:val="0"/>
      <w:marRight w:val="0"/>
      <w:marTop w:val="0"/>
      <w:marBottom w:val="0"/>
      <w:divBdr>
        <w:top w:val="none" w:sz="0" w:space="0" w:color="auto"/>
        <w:left w:val="none" w:sz="0" w:space="0" w:color="auto"/>
        <w:bottom w:val="none" w:sz="0" w:space="0" w:color="auto"/>
        <w:right w:val="none" w:sz="0" w:space="0" w:color="auto"/>
      </w:divBdr>
    </w:div>
    <w:div w:id="1909606609">
      <w:marLeft w:val="0"/>
      <w:marRight w:val="0"/>
      <w:marTop w:val="0"/>
      <w:marBottom w:val="0"/>
      <w:divBdr>
        <w:top w:val="none" w:sz="0" w:space="0" w:color="auto"/>
        <w:left w:val="none" w:sz="0" w:space="0" w:color="auto"/>
        <w:bottom w:val="none" w:sz="0" w:space="0" w:color="auto"/>
        <w:right w:val="none" w:sz="0" w:space="0" w:color="auto"/>
      </w:divBdr>
    </w:div>
    <w:div w:id="1909606610">
      <w:marLeft w:val="0"/>
      <w:marRight w:val="0"/>
      <w:marTop w:val="0"/>
      <w:marBottom w:val="0"/>
      <w:divBdr>
        <w:top w:val="none" w:sz="0" w:space="0" w:color="auto"/>
        <w:left w:val="none" w:sz="0" w:space="0" w:color="auto"/>
        <w:bottom w:val="none" w:sz="0" w:space="0" w:color="auto"/>
        <w:right w:val="none" w:sz="0" w:space="0" w:color="auto"/>
      </w:divBdr>
    </w:div>
    <w:div w:id="1909606611">
      <w:marLeft w:val="0"/>
      <w:marRight w:val="0"/>
      <w:marTop w:val="0"/>
      <w:marBottom w:val="0"/>
      <w:divBdr>
        <w:top w:val="none" w:sz="0" w:space="0" w:color="auto"/>
        <w:left w:val="none" w:sz="0" w:space="0" w:color="auto"/>
        <w:bottom w:val="none" w:sz="0" w:space="0" w:color="auto"/>
        <w:right w:val="none" w:sz="0" w:space="0" w:color="auto"/>
      </w:divBdr>
    </w:div>
    <w:div w:id="1909606612">
      <w:marLeft w:val="0"/>
      <w:marRight w:val="0"/>
      <w:marTop w:val="0"/>
      <w:marBottom w:val="0"/>
      <w:divBdr>
        <w:top w:val="none" w:sz="0" w:space="0" w:color="auto"/>
        <w:left w:val="none" w:sz="0" w:space="0" w:color="auto"/>
        <w:bottom w:val="none" w:sz="0" w:space="0" w:color="auto"/>
        <w:right w:val="none" w:sz="0" w:space="0" w:color="auto"/>
      </w:divBdr>
    </w:div>
    <w:div w:id="1909606613">
      <w:marLeft w:val="0"/>
      <w:marRight w:val="0"/>
      <w:marTop w:val="0"/>
      <w:marBottom w:val="0"/>
      <w:divBdr>
        <w:top w:val="none" w:sz="0" w:space="0" w:color="auto"/>
        <w:left w:val="none" w:sz="0" w:space="0" w:color="auto"/>
        <w:bottom w:val="none" w:sz="0" w:space="0" w:color="auto"/>
        <w:right w:val="none" w:sz="0" w:space="0" w:color="auto"/>
      </w:divBdr>
    </w:div>
    <w:div w:id="1909606614">
      <w:marLeft w:val="0"/>
      <w:marRight w:val="0"/>
      <w:marTop w:val="0"/>
      <w:marBottom w:val="0"/>
      <w:divBdr>
        <w:top w:val="none" w:sz="0" w:space="0" w:color="auto"/>
        <w:left w:val="none" w:sz="0" w:space="0" w:color="auto"/>
        <w:bottom w:val="none" w:sz="0" w:space="0" w:color="auto"/>
        <w:right w:val="none" w:sz="0" w:space="0" w:color="auto"/>
      </w:divBdr>
    </w:div>
    <w:div w:id="1909606615">
      <w:marLeft w:val="0"/>
      <w:marRight w:val="0"/>
      <w:marTop w:val="0"/>
      <w:marBottom w:val="0"/>
      <w:divBdr>
        <w:top w:val="none" w:sz="0" w:space="0" w:color="auto"/>
        <w:left w:val="none" w:sz="0" w:space="0" w:color="auto"/>
        <w:bottom w:val="none" w:sz="0" w:space="0" w:color="auto"/>
        <w:right w:val="none" w:sz="0" w:space="0" w:color="auto"/>
      </w:divBdr>
    </w:div>
    <w:div w:id="1909606616">
      <w:marLeft w:val="0"/>
      <w:marRight w:val="0"/>
      <w:marTop w:val="0"/>
      <w:marBottom w:val="0"/>
      <w:divBdr>
        <w:top w:val="none" w:sz="0" w:space="0" w:color="auto"/>
        <w:left w:val="none" w:sz="0" w:space="0" w:color="auto"/>
        <w:bottom w:val="none" w:sz="0" w:space="0" w:color="auto"/>
        <w:right w:val="none" w:sz="0" w:space="0" w:color="auto"/>
      </w:divBdr>
    </w:div>
    <w:div w:id="1909606617">
      <w:marLeft w:val="0"/>
      <w:marRight w:val="0"/>
      <w:marTop w:val="0"/>
      <w:marBottom w:val="0"/>
      <w:divBdr>
        <w:top w:val="none" w:sz="0" w:space="0" w:color="auto"/>
        <w:left w:val="none" w:sz="0" w:space="0" w:color="auto"/>
        <w:bottom w:val="none" w:sz="0" w:space="0" w:color="auto"/>
        <w:right w:val="none" w:sz="0" w:space="0" w:color="auto"/>
      </w:divBdr>
    </w:div>
    <w:div w:id="1909606618">
      <w:marLeft w:val="0"/>
      <w:marRight w:val="0"/>
      <w:marTop w:val="0"/>
      <w:marBottom w:val="0"/>
      <w:divBdr>
        <w:top w:val="none" w:sz="0" w:space="0" w:color="auto"/>
        <w:left w:val="none" w:sz="0" w:space="0" w:color="auto"/>
        <w:bottom w:val="none" w:sz="0" w:space="0" w:color="auto"/>
        <w:right w:val="none" w:sz="0" w:space="0" w:color="auto"/>
      </w:divBdr>
    </w:div>
    <w:div w:id="1909606619">
      <w:marLeft w:val="0"/>
      <w:marRight w:val="0"/>
      <w:marTop w:val="0"/>
      <w:marBottom w:val="0"/>
      <w:divBdr>
        <w:top w:val="none" w:sz="0" w:space="0" w:color="auto"/>
        <w:left w:val="none" w:sz="0" w:space="0" w:color="auto"/>
        <w:bottom w:val="none" w:sz="0" w:space="0" w:color="auto"/>
        <w:right w:val="none" w:sz="0" w:space="0" w:color="auto"/>
      </w:divBdr>
    </w:div>
    <w:div w:id="1909606620">
      <w:marLeft w:val="0"/>
      <w:marRight w:val="0"/>
      <w:marTop w:val="0"/>
      <w:marBottom w:val="0"/>
      <w:divBdr>
        <w:top w:val="none" w:sz="0" w:space="0" w:color="auto"/>
        <w:left w:val="none" w:sz="0" w:space="0" w:color="auto"/>
        <w:bottom w:val="none" w:sz="0" w:space="0" w:color="auto"/>
        <w:right w:val="none" w:sz="0" w:space="0" w:color="auto"/>
      </w:divBdr>
    </w:div>
    <w:div w:id="1909606621">
      <w:marLeft w:val="0"/>
      <w:marRight w:val="0"/>
      <w:marTop w:val="0"/>
      <w:marBottom w:val="0"/>
      <w:divBdr>
        <w:top w:val="none" w:sz="0" w:space="0" w:color="auto"/>
        <w:left w:val="none" w:sz="0" w:space="0" w:color="auto"/>
        <w:bottom w:val="none" w:sz="0" w:space="0" w:color="auto"/>
        <w:right w:val="none" w:sz="0" w:space="0" w:color="auto"/>
      </w:divBdr>
    </w:div>
    <w:div w:id="1909606622">
      <w:marLeft w:val="0"/>
      <w:marRight w:val="0"/>
      <w:marTop w:val="0"/>
      <w:marBottom w:val="0"/>
      <w:divBdr>
        <w:top w:val="none" w:sz="0" w:space="0" w:color="auto"/>
        <w:left w:val="none" w:sz="0" w:space="0" w:color="auto"/>
        <w:bottom w:val="none" w:sz="0" w:space="0" w:color="auto"/>
        <w:right w:val="none" w:sz="0" w:space="0" w:color="auto"/>
      </w:divBdr>
    </w:div>
    <w:div w:id="1909606623">
      <w:marLeft w:val="0"/>
      <w:marRight w:val="0"/>
      <w:marTop w:val="0"/>
      <w:marBottom w:val="0"/>
      <w:divBdr>
        <w:top w:val="none" w:sz="0" w:space="0" w:color="auto"/>
        <w:left w:val="none" w:sz="0" w:space="0" w:color="auto"/>
        <w:bottom w:val="none" w:sz="0" w:space="0" w:color="auto"/>
        <w:right w:val="none" w:sz="0" w:space="0" w:color="auto"/>
      </w:divBdr>
    </w:div>
    <w:div w:id="1909606624">
      <w:marLeft w:val="0"/>
      <w:marRight w:val="0"/>
      <w:marTop w:val="0"/>
      <w:marBottom w:val="0"/>
      <w:divBdr>
        <w:top w:val="none" w:sz="0" w:space="0" w:color="auto"/>
        <w:left w:val="none" w:sz="0" w:space="0" w:color="auto"/>
        <w:bottom w:val="none" w:sz="0" w:space="0" w:color="auto"/>
        <w:right w:val="none" w:sz="0" w:space="0" w:color="auto"/>
      </w:divBdr>
    </w:div>
    <w:div w:id="1909606625">
      <w:marLeft w:val="0"/>
      <w:marRight w:val="0"/>
      <w:marTop w:val="0"/>
      <w:marBottom w:val="0"/>
      <w:divBdr>
        <w:top w:val="none" w:sz="0" w:space="0" w:color="auto"/>
        <w:left w:val="none" w:sz="0" w:space="0" w:color="auto"/>
        <w:bottom w:val="none" w:sz="0" w:space="0" w:color="auto"/>
        <w:right w:val="none" w:sz="0" w:space="0" w:color="auto"/>
      </w:divBdr>
    </w:div>
    <w:div w:id="1909606626">
      <w:marLeft w:val="0"/>
      <w:marRight w:val="0"/>
      <w:marTop w:val="0"/>
      <w:marBottom w:val="0"/>
      <w:divBdr>
        <w:top w:val="none" w:sz="0" w:space="0" w:color="auto"/>
        <w:left w:val="none" w:sz="0" w:space="0" w:color="auto"/>
        <w:bottom w:val="none" w:sz="0" w:space="0" w:color="auto"/>
        <w:right w:val="none" w:sz="0" w:space="0" w:color="auto"/>
      </w:divBdr>
    </w:div>
    <w:div w:id="1909606627">
      <w:marLeft w:val="0"/>
      <w:marRight w:val="0"/>
      <w:marTop w:val="0"/>
      <w:marBottom w:val="0"/>
      <w:divBdr>
        <w:top w:val="none" w:sz="0" w:space="0" w:color="auto"/>
        <w:left w:val="none" w:sz="0" w:space="0" w:color="auto"/>
        <w:bottom w:val="none" w:sz="0" w:space="0" w:color="auto"/>
        <w:right w:val="none" w:sz="0" w:space="0" w:color="auto"/>
      </w:divBdr>
    </w:div>
    <w:div w:id="1909606628">
      <w:marLeft w:val="0"/>
      <w:marRight w:val="0"/>
      <w:marTop w:val="0"/>
      <w:marBottom w:val="0"/>
      <w:divBdr>
        <w:top w:val="none" w:sz="0" w:space="0" w:color="auto"/>
        <w:left w:val="none" w:sz="0" w:space="0" w:color="auto"/>
        <w:bottom w:val="none" w:sz="0" w:space="0" w:color="auto"/>
        <w:right w:val="none" w:sz="0" w:space="0" w:color="auto"/>
      </w:divBdr>
    </w:div>
    <w:div w:id="1909606629">
      <w:marLeft w:val="0"/>
      <w:marRight w:val="0"/>
      <w:marTop w:val="0"/>
      <w:marBottom w:val="0"/>
      <w:divBdr>
        <w:top w:val="none" w:sz="0" w:space="0" w:color="auto"/>
        <w:left w:val="none" w:sz="0" w:space="0" w:color="auto"/>
        <w:bottom w:val="none" w:sz="0" w:space="0" w:color="auto"/>
        <w:right w:val="none" w:sz="0" w:space="0" w:color="auto"/>
      </w:divBdr>
    </w:div>
    <w:div w:id="1909606630">
      <w:marLeft w:val="0"/>
      <w:marRight w:val="0"/>
      <w:marTop w:val="0"/>
      <w:marBottom w:val="0"/>
      <w:divBdr>
        <w:top w:val="none" w:sz="0" w:space="0" w:color="auto"/>
        <w:left w:val="none" w:sz="0" w:space="0" w:color="auto"/>
        <w:bottom w:val="none" w:sz="0" w:space="0" w:color="auto"/>
        <w:right w:val="none" w:sz="0" w:space="0" w:color="auto"/>
      </w:divBdr>
    </w:div>
    <w:div w:id="1909606631">
      <w:marLeft w:val="0"/>
      <w:marRight w:val="0"/>
      <w:marTop w:val="0"/>
      <w:marBottom w:val="0"/>
      <w:divBdr>
        <w:top w:val="none" w:sz="0" w:space="0" w:color="auto"/>
        <w:left w:val="none" w:sz="0" w:space="0" w:color="auto"/>
        <w:bottom w:val="none" w:sz="0" w:space="0" w:color="auto"/>
        <w:right w:val="none" w:sz="0" w:space="0" w:color="auto"/>
      </w:divBdr>
    </w:div>
    <w:div w:id="1909606632">
      <w:marLeft w:val="0"/>
      <w:marRight w:val="0"/>
      <w:marTop w:val="0"/>
      <w:marBottom w:val="0"/>
      <w:divBdr>
        <w:top w:val="none" w:sz="0" w:space="0" w:color="auto"/>
        <w:left w:val="none" w:sz="0" w:space="0" w:color="auto"/>
        <w:bottom w:val="none" w:sz="0" w:space="0" w:color="auto"/>
        <w:right w:val="none" w:sz="0" w:space="0" w:color="auto"/>
      </w:divBdr>
    </w:div>
    <w:div w:id="1909606633">
      <w:marLeft w:val="0"/>
      <w:marRight w:val="0"/>
      <w:marTop w:val="0"/>
      <w:marBottom w:val="0"/>
      <w:divBdr>
        <w:top w:val="none" w:sz="0" w:space="0" w:color="auto"/>
        <w:left w:val="none" w:sz="0" w:space="0" w:color="auto"/>
        <w:bottom w:val="none" w:sz="0" w:space="0" w:color="auto"/>
        <w:right w:val="none" w:sz="0" w:space="0" w:color="auto"/>
      </w:divBdr>
    </w:div>
    <w:div w:id="1909606634">
      <w:marLeft w:val="0"/>
      <w:marRight w:val="0"/>
      <w:marTop w:val="0"/>
      <w:marBottom w:val="0"/>
      <w:divBdr>
        <w:top w:val="none" w:sz="0" w:space="0" w:color="auto"/>
        <w:left w:val="none" w:sz="0" w:space="0" w:color="auto"/>
        <w:bottom w:val="none" w:sz="0" w:space="0" w:color="auto"/>
        <w:right w:val="none" w:sz="0" w:space="0" w:color="auto"/>
      </w:divBdr>
    </w:div>
    <w:div w:id="1909606635">
      <w:marLeft w:val="0"/>
      <w:marRight w:val="0"/>
      <w:marTop w:val="0"/>
      <w:marBottom w:val="0"/>
      <w:divBdr>
        <w:top w:val="none" w:sz="0" w:space="0" w:color="auto"/>
        <w:left w:val="none" w:sz="0" w:space="0" w:color="auto"/>
        <w:bottom w:val="none" w:sz="0" w:space="0" w:color="auto"/>
        <w:right w:val="none" w:sz="0" w:space="0" w:color="auto"/>
      </w:divBdr>
    </w:div>
    <w:div w:id="1909606636">
      <w:marLeft w:val="0"/>
      <w:marRight w:val="0"/>
      <w:marTop w:val="0"/>
      <w:marBottom w:val="0"/>
      <w:divBdr>
        <w:top w:val="none" w:sz="0" w:space="0" w:color="auto"/>
        <w:left w:val="none" w:sz="0" w:space="0" w:color="auto"/>
        <w:bottom w:val="none" w:sz="0" w:space="0" w:color="auto"/>
        <w:right w:val="none" w:sz="0" w:space="0" w:color="auto"/>
      </w:divBdr>
    </w:div>
    <w:div w:id="1909606637">
      <w:marLeft w:val="0"/>
      <w:marRight w:val="0"/>
      <w:marTop w:val="0"/>
      <w:marBottom w:val="0"/>
      <w:divBdr>
        <w:top w:val="none" w:sz="0" w:space="0" w:color="auto"/>
        <w:left w:val="none" w:sz="0" w:space="0" w:color="auto"/>
        <w:bottom w:val="none" w:sz="0" w:space="0" w:color="auto"/>
        <w:right w:val="none" w:sz="0" w:space="0" w:color="auto"/>
      </w:divBdr>
    </w:div>
    <w:div w:id="1909606638">
      <w:marLeft w:val="0"/>
      <w:marRight w:val="0"/>
      <w:marTop w:val="0"/>
      <w:marBottom w:val="0"/>
      <w:divBdr>
        <w:top w:val="none" w:sz="0" w:space="0" w:color="auto"/>
        <w:left w:val="none" w:sz="0" w:space="0" w:color="auto"/>
        <w:bottom w:val="none" w:sz="0" w:space="0" w:color="auto"/>
        <w:right w:val="none" w:sz="0" w:space="0" w:color="auto"/>
      </w:divBdr>
    </w:div>
    <w:div w:id="1909606639">
      <w:marLeft w:val="0"/>
      <w:marRight w:val="0"/>
      <w:marTop w:val="0"/>
      <w:marBottom w:val="0"/>
      <w:divBdr>
        <w:top w:val="none" w:sz="0" w:space="0" w:color="auto"/>
        <w:left w:val="none" w:sz="0" w:space="0" w:color="auto"/>
        <w:bottom w:val="none" w:sz="0" w:space="0" w:color="auto"/>
        <w:right w:val="none" w:sz="0" w:space="0" w:color="auto"/>
      </w:divBdr>
    </w:div>
    <w:div w:id="1909606640">
      <w:marLeft w:val="0"/>
      <w:marRight w:val="0"/>
      <w:marTop w:val="0"/>
      <w:marBottom w:val="0"/>
      <w:divBdr>
        <w:top w:val="none" w:sz="0" w:space="0" w:color="auto"/>
        <w:left w:val="none" w:sz="0" w:space="0" w:color="auto"/>
        <w:bottom w:val="none" w:sz="0" w:space="0" w:color="auto"/>
        <w:right w:val="none" w:sz="0" w:space="0" w:color="auto"/>
      </w:divBdr>
    </w:div>
    <w:div w:id="1909606641">
      <w:marLeft w:val="0"/>
      <w:marRight w:val="0"/>
      <w:marTop w:val="0"/>
      <w:marBottom w:val="0"/>
      <w:divBdr>
        <w:top w:val="none" w:sz="0" w:space="0" w:color="auto"/>
        <w:left w:val="none" w:sz="0" w:space="0" w:color="auto"/>
        <w:bottom w:val="none" w:sz="0" w:space="0" w:color="auto"/>
        <w:right w:val="none" w:sz="0" w:space="0" w:color="auto"/>
      </w:divBdr>
    </w:div>
    <w:div w:id="1909606642">
      <w:marLeft w:val="0"/>
      <w:marRight w:val="0"/>
      <w:marTop w:val="0"/>
      <w:marBottom w:val="0"/>
      <w:divBdr>
        <w:top w:val="none" w:sz="0" w:space="0" w:color="auto"/>
        <w:left w:val="none" w:sz="0" w:space="0" w:color="auto"/>
        <w:bottom w:val="none" w:sz="0" w:space="0" w:color="auto"/>
        <w:right w:val="none" w:sz="0" w:space="0" w:color="auto"/>
      </w:divBdr>
    </w:div>
    <w:div w:id="1909606643">
      <w:marLeft w:val="0"/>
      <w:marRight w:val="0"/>
      <w:marTop w:val="0"/>
      <w:marBottom w:val="0"/>
      <w:divBdr>
        <w:top w:val="none" w:sz="0" w:space="0" w:color="auto"/>
        <w:left w:val="none" w:sz="0" w:space="0" w:color="auto"/>
        <w:bottom w:val="none" w:sz="0" w:space="0" w:color="auto"/>
        <w:right w:val="none" w:sz="0" w:space="0" w:color="auto"/>
      </w:divBdr>
    </w:div>
    <w:div w:id="1909606644">
      <w:marLeft w:val="0"/>
      <w:marRight w:val="0"/>
      <w:marTop w:val="0"/>
      <w:marBottom w:val="0"/>
      <w:divBdr>
        <w:top w:val="none" w:sz="0" w:space="0" w:color="auto"/>
        <w:left w:val="none" w:sz="0" w:space="0" w:color="auto"/>
        <w:bottom w:val="none" w:sz="0" w:space="0" w:color="auto"/>
        <w:right w:val="none" w:sz="0" w:space="0" w:color="auto"/>
      </w:divBdr>
    </w:div>
    <w:div w:id="1909606645">
      <w:marLeft w:val="0"/>
      <w:marRight w:val="0"/>
      <w:marTop w:val="0"/>
      <w:marBottom w:val="0"/>
      <w:divBdr>
        <w:top w:val="none" w:sz="0" w:space="0" w:color="auto"/>
        <w:left w:val="none" w:sz="0" w:space="0" w:color="auto"/>
        <w:bottom w:val="none" w:sz="0" w:space="0" w:color="auto"/>
        <w:right w:val="none" w:sz="0" w:space="0" w:color="auto"/>
      </w:divBdr>
    </w:div>
    <w:div w:id="1909606646">
      <w:marLeft w:val="0"/>
      <w:marRight w:val="0"/>
      <w:marTop w:val="0"/>
      <w:marBottom w:val="0"/>
      <w:divBdr>
        <w:top w:val="none" w:sz="0" w:space="0" w:color="auto"/>
        <w:left w:val="none" w:sz="0" w:space="0" w:color="auto"/>
        <w:bottom w:val="none" w:sz="0" w:space="0" w:color="auto"/>
        <w:right w:val="none" w:sz="0" w:space="0" w:color="auto"/>
      </w:divBdr>
    </w:div>
    <w:div w:id="1909606647">
      <w:marLeft w:val="0"/>
      <w:marRight w:val="0"/>
      <w:marTop w:val="0"/>
      <w:marBottom w:val="0"/>
      <w:divBdr>
        <w:top w:val="none" w:sz="0" w:space="0" w:color="auto"/>
        <w:left w:val="none" w:sz="0" w:space="0" w:color="auto"/>
        <w:bottom w:val="none" w:sz="0" w:space="0" w:color="auto"/>
        <w:right w:val="none" w:sz="0" w:space="0" w:color="auto"/>
      </w:divBdr>
    </w:div>
    <w:div w:id="1909606648">
      <w:marLeft w:val="0"/>
      <w:marRight w:val="0"/>
      <w:marTop w:val="0"/>
      <w:marBottom w:val="0"/>
      <w:divBdr>
        <w:top w:val="none" w:sz="0" w:space="0" w:color="auto"/>
        <w:left w:val="none" w:sz="0" w:space="0" w:color="auto"/>
        <w:bottom w:val="none" w:sz="0" w:space="0" w:color="auto"/>
        <w:right w:val="none" w:sz="0" w:space="0" w:color="auto"/>
      </w:divBdr>
    </w:div>
    <w:div w:id="1909606649">
      <w:marLeft w:val="0"/>
      <w:marRight w:val="0"/>
      <w:marTop w:val="0"/>
      <w:marBottom w:val="0"/>
      <w:divBdr>
        <w:top w:val="none" w:sz="0" w:space="0" w:color="auto"/>
        <w:left w:val="none" w:sz="0" w:space="0" w:color="auto"/>
        <w:bottom w:val="none" w:sz="0" w:space="0" w:color="auto"/>
        <w:right w:val="none" w:sz="0" w:space="0" w:color="auto"/>
      </w:divBdr>
    </w:div>
    <w:div w:id="1909606650">
      <w:marLeft w:val="0"/>
      <w:marRight w:val="0"/>
      <w:marTop w:val="0"/>
      <w:marBottom w:val="0"/>
      <w:divBdr>
        <w:top w:val="none" w:sz="0" w:space="0" w:color="auto"/>
        <w:left w:val="none" w:sz="0" w:space="0" w:color="auto"/>
        <w:bottom w:val="none" w:sz="0" w:space="0" w:color="auto"/>
        <w:right w:val="none" w:sz="0" w:space="0" w:color="auto"/>
      </w:divBdr>
    </w:div>
    <w:div w:id="1909606651">
      <w:marLeft w:val="0"/>
      <w:marRight w:val="0"/>
      <w:marTop w:val="0"/>
      <w:marBottom w:val="0"/>
      <w:divBdr>
        <w:top w:val="none" w:sz="0" w:space="0" w:color="auto"/>
        <w:left w:val="none" w:sz="0" w:space="0" w:color="auto"/>
        <w:bottom w:val="none" w:sz="0" w:space="0" w:color="auto"/>
        <w:right w:val="none" w:sz="0" w:space="0" w:color="auto"/>
      </w:divBdr>
    </w:div>
    <w:div w:id="1909606652">
      <w:marLeft w:val="0"/>
      <w:marRight w:val="0"/>
      <w:marTop w:val="0"/>
      <w:marBottom w:val="0"/>
      <w:divBdr>
        <w:top w:val="none" w:sz="0" w:space="0" w:color="auto"/>
        <w:left w:val="none" w:sz="0" w:space="0" w:color="auto"/>
        <w:bottom w:val="none" w:sz="0" w:space="0" w:color="auto"/>
        <w:right w:val="none" w:sz="0" w:space="0" w:color="auto"/>
      </w:divBdr>
    </w:div>
    <w:div w:id="1909606653">
      <w:marLeft w:val="0"/>
      <w:marRight w:val="0"/>
      <w:marTop w:val="0"/>
      <w:marBottom w:val="0"/>
      <w:divBdr>
        <w:top w:val="none" w:sz="0" w:space="0" w:color="auto"/>
        <w:left w:val="none" w:sz="0" w:space="0" w:color="auto"/>
        <w:bottom w:val="none" w:sz="0" w:space="0" w:color="auto"/>
        <w:right w:val="none" w:sz="0" w:space="0" w:color="auto"/>
      </w:divBdr>
    </w:div>
    <w:div w:id="1909606654">
      <w:marLeft w:val="0"/>
      <w:marRight w:val="0"/>
      <w:marTop w:val="0"/>
      <w:marBottom w:val="0"/>
      <w:divBdr>
        <w:top w:val="none" w:sz="0" w:space="0" w:color="auto"/>
        <w:left w:val="none" w:sz="0" w:space="0" w:color="auto"/>
        <w:bottom w:val="none" w:sz="0" w:space="0" w:color="auto"/>
        <w:right w:val="none" w:sz="0" w:space="0" w:color="auto"/>
      </w:divBdr>
    </w:div>
    <w:div w:id="1909606655">
      <w:marLeft w:val="0"/>
      <w:marRight w:val="0"/>
      <w:marTop w:val="0"/>
      <w:marBottom w:val="0"/>
      <w:divBdr>
        <w:top w:val="none" w:sz="0" w:space="0" w:color="auto"/>
        <w:left w:val="none" w:sz="0" w:space="0" w:color="auto"/>
        <w:bottom w:val="none" w:sz="0" w:space="0" w:color="auto"/>
        <w:right w:val="none" w:sz="0" w:space="0" w:color="auto"/>
      </w:divBdr>
    </w:div>
    <w:div w:id="1909606656">
      <w:marLeft w:val="0"/>
      <w:marRight w:val="0"/>
      <w:marTop w:val="0"/>
      <w:marBottom w:val="0"/>
      <w:divBdr>
        <w:top w:val="none" w:sz="0" w:space="0" w:color="auto"/>
        <w:left w:val="none" w:sz="0" w:space="0" w:color="auto"/>
        <w:bottom w:val="none" w:sz="0" w:space="0" w:color="auto"/>
        <w:right w:val="none" w:sz="0" w:space="0" w:color="auto"/>
      </w:divBdr>
    </w:div>
    <w:div w:id="1909606657">
      <w:marLeft w:val="0"/>
      <w:marRight w:val="0"/>
      <w:marTop w:val="0"/>
      <w:marBottom w:val="0"/>
      <w:divBdr>
        <w:top w:val="none" w:sz="0" w:space="0" w:color="auto"/>
        <w:left w:val="none" w:sz="0" w:space="0" w:color="auto"/>
        <w:bottom w:val="none" w:sz="0" w:space="0" w:color="auto"/>
        <w:right w:val="none" w:sz="0" w:space="0" w:color="auto"/>
      </w:divBdr>
    </w:div>
    <w:div w:id="1909606658">
      <w:marLeft w:val="0"/>
      <w:marRight w:val="0"/>
      <w:marTop w:val="0"/>
      <w:marBottom w:val="0"/>
      <w:divBdr>
        <w:top w:val="none" w:sz="0" w:space="0" w:color="auto"/>
        <w:left w:val="none" w:sz="0" w:space="0" w:color="auto"/>
        <w:bottom w:val="none" w:sz="0" w:space="0" w:color="auto"/>
        <w:right w:val="none" w:sz="0" w:space="0" w:color="auto"/>
      </w:divBdr>
    </w:div>
    <w:div w:id="1909606659">
      <w:marLeft w:val="0"/>
      <w:marRight w:val="0"/>
      <w:marTop w:val="0"/>
      <w:marBottom w:val="0"/>
      <w:divBdr>
        <w:top w:val="none" w:sz="0" w:space="0" w:color="auto"/>
        <w:left w:val="none" w:sz="0" w:space="0" w:color="auto"/>
        <w:bottom w:val="none" w:sz="0" w:space="0" w:color="auto"/>
        <w:right w:val="none" w:sz="0" w:space="0" w:color="auto"/>
      </w:divBdr>
    </w:div>
    <w:div w:id="1909606660">
      <w:marLeft w:val="0"/>
      <w:marRight w:val="0"/>
      <w:marTop w:val="0"/>
      <w:marBottom w:val="0"/>
      <w:divBdr>
        <w:top w:val="none" w:sz="0" w:space="0" w:color="auto"/>
        <w:left w:val="none" w:sz="0" w:space="0" w:color="auto"/>
        <w:bottom w:val="none" w:sz="0" w:space="0" w:color="auto"/>
        <w:right w:val="none" w:sz="0" w:space="0" w:color="auto"/>
      </w:divBdr>
    </w:div>
    <w:div w:id="1909606661">
      <w:marLeft w:val="0"/>
      <w:marRight w:val="0"/>
      <w:marTop w:val="0"/>
      <w:marBottom w:val="0"/>
      <w:divBdr>
        <w:top w:val="none" w:sz="0" w:space="0" w:color="auto"/>
        <w:left w:val="none" w:sz="0" w:space="0" w:color="auto"/>
        <w:bottom w:val="none" w:sz="0" w:space="0" w:color="auto"/>
        <w:right w:val="none" w:sz="0" w:space="0" w:color="auto"/>
      </w:divBdr>
    </w:div>
    <w:div w:id="1909606662">
      <w:marLeft w:val="0"/>
      <w:marRight w:val="0"/>
      <w:marTop w:val="0"/>
      <w:marBottom w:val="0"/>
      <w:divBdr>
        <w:top w:val="none" w:sz="0" w:space="0" w:color="auto"/>
        <w:left w:val="none" w:sz="0" w:space="0" w:color="auto"/>
        <w:bottom w:val="none" w:sz="0" w:space="0" w:color="auto"/>
        <w:right w:val="none" w:sz="0" w:space="0" w:color="auto"/>
      </w:divBdr>
    </w:div>
    <w:div w:id="1909606663">
      <w:marLeft w:val="0"/>
      <w:marRight w:val="0"/>
      <w:marTop w:val="0"/>
      <w:marBottom w:val="0"/>
      <w:divBdr>
        <w:top w:val="none" w:sz="0" w:space="0" w:color="auto"/>
        <w:left w:val="none" w:sz="0" w:space="0" w:color="auto"/>
        <w:bottom w:val="none" w:sz="0" w:space="0" w:color="auto"/>
        <w:right w:val="none" w:sz="0" w:space="0" w:color="auto"/>
      </w:divBdr>
    </w:div>
    <w:div w:id="1909606664">
      <w:marLeft w:val="0"/>
      <w:marRight w:val="0"/>
      <w:marTop w:val="0"/>
      <w:marBottom w:val="0"/>
      <w:divBdr>
        <w:top w:val="none" w:sz="0" w:space="0" w:color="auto"/>
        <w:left w:val="none" w:sz="0" w:space="0" w:color="auto"/>
        <w:bottom w:val="none" w:sz="0" w:space="0" w:color="auto"/>
        <w:right w:val="none" w:sz="0" w:space="0" w:color="auto"/>
      </w:divBdr>
    </w:div>
    <w:div w:id="190960666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emf"/><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chart" Target="charts/chart2.xml"/><Relationship Id="rId47" Type="http://schemas.openxmlformats.org/officeDocument/2006/relationships/image" Target="media/image33.png"/><Relationship Id="rId50" Type="http://schemas.openxmlformats.org/officeDocument/2006/relationships/chart" Target="charts/chart4.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4.emf"/><Relationship Id="rId33" Type="http://schemas.openxmlformats.org/officeDocument/2006/relationships/hyperlink" Target="https://www.ctu.cz/ctu-online/pruzkum-nga.html" TargetMode="External"/><Relationship Id="rId38" Type="http://schemas.openxmlformats.org/officeDocument/2006/relationships/image" Target="media/image26.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2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image" Target="media/image25.emf"/><Relationship Id="rId40" Type="http://schemas.openxmlformats.org/officeDocument/2006/relationships/image" Target="media/image28.png"/><Relationship Id="rId45" Type="http://schemas.openxmlformats.org/officeDocument/2006/relationships/image" Target="media/image31.png"/><Relationship Id="rId53"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emf"/><Relationship Id="rId49" Type="http://schemas.openxmlformats.org/officeDocument/2006/relationships/image" Target="media/image35.png"/><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omments" Target="comments.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chart" Target="charts/chart3.xml"/><Relationship Id="rId48"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chart" Target="charts/chart5.xm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seznam.cz/mapa-rychlosti-internetu" TargetMode="External"/><Relationship Id="rId2" Type="http://schemas.openxmlformats.org/officeDocument/2006/relationships/hyperlink" Target="https://www.ctu.cz/ctu-online/pruzkum-nga.html" TargetMode="External"/><Relationship Id="rId1" Type="http://schemas.openxmlformats.org/officeDocument/2006/relationships/hyperlink" Target="http://ec.europa.eu/regional_policy/thefunds/fin_inst/index_en.cfm" TargetMode="External"/><Relationship Id="rId6" Type="http://schemas.openxmlformats.org/officeDocument/2006/relationships/hyperlink" Target="https://is.muni.cz/th/172093/esf_m/diplomova_prace.pdf" TargetMode="External"/><Relationship Id="rId5" Type="http://schemas.openxmlformats.org/officeDocument/2006/relationships/hyperlink" Target="http://is.muni.cz/th/323053/esf_m/Diplomova_prace-Monika_Vyskovska.pdf" TargetMode="External"/><Relationship Id="rId4" Type="http://schemas.openxmlformats.org/officeDocument/2006/relationships/hyperlink" Target="http://www.rr-moravskoslezsko.cz/moznosti-financni-podpory/jessic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C:\001\MPO\model__MP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001\MPO\model__MP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001\MPO\model__MP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665833333333344"/>
          <c:y val="6.0633680555555639E-2"/>
          <c:w val="0.7748347222222226"/>
          <c:h val="0.60949869791666667"/>
        </c:manualLayout>
      </c:layout>
      <c:barChart>
        <c:barDir val="col"/>
        <c:grouping val="clustered"/>
        <c:varyColors val="0"/>
        <c:ser>
          <c:idx val="0"/>
          <c:order val="0"/>
          <c:tx>
            <c:strRef>
              <c:f>investice!$A$4</c:f>
              <c:strCache>
                <c:ptCount val="1"/>
                <c:pt idx="0">
                  <c:v>Investice MSP (v mil. Kč)</c:v>
                </c:pt>
              </c:strCache>
            </c:strRef>
          </c:tx>
          <c:spPr>
            <a:solidFill>
              <a:schemeClr val="accent6">
                <a:lumMod val="75000"/>
              </a:schemeClr>
            </a:solidFill>
            <a:ln>
              <a:solidFill>
                <a:schemeClr val="accent6">
                  <a:lumMod val="50000"/>
                </a:schemeClr>
              </a:solidFill>
            </a:ln>
          </c:spPr>
          <c:invertIfNegative val="0"/>
          <c:dLbls>
            <c:spPr>
              <a:noFill/>
              <a:ln w="25386">
                <a:noFill/>
              </a:ln>
            </c:spPr>
            <c:txPr>
              <a:bodyPr rot="-5400000" vert="horz"/>
              <a:lstStyle/>
              <a:p>
                <a:pPr>
                  <a:defRPr/>
                </a:pPr>
                <a:endParaRPr lang="cs-CZ"/>
              </a:p>
            </c:txPr>
            <c:dLblPos val="ctr"/>
            <c:showLegendKey val="0"/>
            <c:showVal val="1"/>
            <c:showCatName val="0"/>
            <c:showSerName val="0"/>
            <c:showPercent val="0"/>
            <c:showBubbleSize val="0"/>
            <c:showLeaderLines val="0"/>
          </c:dLbls>
          <c:cat>
            <c:numRef>
              <c:f>investice!$B$3:$F$3</c:f>
              <c:numCache>
                <c:formatCode>General</c:formatCode>
                <c:ptCount val="5"/>
                <c:pt idx="0">
                  <c:v>2009</c:v>
                </c:pt>
                <c:pt idx="1">
                  <c:v>2010</c:v>
                </c:pt>
                <c:pt idx="2">
                  <c:v>2011</c:v>
                </c:pt>
                <c:pt idx="3">
                  <c:v>2012</c:v>
                </c:pt>
                <c:pt idx="4">
                  <c:v>2013</c:v>
                </c:pt>
              </c:numCache>
            </c:numRef>
          </c:cat>
          <c:val>
            <c:numRef>
              <c:f>investice!$B$4:$F$4</c:f>
              <c:numCache>
                <c:formatCode>#,##0</c:formatCode>
                <c:ptCount val="5"/>
                <c:pt idx="0">
                  <c:v>393595</c:v>
                </c:pt>
                <c:pt idx="1">
                  <c:v>386851</c:v>
                </c:pt>
                <c:pt idx="2">
                  <c:v>380212</c:v>
                </c:pt>
                <c:pt idx="3">
                  <c:v>353123</c:v>
                </c:pt>
                <c:pt idx="4">
                  <c:v>321385</c:v>
                </c:pt>
              </c:numCache>
            </c:numRef>
          </c:val>
        </c:ser>
        <c:dLbls>
          <c:showLegendKey val="0"/>
          <c:showVal val="0"/>
          <c:showCatName val="0"/>
          <c:showSerName val="0"/>
          <c:showPercent val="0"/>
          <c:showBubbleSize val="0"/>
        </c:dLbls>
        <c:gapWidth val="70"/>
        <c:axId val="124811520"/>
        <c:axId val="159933952"/>
      </c:barChart>
      <c:lineChart>
        <c:grouping val="standard"/>
        <c:varyColors val="0"/>
        <c:ser>
          <c:idx val="1"/>
          <c:order val="1"/>
          <c:tx>
            <c:strRef>
              <c:f>investice!$A$5</c:f>
              <c:strCache>
                <c:ptCount val="1"/>
                <c:pt idx="0">
                  <c:v>Investice celkem bez ohledu na velikost subjektu (v mil. Kč)</c:v>
                </c:pt>
              </c:strCache>
            </c:strRef>
          </c:tx>
          <c:spPr>
            <a:ln>
              <a:solidFill>
                <a:schemeClr val="accent6">
                  <a:lumMod val="50000"/>
                </a:schemeClr>
              </a:solidFill>
            </a:ln>
          </c:spPr>
          <c:marker>
            <c:spPr>
              <a:solidFill>
                <a:schemeClr val="accent6">
                  <a:lumMod val="50000"/>
                </a:schemeClr>
              </a:solidFill>
              <a:ln>
                <a:solidFill>
                  <a:schemeClr val="accent6">
                    <a:lumMod val="50000"/>
                  </a:schemeClr>
                </a:solidFill>
              </a:ln>
            </c:spPr>
          </c:marker>
          <c:dLbls>
            <c:spPr>
              <a:noFill/>
              <a:ln w="25386">
                <a:noFill/>
              </a:ln>
            </c:spPr>
            <c:dLblPos val="b"/>
            <c:showLegendKey val="0"/>
            <c:showVal val="1"/>
            <c:showCatName val="0"/>
            <c:showSerName val="0"/>
            <c:showPercent val="0"/>
            <c:showBubbleSize val="0"/>
            <c:showLeaderLines val="0"/>
          </c:dLbls>
          <c:cat>
            <c:numRef>
              <c:f>investice!$B$3:$F$3</c:f>
              <c:numCache>
                <c:formatCode>General</c:formatCode>
                <c:ptCount val="5"/>
                <c:pt idx="0">
                  <c:v>2009</c:v>
                </c:pt>
                <c:pt idx="1">
                  <c:v>2010</c:v>
                </c:pt>
                <c:pt idx="2">
                  <c:v>2011</c:v>
                </c:pt>
                <c:pt idx="3">
                  <c:v>2012</c:v>
                </c:pt>
                <c:pt idx="4">
                  <c:v>2013</c:v>
                </c:pt>
              </c:numCache>
            </c:numRef>
          </c:cat>
          <c:val>
            <c:numRef>
              <c:f>investice!$B$5:$F$5</c:f>
              <c:numCache>
                <c:formatCode>#,##0</c:formatCode>
                <c:ptCount val="5"/>
                <c:pt idx="0">
                  <c:v>644467</c:v>
                </c:pt>
                <c:pt idx="1">
                  <c:v>607265</c:v>
                </c:pt>
                <c:pt idx="2">
                  <c:v>635223</c:v>
                </c:pt>
                <c:pt idx="3">
                  <c:v>624845</c:v>
                </c:pt>
                <c:pt idx="4">
                  <c:v>581755</c:v>
                </c:pt>
              </c:numCache>
            </c:numRef>
          </c:val>
          <c:smooth val="0"/>
        </c:ser>
        <c:dLbls>
          <c:showLegendKey val="0"/>
          <c:showVal val="0"/>
          <c:showCatName val="0"/>
          <c:showSerName val="0"/>
          <c:showPercent val="0"/>
          <c:showBubbleSize val="0"/>
        </c:dLbls>
        <c:marker val="1"/>
        <c:smooth val="0"/>
        <c:axId val="124811520"/>
        <c:axId val="159933952"/>
      </c:lineChart>
      <c:catAx>
        <c:axId val="124811520"/>
        <c:scaling>
          <c:orientation val="minMax"/>
        </c:scaling>
        <c:delete val="0"/>
        <c:axPos val="b"/>
        <c:numFmt formatCode="General" sourceLinked="1"/>
        <c:majorTickMark val="out"/>
        <c:minorTickMark val="none"/>
        <c:tickLblPos val="nextTo"/>
        <c:crossAx val="159933952"/>
        <c:crosses val="autoZero"/>
        <c:auto val="1"/>
        <c:lblAlgn val="ctr"/>
        <c:lblOffset val="100"/>
        <c:noMultiLvlLbl val="0"/>
      </c:catAx>
      <c:valAx>
        <c:axId val="159933952"/>
        <c:scaling>
          <c:orientation val="minMax"/>
        </c:scaling>
        <c:delete val="0"/>
        <c:axPos val="l"/>
        <c:majorGridlines/>
        <c:numFmt formatCode="#,##0" sourceLinked="1"/>
        <c:majorTickMark val="out"/>
        <c:minorTickMark val="none"/>
        <c:tickLblPos val="nextTo"/>
        <c:crossAx val="124811520"/>
        <c:crosses val="autoZero"/>
        <c:crossBetween val="between"/>
      </c:valAx>
    </c:plotArea>
    <c:legend>
      <c:legendPos val="r"/>
      <c:layout>
        <c:manualLayout>
          <c:xMode val="edge"/>
          <c:yMode val="edge"/>
          <c:x val="0"/>
          <c:y val="0.7098445595854922"/>
          <c:w val="0.9358974358974359"/>
          <c:h val="0.29533678756476683"/>
        </c:manualLayout>
      </c:layout>
      <c:overlay val="0"/>
    </c:legend>
    <c:plotVisOnly val="1"/>
    <c:dispBlanksAs val="gap"/>
    <c:showDLblsOverMax val="0"/>
  </c:chart>
  <c:spPr>
    <a:ln>
      <a:noFill/>
    </a:ln>
  </c:spPr>
  <c:txPr>
    <a:bodyPr/>
    <a:lstStyle/>
    <a:p>
      <a:pPr>
        <a:defRPr sz="785"/>
      </a:pPr>
      <a:endParaRPr lang="cs-CZ"/>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cs-CZ" b="1">
                <a:solidFill>
                  <a:schemeClr val="tx1"/>
                </a:solidFill>
              </a:rPr>
              <a:t>Úvěry</a:t>
            </a:r>
            <a:r>
              <a:rPr lang="cs-CZ" b="1" baseline="0">
                <a:solidFill>
                  <a:schemeClr val="tx1"/>
                </a:solidFill>
              </a:rPr>
              <a:t> MSP</a:t>
            </a:r>
            <a:endParaRPr lang="cs-CZ" b="1">
              <a:solidFill>
                <a:schemeClr val="tx1"/>
              </a:solidFill>
            </a:endParaRPr>
          </a:p>
        </c:rich>
      </c:tx>
      <c:layout/>
      <c:overlay val="0"/>
      <c:spPr>
        <a:noFill/>
        <a:ln>
          <a:noFill/>
        </a:ln>
        <a:effectLst/>
      </c:spPr>
    </c:title>
    <c:autoTitleDeleted val="0"/>
    <c:plotArea>
      <c:layout/>
      <c:barChart>
        <c:barDir val="col"/>
        <c:grouping val="clustered"/>
        <c:varyColors val="0"/>
        <c:ser>
          <c:idx val="0"/>
          <c:order val="0"/>
          <c:tx>
            <c:strRef>
              <c:f>'Úvěry MSP'!$A$113:$D$113</c:f>
              <c:strCache>
                <c:ptCount val="4"/>
                <c:pt idx="0">
                  <c:v>Primární investiční pool</c:v>
                </c:pt>
              </c:strCache>
            </c:strRef>
          </c:tx>
          <c:spPr>
            <a:solidFill>
              <a:schemeClr val="accent1"/>
            </a:solidFill>
            <a:ln>
              <a:noFill/>
            </a:ln>
            <a:effectLst/>
          </c:spPr>
          <c:invertIfNegative val="0"/>
          <c:cat>
            <c:numRef>
              <c:f>'Úvěry MSP'!$E$112:$V$112</c:f>
              <c:numCache>
                <c:formatCode>General</c:formatCode>
                <c:ptCount val="18"/>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numCache>
            </c:numRef>
          </c:cat>
          <c:val>
            <c:numRef>
              <c:f>'Úvěry MSP'!$E$113:$V$113</c:f>
              <c:numCache>
                <c:formatCode>#,##0</c:formatCode>
                <c:ptCount val="18"/>
                <c:pt idx="0">
                  <c:v>3290.9114260000001</c:v>
                </c:pt>
                <c:pt idx="1">
                  <c:v>2468.1835695</c:v>
                </c:pt>
                <c:pt idx="2">
                  <c:v>1645.4557130000001</c:v>
                </c:pt>
                <c:pt idx="3">
                  <c:v>822.72785650000014</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val>
        </c:ser>
        <c:ser>
          <c:idx val="1"/>
          <c:order val="1"/>
          <c:tx>
            <c:strRef>
              <c:f>'Úvěry MSP'!$A$114:$D$114</c:f>
              <c:strCache>
                <c:ptCount val="4"/>
                <c:pt idx="0">
                  <c:v>Sekundární investice - revolving primárních investic</c:v>
                </c:pt>
              </c:strCache>
            </c:strRef>
          </c:tx>
          <c:spPr>
            <a:solidFill>
              <a:schemeClr val="accent2"/>
            </a:solidFill>
            <a:ln>
              <a:noFill/>
            </a:ln>
            <a:effectLst/>
          </c:spPr>
          <c:invertIfNegative val="0"/>
          <c:cat>
            <c:numRef>
              <c:f>'Úvěry MSP'!$E$112:$V$112</c:f>
              <c:numCache>
                <c:formatCode>General</c:formatCode>
                <c:ptCount val="18"/>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numCache>
            </c:numRef>
          </c:cat>
          <c:val>
            <c:numRef>
              <c:f>'Úvěry MSP'!$E$114:$V$114</c:f>
              <c:numCache>
                <c:formatCode>General</c:formatCode>
                <c:ptCount val="18"/>
                <c:pt idx="4" formatCode="#,##0">
                  <c:v>2057.8606905209231</c:v>
                </c:pt>
                <c:pt idx="5" formatCode="#,##0">
                  <c:v>1291.3136548442337</c:v>
                </c:pt>
                <c:pt idx="6" formatCode="#,##0">
                  <c:v>905.42912086801982</c:v>
                </c:pt>
                <c:pt idx="7" formatCode="#,##0">
                  <c:v>476.58540156730822</c:v>
                </c:pt>
              </c:numCache>
            </c:numRef>
          </c:val>
        </c:ser>
        <c:dLbls>
          <c:showLegendKey val="0"/>
          <c:showVal val="0"/>
          <c:showCatName val="0"/>
          <c:showSerName val="0"/>
          <c:showPercent val="0"/>
          <c:showBubbleSize val="0"/>
        </c:dLbls>
        <c:gapWidth val="150"/>
        <c:axId val="165246080"/>
        <c:axId val="165247616"/>
      </c:barChart>
      <c:lineChart>
        <c:grouping val="standard"/>
        <c:varyColors val="0"/>
        <c:ser>
          <c:idx val="2"/>
          <c:order val="2"/>
          <c:tx>
            <c:strRef>
              <c:f>'Úvěry MSP'!$A$116:$D$116</c:f>
              <c:strCache>
                <c:ptCount val="4"/>
                <c:pt idx="0">
                  <c:v>Zdroje OP PIK pro druhý cyklus</c:v>
                </c:pt>
              </c:strCache>
            </c:strRef>
          </c:tx>
          <c:spPr>
            <a:ln w="28575" cap="rnd">
              <a:solidFill>
                <a:schemeClr val="accent3"/>
              </a:solidFill>
              <a:round/>
            </a:ln>
            <a:effectLst/>
          </c:spPr>
          <c:marker>
            <c:symbol val="none"/>
          </c:marker>
          <c:cat>
            <c:numRef>
              <c:f>'Úvěry MSP'!$E$112:$V$112</c:f>
              <c:numCache>
                <c:formatCode>General</c:formatCode>
                <c:ptCount val="18"/>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numCache>
            </c:numRef>
          </c:cat>
          <c:val>
            <c:numRef>
              <c:f>'Úvěry MSP'!$E$116:$V$116</c:f>
              <c:numCache>
                <c:formatCode>#,##0</c:formatCode>
                <c:ptCount val="18"/>
                <c:pt idx="0">
                  <c:v>0</c:v>
                </c:pt>
                <c:pt idx="1">
                  <c:v>75.136878512219312</c:v>
                </c:pt>
                <c:pt idx="2">
                  <c:v>226.91337310690233</c:v>
                </c:pt>
                <c:pt idx="3">
                  <c:v>456.8622761056983</c:v>
                </c:pt>
                <c:pt idx="4">
                  <c:v>766.54703567668957</c:v>
                </c:pt>
                <c:pt idx="5">
                  <c:v>385.88453397621419</c:v>
                </c:pt>
                <c:pt idx="6">
                  <c:v>428.84371930071183</c:v>
                </c:pt>
                <c:pt idx="7">
                  <c:v>476.58540156730845</c:v>
                </c:pt>
                <c:pt idx="8">
                  <c:v>529.64199955509434</c:v>
                </c:pt>
                <c:pt idx="9">
                  <c:v>1069.8768391012904</c:v>
                </c:pt>
                <c:pt idx="10">
                  <c:v>1620.9163754384103</c:v>
                </c:pt>
                <c:pt idx="11">
                  <c:v>2091.3852668600534</c:v>
                </c:pt>
                <c:pt idx="12">
                  <c:v>2479.6721004679102</c:v>
                </c:pt>
                <c:pt idx="13">
                  <c:v>2784.1332351057044</c:v>
                </c:pt>
                <c:pt idx="14">
                  <c:v>3003.0921567940354</c:v>
                </c:pt>
                <c:pt idx="15">
                  <c:v>3141.0932369887964</c:v>
                </c:pt>
                <c:pt idx="16">
                  <c:v>3238.895153462955</c:v>
                </c:pt>
                <c:pt idx="17">
                  <c:v>3290.9114260000001</c:v>
                </c:pt>
              </c:numCache>
            </c:numRef>
          </c:val>
          <c:smooth val="0"/>
        </c:ser>
        <c:dLbls>
          <c:showLegendKey val="0"/>
          <c:showVal val="0"/>
          <c:showCatName val="0"/>
          <c:showSerName val="0"/>
          <c:showPercent val="0"/>
          <c:showBubbleSize val="0"/>
        </c:dLbls>
        <c:marker val="1"/>
        <c:smooth val="0"/>
        <c:axId val="165246080"/>
        <c:axId val="165247616"/>
      </c:lineChart>
      <c:catAx>
        <c:axId val="165246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5247616"/>
        <c:crosses val="autoZero"/>
        <c:auto val="1"/>
        <c:lblAlgn val="ctr"/>
        <c:lblOffset val="100"/>
        <c:noMultiLvlLbl val="0"/>
      </c:catAx>
      <c:valAx>
        <c:axId val="1652476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5246080"/>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cs-CZ" b="1">
                <a:solidFill>
                  <a:schemeClr val="tx1"/>
                </a:solidFill>
              </a:rPr>
              <a:t>Úvěry</a:t>
            </a:r>
            <a:r>
              <a:rPr lang="cs-CZ" b="1" baseline="0">
                <a:solidFill>
                  <a:schemeClr val="tx1"/>
                </a:solidFill>
              </a:rPr>
              <a:t> MSP</a:t>
            </a:r>
            <a:endParaRPr lang="cs-CZ" b="1">
              <a:solidFill>
                <a:schemeClr val="tx1"/>
              </a:solidFill>
            </a:endParaRPr>
          </a:p>
        </c:rich>
      </c:tx>
      <c:layout/>
      <c:overlay val="0"/>
      <c:spPr>
        <a:noFill/>
        <a:ln>
          <a:noFill/>
        </a:ln>
        <a:effectLst/>
      </c:spPr>
    </c:title>
    <c:autoTitleDeleted val="0"/>
    <c:plotArea>
      <c:layout/>
      <c:barChart>
        <c:barDir val="col"/>
        <c:grouping val="clustered"/>
        <c:varyColors val="0"/>
        <c:ser>
          <c:idx val="0"/>
          <c:order val="0"/>
          <c:tx>
            <c:strRef>
              <c:f>'Úvěry MSP RIZIKO'!$A$114:$D$114</c:f>
              <c:strCache>
                <c:ptCount val="4"/>
                <c:pt idx="0">
                  <c:v>Primární investiční pool</c:v>
                </c:pt>
              </c:strCache>
            </c:strRef>
          </c:tx>
          <c:spPr>
            <a:solidFill>
              <a:schemeClr val="accent1"/>
            </a:solidFill>
            <a:ln>
              <a:noFill/>
            </a:ln>
            <a:effectLst/>
          </c:spPr>
          <c:invertIfNegative val="0"/>
          <c:cat>
            <c:numRef>
              <c:f>'Úvěry MSP RIZIKO'!$E$113:$V$113</c:f>
              <c:numCache>
                <c:formatCode>General</c:formatCode>
                <c:ptCount val="18"/>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numCache>
            </c:numRef>
          </c:cat>
          <c:val>
            <c:numRef>
              <c:f>'Úvěry MSP RIZIKO'!$E$114:$V$114</c:f>
              <c:numCache>
                <c:formatCode>#,##0</c:formatCode>
                <c:ptCount val="18"/>
                <c:pt idx="0">
                  <c:v>3290.9114260000001</c:v>
                </c:pt>
                <c:pt idx="1">
                  <c:v>2468.1835695</c:v>
                </c:pt>
                <c:pt idx="2">
                  <c:v>1645.4557130000001</c:v>
                </c:pt>
                <c:pt idx="3">
                  <c:v>822.72785650000014</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val>
        </c:ser>
        <c:ser>
          <c:idx val="1"/>
          <c:order val="1"/>
          <c:tx>
            <c:strRef>
              <c:f>'Úvěry MSP RIZIKO'!$A$115:$D$115</c:f>
              <c:strCache>
                <c:ptCount val="4"/>
                <c:pt idx="0">
                  <c:v>Sekundární investice - revolving primárních investic</c:v>
                </c:pt>
              </c:strCache>
            </c:strRef>
          </c:tx>
          <c:spPr>
            <a:solidFill>
              <a:schemeClr val="accent2"/>
            </a:solidFill>
            <a:ln>
              <a:noFill/>
            </a:ln>
            <a:effectLst/>
          </c:spPr>
          <c:invertIfNegative val="0"/>
          <c:cat>
            <c:numRef>
              <c:f>'Úvěry MSP RIZIKO'!$E$113:$V$113</c:f>
              <c:numCache>
                <c:formatCode>General</c:formatCode>
                <c:ptCount val="18"/>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numCache>
            </c:numRef>
          </c:cat>
          <c:val>
            <c:numRef>
              <c:f>'Úvěry MSP RIZIKO'!$E$115:$V$115</c:f>
              <c:numCache>
                <c:formatCode>General</c:formatCode>
                <c:ptCount val="18"/>
                <c:pt idx="4" formatCode="#,##0">
                  <c:v>1591.3931147683275</c:v>
                </c:pt>
                <c:pt idx="5" formatCode="#,##0">
                  <c:v>978.15548622697634</c:v>
                </c:pt>
                <c:pt idx="6" formatCode="#,##0">
                  <c:v>680.64883172021382</c:v>
                </c:pt>
                <c:pt idx="7" formatCode="#,##0">
                  <c:v>355.45584430497269</c:v>
                </c:pt>
              </c:numCache>
            </c:numRef>
          </c:val>
        </c:ser>
        <c:dLbls>
          <c:showLegendKey val="0"/>
          <c:showVal val="0"/>
          <c:showCatName val="0"/>
          <c:showSerName val="0"/>
          <c:showPercent val="0"/>
          <c:showBubbleSize val="0"/>
        </c:dLbls>
        <c:gapWidth val="150"/>
        <c:axId val="171672320"/>
        <c:axId val="171673856"/>
      </c:barChart>
      <c:lineChart>
        <c:grouping val="standard"/>
        <c:varyColors val="0"/>
        <c:ser>
          <c:idx val="2"/>
          <c:order val="2"/>
          <c:tx>
            <c:strRef>
              <c:f>'Úvěry MSP RIZIKO'!$A$117:$D$117</c:f>
              <c:strCache>
                <c:ptCount val="4"/>
                <c:pt idx="0">
                  <c:v>Zdroje OP PIK pro druhý cyklus</c:v>
                </c:pt>
              </c:strCache>
            </c:strRef>
          </c:tx>
          <c:spPr>
            <a:ln w="28575" cap="rnd">
              <a:solidFill>
                <a:schemeClr val="accent3"/>
              </a:solidFill>
              <a:round/>
            </a:ln>
            <a:effectLst/>
          </c:spPr>
          <c:marker>
            <c:symbol val="none"/>
          </c:marker>
          <c:cat>
            <c:numRef>
              <c:f>'Úvěry MSP RIZIKO'!$E$113:$V$113</c:f>
              <c:numCache>
                <c:formatCode>General</c:formatCode>
                <c:ptCount val="18"/>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numCache>
            </c:numRef>
          </c:cat>
          <c:val>
            <c:numRef>
              <c:f>'Úvěry MSP RIZIKO'!$E$117:$V$117</c:f>
              <c:numCache>
                <c:formatCode>#,##0</c:formatCode>
                <c:ptCount val="18"/>
                <c:pt idx="0">
                  <c:v>0</c:v>
                </c:pt>
                <c:pt idx="1">
                  <c:v>60.109502809775456</c:v>
                </c:pt>
                <c:pt idx="2">
                  <c:v>181.53069848552187</c:v>
                </c:pt>
                <c:pt idx="3">
                  <c:v>365.48982088455864</c:v>
                </c:pt>
                <c:pt idx="4">
                  <c:v>613.23762854135157</c:v>
                </c:pt>
                <c:pt idx="5">
                  <c:v>297.50665450676331</c:v>
                </c:pt>
                <c:pt idx="6">
                  <c:v>325.19298741524176</c:v>
                </c:pt>
                <c:pt idx="7">
                  <c:v>355.45584430497337</c:v>
                </c:pt>
                <c:pt idx="8">
                  <c:v>388.53499964691895</c:v>
                </c:pt>
                <c:pt idx="9">
                  <c:v>784.84069928677559</c:v>
                </c:pt>
                <c:pt idx="10">
                  <c:v>1189.0725129194293</c:v>
                </c:pt>
                <c:pt idx="11">
                  <c:v>1528.1158143109608</c:v>
                </c:pt>
                <c:pt idx="12">
                  <c:v>1800.6668332165473</c:v>
                </c:pt>
                <c:pt idx="13">
                  <c:v>2005.3957239864701</c:v>
                </c:pt>
                <c:pt idx="14">
                  <c:v>2140.946044058016</c:v>
                </c:pt>
                <c:pt idx="15">
                  <c:v>2224.5916777774974</c:v>
                </c:pt>
                <c:pt idx="16">
                  <c:v>2283.4139178809169</c:v>
                </c:pt>
                <c:pt idx="17">
                  <c:v>2314.4505178463342</c:v>
                </c:pt>
              </c:numCache>
            </c:numRef>
          </c:val>
          <c:smooth val="0"/>
        </c:ser>
        <c:dLbls>
          <c:showLegendKey val="0"/>
          <c:showVal val="0"/>
          <c:showCatName val="0"/>
          <c:showSerName val="0"/>
          <c:showPercent val="0"/>
          <c:showBubbleSize val="0"/>
        </c:dLbls>
        <c:marker val="1"/>
        <c:smooth val="0"/>
        <c:axId val="171672320"/>
        <c:axId val="171673856"/>
      </c:lineChart>
      <c:catAx>
        <c:axId val="171672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71673856"/>
        <c:crosses val="autoZero"/>
        <c:auto val="1"/>
        <c:lblAlgn val="ctr"/>
        <c:lblOffset val="100"/>
        <c:noMultiLvlLbl val="0"/>
      </c:catAx>
      <c:valAx>
        <c:axId val="171673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71672320"/>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cs-CZ" b="1">
                <a:solidFill>
                  <a:schemeClr val="tx1"/>
                </a:solidFill>
              </a:rPr>
              <a:t>Úvěry Energie</a:t>
            </a:r>
          </a:p>
        </c:rich>
      </c:tx>
      <c:layout/>
      <c:overlay val="0"/>
      <c:spPr>
        <a:noFill/>
        <a:ln>
          <a:noFill/>
        </a:ln>
        <a:effectLst/>
      </c:spPr>
    </c:title>
    <c:autoTitleDeleted val="0"/>
    <c:plotArea>
      <c:layout/>
      <c:barChart>
        <c:barDir val="col"/>
        <c:grouping val="clustered"/>
        <c:varyColors val="0"/>
        <c:ser>
          <c:idx val="0"/>
          <c:order val="0"/>
          <c:tx>
            <c:strRef>
              <c:f>'Úvěry Energie'!$A$113:$D$113</c:f>
              <c:strCache>
                <c:ptCount val="4"/>
                <c:pt idx="0">
                  <c:v>Primární investiční pool</c:v>
                </c:pt>
              </c:strCache>
            </c:strRef>
          </c:tx>
          <c:spPr>
            <a:solidFill>
              <a:schemeClr val="accent1"/>
            </a:solidFill>
            <a:ln>
              <a:noFill/>
            </a:ln>
            <a:effectLst/>
          </c:spPr>
          <c:invertIfNegative val="0"/>
          <c:cat>
            <c:numRef>
              <c:f>'Úvěry Energie'!$E$112:$T$112</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'Úvěry Energie'!$E$113:$T$113</c:f>
              <c:numCache>
                <c:formatCode>#,##0</c:formatCode>
                <c:ptCount val="16"/>
                <c:pt idx="0">
                  <c:v>6044.61</c:v>
                </c:pt>
                <c:pt idx="1">
                  <c:v>4533.4574999999995</c:v>
                </c:pt>
                <c:pt idx="2">
                  <c:v>3022.3049999999994</c:v>
                </c:pt>
                <c:pt idx="3">
                  <c:v>1511.1524999999995</c:v>
                </c:pt>
                <c:pt idx="4">
                  <c:v>0</c:v>
                </c:pt>
                <c:pt idx="5">
                  <c:v>0</c:v>
                </c:pt>
                <c:pt idx="6">
                  <c:v>0</c:v>
                </c:pt>
                <c:pt idx="7">
                  <c:v>0</c:v>
                </c:pt>
                <c:pt idx="8">
                  <c:v>0</c:v>
                </c:pt>
                <c:pt idx="9">
                  <c:v>0</c:v>
                </c:pt>
                <c:pt idx="10">
                  <c:v>0</c:v>
                </c:pt>
                <c:pt idx="11">
                  <c:v>0</c:v>
                </c:pt>
                <c:pt idx="12">
                  <c:v>0</c:v>
                </c:pt>
                <c:pt idx="13">
                  <c:v>0</c:v>
                </c:pt>
                <c:pt idx="14">
                  <c:v>0</c:v>
                </c:pt>
                <c:pt idx="15">
                  <c:v>0</c:v>
                </c:pt>
              </c:numCache>
            </c:numRef>
          </c:val>
        </c:ser>
        <c:ser>
          <c:idx val="1"/>
          <c:order val="1"/>
          <c:tx>
            <c:strRef>
              <c:f>'Úvěry Energie'!$A$114:$D$114</c:f>
              <c:strCache>
                <c:ptCount val="4"/>
                <c:pt idx="0">
                  <c:v>Sekundární investice - revolving primárních investic</c:v>
                </c:pt>
              </c:strCache>
            </c:strRef>
          </c:tx>
          <c:spPr>
            <a:solidFill>
              <a:schemeClr val="accent2"/>
            </a:solidFill>
            <a:ln>
              <a:noFill/>
            </a:ln>
            <a:effectLst/>
          </c:spPr>
          <c:invertIfNegative val="0"/>
          <c:cat>
            <c:numRef>
              <c:f>'Úvěry Energie'!$E$112:$T$112</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'Úvěry Energie'!$E$114:$T$114</c:f>
              <c:numCache>
                <c:formatCode>General</c:formatCode>
                <c:ptCount val="16"/>
                <c:pt idx="4" formatCode="#,##0">
                  <c:v>5008.2008674415638</c:v>
                </c:pt>
                <c:pt idx="5" formatCode="#,##0">
                  <c:v>3497.0483674415641</c:v>
                </c:pt>
                <c:pt idx="6" formatCode="#,##0">
                  <c:v>2295.7492605238936</c:v>
                </c:pt>
                <c:pt idx="7" formatCode="#,##0">
                  <c:v>1221.2167395615775</c:v>
                </c:pt>
              </c:numCache>
            </c:numRef>
          </c:val>
        </c:ser>
        <c:dLbls>
          <c:showLegendKey val="0"/>
          <c:showVal val="0"/>
          <c:showCatName val="0"/>
          <c:showSerName val="0"/>
          <c:showPercent val="0"/>
          <c:showBubbleSize val="0"/>
        </c:dLbls>
        <c:gapWidth val="150"/>
        <c:axId val="173591936"/>
        <c:axId val="139617408"/>
      </c:barChart>
      <c:lineChart>
        <c:grouping val="standard"/>
        <c:varyColors val="0"/>
        <c:ser>
          <c:idx val="2"/>
          <c:order val="2"/>
          <c:tx>
            <c:strRef>
              <c:f>'Úvěry Energie'!$A$116:$D$116</c:f>
              <c:strCache>
                <c:ptCount val="4"/>
                <c:pt idx="0">
                  <c:v>Zdroje OP PIK pro druhý cyklus</c:v>
                </c:pt>
              </c:strCache>
            </c:strRef>
          </c:tx>
          <c:spPr>
            <a:ln w="28575" cap="rnd">
              <a:solidFill>
                <a:schemeClr val="accent3"/>
              </a:solidFill>
              <a:round/>
            </a:ln>
            <a:effectLst/>
          </c:spPr>
          <c:marker>
            <c:symbol val="none"/>
          </c:marker>
          <c:cat>
            <c:numRef>
              <c:f>'Úvěry Energie'!$E$112:$T$112</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'Úvěry Energie'!$E$116:$T$116</c:f>
              <c:numCache>
                <c:formatCode>#,##0</c:formatCode>
                <c:ptCount val="16"/>
                <c:pt idx="0">
                  <c:v>0</c:v>
                </c:pt>
                <c:pt idx="1">
                  <c:v>176.0640742354833</c:v>
                </c:pt>
                <c:pt idx="2">
                  <c:v>531.71350419115959</c:v>
                </c:pt>
                <c:pt idx="3">
                  <c:v>1070.5399969814325</c:v>
                </c:pt>
                <c:pt idx="4">
                  <c:v>1796.207093862994</c:v>
                </c:pt>
                <c:pt idx="5">
                  <c:v>1201.2991069176703</c:v>
                </c:pt>
                <c:pt idx="6">
                  <c:v>1074.5325209623161</c:v>
                </c:pt>
                <c:pt idx="7">
                  <c:v>1221.2167395615775</c:v>
                </c:pt>
                <c:pt idx="8">
                  <c:v>1387.924791377917</c:v>
                </c:pt>
                <c:pt idx="9">
                  <c:v>2597.3209543479093</c:v>
                </c:pt>
                <c:pt idx="10">
                  <c:v>3624.6179163418183</c:v>
                </c:pt>
                <c:pt idx="11">
                  <c:v>4466.1736933401216</c:v>
                </c:pt>
                <c:pt idx="12">
                  <c:v>5118.2734616429079</c:v>
                </c:pt>
                <c:pt idx="13">
                  <c:v>5577.1281010762668</c:v>
                </c:pt>
                <c:pt idx="14">
                  <c:v>5881.1707335133933</c:v>
                </c:pt>
                <c:pt idx="15">
                  <c:v>6044.6100000000006</c:v>
                </c:pt>
              </c:numCache>
            </c:numRef>
          </c:val>
          <c:smooth val="0"/>
        </c:ser>
        <c:dLbls>
          <c:showLegendKey val="0"/>
          <c:showVal val="0"/>
          <c:showCatName val="0"/>
          <c:showSerName val="0"/>
          <c:showPercent val="0"/>
          <c:showBubbleSize val="0"/>
        </c:dLbls>
        <c:marker val="1"/>
        <c:smooth val="0"/>
        <c:axId val="173591936"/>
        <c:axId val="139617408"/>
      </c:lineChart>
      <c:catAx>
        <c:axId val="173591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9617408"/>
        <c:crosses val="autoZero"/>
        <c:auto val="1"/>
        <c:lblAlgn val="ctr"/>
        <c:lblOffset val="100"/>
        <c:noMultiLvlLbl val="0"/>
      </c:catAx>
      <c:valAx>
        <c:axId val="139617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73591936"/>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cs-CZ" b="1">
                <a:solidFill>
                  <a:schemeClr val="tx1"/>
                </a:solidFill>
              </a:rPr>
              <a:t>Úvěry Energie</a:t>
            </a:r>
          </a:p>
        </c:rich>
      </c:tx>
      <c:layout/>
      <c:overlay val="0"/>
      <c:spPr>
        <a:noFill/>
        <a:ln>
          <a:noFill/>
        </a:ln>
        <a:effectLst/>
      </c:spPr>
    </c:title>
    <c:autoTitleDeleted val="0"/>
    <c:plotArea>
      <c:layout/>
      <c:barChart>
        <c:barDir val="col"/>
        <c:grouping val="clustered"/>
        <c:varyColors val="0"/>
        <c:ser>
          <c:idx val="0"/>
          <c:order val="0"/>
          <c:tx>
            <c:strRef>
              <c:f>'Úvěry Energie RIZIKO'!$A$114:$D$114</c:f>
              <c:strCache>
                <c:ptCount val="4"/>
                <c:pt idx="0">
                  <c:v>Primární investiční pool</c:v>
                </c:pt>
              </c:strCache>
            </c:strRef>
          </c:tx>
          <c:spPr>
            <a:solidFill>
              <a:schemeClr val="accent1"/>
            </a:solidFill>
            <a:ln>
              <a:noFill/>
            </a:ln>
            <a:effectLst/>
          </c:spPr>
          <c:invertIfNegative val="0"/>
          <c:cat>
            <c:numRef>
              <c:f>'Úvěry Energie RIZIKO'!$E$113:$T$113</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'Úvěry Energie RIZIKO'!$E$114:$T$114</c:f>
              <c:numCache>
                <c:formatCode>#,##0</c:formatCode>
                <c:ptCount val="16"/>
                <c:pt idx="0">
                  <c:v>6044.61</c:v>
                </c:pt>
                <c:pt idx="1">
                  <c:v>4533.4574999999995</c:v>
                </c:pt>
                <c:pt idx="2">
                  <c:v>3022.3049999999994</c:v>
                </c:pt>
                <c:pt idx="3">
                  <c:v>1511.1524999999995</c:v>
                </c:pt>
                <c:pt idx="4">
                  <c:v>0</c:v>
                </c:pt>
                <c:pt idx="5">
                  <c:v>0</c:v>
                </c:pt>
                <c:pt idx="6">
                  <c:v>0</c:v>
                </c:pt>
                <c:pt idx="7">
                  <c:v>0</c:v>
                </c:pt>
                <c:pt idx="8">
                  <c:v>0</c:v>
                </c:pt>
                <c:pt idx="9">
                  <c:v>0</c:v>
                </c:pt>
                <c:pt idx="10">
                  <c:v>0</c:v>
                </c:pt>
                <c:pt idx="11">
                  <c:v>0</c:v>
                </c:pt>
                <c:pt idx="12">
                  <c:v>0</c:v>
                </c:pt>
                <c:pt idx="13">
                  <c:v>0</c:v>
                </c:pt>
                <c:pt idx="14">
                  <c:v>0</c:v>
                </c:pt>
                <c:pt idx="15">
                  <c:v>0</c:v>
                </c:pt>
              </c:numCache>
            </c:numRef>
          </c:val>
        </c:ser>
        <c:ser>
          <c:idx val="1"/>
          <c:order val="1"/>
          <c:tx>
            <c:strRef>
              <c:f>'Úvěry Energie RIZIKO'!$A$115:$D$115</c:f>
              <c:strCache>
                <c:ptCount val="4"/>
                <c:pt idx="0">
                  <c:v>Sekundární investice - revolving primárních investic</c:v>
                </c:pt>
              </c:strCache>
            </c:strRef>
          </c:tx>
          <c:spPr>
            <a:solidFill>
              <a:schemeClr val="accent2"/>
            </a:solidFill>
            <a:ln>
              <a:noFill/>
            </a:ln>
            <a:effectLst/>
          </c:spPr>
          <c:invertIfNegative val="0"/>
          <c:cat>
            <c:numRef>
              <c:f>'Úvěry Energie RIZIKO'!$E$113:$T$113</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'Úvěry Energie RIZIKO'!$E$115:$T$115</c:f>
              <c:numCache>
                <c:formatCode>General</c:formatCode>
                <c:ptCount val="16"/>
                <c:pt idx="4" formatCode="#,##0">
                  <c:v>3871.1077093022714</c:v>
                </c:pt>
                <c:pt idx="5" formatCode="#,##0">
                  <c:v>2434.1420342118763</c:v>
                </c:pt>
                <c:pt idx="6" formatCode="#,##0">
                  <c:v>1708.0612174230068</c:v>
                </c:pt>
                <c:pt idx="7" formatCode="#,##0">
                  <c:v>899.78236020320026</c:v>
                </c:pt>
              </c:numCache>
            </c:numRef>
          </c:val>
        </c:ser>
        <c:dLbls>
          <c:showLegendKey val="0"/>
          <c:showVal val="0"/>
          <c:showCatName val="0"/>
          <c:showSerName val="0"/>
          <c:showPercent val="0"/>
          <c:showBubbleSize val="0"/>
        </c:dLbls>
        <c:gapWidth val="150"/>
        <c:axId val="133925888"/>
        <c:axId val="139604736"/>
      </c:barChart>
      <c:lineChart>
        <c:grouping val="standard"/>
        <c:varyColors val="0"/>
        <c:ser>
          <c:idx val="2"/>
          <c:order val="2"/>
          <c:tx>
            <c:strRef>
              <c:f>'Úvěry Energie RIZIKO'!$A$117:$D$117</c:f>
              <c:strCache>
                <c:ptCount val="4"/>
                <c:pt idx="0">
                  <c:v>Zdroje OP PIK pro druhý cyklus</c:v>
                </c:pt>
              </c:strCache>
            </c:strRef>
          </c:tx>
          <c:spPr>
            <a:ln w="28575" cap="rnd">
              <a:solidFill>
                <a:schemeClr val="accent3"/>
              </a:solidFill>
              <a:round/>
            </a:ln>
            <a:effectLst/>
          </c:spPr>
          <c:marker>
            <c:symbol val="none"/>
          </c:marker>
          <c:cat>
            <c:numRef>
              <c:f>'Úvěry Energie RIZIKO'!$E$113:$T$113</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'Úvěry Energie RIZIKO'!$E$117:$T$117</c:f>
              <c:numCache>
                <c:formatCode>#,##0</c:formatCode>
                <c:ptCount val="16"/>
                <c:pt idx="0">
                  <c:v>0</c:v>
                </c:pt>
                <c:pt idx="1">
                  <c:v>140.85125938838667</c:v>
                </c:pt>
                <c:pt idx="2">
                  <c:v>425.37080335292768</c:v>
                </c:pt>
                <c:pt idx="3">
                  <c:v>856.43199758514606</c:v>
                </c:pt>
                <c:pt idx="4">
                  <c:v>1436.9656750903951</c:v>
                </c:pt>
                <c:pt idx="5">
                  <c:v>726.08081678886958</c:v>
                </c:pt>
                <c:pt idx="6">
                  <c:v>808.27885721980647</c:v>
                </c:pt>
                <c:pt idx="7">
                  <c:v>899.78236020320026</c:v>
                </c:pt>
                <c:pt idx="8">
                  <c:v>1001.6447770483664</c:v>
                </c:pt>
                <c:pt idx="9">
                  <c:v>1858.2927502493135</c:v>
                </c:pt>
                <c:pt idx="10">
                  <c:v>2567.0439835258931</c:v>
                </c:pt>
                <c:pt idx="11">
                  <c:v>3124.9405420796174</c:v>
                </c:pt>
                <c:pt idx="12">
                  <c:v>3528.9653324160299</c:v>
                </c:pt>
                <c:pt idx="13">
                  <c:v>3784.142702024209</c:v>
                </c:pt>
                <c:pt idx="14">
                  <c:v>3965.1299018607701</c:v>
                </c:pt>
                <c:pt idx="15">
                  <c:v>4061.4664581395482</c:v>
                </c:pt>
              </c:numCache>
            </c:numRef>
          </c:val>
          <c:smooth val="0"/>
        </c:ser>
        <c:dLbls>
          <c:showLegendKey val="0"/>
          <c:showVal val="0"/>
          <c:showCatName val="0"/>
          <c:showSerName val="0"/>
          <c:showPercent val="0"/>
          <c:showBubbleSize val="0"/>
        </c:dLbls>
        <c:marker val="1"/>
        <c:smooth val="0"/>
        <c:axId val="133925888"/>
        <c:axId val="139604736"/>
      </c:lineChart>
      <c:catAx>
        <c:axId val="13392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9604736"/>
        <c:crosses val="autoZero"/>
        <c:auto val="1"/>
        <c:lblAlgn val="ctr"/>
        <c:lblOffset val="100"/>
        <c:noMultiLvlLbl val="0"/>
      </c:catAx>
      <c:valAx>
        <c:axId val="139604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3925888"/>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Deloitte">
    <a:dk1>
      <a:sysClr val="windowText" lastClr="000000"/>
    </a:dk1>
    <a:lt1>
      <a:srgbClr val="FFFFFF"/>
    </a:lt1>
    <a:dk2>
      <a:srgbClr val="002776"/>
    </a:dk2>
    <a:lt2>
      <a:srgbClr val="FFFFFF"/>
    </a:lt2>
    <a:accent1>
      <a:srgbClr val="002776"/>
    </a:accent1>
    <a:accent2>
      <a:srgbClr val="92D400"/>
    </a:accent2>
    <a:accent3>
      <a:srgbClr val="00A1DE"/>
    </a:accent3>
    <a:accent4>
      <a:srgbClr val="72C7E7"/>
    </a:accent4>
    <a:accent5>
      <a:srgbClr val="3C8A2E"/>
    </a:accent5>
    <a:accent6>
      <a:srgbClr val="C9DD03"/>
    </a:accent6>
    <a:hlink>
      <a:srgbClr val="3C8A2E"/>
    </a:hlink>
    <a:folHlink>
      <a:srgbClr val="C9DD03"/>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13102-F9A7-40B9-A9CA-002E3212A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27E89D4F.dotm</Template>
  <TotalTime>7</TotalTime>
  <Pages>141</Pages>
  <Words>50384</Words>
  <Characters>297272</Characters>
  <Application>Microsoft Office Word</Application>
  <DocSecurity>0</DocSecurity>
  <Lines>2477</Lines>
  <Paragraphs>693</Paragraphs>
  <ScaleCrop>false</ScaleCrop>
  <HeadingPairs>
    <vt:vector size="2" baseType="variant">
      <vt:variant>
        <vt:lpstr>Název</vt:lpstr>
      </vt:variant>
      <vt:variant>
        <vt:i4>1</vt:i4>
      </vt:variant>
    </vt:vector>
  </HeadingPairs>
  <TitlesOfParts>
    <vt:vector size="1" baseType="lpstr">
      <vt:lpstr/>
    </vt:vector>
  </TitlesOfParts>
  <Company>Ministerstvo průmyslu a obchodu</Company>
  <LinksUpToDate>false</LinksUpToDate>
  <CharactersWithSpaces>346963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Laube Pavel</dc:creator>
  <cp:lastModifiedBy>Laube Pavel</cp:lastModifiedBy>
  <cp:revision>3</cp:revision>
  <cp:lastPrinted>2015-03-02T09:40:00Z</cp:lastPrinted>
  <dcterms:created xsi:type="dcterms:W3CDTF">2015-04-10T15:15:00Z</dcterms:created>
  <dcterms:modified xsi:type="dcterms:W3CDTF">2015-04-10T15:21:00Z</dcterms:modified>
</cp:coreProperties>
</file>