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53" w:rsidRDefault="008D3753" w:rsidP="00D650A9">
      <w:pPr>
        <w:pStyle w:val="Nadpis1"/>
        <w:jc w:val="both"/>
      </w:pPr>
    </w:p>
    <w:p w:rsidR="008D3753" w:rsidRDefault="008D3753" w:rsidP="00D650A9">
      <w:pPr>
        <w:pStyle w:val="Nadpis1"/>
        <w:jc w:val="both"/>
      </w:pPr>
    </w:p>
    <w:p w:rsidR="008D3753" w:rsidRDefault="008D3753" w:rsidP="00D650A9">
      <w:pPr>
        <w:pStyle w:val="Nadpis1"/>
        <w:jc w:val="both"/>
      </w:pPr>
    </w:p>
    <w:p w:rsidR="008D3753" w:rsidRPr="00DF1E59" w:rsidRDefault="008D3753" w:rsidP="00DF1E59">
      <w:pPr>
        <w:jc w:val="center"/>
        <w:rPr>
          <w:b/>
          <w:sz w:val="40"/>
          <w:szCs w:val="40"/>
        </w:rPr>
      </w:pPr>
      <w:r w:rsidRPr="00DF1E59">
        <w:rPr>
          <w:b/>
          <w:sz w:val="40"/>
          <w:szCs w:val="40"/>
        </w:rPr>
        <w:t>Centralizovaná správa finančních nástrojů</w:t>
      </w:r>
    </w:p>
    <w:p w:rsidR="008D3753" w:rsidRPr="00D95D0B" w:rsidRDefault="008D3753" w:rsidP="00DF1E59">
      <w:pPr>
        <w:jc w:val="center"/>
        <w:rPr>
          <w:b/>
          <w:sz w:val="40"/>
          <w:szCs w:val="40"/>
        </w:rPr>
      </w:pPr>
      <w:r w:rsidRPr="00D95D0B">
        <w:rPr>
          <w:b/>
          <w:sz w:val="40"/>
          <w:szCs w:val="40"/>
        </w:rPr>
        <w:t>v programovacím období 2014 – 2020</w:t>
      </w:r>
    </w:p>
    <w:p w:rsidR="00D95D0B" w:rsidRDefault="00D95D0B" w:rsidP="00D95D0B">
      <w:pPr>
        <w:jc w:val="center"/>
        <w:rPr>
          <w:b/>
          <w:sz w:val="28"/>
          <w:szCs w:val="28"/>
        </w:rPr>
      </w:pPr>
    </w:p>
    <w:p w:rsidR="008D3753" w:rsidRPr="00D95D0B" w:rsidRDefault="00D95D0B" w:rsidP="00D95D0B">
      <w:pPr>
        <w:jc w:val="center"/>
        <w:rPr>
          <w:b/>
          <w:sz w:val="28"/>
          <w:szCs w:val="28"/>
        </w:rPr>
      </w:pPr>
      <w:r w:rsidRPr="00D95D0B">
        <w:rPr>
          <w:b/>
          <w:sz w:val="28"/>
          <w:szCs w:val="28"/>
        </w:rPr>
        <w:t>Cesta k úspoře nákladů státu a  snížení rizik ztrát při využívání prostředků EU</w:t>
      </w:r>
    </w:p>
    <w:p w:rsidR="008D3753" w:rsidRDefault="008D3753" w:rsidP="00D650A9">
      <w:pPr>
        <w:jc w:val="both"/>
      </w:pPr>
    </w:p>
    <w:p w:rsidR="00072514" w:rsidRPr="00DF1E59" w:rsidRDefault="008D3753" w:rsidP="00DF1E59">
      <w:pPr>
        <w:jc w:val="center"/>
        <w:rPr>
          <w:sz w:val="36"/>
          <w:szCs w:val="36"/>
        </w:rPr>
      </w:pPr>
      <w:r w:rsidRPr="00DF1E59">
        <w:rPr>
          <w:sz w:val="36"/>
          <w:szCs w:val="36"/>
        </w:rPr>
        <w:t>Studie proveditelnosti</w:t>
      </w:r>
    </w:p>
    <w:p w:rsidR="008D3753" w:rsidRDefault="008D3753" w:rsidP="00D650A9">
      <w:pPr>
        <w:jc w:val="both"/>
      </w:pPr>
    </w:p>
    <w:p w:rsidR="008D3753" w:rsidRDefault="008D3753" w:rsidP="00D650A9">
      <w:pPr>
        <w:jc w:val="both"/>
      </w:pPr>
    </w:p>
    <w:p w:rsidR="008D3753" w:rsidRDefault="00D327E6" w:rsidP="00D650A9">
      <w:pPr>
        <w:jc w:val="both"/>
      </w:pPr>
      <w:r>
        <w:t>Verze</w:t>
      </w:r>
      <w:r w:rsidR="008D3753">
        <w:t>:</w:t>
      </w:r>
      <w:r w:rsidR="00DE4D5A">
        <w:t xml:space="preserve"> </w:t>
      </w:r>
      <w:r w:rsidR="000D714D">
        <w:t>4</w:t>
      </w:r>
      <w:r w:rsidR="008D3753">
        <w:t>.</w:t>
      </w:r>
      <w:r>
        <w:t xml:space="preserve"> </w:t>
      </w:r>
      <w:r w:rsidR="000D714D">
        <w:t>6</w:t>
      </w:r>
      <w:r w:rsidR="008D3753">
        <w:t>. 2015</w:t>
      </w:r>
    </w:p>
    <w:p w:rsidR="008D3753" w:rsidRDefault="008D3753" w:rsidP="00D650A9">
      <w:pPr>
        <w:jc w:val="both"/>
      </w:pPr>
    </w:p>
    <w:p w:rsidR="008D3753" w:rsidRDefault="008D3753" w:rsidP="00D650A9">
      <w:pPr>
        <w:jc w:val="both"/>
      </w:pPr>
    </w:p>
    <w:p w:rsidR="008D3753" w:rsidRDefault="008D3753" w:rsidP="00D650A9">
      <w:pPr>
        <w:jc w:val="both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6594302"/>
        <w:docPartObj>
          <w:docPartGallery w:val="Table of Contents"/>
          <w:docPartUnique/>
        </w:docPartObj>
      </w:sdtPr>
      <w:sdtContent>
        <w:p w:rsidR="007371CF" w:rsidRDefault="007371CF" w:rsidP="00D650A9">
          <w:pPr>
            <w:pStyle w:val="Nadpisobsahu"/>
            <w:jc w:val="both"/>
          </w:pPr>
          <w:r>
            <w:t>Obsah</w:t>
          </w:r>
        </w:p>
        <w:p w:rsidR="007D0867" w:rsidRDefault="007B45C3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7371CF">
            <w:instrText xml:space="preserve"> TOC \o "1-3" \h \z \u </w:instrText>
          </w:r>
          <w:r>
            <w:fldChar w:fldCharType="separate"/>
          </w:r>
          <w:r w:rsidR="007D0867">
            <w:t xml:space="preserve"> </w:t>
          </w:r>
          <w:hyperlink w:anchor="_Toc419730418" w:history="1">
            <w:r w:rsidR="007D0867" w:rsidRPr="00D42582">
              <w:rPr>
                <w:rStyle w:val="Hypertextovodkaz"/>
                <w:noProof/>
              </w:rPr>
              <w:t>A.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Definice základních pojmů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19" w:history="1">
            <w:r w:rsidR="007D0867" w:rsidRPr="00D42582">
              <w:rPr>
                <w:rStyle w:val="Hypertextovodkaz"/>
                <w:noProof/>
              </w:rPr>
              <w:t>B.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Manažerské shrnutí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0" w:history="1">
            <w:r w:rsidR="007D0867" w:rsidRPr="00D42582">
              <w:rPr>
                <w:rStyle w:val="Hypertextovodkaz"/>
                <w:noProof/>
              </w:rPr>
              <w:t>C.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Vymezení cíle studie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1" w:history="1">
            <w:r w:rsidR="007D0867" w:rsidRPr="00D42582">
              <w:rPr>
                <w:rStyle w:val="Hypertextovodkaz"/>
                <w:noProof/>
              </w:rPr>
              <w:t>D.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Finanční nástroje jako součást hospodářské politiky státu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2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Hlavní systémové otázky a způsob jejich řešení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3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I. Zadání správy Nástroje ČMZRB „in house“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4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II. Převod prostředků do Nástroje a vztah Nástroje ke státní pokladně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5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III. Správa  účastí ve fondech rizikového kapitálu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6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IV. Umožnění výkonu správy Fondu fondů v rámci zákona č. 47/2002 Sb.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7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V. Veřejná podpora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8" w:history="1">
            <w:r w:rsidR="007D0867" w:rsidRPr="00D42582">
              <w:rPr>
                <w:rStyle w:val="Hypertextovodkaz"/>
                <w:noProof/>
              </w:rPr>
              <w:t>E.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VI. Celkové zhodnocení legislativního rámce k provedení centralizované správy Nástrojů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29" w:history="1">
            <w:r w:rsidR="007D0867" w:rsidRPr="00D42582">
              <w:rPr>
                <w:rStyle w:val="Hypertextovodkaz"/>
                <w:noProof/>
              </w:rPr>
              <w:t>F.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Východiska pro zpracování Studie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0" w:history="1">
            <w:r w:rsidR="007D0867" w:rsidRPr="00D42582">
              <w:rPr>
                <w:rStyle w:val="Hypertextovodkaz"/>
                <w:noProof/>
              </w:rPr>
              <w:t>F.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I. Předběžné posouzení finančních nástrojů v Operačních programech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1" w:history="1">
            <w:r w:rsidR="007D0867" w:rsidRPr="00D42582">
              <w:rPr>
                <w:rStyle w:val="Hypertextovodkaz"/>
                <w:noProof/>
              </w:rPr>
              <w:t>F.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II. Návrhy Programy /Výzev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2" w:history="1">
            <w:r w:rsidR="007D0867" w:rsidRPr="00D42582">
              <w:rPr>
                <w:rStyle w:val="Hypertextovodkaz"/>
                <w:noProof/>
              </w:rPr>
              <w:t>F.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III. Legislativní  a metodické materiály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3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Centralizovaná správa Nástrojů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4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I. Shrnutí navrhovaného řešení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5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II. Předpoklady a východiska k činnosti Nástroje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6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III. Provedení jednotlivých fází  přípravy a fungování Nástrojů v podmínkách jejich správy zabezpečované ČMZRB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7" w:history="1">
            <w:r w:rsidR="007D0867" w:rsidRPr="00D42582">
              <w:rPr>
                <w:rStyle w:val="Hypertextovodkaz"/>
                <w:noProof/>
              </w:rPr>
              <w:t>1. Provedení Fondu fondů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8" w:history="1">
            <w:r w:rsidR="007D0867" w:rsidRPr="00D42582">
              <w:rPr>
                <w:rStyle w:val="Hypertextovodkaz"/>
                <w:noProof/>
              </w:rPr>
              <w:t>2. Provedení Finanční</w:t>
            </w:r>
            <w:r w:rsidR="00F30C0E">
              <w:rPr>
                <w:rStyle w:val="Hypertextovodkaz"/>
                <w:noProof/>
              </w:rPr>
              <w:t>ch</w:t>
            </w:r>
            <w:r w:rsidR="007D0867" w:rsidRPr="00D42582">
              <w:rPr>
                <w:rStyle w:val="Hypertextovodkaz"/>
                <w:noProof/>
              </w:rPr>
              <w:t xml:space="preserve">  nástrojů současně spravované správcem Fondu fondů nebo vytvořených přímo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39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IV. Rozsah aplikace FF/FN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40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V. Typové produkty Fondu fondů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41" w:history="1">
            <w:r w:rsidR="007D0867" w:rsidRPr="00D42582">
              <w:rPr>
                <w:rStyle w:val="Hypertextovodkaz"/>
                <w:noProof/>
              </w:rPr>
              <w:t>G.</w:t>
            </w:r>
            <w:r w:rsidR="007D0867">
              <w:rPr>
                <w:rFonts w:eastAsiaTheme="minorEastAsia"/>
                <w:noProof/>
                <w:lang w:eastAsia="cs-CZ"/>
              </w:rPr>
              <w:tab/>
            </w:r>
            <w:r w:rsidR="007D0867" w:rsidRPr="00D42582">
              <w:rPr>
                <w:rStyle w:val="Hypertextovodkaz"/>
                <w:noProof/>
              </w:rPr>
              <w:t>VI.  Opatření k zabezpečení připravenosti ČMZRB na správu Nástrojů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42" w:history="1">
            <w:r w:rsidR="007D0867" w:rsidRPr="00D42582">
              <w:rPr>
                <w:rStyle w:val="Hypertextovodkaz"/>
                <w:noProof/>
              </w:rPr>
              <w:t>1.   Aktuální stav ČMZRB ve smyslu požadavků  čl. 7 Nařízení Komise (EU) č.  480/2014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43" w:history="1">
            <w:r w:rsidR="007D0867" w:rsidRPr="00D42582">
              <w:rPr>
                <w:rStyle w:val="Hypertextovodkaz"/>
                <w:noProof/>
              </w:rPr>
              <w:t>2. Opatření k přípravě  správy Fondu fondů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0867" w:rsidRDefault="007B45C3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19730444" w:history="1">
            <w:r w:rsidR="007D0867" w:rsidRPr="00D42582">
              <w:rPr>
                <w:rStyle w:val="Hypertextovodkaz"/>
                <w:noProof/>
              </w:rPr>
              <w:t>3. Opatření k přípravě správy Finančních nástrojů</w:t>
            </w:r>
            <w:r w:rsidR="007D086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D0867">
              <w:rPr>
                <w:noProof/>
                <w:webHidden/>
              </w:rPr>
              <w:instrText xml:space="preserve"> PAGEREF _Toc419730444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52D4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3753" w:rsidRDefault="007B45C3" w:rsidP="00D650A9">
          <w:pPr>
            <w:jc w:val="both"/>
          </w:pPr>
          <w:r>
            <w:fldChar w:fldCharType="end"/>
          </w:r>
        </w:p>
      </w:sdtContent>
    </w:sdt>
    <w:p w:rsidR="008D3753" w:rsidRDefault="008D3753" w:rsidP="00D650A9">
      <w:pPr>
        <w:jc w:val="both"/>
      </w:pPr>
    </w:p>
    <w:p w:rsidR="008D3753" w:rsidRDefault="008D3753" w:rsidP="00D650A9">
      <w:pPr>
        <w:jc w:val="both"/>
      </w:pPr>
      <w:r>
        <w:br w:type="page"/>
      </w:r>
    </w:p>
    <w:p w:rsidR="00204561" w:rsidRPr="00674017" w:rsidRDefault="00D62541" w:rsidP="009754EB">
      <w:pPr>
        <w:pStyle w:val="Nadpis1"/>
        <w:numPr>
          <w:ilvl w:val="0"/>
          <w:numId w:val="17"/>
        </w:numPr>
        <w:jc w:val="both"/>
      </w:pPr>
      <w:bookmarkStart w:id="0" w:name="_Toc419730418"/>
      <w:r w:rsidRPr="00674017">
        <w:lastRenderedPageBreak/>
        <w:t>Definice základních pojmů</w:t>
      </w:r>
      <w:bookmarkEnd w:id="0"/>
    </w:p>
    <w:p w:rsidR="00381687" w:rsidRDefault="00381687" w:rsidP="00D650A9">
      <w:pPr>
        <w:jc w:val="both"/>
      </w:pPr>
      <w:r w:rsidRPr="00204561">
        <w:t>V kontextu t</w:t>
      </w:r>
      <w:r>
        <w:t>éto studie proveditelnosti centralizované správy finančních nástrojů v programovacím období 2014 – 2020 (dále „Studie)</w:t>
      </w:r>
      <w:r w:rsidR="00DE4D5A">
        <w:t xml:space="preserve"> </w:t>
      </w:r>
      <w:r w:rsidR="00B53A46">
        <w:t>a v souladu s Obecným nařízením</w:t>
      </w:r>
      <w:r w:rsidRPr="00204561">
        <w:t>, Finančním nařízením</w:t>
      </w:r>
      <w:r w:rsidR="00DE4D5A">
        <w:t xml:space="preserve"> </w:t>
      </w:r>
      <w:r w:rsidRPr="00204561">
        <w:t>a Metodickým pokynem finančních toků</w:t>
      </w:r>
      <w:r w:rsidR="00F30C0E">
        <w:t xml:space="preserve"> </w:t>
      </w:r>
      <w:r w:rsidRPr="00204561">
        <w:t>se rozumí: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C</w:t>
      </w:r>
      <w:r w:rsidRPr="00480357">
        <w:t>ertifikací</w:t>
      </w:r>
      <w:r>
        <w:t>“</w:t>
      </w:r>
      <w:r w:rsidRPr="00480357">
        <w:t xml:space="preserve"> potvrzení správnosti údajů o vynaložených výdajích v souladu s</w:t>
      </w:r>
      <w:r>
        <w:t xml:space="preserve"> předpisy EU a předpisy ČR</w:t>
      </w:r>
      <w:r w:rsidRPr="00480357">
        <w:t>, předložených ŘO operačních programů Platebnímu a certifikačnímu orgánu (dále „PCO“). Výsledkem certifikace je zpracování a zaslání certifikátu o vynaložených výdajích spolu s výkazem výdajů a s žádostí o platbu Platebním a certifikačním orgánem EK;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D</w:t>
      </w:r>
      <w:r w:rsidRPr="00204561">
        <w:t>ohodou o financování“ dohoda o financování podle čl. 38 odst. 7 Obecného nařízení;</w:t>
      </w:r>
    </w:p>
    <w:p w:rsidR="00381687" w:rsidRPr="00204561" w:rsidRDefault="00381687" w:rsidP="009754EB">
      <w:pPr>
        <w:pStyle w:val="Odstavecseseznamem"/>
        <w:numPr>
          <w:ilvl w:val="0"/>
          <w:numId w:val="13"/>
        </w:numPr>
        <w:jc w:val="both"/>
      </w:pPr>
      <w:r w:rsidRPr="007C0CDA">
        <w:t>„EIB“ Evropská investiční banka, Evropský investiční fond nebo jakákoli dceřiná společ</w:t>
      </w:r>
      <w:r>
        <w:t>nost Evropské investiční banky;</w:t>
      </w:r>
    </w:p>
    <w:p w:rsidR="00AD6E8A" w:rsidRDefault="00AD6E8A" w:rsidP="009754EB">
      <w:pPr>
        <w:pStyle w:val="Odstavecseseznamem"/>
        <w:numPr>
          <w:ilvl w:val="0"/>
          <w:numId w:val="13"/>
        </w:numPr>
        <w:jc w:val="both"/>
      </w:pPr>
      <w:r>
        <w:t>„ ESIF“ Evropské strukturální a investiční fondy</w:t>
      </w:r>
      <w:r w:rsidR="000D714D">
        <w:t>;</w:t>
      </w:r>
    </w:p>
    <w:p w:rsidR="00AD6E8A" w:rsidRDefault="00AD6E8A" w:rsidP="009754EB">
      <w:pPr>
        <w:pStyle w:val="Odstavecseseznamem"/>
        <w:numPr>
          <w:ilvl w:val="0"/>
          <w:numId w:val="13"/>
        </w:numPr>
        <w:jc w:val="both"/>
      </w:pPr>
      <w:r>
        <w:t>„EFSI“ Evropský fond strategických investic</w:t>
      </w:r>
      <w:r w:rsidR="000D714D">
        <w:t>;</w:t>
      </w:r>
      <w:r>
        <w:t xml:space="preserve"> 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F</w:t>
      </w:r>
      <w:r w:rsidRPr="00204561">
        <w:t>inančním nástrojem“ opatření finanční podpory ve formě kapitálových či kvazikapitálových investic, půjček nebo záruk anebo jiných nástrojů ke sdílení rizik přičemž tam, kde je to vhodné, mohou být spojeny s granty, pokud není v Obecném nařízení stanoveno jinak;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F</w:t>
      </w:r>
      <w:r>
        <w:t>inančním produktem“ záruka portfoliová či individuální</w:t>
      </w:r>
      <w:r w:rsidR="00DE4D5A">
        <w:t xml:space="preserve"> </w:t>
      </w:r>
      <w:r>
        <w:t>nebo úvěr, včetně kombinací s příspěvky na úhradu úroků poskytnutý Konečnému příjemci;</w:t>
      </w:r>
      <w:r w:rsidR="00DE4D5A">
        <w:t xml:space="preserve">  </w:t>
      </w:r>
      <w:r>
        <w:t>nabytí akcií či podílu ve společnosti Konečného příjemce, podřízený úvěr poskytnutý Konečnému příjemci, vklad do úvěrového Finančního nástroje, záruka poskytnutá Finančnímu zprostředkovateli, nabytí akcií či podílu ve Finančním nástroji;</w:t>
      </w:r>
      <w:r w:rsidR="00DE4D5A">
        <w:t xml:space="preserve">     </w:t>
      </w:r>
    </w:p>
    <w:p w:rsidR="00381687" w:rsidRPr="00204561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F</w:t>
      </w:r>
      <w:r w:rsidRPr="00204561">
        <w:t>inančním zprostředkovatelem“ subjekt, kterému subjekt uvedený v čl. 38 odst. 4 prvním pododstavci písm. a) a b) Obecného nařízení při provádění fondu fondů svěřil část provádění za předpokladu, že tento subjekt na vlastní odpovědnost zajistí, aby finanční zprostředkovatel splňoval kritéria stanovená v čl. 140 odst. 1, 2 a 4 Finančního nařízení. Finanční zprostředkovatelé se vybírají prostřednictvím otevřených, transparentních, přiměřených a nediskriminačních postupů, kdy je vyloučen střet zájmů;</w:t>
      </w:r>
    </w:p>
    <w:p w:rsidR="00142DED" w:rsidRDefault="00142DED" w:rsidP="009754EB">
      <w:pPr>
        <w:pStyle w:val="Odstavecseseznamem"/>
        <w:numPr>
          <w:ilvl w:val="0"/>
          <w:numId w:val="13"/>
        </w:numPr>
        <w:jc w:val="both"/>
        <w:rPr>
          <w:rFonts w:cs="Calibri"/>
          <w:szCs w:val="24"/>
        </w:rPr>
      </w:pPr>
      <w:r>
        <w:t xml:space="preserve">Finančním schématem“ schéma oddělených systémů účtů uvnitř </w:t>
      </w:r>
      <w:r w:rsidR="000D714D">
        <w:t>F</w:t>
      </w:r>
      <w:r>
        <w:t>inančního nástroje a toků finančních prostředků mezi účty</w:t>
      </w:r>
    </w:p>
    <w:p w:rsidR="00381687" w:rsidRPr="00381687" w:rsidRDefault="00381687" w:rsidP="009754EB">
      <w:pPr>
        <w:pStyle w:val="Odstavecseseznamem"/>
        <w:numPr>
          <w:ilvl w:val="0"/>
          <w:numId w:val="13"/>
        </w:numPr>
        <w:jc w:val="both"/>
        <w:rPr>
          <w:rFonts w:cs="Calibri"/>
          <w:szCs w:val="24"/>
        </w:rPr>
      </w:pPr>
      <w:r w:rsidRPr="00381687">
        <w:rPr>
          <w:rFonts w:cs="Calibri"/>
          <w:szCs w:val="24"/>
        </w:rPr>
        <w:t>„</w:t>
      </w:r>
      <w:r w:rsidR="00E21090">
        <w:rPr>
          <w:rFonts w:cs="Calibri"/>
          <w:szCs w:val="24"/>
        </w:rPr>
        <w:t>F</w:t>
      </w:r>
      <w:r w:rsidRPr="00381687">
        <w:rPr>
          <w:rFonts w:cs="Calibri"/>
          <w:szCs w:val="24"/>
        </w:rPr>
        <w:t>ondem fondů“</w:t>
      </w:r>
      <w:r w:rsidR="00E414AE">
        <w:rPr>
          <w:rFonts w:cs="Calibri"/>
          <w:szCs w:val="24"/>
        </w:rPr>
        <w:t xml:space="preserve"> právnická osoba nebo samostatný blok </w:t>
      </w:r>
      <w:r w:rsidR="00E414AE" w:rsidRPr="00E414AE">
        <w:rPr>
          <w:rFonts w:cs="Calibri"/>
          <w:szCs w:val="24"/>
        </w:rPr>
        <w:t xml:space="preserve">finančních prostředků (systém </w:t>
      </w:r>
      <w:r w:rsidR="00142DED">
        <w:rPr>
          <w:rFonts w:cs="Calibri"/>
          <w:szCs w:val="24"/>
        </w:rPr>
        <w:t xml:space="preserve">kapitálových </w:t>
      </w:r>
      <w:r w:rsidR="00E414AE" w:rsidRPr="00E414AE">
        <w:rPr>
          <w:rFonts w:cs="Calibri"/>
          <w:szCs w:val="24"/>
        </w:rPr>
        <w:t>účtů) v rámci finanční instituce</w:t>
      </w:r>
      <w:r w:rsidRPr="00381687">
        <w:rPr>
          <w:rFonts w:cs="Calibri"/>
          <w:szCs w:val="24"/>
        </w:rPr>
        <w:t xml:space="preserve">, který </w:t>
      </w:r>
      <w:r w:rsidR="00E414AE">
        <w:rPr>
          <w:rFonts w:cs="Calibri"/>
          <w:szCs w:val="24"/>
        </w:rPr>
        <w:t xml:space="preserve">vkládá či investuje prostředky do finančních nástrojů </w:t>
      </w:r>
      <w:r w:rsidR="00F30C0E">
        <w:rPr>
          <w:rFonts w:cs="Calibri"/>
          <w:szCs w:val="24"/>
        </w:rPr>
        <w:t>spravovaných</w:t>
      </w:r>
      <w:r w:rsidRPr="00381687">
        <w:rPr>
          <w:rFonts w:cs="Calibri"/>
          <w:szCs w:val="24"/>
        </w:rPr>
        <w:t xml:space="preserve"> finanční</w:t>
      </w:r>
      <w:r w:rsidR="008F42E0">
        <w:rPr>
          <w:rFonts w:cs="Calibri"/>
          <w:szCs w:val="24"/>
        </w:rPr>
        <w:t>mi</w:t>
      </w:r>
      <w:r w:rsidRPr="00381687">
        <w:rPr>
          <w:rFonts w:cs="Calibri"/>
          <w:szCs w:val="24"/>
        </w:rPr>
        <w:t xml:space="preserve"> zprostředkovatel</w:t>
      </w:r>
      <w:r w:rsidR="00E414AE">
        <w:rPr>
          <w:rFonts w:cs="Calibri"/>
          <w:szCs w:val="24"/>
        </w:rPr>
        <w:t>i</w:t>
      </w:r>
      <w:r w:rsidR="00142DED">
        <w:rPr>
          <w:rFonts w:cs="Calibri"/>
          <w:szCs w:val="24"/>
        </w:rPr>
        <w:t>.</w:t>
      </w:r>
      <w:r w:rsidR="00142DED" w:rsidRPr="00142DED">
        <w:rPr>
          <w:rFonts w:cs="Calibri"/>
          <w:szCs w:val="24"/>
        </w:rPr>
        <w:t xml:space="preserve"> </w:t>
      </w:r>
      <w:r w:rsidR="00142DED">
        <w:rPr>
          <w:rFonts w:cs="Calibri"/>
          <w:szCs w:val="24"/>
        </w:rPr>
        <w:t>U</w:t>
      </w:r>
      <w:r w:rsidR="00142DED" w:rsidRPr="00142DED">
        <w:rPr>
          <w:rFonts w:cs="Calibri"/>
          <w:szCs w:val="24"/>
        </w:rPr>
        <w:t>mož</w:t>
      </w:r>
      <w:r w:rsidR="00142DED">
        <w:rPr>
          <w:rFonts w:cs="Calibri"/>
          <w:szCs w:val="24"/>
        </w:rPr>
        <w:t>ň</w:t>
      </w:r>
      <w:r w:rsidR="00142DED" w:rsidRPr="00142DED">
        <w:rPr>
          <w:rFonts w:cs="Calibri"/>
          <w:szCs w:val="24"/>
        </w:rPr>
        <w:t>uje jednotně vytváře</w:t>
      </w:r>
      <w:r w:rsidR="00142DED">
        <w:rPr>
          <w:rFonts w:cs="Calibri"/>
          <w:szCs w:val="24"/>
        </w:rPr>
        <w:t xml:space="preserve">t finančních nástroje </w:t>
      </w:r>
      <w:r w:rsidR="00142DED" w:rsidRPr="00142DED">
        <w:rPr>
          <w:rFonts w:cs="Calibri"/>
          <w:szCs w:val="24"/>
        </w:rPr>
        <w:t xml:space="preserve">, </w:t>
      </w:r>
      <w:r w:rsidR="00142DED">
        <w:rPr>
          <w:rFonts w:cs="Calibri"/>
          <w:szCs w:val="24"/>
        </w:rPr>
        <w:t xml:space="preserve">provádět </w:t>
      </w:r>
      <w:r w:rsidR="00142DED" w:rsidRPr="00142DED">
        <w:rPr>
          <w:rFonts w:cs="Calibri"/>
          <w:szCs w:val="24"/>
        </w:rPr>
        <w:t>alokaci</w:t>
      </w:r>
      <w:r w:rsidR="00142DED">
        <w:rPr>
          <w:rFonts w:cs="Calibri"/>
          <w:szCs w:val="24"/>
        </w:rPr>
        <w:t xml:space="preserve"> prostředků a jejich </w:t>
      </w:r>
      <w:r w:rsidR="00142DED" w:rsidRPr="00142DED">
        <w:rPr>
          <w:rFonts w:cs="Calibri"/>
          <w:szCs w:val="24"/>
        </w:rPr>
        <w:t>správu a</w:t>
      </w:r>
      <w:r w:rsidR="00142DED">
        <w:rPr>
          <w:rFonts w:cs="Calibri"/>
          <w:szCs w:val="24"/>
        </w:rPr>
        <w:t xml:space="preserve"> </w:t>
      </w:r>
      <w:r w:rsidR="00142DED" w:rsidRPr="00142DED">
        <w:rPr>
          <w:rFonts w:cs="Calibri"/>
          <w:szCs w:val="24"/>
        </w:rPr>
        <w:t>uzaví</w:t>
      </w:r>
      <w:r w:rsidR="00142DED">
        <w:rPr>
          <w:rFonts w:cs="Calibri"/>
          <w:szCs w:val="24"/>
        </w:rPr>
        <w:t xml:space="preserve">rání jednotlivých </w:t>
      </w:r>
      <w:r w:rsidR="00142DED" w:rsidRPr="00142DED">
        <w:rPr>
          <w:rFonts w:cs="Calibri"/>
          <w:szCs w:val="24"/>
        </w:rPr>
        <w:t>finančních nástrojů</w:t>
      </w:r>
      <w:r w:rsidR="00E414AE">
        <w:rPr>
          <w:rFonts w:cs="Calibri"/>
          <w:szCs w:val="24"/>
        </w:rPr>
        <w:t>;</w:t>
      </w:r>
    </w:p>
    <w:p w:rsidR="00381687" w:rsidRPr="002F0AC4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I</w:t>
      </w:r>
      <w:r>
        <w:t xml:space="preserve">nvestičním fondem“ </w:t>
      </w:r>
      <w:r w:rsidR="008F42E0">
        <w:t xml:space="preserve">licencovaná nebo nelicencovaná </w:t>
      </w:r>
      <w:r>
        <w:t xml:space="preserve">akciová společnost, která získává prostředky nutné pro investování formou úpisu akcií. V tomto případě </w:t>
      </w:r>
      <w:r w:rsidRPr="002F0AC4">
        <w:t xml:space="preserve">za účelem poskytování </w:t>
      </w:r>
      <w:r>
        <w:t>podpory v rámci</w:t>
      </w:r>
      <w:r w:rsidRPr="009D2800">
        <w:t xml:space="preserve"> cílů veřejné politiky </w:t>
      </w:r>
      <w:r>
        <w:t>k řešení zvláštních potřeb trhu orgány veřejné správy;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K</w:t>
      </w:r>
      <w:r w:rsidRPr="00204561">
        <w:t xml:space="preserve">apitálovou investicí“ poskytnutí kapitálu společnosti investorem přímo či nepřímo výměnou za celkové nebo částečné vlastnictví této společnosti, při němž může investor převzít určitou kontrolu nad řízením společnosti a podílet se na jejím zisku; 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K</w:t>
      </w:r>
      <w:r w:rsidRPr="00204561">
        <w:t>onečným příjemcem“ právnická nebo fyzická osoba, která dostává finanční podporu z</w:t>
      </w:r>
      <w:r w:rsidR="00C20FE6">
        <w:t> </w:t>
      </w:r>
      <w:r w:rsidRPr="00204561">
        <w:t>finančního nástroje;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480357">
        <w:t>„</w:t>
      </w:r>
      <w:r w:rsidR="00E21090">
        <w:t>K</w:t>
      </w:r>
      <w:r w:rsidRPr="00480357">
        <w:t xml:space="preserve">vazikapitálovou investicí“ takový typ financování, které stojí mezi kapitálovou investicí a dluhem, je rizikovější než přednostní dluh a méně rizikový než běžná kapitálová investice. </w:t>
      </w:r>
      <w:r w:rsidRPr="00480357">
        <w:lastRenderedPageBreak/>
        <w:t>Kvazikapitálové investice mohou mít strukturu dluhu, obvykle nezajištěného a podřízeného, který lze převést na kapitál nebo na preferenční kapitál</w:t>
      </w:r>
      <w:r w:rsidR="00142DED">
        <w:t xml:space="preserve"> (konvertibilní dluh)</w:t>
      </w:r>
      <w:r w:rsidRPr="00480357">
        <w:t>;</w:t>
      </w:r>
    </w:p>
    <w:p w:rsidR="00381687" w:rsidRDefault="00E21090" w:rsidP="009754EB">
      <w:pPr>
        <w:pStyle w:val="Odstavecseseznamem"/>
        <w:numPr>
          <w:ilvl w:val="0"/>
          <w:numId w:val="13"/>
        </w:numPr>
        <w:jc w:val="both"/>
      </w:pPr>
      <w:r>
        <w:t>„MS2014+“</w:t>
      </w:r>
      <w:r w:rsidR="00DE4D5A">
        <w:t xml:space="preserve"> </w:t>
      </w:r>
      <w:r w:rsidR="00381687" w:rsidRPr="008729E3">
        <w:t>informační systém sloužící k monitorování, řízení, hodnocení a reportování implementace programů spolufinancovaných z prostředků z rozpočtu EU, a to na všech úrovních implementace. Nejvyšší úrovní je Monitorovací systém pro sledování realizace evropských strukturálních a investičních fondů v programovém období 2014-2020;</w:t>
      </w:r>
    </w:p>
    <w:p w:rsidR="00381687" w:rsidRDefault="00E21090" w:rsidP="009754EB">
      <w:pPr>
        <w:pStyle w:val="Odstavecseseznamem"/>
        <w:numPr>
          <w:ilvl w:val="0"/>
          <w:numId w:val="13"/>
        </w:numPr>
        <w:jc w:val="both"/>
      </w:pPr>
      <w:r>
        <w:t>„M</w:t>
      </w:r>
      <w:r w:rsidR="00381687" w:rsidRPr="00480357">
        <w:t>onitorovacím výborem</w:t>
      </w:r>
      <w:r w:rsidR="00381687">
        <w:t>“</w:t>
      </w:r>
      <w:r w:rsidR="00381687" w:rsidRPr="00480357">
        <w:t xml:space="preserve"> orgán zřízený členským státem po dohodě s příslušným Ř</w:t>
      </w:r>
      <w:r>
        <w:t>ídícím orgánem</w:t>
      </w:r>
      <w:r w:rsidR="00381687" w:rsidRPr="00480357">
        <w:t>, jehož úkolem je posuzovat provádění programu. Monitorovací výbor plní funkce v souladu čl. 47 - 49 Obecného nařízení a dále specificky dle čl. 110 Obecného nařízení, resp. čl. Nařízení k ENRF. Členy M</w:t>
      </w:r>
      <w:r>
        <w:t>onitorovacího</w:t>
      </w:r>
      <w:r w:rsidR="000E7D4F">
        <w:t xml:space="preserve"> výboru</w:t>
      </w:r>
      <w:r w:rsidR="00DE4D5A">
        <w:t xml:space="preserve"> </w:t>
      </w:r>
      <w:r w:rsidR="00381687" w:rsidRPr="00480357">
        <w:t>jsou zástupci příslušných řídicích a koordinačních subjektů a partnerů;</w:t>
      </w:r>
    </w:p>
    <w:p w:rsidR="00E21090" w:rsidRDefault="00E21090" w:rsidP="009754EB">
      <w:pPr>
        <w:pStyle w:val="Odstavecseseznamem"/>
        <w:numPr>
          <w:ilvl w:val="0"/>
          <w:numId w:val="13"/>
        </w:numPr>
        <w:jc w:val="both"/>
      </w:pPr>
      <w:r>
        <w:t>„Nástrojem“ Fond fondů nebo Finanční nástroj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N</w:t>
      </w:r>
      <w:r w:rsidRPr="00F43779">
        <w:t>esrovnalostí</w:t>
      </w:r>
      <w:r>
        <w:t>“</w:t>
      </w:r>
      <w:r w:rsidRPr="00F43779">
        <w:t xml:space="preserve"> porušení právních předpisů EU nebo ČR v důsledku jednání nebo o</w:t>
      </w:r>
      <w:r>
        <w:t>pomenutí hospodářského subjektu</w:t>
      </w:r>
      <w:r w:rsidRPr="00F43779">
        <w:t>, které vede nebo by mohlo vést ke ztrátě v souhrnném rozpočtu EU nebo ve veřejném rozpočtu ČR, a to započtením neoprávněného výdaje do souhrnného rozpočtu EU nebo do veřejného rozpočtu ČR. V případě vyměření odvodu za porušení rozpočtové kázně dle zákona č. 218/2000 Sb., o rozpočtových pravidlech a dle zákona č. 250/2000 Sb., o rozpočtových pravidlech územních rozpočtů, zásadně platí, že v důsledku porušení rozpočtové kázně došlo nebo mohlo dojít ke ztrátě ve veřejném rozpočtu ČR, a to započtením neoprávněného výdaje. Za nesrovnalost se však nepokládá provedení neoprávněného výdaje organizační složkou státu za předpokladu, že dojde k odhalení tohoto neoprávněného výdaje a provedení dostatečné finanční opravy před schválením žádosti o platbu ze strany řídícího orgánu. Za nesrovnalost se dále nepokládá provedení neoprávněného výdaje na úrovni příjemce, pokud se jedná o dotaci poskytovanou v režimu ex-ante a zároveň za předpokladu, že dojde k odhalení tohoto neoprávněného výdaje a provedení dostatečné finanční opravy před schválením žádosti o platbu ze strany řídícího orgánu. Tyto případy však budou nadále představovat podezření na porušení rozpočtové kázně, jež budou předávány příslušným orgánům finanční správy. Trestný čin spáchaný v souvislosti s realizací programů nebo projektů spolufinancovaných z rozpočtu EU se vždy považuje za nesrovnalost;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O</w:t>
      </w:r>
      <w:r w:rsidRPr="00204561">
        <w:t xml:space="preserve">perací“ finanční příspěvky z </w:t>
      </w:r>
      <w:r w:rsidR="000D714D">
        <w:t>O</w:t>
      </w:r>
      <w:r w:rsidRPr="00204561">
        <w:t xml:space="preserve">peračního programu na </w:t>
      </w:r>
      <w:r w:rsidR="000D714D">
        <w:t>N</w:t>
      </w:r>
      <w:r w:rsidRPr="00204561">
        <w:t>ástroj a následná finanční podpora, kterou tyto finanční nástroje poskytují;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O</w:t>
      </w:r>
      <w:r>
        <w:t>peračním programem“ dokument tematické, finanční a technické povahy pro konkrétní tematickou oblast nebo území, ve kterém jsou popsány konkrétní cíle a priority, kterých chce členský stát dosáhnout a jakým způsobem, s vazbou na D</w:t>
      </w:r>
      <w:r w:rsidR="000D714D">
        <w:t xml:space="preserve">ohodu o partnerství </w:t>
      </w:r>
      <w:r>
        <w:t xml:space="preserve"> a strategii Unie. Dokument je předložen členským státem a přijat E</w:t>
      </w:r>
      <w:r w:rsidR="000D714D">
        <w:t xml:space="preserve">vropskou komisí </w:t>
      </w:r>
      <w:r>
        <w:t xml:space="preserve"> a je závazný pro Ř</w:t>
      </w:r>
      <w:r w:rsidR="000D714D">
        <w:t xml:space="preserve">ídící </w:t>
      </w:r>
      <w:r>
        <w:t xml:space="preserve"> daného </w:t>
      </w:r>
      <w:r w:rsidR="000D714D">
        <w:t xml:space="preserve">operačního </w:t>
      </w:r>
      <w:r>
        <w:t>programu;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P</w:t>
      </w:r>
      <w:r>
        <w:t xml:space="preserve">latebním a certifikačním orgánem“ ústřední orgán státní správy zodpovědný za celkové finanční řízení prostředků poskytnutých ČR z rozpočtu EU a certifikaci výdajů v souladu s čl. 126 Obecného nařízení. Tuto funkci plní pověřený útvar - odbor Národní fond Ministerstva financí (dále „NF“); 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P</w:t>
      </w:r>
      <w:r>
        <w:t xml:space="preserve">rioritní osou“ základní jednotka </w:t>
      </w:r>
      <w:r w:rsidR="000D714D">
        <w:t>O</w:t>
      </w:r>
      <w:r>
        <w:t>peračního programu, která naplňuje jeden nebo více investičních/tematických cílů a která je spolufinancovaná z jednoho či více fondů;</w:t>
      </w:r>
    </w:p>
    <w:p w:rsidR="00381687" w:rsidRPr="00204561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lastRenderedPageBreak/>
        <w:t>„</w:t>
      </w:r>
      <w:r w:rsidR="00E21090">
        <w:t>P</w:t>
      </w:r>
      <w:r w:rsidRPr="00204561">
        <w:t xml:space="preserve">rojektem konečného příjemce“ finanční, časový a materiální plán činností, který tvoří logický celek, zpracovaný v písemné formě, na který lze čerpat podporu z </w:t>
      </w:r>
      <w:r w:rsidR="000D714D">
        <w:t>F</w:t>
      </w:r>
      <w:r w:rsidRPr="00204561">
        <w:t>inančního nástroje v souladu s pravidly pro způsobilost výdajů;</w:t>
      </w:r>
    </w:p>
    <w:p w:rsidR="00381687" w:rsidRPr="00204561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P</w:t>
      </w:r>
      <w:r w:rsidRPr="00204561">
        <w:t xml:space="preserve">říjemcem“ subjekt, který provádí </w:t>
      </w:r>
      <w:r w:rsidR="000D714D">
        <w:t>F</w:t>
      </w:r>
      <w:r w:rsidRPr="00204561">
        <w:t xml:space="preserve">inanční nástroj, popřípadě </w:t>
      </w:r>
      <w:r w:rsidR="000D714D">
        <w:t>F</w:t>
      </w:r>
      <w:r w:rsidRPr="00204561">
        <w:t xml:space="preserve">ond fondů. V případě, že je pro realizaci </w:t>
      </w:r>
      <w:r w:rsidR="000D714D">
        <w:t>F</w:t>
      </w:r>
      <w:r w:rsidRPr="00204561">
        <w:t xml:space="preserve">inančního nástroje nebo </w:t>
      </w:r>
      <w:r w:rsidR="000D714D">
        <w:t>F</w:t>
      </w:r>
      <w:r w:rsidRPr="00204561">
        <w:t xml:space="preserve">ondu fondů řídícím orgánem založeno SPV jako příjemce prostředků státního rozpočtu obhospodařované příjemcem, je v souladu s obecně závaznými právními předpisy možné, aby smlouvy s </w:t>
      </w:r>
      <w:r w:rsidR="000D714D">
        <w:t>K</w:t>
      </w:r>
      <w:r w:rsidRPr="00204561">
        <w:t>konečnými příjemci a soukromými spoluinvestory podepisoval příjemce jménem příjemce prostředků státního rozpočtu;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P</w:t>
      </w:r>
      <w:r w:rsidRPr="00204561">
        <w:t>ůjčkou“ či „úvěrem“ smlouva, která zavazuje poskytovatele půjčky/úvěru</w:t>
      </w:r>
      <w:r w:rsidR="00DE4D5A">
        <w:t xml:space="preserve">  </w:t>
      </w:r>
      <w:r w:rsidRPr="00204561">
        <w:t>k tomu, aby dal příjemci půjčky/úvěru k dispozici peněžní částku v dohodnuté výši a na dohodnutou dobu, již je příjemce půjčky/úvěru</w:t>
      </w:r>
      <w:r w:rsidR="00DE4D5A">
        <w:t xml:space="preserve">  </w:t>
      </w:r>
      <w:r w:rsidRPr="00204561">
        <w:t xml:space="preserve">povinen splatit v dohodnuté době; 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Ř</w:t>
      </w:r>
      <w:r w:rsidRPr="00F43779">
        <w:t>íd</w:t>
      </w:r>
      <w:r>
        <w:t>í</w:t>
      </w:r>
      <w:r w:rsidRPr="00F43779">
        <w:t>cím orgánem</w:t>
      </w:r>
      <w:r>
        <w:t>“</w:t>
      </w:r>
      <w:r w:rsidRPr="00F43779">
        <w:t xml:space="preserve"> vládou pověřený ústřední orgán státní správy zodpovědný za účelné, efektivní a hospodárné řízení a implementaci programů v souladu se zásadami řádného finančního řízení. Řídicí orgán vykonává činnosti v souladu s čl. 125 Obecného nařízení, resp. čl. Nařízení k</w:t>
      </w:r>
      <w:r>
        <w:t> </w:t>
      </w:r>
      <w:r w:rsidRPr="00F43779">
        <w:t>ENRF</w:t>
      </w:r>
      <w:r>
        <w:t>;</w:t>
      </w:r>
    </w:p>
    <w:p w:rsidR="00381687" w:rsidRDefault="00381687" w:rsidP="009754EB">
      <w:pPr>
        <w:pStyle w:val="Odstavecseseznamem"/>
        <w:numPr>
          <w:ilvl w:val="0"/>
          <w:numId w:val="13"/>
        </w:numPr>
        <w:spacing w:after="0"/>
        <w:jc w:val="both"/>
      </w:pPr>
      <w:r>
        <w:t>„</w:t>
      </w:r>
      <w:r w:rsidR="00E21090">
        <w:t>S</w:t>
      </w:r>
      <w:r>
        <w:t>právcem nástroje“ státem vlastněný subjekt, finanční instituce nebo jiný subjekt, který byl vybrán na základě zákona o veřejných zakázkách a byla mu svěřena role správce nebo přímo EIF;</w:t>
      </w:r>
    </w:p>
    <w:p w:rsidR="00317739" w:rsidRDefault="00BA2CB9">
      <w:pPr>
        <w:pStyle w:val="Odstavecseseznamem"/>
        <w:numPr>
          <w:ilvl w:val="0"/>
          <w:numId w:val="13"/>
        </w:numPr>
        <w:jc w:val="both"/>
      </w:pPr>
      <w:r>
        <w:t>„Studií“ studie proveditelnosti Centralizovaná správa finančních nástrojů v programovacím období 2014 – 2020</w:t>
      </w:r>
      <w:r w:rsidR="00DF3E09">
        <w:t>;</w:t>
      </w:r>
    </w:p>
    <w:p w:rsidR="00381687" w:rsidRPr="00204561" w:rsidRDefault="00BA2CB9" w:rsidP="009754EB">
      <w:pPr>
        <w:pStyle w:val="Odstavecseseznamem"/>
        <w:numPr>
          <w:ilvl w:val="0"/>
          <w:numId w:val="13"/>
        </w:numPr>
        <w:jc w:val="both"/>
      </w:pPr>
      <w:r>
        <w:t xml:space="preserve"> </w:t>
      </w:r>
      <w:r w:rsidR="00381687">
        <w:t>„</w:t>
      </w:r>
      <w:r w:rsidR="00E21090">
        <w:t>V</w:t>
      </w:r>
      <w:r w:rsidR="00381687">
        <w:t xml:space="preserve">ýzvou“ </w:t>
      </w:r>
      <w:r w:rsidR="00381687" w:rsidRPr="00F3565B">
        <w:t xml:space="preserve">výzva k podávání žádosti o podporu zveřejněná </w:t>
      </w:r>
      <w:r w:rsidR="00381687">
        <w:t>Řídícím org</w:t>
      </w:r>
      <w:r w:rsidR="00DF3E09">
        <w:t>á</w:t>
      </w:r>
      <w:r w:rsidR="00381687">
        <w:t>nem a Příjemcem;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 w:rsidRPr="00204561">
        <w:t>„</w:t>
      </w:r>
      <w:r w:rsidR="00E21090">
        <w:t>Z</w:t>
      </w:r>
      <w:r w:rsidRPr="00204561">
        <w:t xml:space="preserve">árukou“ písemný závazek, kterým ručitel přebírá odpovědnost za všechny či některé závazky či povinnosti třetí osoby anebo za úspěšné splnění povinností touto třetí osobou, nastane-li událost, která vede k uplatnění takové záruky, například prodlení při splácení půjčky; </w:t>
      </w:r>
    </w:p>
    <w:p w:rsidR="00381687" w:rsidRDefault="00381687" w:rsidP="009754EB">
      <w:pPr>
        <w:pStyle w:val="Odstavecseseznamem"/>
        <w:numPr>
          <w:ilvl w:val="0"/>
          <w:numId w:val="13"/>
        </w:numPr>
        <w:jc w:val="both"/>
      </w:pPr>
      <w:r>
        <w:t>„</w:t>
      </w:r>
      <w:r w:rsidR="00E21090">
        <w:t>Z</w:t>
      </w:r>
      <w:r w:rsidRPr="00F43779">
        <w:t>působilými výdaji</w:t>
      </w:r>
      <w:r>
        <w:t>“</w:t>
      </w:r>
      <w:r w:rsidRPr="00F43779">
        <w:t xml:space="preserve"> výdaje vynaložené na stanovený účel a v rámci období stanoveného v právním aktu o poskytnutí/převodu podpory, které jsou v souladu s příslušnými předpisy EU a ČR, příslušným metodickým pokynem NOK (Metodický pokyn pro způsobilost výdajů a jejich vykazování v programovém období 20</w:t>
      </w:r>
      <w:r w:rsidR="009D7B49">
        <w:t>14</w:t>
      </w:r>
      <w:r w:rsidR="00DF3E09">
        <w:t xml:space="preserve"> –</w:t>
      </w:r>
      <w:r w:rsidR="009D7B49">
        <w:t xml:space="preserve"> 2020</w:t>
      </w:r>
      <w:r w:rsidR="00DF3E09">
        <w:t>).</w:t>
      </w:r>
    </w:p>
    <w:p w:rsidR="00381687" w:rsidRDefault="00381687" w:rsidP="00D650A9">
      <w:pPr>
        <w:jc w:val="both"/>
      </w:pPr>
    </w:p>
    <w:p w:rsidR="00480357" w:rsidRDefault="00480357" w:rsidP="00D650A9">
      <w:pPr>
        <w:jc w:val="both"/>
        <w:rPr>
          <w:b/>
        </w:rPr>
      </w:pPr>
    </w:p>
    <w:p w:rsidR="006A68BC" w:rsidRPr="00644388" w:rsidRDefault="00D62541" w:rsidP="009754EB">
      <w:pPr>
        <w:pStyle w:val="Nadpis1"/>
        <w:numPr>
          <w:ilvl w:val="0"/>
          <w:numId w:val="17"/>
        </w:numPr>
        <w:jc w:val="both"/>
      </w:pPr>
      <w:bookmarkStart w:id="1" w:name="_Toc419730419"/>
      <w:r w:rsidRPr="00D62541">
        <w:t>Manažerské shrnutí</w:t>
      </w:r>
      <w:bookmarkEnd w:id="1"/>
      <w:r w:rsidR="00DE4D5A">
        <w:t xml:space="preserve">  </w:t>
      </w:r>
    </w:p>
    <w:p w:rsidR="00862017" w:rsidRDefault="00862017" w:rsidP="00D650A9">
      <w:pPr>
        <w:jc w:val="both"/>
      </w:pPr>
    </w:p>
    <w:p w:rsidR="00862017" w:rsidRPr="00862017" w:rsidRDefault="0046145F" w:rsidP="00862017">
      <w:pPr>
        <w:pStyle w:val="Odstavecseseznamem"/>
        <w:numPr>
          <w:ilvl w:val="0"/>
          <w:numId w:val="48"/>
        </w:numPr>
        <w:jc w:val="both"/>
      </w:pPr>
      <w:r>
        <w:t>Na základě usnesení vlády ČR ze dne 9.2.2015 č. 85 o finančních nástrojích jako forma zajištění financování projektů v programovém období 2014 – 2020 je zpracována tato studie proveditelnosti a to ve variantě tzv. centralizované varianty implementace prostřednictvím Českomoravské záruční a rozvojové banky a.s.</w:t>
      </w:r>
      <w:r>
        <w:cr/>
        <w:t>V souladu s</w:t>
      </w:r>
      <w:r w:rsidR="000D714D">
        <w:t xml:space="preserve"> výše uvedeným </w:t>
      </w:r>
      <w:r>
        <w:t xml:space="preserve">usnesením vlády ČR, </w:t>
      </w:r>
      <w:r w:rsidR="000D714D">
        <w:t xml:space="preserve"> je </w:t>
      </w:r>
      <w:r>
        <w:t>tat</w:t>
      </w:r>
      <w:r w:rsidR="000D714D">
        <w:t>o</w:t>
      </w:r>
      <w:r>
        <w:t xml:space="preserve"> studie zaměřena na řešení právních a manažerských bariér</w:t>
      </w:r>
      <w:r w:rsidR="000D714D">
        <w:t>,</w:t>
      </w:r>
      <w:r>
        <w:t xml:space="preserve"> včetně návrhů změn</w:t>
      </w:r>
      <w:r w:rsidR="000D714D">
        <w:t>,</w:t>
      </w:r>
      <w:r>
        <w:t xml:space="preserve"> a dále na technické a procesní kroky nutné k dosažení cílového stavu a efektivní implementaci finančních nástrojů v rámci Evropských strukturálních a investičních fondů (ESIF). Vzhledem k tomu, že v období od schválení </w:t>
      </w:r>
      <w:r>
        <w:lastRenderedPageBreak/>
        <w:t>mat</w:t>
      </w:r>
      <w:r w:rsidR="000D714D">
        <w:t>e</w:t>
      </w:r>
      <w:r>
        <w:t xml:space="preserve">riálu finanční nástroje jako forma zajištění financování projektů v programovém období 2014-2020 </w:t>
      </w:r>
      <w:r w:rsidR="00E772A0">
        <w:t>došlo</w:t>
      </w:r>
      <w:r>
        <w:t xml:space="preserve"> k dalším změnám a rozšíření aktivit ze strany Evropské komise (Junckerův investiční plán</w:t>
      </w:r>
      <w:r w:rsidR="00F3123B">
        <w:t xml:space="preserve"> - Evropský fond strategických investic </w:t>
      </w:r>
      <w:r>
        <w:t>, Union Capital Market, Long Term Investment Fund Directive a dalších)</w:t>
      </w:r>
      <w:r w:rsidR="00E772A0">
        <w:t>, zmiňuje tato studie proveditelnosti i další vazby na tato evropská témata.</w:t>
      </w:r>
    </w:p>
    <w:p w:rsidR="00862017" w:rsidRDefault="00E772A0" w:rsidP="00862017">
      <w:pPr>
        <w:pStyle w:val="Odstavecseseznamem"/>
        <w:numPr>
          <w:ilvl w:val="0"/>
          <w:numId w:val="48"/>
        </w:numPr>
        <w:jc w:val="both"/>
      </w:pPr>
      <w:r>
        <w:t>Výsledkem této studie proveditelnosti je návrh legislativních i nelegislativních opatření, umožňujících ČR jednak efektivní čerpání evropských prostředků a jejich další zapojení do podpory hospodářské politiky ČR</w:t>
      </w:r>
      <w:r w:rsidR="00F3123B">
        <w:t>,</w:t>
      </w:r>
      <w:r>
        <w:t xml:space="preserve"> a to v souladu s potřebami státního rozpočtu, dopadu na veřejné dluhy, dále se zajištěním manažerské kontroly ze strany jednotlivých řídících orgánů nad jednotlivými finančními nástroji financovanými z jejich OP, ale také umožňující ČR disponovat specializovanou finanční institucí, která může být partnerem pro Evropské aktivity jako je například </w:t>
      </w:r>
      <w:r w:rsidR="00F3123B">
        <w:t>Evropský f</w:t>
      </w:r>
      <w:r>
        <w:t xml:space="preserve">ond strategických investic. </w:t>
      </w:r>
    </w:p>
    <w:p w:rsidR="000028B5" w:rsidRDefault="00E772A0" w:rsidP="000028B5">
      <w:pPr>
        <w:ind w:left="720"/>
        <w:jc w:val="both"/>
      </w:pPr>
      <w:r>
        <w:t xml:space="preserve">Výstupem studie proveditelnosti je návrh na vytvoření separátních investičních účtů pro jednotlivé řídící orgány tzv. </w:t>
      </w:r>
      <w:r w:rsidR="000028B5">
        <w:t>F</w:t>
      </w:r>
      <w:r>
        <w:t xml:space="preserve">ondů fondů pod správou specializované finanční instituce vlastněné státem – ČMZRB. </w:t>
      </w:r>
      <w:r w:rsidR="00BA75E3">
        <w:t>ČMZRB by tak jednala vlastním jménem, ale na investiční účet každého Ř</w:t>
      </w:r>
      <w:r w:rsidR="00F3123B">
        <w:t xml:space="preserve">ídícího orgánu, </w:t>
      </w:r>
      <w:r w:rsidR="00BA75E3">
        <w:t xml:space="preserve"> a to v souladu s pokyny Ř</w:t>
      </w:r>
      <w:r w:rsidR="00F3123B">
        <w:t xml:space="preserve">ídícího </w:t>
      </w:r>
      <w:r w:rsidR="00BA75E3">
        <w:t xml:space="preserve"> na základě </w:t>
      </w:r>
      <w:r w:rsidR="00F3123B">
        <w:t>D</w:t>
      </w:r>
      <w:r w:rsidR="00BA75E3">
        <w:t xml:space="preserve">ohod o financování. </w:t>
      </w:r>
      <w:r>
        <w:t xml:space="preserve">Jednotné řešení správy </w:t>
      </w:r>
      <w:r w:rsidR="00F3123B">
        <w:t>F</w:t>
      </w:r>
      <w:r>
        <w:t>ondu fondů má za cíl zjednodušit výdaje ze státního rozpočtu</w:t>
      </w:r>
      <w:r w:rsidR="00F3123B">
        <w:t xml:space="preserve"> a jejich </w:t>
      </w:r>
      <w:r>
        <w:t xml:space="preserve">kontrolu v rámci jediného místa </w:t>
      </w:r>
      <w:r w:rsidR="00306070">
        <w:t>pověřeného správou F</w:t>
      </w:r>
      <w:r w:rsidR="00F3123B">
        <w:t xml:space="preserve">ondu fondů.  </w:t>
      </w:r>
      <w:r w:rsidR="00306070">
        <w:t>Toto řešení by mělo být, na základě této studie proveditelnosti realizovat jakoukoliv podobu implementace finančních nástrojů bez ohledu na to, zda je s nimi v tento okamžik uvažováno v tzv. ex ante analýzách připravených jednotlivými řídícími orgány</w:t>
      </w:r>
      <w:r w:rsidR="00697973">
        <w:t>.</w:t>
      </w:r>
      <w:r w:rsidR="00306070">
        <w:t xml:space="preserve"> </w:t>
      </w:r>
      <w:r w:rsidR="000028B5">
        <w:t>Obsahová odpovědnost bude, v souladu s těmito návrhy vždy v kompetenci jednotlivých řídících orgánů. ČMZRB jako správce Fondu fondů bude plnit roli odborného poskytovatele služeb při implementaci finančních nástrojů.</w:t>
      </w:r>
      <w:r w:rsidR="000028B5" w:rsidRPr="000028B5">
        <w:t xml:space="preserve"> </w:t>
      </w:r>
      <w:r w:rsidR="000028B5">
        <w:t>Navržené řešení také splňuje podmínky pro čerpání ESIF fondů v programovém období 2014-2020 a opětovné použití již investovaných prostředků na podporu dalších aktivit.</w:t>
      </w:r>
    </w:p>
    <w:p w:rsidR="000D714D" w:rsidRDefault="00306070" w:rsidP="000028B5">
      <w:pPr>
        <w:ind w:left="720"/>
        <w:jc w:val="both"/>
      </w:pPr>
      <w:r>
        <w:t xml:space="preserve">Celé řešení je navrhováno tak, aby ČR byla </w:t>
      </w:r>
      <w:r w:rsidR="001D1BA9">
        <w:t>připravena</w:t>
      </w:r>
      <w:r>
        <w:t xml:space="preserve"> i na změny, které se na evropské úrovni teprve připravují a aby měla flexibilní řešení, které je zároveň v souladu evropskou i národní legislativou, systémem účtování, ale aby také vyhovovalo potřebám ČR v oblasti investic a schopnosti financovat dlouhodobá strategická témata rozvoje. </w:t>
      </w:r>
      <w:r w:rsidR="00697973">
        <w:t>Dojde tak k vytvoření univerzálního místa schopného poskytovat kvalifikované bankovní a finanční poradenství Řídícím orgánům. V dalších krocích bud</w:t>
      </w:r>
      <w:r w:rsidR="000028B5">
        <w:t>e</w:t>
      </w:r>
      <w:r w:rsidR="00697973">
        <w:t xml:space="preserve"> </w:t>
      </w:r>
      <w:r w:rsidR="000028B5">
        <w:t xml:space="preserve">ČMZRB </w:t>
      </w:r>
      <w:r w:rsidR="00697973">
        <w:t>dále možné rozvíjet k  naplňování role národní rozvojové banky schopné spolupracovat s obdobnými evropskými a mezinárodními subjekty (EIB, EIF, EBRD a dalšími</w:t>
      </w:r>
      <w:r w:rsidR="000028B5">
        <w:t xml:space="preserve">, včetně zapojení do tzv. Junckerova plánu </w:t>
      </w:r>
      <w:r w:rsidR="00697973">
        <w:t xml:space="preserve">) a dále se soukromými subjekty – finančními institucemi při naplňování evropských cílů a potřeb financování strategie hospodářského růstu v ČR. </w:t>
      </w:r>
    </w:p>
    <w:p w:rsidR="000D714D" w:rsidRDefault="001D1BA9" w:rsidP="000028B5">
      <w:pPr>
        <w:ind w:left="709"/>
        <w:jc w:val="both"/>
      </w:pPr>
      <w:r>
        <w:t xml:space="preserve"> Ve srovnání s decentralizovaným řešením, tj. variantou, kdy každý </w:t>
      </w:r>
      <w:r w:rsidR="000028B5">
        <w:t>Ř</w:t>
      </w:r>
      <w:r>
        <w:t>ídící orgán implementuje finanční nástroje svou vlastní cestou</w:t>
      </w:r>
      <w:r w:rsidR="000D466C">
        <w:t>,</w:t>
      </w:r>
      <w:r>
        <w:t xml:space="preserve"> má centrální řešení pro ČR několik nezpochybnitelných výhod:</w:t>
      </w:r>
    </w:p>
    <w:p w:rsidR="000D714D" w:rsidRDefault="001D1BA9">
      <w:pPr>
        <w:pStyle w:val="Odstavecseseznamem"/>
        <w:numPr>
          <w:ilvl w:val="0"/>
          <w:numId w:val="49"/>
        </w:numPr>
        <w:jc w:val="both"/>
      </w:pPr>
      <w:r>
        <w:t xml:space="preserve">Vše je postaveno na jednotných legislativních pravidlech, vztah všech </w:t>
      </w:r>
      <w:r w:rsidR="000028B5">
        <w:t>Ř</w:t>
      </w:r>
      <w:r>
        <w:t xml:space="preserve">ídících orgánů k uvedenému řešení je identický a nehrozí tak existence několika různých schémat a to převážně ve vztahu ke státnímu rozpočtu a následné kontrole. Právní jistota jednotného řešení je vyšší. </w:t>
      </w:r>
    </w:p>
    <w:p w:rsidR="000D714D" w:rsidRDefault="00BA75E3">
      <w:pPr>
        <w:pStyle w:val="Odstavecseseznamem"/>
        <w:numPr>
          <w:ilvl w:val="0"/>
          <w:numId w:val="49"/>
        </w:numPr>
        <w:jc w:val="both"/>
      </w:pPr>
      <w:r>
        <w:lastRenderedPageBreak/>
        <w:t>ČR bude disponovat specializovanou finanční institucí schopnou plnit svou roli ve vztahu k evropským institucím.</w:t>
      </w:r>
    </w:p>
    <w:p w:rsidR="000D714D" w:rsidRDefault="001652C1">
      <w:pPr>
        <w:pStyle w:val="Odstavecseseznamem"/>
        <w:numPr>
          <w:ilvl w:val="0"/>
          <w:numId w:val="49"/>
        </w:numPr>
        <w:jc w:val="both"/>
      </w:pPr>
      <w:r>
        <w:t>Úsporu n</w:t>
      </w:r>
      <w:r w:rsidR="00BA75E3">
        <w:t>áklad</w:t>
      </w:r>
      <w:r w:rsidR="000D466C">
        <w:t>ů</w:t>
      </w:r>
      <w:r w:rsidR="00BA75E3">
        <w:t xml:space="preserve"> </w:t>
      </w:r>
      <w:r>
        <w:t xml:space="preserve">lze v případě </w:t>
      </w:r>
      <w:r w:rsidR="00BA75E3">
        <w:t>centr</w:t>
      </w:r>
      <w:r>
        <w:t xml:space="preserve">alizace správy Nástrojů v porovnání s decentralizovanou správou  odhadnout na jednorázových </w:t>
      </w:r>
      <w:r w:rsidR="00415B03">
        <w:t xml:space="preserve"> </w:t>
      </w:r>
      <w:r w:rsidR="00756C48">
        <w:t xml:space="preserve"> 20</w:t>
      </w:r>
      <w:r>
        <w:t xml:space="preserve"> </w:t>
      </w:r>
      <w:r w:rsidR="00756C48">
        <w:t>- 40 mil. Kč</w:t>
      </w:r>
      <w:r w:rsidR="000D466C">
        <w:t>,</w:t>
      </w:r>
      <w:r w:rsidR="00756C48">
        <w:t xml:space="preserve"> </w:t>
      </w:r>
      <w:r>
        <w:t xml:space="preserve">průběžná provozní úspora, resp.  efekt z lepšího zhodnocení prostředků by  </w:t>
      </w:r>
      <w:r w:rsidR="000D466C">
        <w:t>mohl činit 22- 35 mil. Kč, jednoprocentní snížení rizika finanční korekce až 500 mil. Kč.</w:t>
      </w:r>
      <w:r>
        <w:t xml:space="preserve"> </w:t>
      </w:r>
      <w:r w:rsidR="00756C48">
        <w:t xml:space="preserve"> </w:t>
      </w:r>
    </w:p>
    <w:p w:rsidR="007B45C3" w:rsidRDefault="000D466C">
      <w:pPr>
        <w:pStyle w:val="Odstavecseseznamem"/>
        <w:ind w:left="709"/>
        <w:jc w:val="both"/>
      </w:pPr>
      <w:r>
        <w:t xml:space="preserve">Současně však může tato řešení oddálit pro některé operační programy zahájení implementace finančních nástrojů.  Tento dopad lze snížit intenzivní spolupráci mezi ČMZRB a jednotlivými Řídícími orgány a co nejvyšší mírou unifikace produktů a procesů.  </w:t>
      </w:r>
    </w:p>
    <w:p w:rsidR="00862017" w:rsidRPr="00862017" w:rsidRDefault="00862017" w:rsidP="00862017">
      <w:pPr>
        <w:pStyle w:val="Odstavecseseznamem"/>
        <w:numPr>
          <w:ilvl w:val="0"/>
          <w:numId w:val="48"/>
        </w:numPr>
        <w:jc w:val="both"/>
      </w:pPr>
      <w:r w:rsidRPr="00862017">
        <w:t>K NAPL</w:t>
      </w:r>
      <w:r w:rsidR="000028B5">
        <w:t>N</w:t>
      </w:r>
      <w:r w:rsidRPr="00862017">
        <w:t>ENI TOHOTO PL</w:t>
      </w:r>
      <w:r w:rsidR="006F78A1">
        <w:t>Á</w:t>
      </w:r>
      <w:r w:rsidRPr="00862017">
        <w:t>NU JE TŘEBA UDELA</w:t>
      </w:r>
      <w:r w:rsidR="00C87443">
        <w:t>T</w:t>
      </w:r>
      <w:r w:rsidRPr="00862017">
        <w:t xml:space="preserve"> N</w:t>
      </w:r>
      <w:r w:rsidR="006F78A1">
        <w:t>Á</w:t>
      </w:r>
      <w:r w:rsidRPr="00862017">
        <w:t>SLEDUJ</w:t>
      </w:r>
      <w:r w:rsidR="000028B5">
        <w:t>Í</w:t>
      </w:r>
      <w:r w:rsidRPr="00862017">
        <w:t>C</w:t>
      </w:r>
      <w:r w:rsidR="000028B5">
        <w:t>Í</w:t>
      </w:r>
      <w:r w:rsidRPr="00862017">
        <w:t xml:space="preserve"> LEGISLATIVN</w:t>
      </w:r>
      <w:r w:rsidR="000028B5">
        <w:t>Í</w:t>
      </w:r>
      <w:r w:rsidRPr="00862017">
        <w:t xml:space="preserve"> KROKY</w:t>
      </w:r>
      <w:r w:rsidR="000028B5">
        <w:t>:</w:t>
      </w:r>
    </w:p>
    <w:p w:rsidR="00862017" w:rsidRPr="00862017" w:rsidRDefault="00BA75E3" w:rsidP="00862017">
      <w:pPr>
        <w:pStyle w:val="Odstavecseseznamem"/>
        <w:numPr>
          <w:ilvl w:val="1"/>
          <w:numId w:val="48"/>
        </w:numPr>
        <w:jc w:val="both"/>
      </w:pPr>
      <w:r>
        <w:t>Úprava zákona č 218</w:t>
      </w:r>
      <w:r w:rsidR="00674E53">
        <w:t xml:space="preserve">/2000 Sb., </w:t>
      </w:r>
      <w:r>
        <w:t xml:space="preserve"> o rozpočtových pravidlech o nový výdaj ze státního rozpočtu (nyní možnost pouze dotace či návratné finanční výpomoci) – již vloženo do novely zákona a připravuje se její projednání vládou ČR.</w:t>
      </w:r>
    </w:p>
    <w:p w:rsidR="006F78A1" w:rsidRDefault="006F78A1" w:rsidP="006F78A1">
      <w:pPr>
        <w:pStyle w:val="Odstavecseseznamem"/>
        <w:numPr>
          <w:ilvl w:val="1"/>
          <w:numId w:val="48"/>
        </w:numPr>
        <w:jc w:val="both"/>
      </w:pPr>
      <w:r>
        <w:t>Úprava připravované novely zákona č. 2137/2006 Sb.,  o zadávání veřejných zakázek tak, aby banka mohla svou roli poskytovatele služeb plnit v tzv. režimu in house. Navržena změna zákona, probíhají jednání s předkladatelem zákona. V případě ponechání stávajícího stavu možnost řešit situaci administrativně tj. rozšířením počtu subjektů zastupujících ČR při výkonu akcionářských práv i o další ministerstva. Návrhy obsaženy v této studii.</w:t>
      </w:r>
    </w:p>
    <w:p w:rsidR="007B45C3" w:rsidRDefault="006F78A1">
      <w:pPr>
        <w:pStyle w:val="Odstavecseseznamem"/>
        <w:numPr>
          <w:ilvl w:val="0"/>
          <w:numId w:val="48"/>
        </w:numPr>
        <w:jc w:val="both"/>
      </w:pPr>
      <w:r>
        <w:t xml:space="preserve">Dalšími potřebnými opatřeními jsou: </w:t>
      </w:r>
    </w:p>
    <w:p w:rsidR="00862017" w:rsidRPr="00862017" w:rsidRDefault="000028B5" w:rsidP="00862017">
      <w:pPr>
        <w:pStyle w:val="Odstavecseseznamem"/>
        <w:numPr>
          <w:ilvl w:val="1"/>
          <w:numId w:val="48"/>
        </w:numPr>
        <w:jc w:val="both"/>
      </w:pPr>
      <w:r>
        <w:t xml:space="preserve">Potvrzení </w:t>
      </w:r>
      <w:r w:rsidR="00BA75E3">
        <w:t>metodik</w:t>
      </w:r>
      <w:r>
        <w:t xml:space="preserve">y účtování o prostředcích vložených do Fondu fondů či Finančních nástrojů v účetnictví  </w:t>
      </w:r>
      <w:r w:rsidR="00BA75E3">
        <w:t>jednotlivých Ř</w:t>
      </w:r>
      <w:r>
        <w:t>ídích orgánů</w:t>
      </w:r>
      <w:r w:rsidR="00BA75E3">
        <w:t xml:space="preserve">– již </w:t>
      </w:r>
      <w:r w:rsidR="000B4167">
        <w:t xml:space="preserve">návrh </w:t>
      </w:r>
      <w:r w:rsidR="00BA75E3">
        <w:t xml:space="preserve">je </w:t>
      </w:r>
      <w:r w:rsidR="000B4167">
        <w:t xml:space="preserve">uveden v </w:t>
      </w:r>
      <w:r w:rsidR="00BA75E3">
        <w:t xml:space="preserve">této </w:t>
      </w:r>
      <w:r w:rsidR="000B4167">
        <w:t>S</w:t>
      </w:r>
      <w:r w:rsidR="00BA75E3">
        <w:t>tudi</w:t>
      </w:r>
      <w:r w:rsidR="000B4167">
        <w:t>i</w:t>
      </w:r>
      <w:r w:rsidR="00BA75E3">
        <w:t>.</w:t>
      </w:r>
    </w:p>
    <w:p w:rsidR="00BA75E3" w:rsidRDefault="00BA75E3" w:rsidP="00862017">
      <w:pPr>
        <w:pStyle w:val="Odstavecseseznamem"/>
        <w:numPr>
          <w:ilvl w:val="1"/>
          <w:numId w:val="48"/>
        </w:numPr>
        <w:jc w:val="both"/>
      </w:pPr>
      <w:r>
        <w:t xml:space="preserve">Rozšíření licencí ČMZRB tak, aby byla schopna plnit roli poskytovatele služeb i pro oblast alternativních investičních fondů. Jedná se o licenci depozitáře a dále o licenci administrátora. Tato aktivita nevyžaduje žádné legislativní změny, je </w:t>
      </w:r>
      <w:r w:rsidR="00287FC0">
        <w:t>navržena a také procesně realizována ze strany banky.</w:t>
      </w:r>
    </w:p>
    <w:p w:rsidR="00287FC0" w:rsidRDefault="00287FC0" w:rsidP="00862017">
      <w:pPr>
        <w:pStyle w:val="Odstavecseseznamem"/>
        <w:numPr>
          <w:ilvl w:val="1"/>
          <w:numId w:val="48"/>
        </w:numPr>
        <w:jc w:val="both"/>
      </w:pPr>
      <w:r>
        <w:t xml:space="preserve">Další organizační, personální a technické změny nutné na straně ČMZRB pro výkon funkce poskytovatele služeb je </w:t>
      </w:r>
      <w:r w:rsidR="006F78A1">
        <w:t xml:space="preserve">uvedené </w:t>
      </w:r>
      <w:r>
        <w:t>v této studii.</w:t>
      </w:r>
    </w:p>
    <w:p w:rsidR="007B45C3" w:rsidRDefault="00287FC0">
      <w:pPr>
        <w:pStyle w:val="Odstavecseseznamem"/>
        <w:numPr>
          <w:ilvl w:val="0"/>
          <w:numId w:val="48"/>
        </w:numPr>
        <w:jc w:val="both"/>
      </w:pPr>
      <w:r>
        <w:t xml:space="preserve">Případné </w:t>
      </w:r>
      <w:r w:rsidR="00CB74BF">
        <w:t xml:space="preserve">náklady spojené s </w:t>
      </w:r>
      <w:r>
        <w:t xml:space="preserve">rozšíření licencí či zabezpečeni naplnění funkce poskytovatele služeb </w:t>
      </w:r>
      <w:r w:rsidR="00CB74BF">
        <w:t xml:space="preserve">pro subjekt spravující fond rizikového kapitálu je ČMZRB </w:t>
      </w:r>
      <w:r>
        <w:t xml:space="preserve">schopna financovat z vlastních zdrojů. </w:t>
      </w:r>
    </w:p>
    <w:p w:rsidR="00862017" w:rsidRDefault="00287FC0" w:rsidP="00862017">
      <w:pPr>
        <w:pStyle w:val="Odstavecseseznamem"/>
        <w:numPr>
          <w:ilvl w:val="0"/>
          <w:numId w:val="48"/>
        </w:numPr>
        <w:jc w:val="both"/>
      </w:pPr>
      <w:r>
        <w:t xml:space="preserve">Centrální řešení </w:t>
      </w:r>
      <w:r w:rsidR="003F40E9">
        <w:t xml:space="preserve">správy finančních nástrojů </w:t>
      </w:r>
      <w:r>
        <w:t>může na základě této analýzy</w:t>
      </w:r>
      <w:r w:rsidR="00B97C7B">
        <w:t xml:space="preserve"> v navržené podobě </w:t>
      </w:r>
      <w:r>
        <w:t xml:space="preserve"> začít fungovat </w:t>
      </w:r>
      <w:r w:rsidR="00674E53">
        <w:t xml:space="preserve">z pohledu legislativního </w:t>
      </w:r>
      <w:r>
        <w:t>dnem 1.1.2016 za předpokladu, že k tomuto datu nabude účinnosti novela zákona č. 218</w:t>
      </w:r>
      <w:r w:rsidR="003F40E9">
        <w:t xml:space="preserve">/2000 Sb., </w:t>
      </w:r>
      <w:r>
        <w:t xml:space="preserve"> o rozpočtových pravidlech</w:t>
      </w:r>
      <w:r w:rsidR="00B97C7B">
        <w:t xml:space="preserve"> Jedná se o všeobecnou podmínku, která se vztahuje  jakýkoliv způsob vytváření a správy  Nástrojů.    </w:t>
      </w:r>
    </w:p>
    <w:p w:rsidR="003F40E9" w:rsidRPr="00862017" w:rsidRDefault="003F40E9" w:rsidP="00862017">
      <w:pPr>
        <w:pStyle w:val="Odstavecseseznamem"/>
        <w:numPr>
          <w:ilvl w:val="0"/>
          <w:numId w:val="48"/>
        </w:numPr>
        <w:jc w:val="both"/>
      </w:pPr>
      <w:r w:rsidRPr="003F40E9">
        <w:t>Specializovaný zákon o národní rozvojové bance. Není nutno řešit nyní pro implementaci finanč</w:t>
      </w:r>
      <w:r>
        <w:t>n</w:t>
      </w:r>
      <w:r w:rsidRPr="003F40E9">
        <w:t>ích nástrojů, ale ze střednědobého hlediska by bylo dobré tento zákon připravit a dát tak ČMZRB mandát národní rozvojové banky, která je nově definována v rámci Junckerova investičního plánu. a.</w:t>
      </w:r>
      <w:r w:rsidRPr="003F40E9">
        <w:tab/>
        <w:t>Pro budoucí rozšíření funkcí národní rozvojové banky by byl zpracován zvláštní finanční plán a vyjádření finančních potřeb ze státního rozpočtu či technické asistence EU.</w:t>
      </w:r>
    </w:p>
    <w:p w:rsidR="00620F5E" w:rsidRPr="00644388" w:rsidRDefault="004E6B33" w:rsidP="009754EB">
      <w:pPr>
        <w:pStyle w:val="Nadpis1"/>
        <w:numPr>
          <w:ilvl w:val="0"/>
          <w:numId w:val="17"/>
        </w:numPr>
        <w:jc w:val="both"/>
      </w:pPr>
      <w:bookmarkStart w:id="2" w:name="_Toc419730420"/>
      <w:r w:rsidRPr="004E6B33">
        <w:t>Vymezení cíle studie</w:t>
      </w:r>
      <w:bookmarkEnd w:id="2"/>
      <w:r w:rsidRPr="004E6B33">
        <w:t xml:space="preserve"> </w:t>
      </w:r>
    </w:p>
    <w:p w:rsidR="00F42FA1" w:rsidRDefault="00F42FA1" w:rsidP="00D650A9">
      <w:pPr>
        <w:jc w:val="both"/>
      </w:pPr>
      <w:r>
        <w:t>Studie proveditelnosti je zpracována s těmito cíly:</w:t>
      </w:r>
    </w:p>
    <w:p w:rsidR="00F30C0E" w:rsidRDefault="00F42FA1">
      <w:pPr>
        <w:pStyle w:val="Odstavecseseznamem"/>
        <w:numPr>
          <w:ilvl w:val="0"/>
          <w:numId w:val="47"/>
        </w:numPr>
        <w:jc w:val="both"/>
      </w:pPr>
      <w:r>
        <w:lastRenderedPageBreak/>
        <w:t>popsat způsob fungování Fondu fondů a jednotlivých typů Finančních nástrojů v podmínkách správy Fondu fondů prováděné ČMZRB,</w:t>
      </w:r>
    </w:p>
    <w:p w:rsidR="00F30C0E" w:rsidRDefault="00C767ED">
      <w:pPr>
        <w:pStyle w:val="Odstavecseseznamem"/>
        <w:numPr>
          <w:ilvl w:val="0"/>
          <w:numId w:val="47"/>
        </w:numPr>
        <w:jc w:val="both"/>
      </w:pPr>
      <w:r w:rsidRPr="00C767ED">
        <w:t>určit rozsah nezbytných změn národní legislativy, aby ČMZRB mohla vykonávat správu Fondu fondů pro všechny Řídící orgány, které předpokládají využití Nástrojů v rámci realizace Operačních programů</w:t>
      </w:r>
      <w:r>
        <w:t>,</w:t>
      </w:r>
    </w:p>
    <w:p w:rsidR="00DD5AE6" w:rsidRDefault="00DD5AE6">
      <w:pPr>
        <w:pStyle w:val="Odstavecseseznamem"/>
        <w:numPr>
          <w:ilvl w:val="0"/>
          <w:numId w:val="47"/>
        </w:numPr>
        <w:jc w:val="both"/>
      </w:pPr>
      <w:r>
        <w:t>popsat vazbu řešení na evropské aktivity</w:t>
      </w:r>
      <w:r w:rsidR="00865E8C">
        <w:t>, zejména Evropský fond pro strategické investice,tzv.</w:t>
      </w:r>
      <w:r>
        <w:t xml:space="preserve"> Junckr</w:t>
      </w:r>
      <w:r w:rsidR="00865E8C">
        <w:t>ů</w:t>
      </w:r>
      <w:r>
        <w:t>v plán</w:t>
      </w:r>
      <w:r w:rsidR="00865E8C">
        <w:t>,</w:t>
      </w:r>
    </w:p>
    <w:p w:rsidR="00F30C0E" w:rsidRDefault="00C767ED">
      <w:pPr>
        <w:pStyle w:val="Odstavecseseznamem"/>
        <w:numPr>
          <w:ilvl w:val="0"/>
          <w:numId w:val="47"/>
        </w:numPr>
        <w:jc w:val="both"/>
      </w:pPr>
      <w:r>
        <w:t>určit nezbytná opatření na straně ČMZRB k zabezpečení činnosti správce Fondu fondů,</w:t>
      </w:r>
    </w:p>
    <w:p w:rsidR="00F30C0E" w:rsidRDefault="00C767ED">
      <w:pPr>
        <w:pStyle w:val="Odstavecseseznamem"/>
        <w:numPr>
          <w:ilvl w:val="0"/>
          <w:numId w:val="47"/>
        </w:numPr>
        <w:jc w:val="both"/>
      </w:pPr>
      <w:r>
        <w:t>určit, zda je nutné provedení zvláštních výdajů státního rozpočtu k přípravě a realizaci centralizované správy Fondu fondů,</w:t>
      </w:r>
    </w:p>
    <w:p w:rsidR="00F30C0E" w:rsidRDefault="00DF3E09">
      <w:pPr>
        <w:pStyle w:val="Odstavecseseznamem"/>
        <w:numPr>
          <w:ilvl w:val="0"/>
          <w:numId w:val="47"/>
        </w:numPr>
        <w:jc w:val="both"/>
      </w:pPr>
      <w:r>
        <w:t xml:space="preserve">rámcově popsat </w:t>
      </w:r>
      <w:r w:rsidR="00C767ED">
        <w:t>možné ekonomické efekty centralizace správy Fondu fondů</w:t>
      </w:r>
      <w:r>
        <w:t>,</w:t>
      </w:r>
      <w:r w:rsidR="00C767ED">
        <w:t xml:space="preserve">  </w:t>
      </w:r>
    </w:p>
    <w:p w:rsidR="00F30C0E" w:rsidRDefault="00C767ED">
      <w:pPr>
        <w:pStyle w:val="Odstavecseseznamem"/>
        <w:numPr>
          <w:ilvl w:val="0"/>
          <w:numId w:val="47"/>
        </w:numPr>
        <w:jc w:val="both"/>
      </w:pPr>
      <w:r>
        <w:t>vymezit rizika provedení centralizované správy</w:t>
      </w:r>
      <w:r w:rsidR="00DF3E09">
        <w:t>.</w:t>
      </w:r>
      <w:r>
        <w:t xml:space="preserve">        </w:t>
      </w:r>
    </w:p>
    <w:p w:rsidR="00F30C0E" w:rsidRDefault="00F30C0E">
      <w:pPr>
        <w:pStyle w:val="Odstavecseseznamem"/>
      </w:pPr>
    </w:p>
    <w:p w:rsidR="006A68BC" w:rsidRDefault="00D62541" w:rsidP="009754EB">
      <w:pPr>
        <w:pStyle w:val="Nadpis1"/>
        <w:numPr>
          <w:ilvl w:val="0"/>
          <w:numId w:val="17"/>
        </w:numPr>
        <w:jc w:val="both"/>
      </w:pPr>
      <w:bookmarkStart w:id="3" w:name="_Toc419730421"/>
      <w:r w:rsidRPr="00D62541">
        <w:t>Finanční nástroje jako</w:t>
      </w:r>
      <w:r w:rsidR="00DE4D5A">
        <w:t xml:space="preserve"> </w:t>
      </w:r>
      <w:r w:rsidRPr="00D62541">
        <w:t>součást hospodářské politiky státu</w:t>
      </w:r>
      <w:bookmarkEnd w:id="3"/>
      <w:r w:rsidR="006A68BC">
        <w:t xml:space="preserve"> </w:t>
      </w:r>
    </w:p>
    <w:p w:rsidR="002D0426" w:rsidRDefault="002D0426" w:rsidP="00D650A9">
      <w:pPr>
        <w:jc w:val="both"/>
      </w:pPr>
      <w:r>
        <w:t>Evropská komise připravuje dlouhodobou strategii změny chování a financování růstu Evropské Unie. Finanční nástroje jsou pouze jedním z dílčích prvků celého systému a navrhované změny. Cílem je přiblížit Evropu k principům financování USA</w:t>
      </w:r>
      <w:r w:rsidR="00DF3E09">
        <w:t>,</w:t>
      </w:r>
      <w:r>
        <w:t xml:space="preserve"> tj. podniky a projekty více orientovat na primární financování soukromým kapitálem a teprve následně dluhovými zdroji bank (Evropa a např. Německo či Česká republika jsou historicky orientované na financování bankami a úvěry</w:t>
      </w:r>
      <w:r w:rsidR="00AC6AC3">
        <w:t>)</w:t>
      </w:r>
      <w:r>
        <w:t xml:space="preserve">. EK bude usilovat o to, aby úspory domácností sdružené v penzijních fondech, pojišťovnách a soukromé úspory nefinancovaly primárně jiné státy (akcie USA, Čína atd.), ale aby část z nich financovala reálné investice v EU. </w:t>
      </w:r>
    </w:p>
    <w:p w:rsidR="002D0426" w:rsidRDefault="002D0426" w:rsidP="00D650A9">
      <w:pPr>
        <w:jc w:val="both"/>
      </w:pPr>
      <w:r>
        <w:t>Junckerův balíček a finanční nástroje mají za cíl iniciovat vzedmutí soukromých investic v celé EU. Opatření typu nových typů investičních fondů jako je směrnice o fondech dlouhodobých investic či nově připravovaná aktivita Unie kapitálových trhů mají za cíl odstraňovat bariéry mezi členskými státy pro posílení toku kapitálu a investic. Poslední roky se vše jenom regulovalo, nyní mají nová opatření za cíl uvolňovat</w:t>
      </w:r>
      <w:r w:rsidR="00AC6AC3">
        <w:t xml:space="preserve"> kapitál a stimulovat hospodářský růst</w:t>
      </w:r>
      <w:r>
        <w:t>.</w:t>
      </w:r>
    </w:p>
    <w:p w:rsidR="002D0426" w:rsidRDefault="00AA0E08" w:rsidP="00D650A9">
      <w:pPr>
        <w:jc w:val="both"/>
      </w:pPr>
      <w:r>
        <w:t>F</w:t>
      </w:r>
      <w:r w:rsidR="00AC6AC3">
        <w:t>inanční nástroje umožňují ČR jedinečnou možnost jak stimulovat a vytvořit vlastní finanční instituci, která by mohl</w:t>
      </w:r>
      <w:r w:rsidR="00DF3E09">
        <w:t>a</w:t>
      </w:r>
      <w:r w:rsidR="00AC6AC3">
        <w:t xml:space="preserve"> plnit roli národní rozvojové banky a to bez nutnosti úvodního vkladu na činnost banky ze strany státního rozpočtu. Pro činnost rozvojových bank je totiž nutné disponovat určitou kritickou minimální sumou prostředků, aby podpora hospodářství byla viditelná a také, aby čin</w:t>
      </w:r>
      <w:r w:rsidR="000E7D4F">
        <w:t>n</w:t>
      </w:r>
      <w:r w:rsidR="00AC6AC3">
        <w:t>osti realizované bankou byly efektivní.</w:t>
      </w:r>
    </w:p>
    <w:p w:rsidR="002D0426" w:rsidRDefault="00AC6AC3" w:rsidP="00D650A9">
      <w:pPr>
        <w:jc w:val="both"/>
      </w:pPr>
      <w:r>
        <w:t>Pokud se chce ČR tohoto trendu držet, potom je nezbytné r</w:t>
      </w:r>
      <w:r w:rsidR="002D0426">
        <w:t>ychle a efektivně vybudovat státem vlastněnou bankovní strukturu</w:t>
      </w:r>
      <w:r>
        <w:t>, úvěrová a garanční schémata</w:t>
      </w:r>
      <w:r w:rsidR="002D0426">
        <w:t xml:space="preserve"> a </w:t>
      </w:r>
      <w:r>
        <w:t>případně</w:t>
      </w:r>
      <w:r w:rsidR="002D0426">
        <w:t xml:space="preserve"> soustavu investičních fondů (</w:t>
      </w:r>
      <w:r>
        <w:t xml:space="preserve">příklad Slovensko - </w:t>
      </w:r>
      <w:r w:rsidR="002D0426">
        <w:t xml:space="preserve">dopravní infrastruktura, energetická infrastruktura, ICT infrastruktura, energetické úspory, podpora podniků a podnikatelů, komercionalizace vědy a výzkumu či sociální </w:t>
      </w:r>
      <w:r w:rsidR="00674017">
        <w:t>bydlení). Tyto entity lze přímo</w:t>
      </w:r>
      <w:r w:rsidR="00AA0E08">
        <w:t xml:space="preserve"> propojit </w:t>
      </w:r>
      <w:r w:rsidR="002D0426">
        <w:t xml:space="preserve">na </w:t>
      </w:r>
      <w:r w:rsidR="008F42E0">
        <w:t xml:space="preserve"> EFSI </w:t>
      </w:r>
      <w:r w:rsidR="002D0426">
        <w:t xml:space="preserve">tj. místo stovek drobných projektů jsme schopni </w:t>
      </w:r>
      <w:r>
        <w:t>získat garance na několik</w:t>
      </w:r>
      <w:r w:rsidR="002D0426">
        <w:t xml:space="preserve"> velkých projektových řešení pro celé oblasti a získat další finanční zdroje a záruky.</w:t>
      </w:r>
    </w:p>
    <w:p w:rsidR="002D0426" w:rsidRDefault="002D0426" w:rsidP="00D650A9">
      <w:pPr>
        <w:jc w:val="both"/>
      </w:pPr>
      <w:r>
        <w:lastRenderedPageBreak/>
        <w:t>ČR má nejlepší legislativu na oblast alternativních investičních fondů v bývalém východním bloku, to by nám umožňovalo stáhnout část kapitálu do správy na území ČR z těchto zemí (Slovensko si díky chybějící legislativě bude zakládat lucemburské investiční fondy).</w:t>
      </w:r>
    </w:p>
    <w:p w:rsidR="002D0426" w:rsidRDefault="00AC6AC3" w:rsidP="00D650A9">
      <w:pPr>
        <w:jc w:val="both"/>
      </w:pPr>
      <w:r>
        <w:t>ČR</w:t>
      </w:r>
      <w:r w:rsidR="002D0426">
        <w:t xml:space="preserve"> si může vytvořit komplexní systém mimorozpočtových aktivit pro podporu dlouhodobých investic</w:t>
      </w:r>
      <w:r w:rsidR="00674017">
        <w:t>.</w:t>
      </w:r>
      <w:r w:rsidR="002D0426">
        <w:t xml:space="preserve"> Vznikl by tak </w:t>
      </w:r>
      <w:r w:rsidR="00D873A1">
        <w:t xml:space="preserve">i </w:t>
      </w:r>
      <w:r w:rsidR="002D0426">
        <w:t>kompletní systém pro řízení státních investic</w:t>
      </w:r>
      <w:r w:rsidR="00D873A1">
        <w:t xml:space="preserve"> financovaných z národních zdrojů. Prvotní zdroje nutné pro rozjezd těchto opatření by plnily finanční nástroje realizované v navrhované variantě, které jsou zdrojově financovány z evropského rozpočtu.</w:t>
      </w:r>
    </w:p>
    <w:p w:rsidR="00735FD8" w:rsidRDefault="00735FD8" w:rsidP="00D650A9">
      <w:pPr>
        <w:jc w:val="both"/>
        <w:rPr>
          <w:b/>
          <w:sz w:val="24"/>
          <w:szCs w:val="24"/>
        </w:rPr>
      </w:pPr>
    </w:p>
    <w:p w:rsidR="00620F5E" w:rsidRPr="00644388" w:rsidRDefault="00D62541" w:rsidP="009754EB">
      <w:pPr>
        <w:pStyle w:val="Nadpis1"/>
        <w:numPr>
          <w:ilvl w:val="0"/>
          <w:numId w:val="17"/>
        </w:numPr>
        <w:jc w:val="both"/>
      </w:pPr>
      <w:bookmarkStart w:id="4" w:name="_Toc419730422"/>
      <w:r w:rsidRPr="00D62541">
        <w:t>Hlavní systémové otázky a způsob</w:t>
      </w:r>
      <w:r w:rsidR="00DE4D5A">
        <w:t xml:space="preserve"> </w:t>
      </w:r>
      <w:r w:rsidRPr="00D62541">
        <w:t>jejich řešení</w:t>
      </w:r>
      <w:bookmarkEnd w:id="4"/>
      <w:r w:rsidRPr="00D62541">
        <w:t xml:space="preserve"> </w:t>
      </w:r>
    </w:p>
    <w:p w:rsidR="00726FBF" w:rsidRDefault="00726FBF" w:rsidP="00D650A9">
      <w:pPr>
        <w:jc w:val="both"/>
      </w:pPr>
      <w:r>
        <w:t>Implementace Nástrojů vyžaduje vyřešení dlouhodobě diskutovaných zásadních otázek nebo potvrzení jednotného přístupu a výkladu jejich řešení.</w:t>
      </w:r>
    </w:p>
    <w:p w:rsidR="007B4C0A" w:rsidRDefault="00726FBF" w:rsidP="00D650A9">
      <w:pPr>
        <w:jc w:val="both"/>
      </w:pPr>
      <w:r>
        <w:t xml:space="preserve">Část z nich souvisí s potřebou reakce národní legislativy na otázky, které jsou z pohledu přímo aplikovatelné </w:t>
      </w:r>
      <w:r w:rsidR="00B36675">
        <w:t xml:space="preserve">evropské </w:t>
      </w:r>
      <w:r>
        <w:t>legislativy vyřešeny</w:t>
      </w:r>
      <w:r w:rsidR="00C85A0D">
        <w:t>.</w:t>
      </w:r>
      <w:r>
        <w:t xml:space="preserve"> </w:t>
      </w:r>
      <w:r w:rsidR="00C85A0D">
        <w:t>P</w:t>
      </w:r>
      <w:r>
        <w:t>rotože by však postup pouze na základě přímo aplikovatelné evropské</w:t>
      </w:r>
      <w:r w:rsidR="00DE4D5A">
        <w:t xml:space="preserve"> </w:t>
      </w:r>
      <w:r w:rsidR="00C85A0D">
        <w:t>le</w:t>
      </w:r>
      <w:r>
        <w:t>gislativy vytvářel prostředí právní nejistoty</w:t>
      </w:r>
      <w:r w:rsidR="00C85A0D">
        <w:t>,</w:t>
      </w:r>
      <w:r w:rsidR="00DE4D5A">
        <w:t xml:space="preserve"> </w:t>
      </w:r>
      <w:r w:rsidR="00C85A0D">
        <w:t>j</w:t>
      </w:r>
      <w:r w:rsidR="00B36675">
        <w:t xml:space="preserve">e žádoucí upravit </w:t>
      </w:r>
      <w:r w:rsidR="00A417CD">
        <w:t>zejména</w:t>
      </w:r>
      <w:r w:rsidR="00B36675">
        <w:t xml:space="preserve"> </w:t>
      </w:r>
      <w:r w:rsidR="00C85A0D">
        <w:t>zákon č. 137/2006 Sb.,</w:t>
      </w:r>
      <w:r w:rsidR="00DE4D5A">
        <w:t xml:space="preserve"> </w:t>
      </w:r>
      <w:r w:rsidR="00C85A0D">
        <w:t>o veřejných zakázkách,</w:t>
      </w:r>
      <w:r w:rsidR="00DE4D5A">
        <w:t xml:space="preserve"> </w:t>
      </w:r>
      <w:r w:rsidR="00A417CD">
        <w:t>zákon č. 218/2000 Sb.,</w:t>
      </w:r>
      <w:r w:rsidR="00DE4D5A">
        <w:t xml:space="preserve"> </w:t>
      </w:r>
      <w:r w:rsidR="00A417CD">
        <w:t>rozpočtov</w:t>
      </w:r>
      <w:r w:rsidR="00FC7F9F">
        <w:t>á</w:t>
      </w:r>
      <w:r w:rsidR="00A417CD">
        <w:t xml:space="preserve"> pravidl</w:t>
      </w:r>
      <w:r w:rsidR="00FC7F9F">
        <w:t>a</w:t>
      </w:r>
      <w:r w:rsidR="00C85A0D">
        <w:t xml:space="preserve"> a</w:t>
      </w:r>
      <w:r w:rsidR="00DE4D5A">
        <w:t xml:space="preserve"> </w:t>
      </w:r>
      <w:r w:rsidR="00A417CD">
        <w:t>zákon 47/2002 Sb., o podpoře malého a středního podnikání</w:t>
      </w:r>
      <w:r w:rsidR="00C85A0D">
        <w:t>.</w:t>
      </w:r>
    </w:p>
    <w:p w:rsidR="00C85A0D" w:rsidRDefault="00C85A0D" w:rsidP="00D650A9">
      <w:pPr>
        <w:jc w:val="both"/>
        <w:rPr>
          <w:b/>
          <w:sz w:val="24"/>
          <w:szCs w:val="24"/>
        </w:rPr>
      </w:pPr>
    </w:p>
    <w:p w:rsidR="008F3EBB" w:rsidRPr="00C85A0D" w:rsidRDefault="00F21777" w:rsidP="009754EB">
      <w:pPr>
        <w:pStyle w:val="Nadpis2"/>
        <w:numPr>
          <w:ilvl w:val="0"/>
          <w:numId w:val="27"/>
        </w:numPr>
        <w:jc w:val="both"/>
      </w:pPr>
      <w:bookmarkStart w:id="5" w:name="_Toc419730423"/>
      <w:r>
        <w:t xml:space="preserve">I. </w:t>
      </w:r>
      <w:r w:rsidR="00D62541" w:rsidRPr="00D62541">
        <w:t>Zadání správy Nástroje ČMZRB „in house“</w:t>
      </w:r>
      <w:bookmarkEnd w:id="5"/>
    </w:p>
    <w:p w:rsidR="008F3EBB" w:rsidRDefault="008F3EBB" w:rsidP="00D650A9">
      <w:pPr>
        <w:jc w:val="both"/>
      </w:pPr>
      <w:r>
        <w:t>Článek</w:t>
      </w:r>
      <w:r w:rsidR="00DE4D5A">
        <w:t xml:space="preserve"> </w:t>
      </w:r>
      <w:r w:rsidR="00EF0FF6">
        <w:t xml:space="preserve">37 odst. 1 druhý pododstavec </w:t>
      </w:r>
      <w:r>
        <w:t>Obecného n</w:t>
      </w:r>
      <w:r w:rsidR="00F81682">
        <w:t xml:space="preserve">ařízení stanoví Řídícímu orgánu </w:t>
      </w:r>
      <w:r>
        <w:t>povinnost</w:t>
      </w:r>
      <w:r w:rsidR="00DE4D5A">
        <w:t xml:space="preserve"> </w:t>
      </w:r>
      <w:r w:rsidR="00EF0FF6" w:rsidRPr="00EF0FF6">
        <w:t>postupovat v souladu s platnými právními předpisy, zejména s těmi, které upravují poskytování státní podpory a zadávání veřejných zakázek.</w:t>
      </w:r>
      <w:r w:rsidR="008530AD" w:rsidRPr="008530AD">
        <w:t xml:space="preserve"> </w:t>
      </w:r>
      <w:r w:rsidR="008530AD">
        <w:t>“). Veřejným zadavatelem zakázky na vytvoření a správu Nástroje je Česká republika.</w:t>
      </w:r>
    </w:p>
    <w:p w:rsidR="00FB551A" w:rsidRDefault="00EF0FF6" w:rsidP="00D650A9">
      <w:pPr>
        <w:jc w:val="both"/>
      </w:pPr>
      <w:r>
        <w:t>V případě zakázky na zadání správy Nástroje musí být tato zakázka zadána</w:t>
      </w:r>
      <w:r w:rsidR="00FB551A">
        <w:t xml:space="preserve"> </w:t>
      </w:r>
      <w:r w:rsidR="008530AD">
        <w:t xml:space="preserve">v souladu se zákonem </w:t>
      </w:r>
      <w:r w:rsidR="008530AD" w:rsidRPr="00567571">
        <w:t>č. 137/2006 Sb., o veřejných zakázkách, ve znění pozdějších předpisů</w:t>
      </w:r>
      <w:r w:rsidR="008530AD">
        <w:t xml:space="preserve"> (dále „ ZVZ). Zárove</w:t>
      </w:r>
      <w:r w:rsidR="00FB551A">
        <w:t>ň</w:t>
      </w:r>
      <w:r w:rsidR="008530AD">
        <w:t xml:space="preserve"> je však nutno vyloučit i možné námitky, že zadání zakázky je v rozporu se </w:t>
      </w:r>
      <w:r>
        <w:t>Směrnicí Evropského parlamentu a Rady</w:t>
      </w:r>
      <w:r w:rsidR="00DE4D5A">
        <w:t xml:space="preserve"> </w:t>
      </w:r>
      <w:r w:rsidRPr="00EF0FF6">
        <w:t>2014/24/EU ze dne 26. února 2014 o zadávání veřejných zakázek a o zrušení směrnice 2004/18/ES</w:t>
      </w:r>
      <w:r w:rsidR="008530AD">
        <w:t>, resp. judikáty  Evropského soudního dvora</w:t>
      </w:r>
      <w:r w:rsidR="00FB551A">
        <w:t>.</w:t>
      </w:r>
    </w:p>
    <w:p w:rsidR="00A01806" w:rsidRDefault="00567571" w:rsidP="00D650A9">
      <w:pPr>
        <w:jc w:val="both"/>
      </w:pPr>
      <w:r>
        <w:t xml:space="preserve">ČMZRB jako navrhovaný správce Nástrojů </w:t>
      </w:r>
      <w:r w:rsidR="00C20FE6">
        <w:t xml:space="preserve">je </w:t>
      </w:r>
      <w:r>
        <w:t>akciovou společností, její</w:t>
      </w:r>
      <w:r w:rsidR="007F534B">
        <w:t>m</w:t>
      </w:r>
      <w:r>
        <w:t>ž jediným akcionářem je Česká republika</w:t>
      </w:r>
      <w:r w:rsidR="00A2199A">
        <w:t>,</w:t>
      </w:r>
      <w:r>
        <w:t xml:space="preserve"> je jed</w:t>
      </w:r>
      <w:r w:rsidR="000934DB">
        <w:t>no</w:t>
      </w:r>
      <w:r>
        <w:t>člen</w:t>
      </w:r>
      <w:r w:rsidR="000934DB">
        <w:t>nou</w:t>
      </w:r>
      <w:r>
        <w:t xml:space="preserve"> akciovou sp</w:t>
      </w:r>
      <w:r w:rsidR="000934DB">
        <w:t>o</w:t>
      </w:r>
      <w:r>
        <w:t>l</w:t>
      </w:r>
      <w:r w:rsidR="000934DB">
        <w:t>e</w:t>
      </w:r>
      <w:r>
        <w:t>čností ve sm</w:t>
      </w:r>
      <w:r w:rsidR="004854AF">
        <w:t>yslu §</w:t>
      </w:r>
      <w:r w:rsidR="00D62541" w:rsidRPr="00D62541">
        <w:t xml:space="preserve"> 12</w:t>
      </w:r>
      <w:r w:rsidR="00DE4D5A">
        <w:t xml:space="preserve"> </w:t>
      </w:r>
      <w:r w:rsidR="004854AF">
        <w:t>zá</w:t>
      </w:r>
      <w:r w:rsidR="000934DB">
        <w:t xml:space="preserve">kona </w:t>
      </w:r>
      <w:r w:rsidR="000934DB" w:rsidRPr="000934DB">
        <w:t>č. 90/2012 Sb., o</w:t>
      </w:r>
      <w:r w:rsidR="00DE4D5A">
        <w:t xml:space="preserve">  </w:t>
      </w:r>
      <w:r w:rsidR="00F81682">
        <w:t xml:space="preserve">obchodních </w:t>
      </w:r>
      <w:r w:rsidR="000934DB" w:rsidRPr="000934DB">
        <w:t>korporacích</w:t>
      </w:r>
      <w:r w:rsidR="000934DB">
        <w:t>.</w:t>
      </w:r>
      <w:r w:rsidR="00DE4D5A">
        <w:t xml:space="preserve"> </w:t>
      </w:r>
      <w:r w:rsidR="000934DB">
        <w:t>Česká republika</w:t>
      </w:r>
      <w:r w:rsidR="00B72B30">
        <w:t xml:space="preserve"> tedy</w:t>
      </w:r>
      <w:r w:rsidR="00DE4D5A">
        <w:t xml:space="preserve"> </w:t>
      </w:r>
      <w:r w:rsidR="000934DB">
        <w:t>jako</w:t>
      </w:r>
      <w:r w:rsidR="00B72B30">
        <w:t xml:space="preserve"> jediný</w:t>
      </w:r>
      <w:r w:rsidR="00DE4D5A">
        <w:t xml:space="preserve"> </w:t>
      </w:r>
      <w:r w:rsidR="000934DB">
        <w:t>akcionář ovládá ČMZRB</w:t>
      </w:r>
      <w:r w:rsidR="00DE4D5A">
        <w:t xml:space="preserve"> </w:t>
      </w:r>
      <w:r w:rsidR="000934DB">
        <w:t xml:space="preserve">způsobem vyžadovaným oběma právními normami, tj. má vliv na její strategické cíle a významná rozhodnutí a </w:t>
      </w:r>
      <w:r w:rsidR="0094796E">
        <w:t xml:space="preserve">má </w:t>
      </w:r>
      <w:r w:rsidR="000934DB">
        <w:t>v ČMZRB výlučná majetková práva ve smyslu § 18 odst</w:t>
      </w:r>
      <w:r w:rsidR="00C85A0D">
        <w:t>.</w:t>
      </w:r>
      <w:r w:rsidR="000934DB">
        <w:t xml:space="preserve"> 1 písm.</w:t>
      </w:r>
      <w:r w:rsidR="00C85A0D">
        <w:t xml:space="preserve"> </w:t>
      </w:r>
      <w:r w:rsidR="00B72B30">
        <w:t>e)</w:t>
      </w:r>
      <w:r w:rsidR="00DE4D5A">
        <w:t xml:space="preserve">  </w:t>
      </w:r>
      <w:r w:rsidR="000934DB">
        <w:t xml:space="preserve">ZVZ. </w:t>
      </w:r>
      <w:r w:rsidR="00C20FE6">
        <w:t xml:space="preserve">ČMZRB navíc </w:t>
      </w:r>
      <w:r w:rsidR="000934DB">
        <w:t>v letech 2012</w:t>
      </w:r>
      <w:r w:rsidR="00F81682">
        <w:t xml:space="preserve"> </w:t>
      </w:r>
      <w:r w:rsidR="000934DB">
        <w:t xml:space="preserve">- 2014 </w:t>
      </w:r>
      <w:r w:rsidR="00C20FE6">
        <w:t xml:space="preserve">vykonávala </w:t>
      </w:r>
      <w:r w:rsidR="000934DB">
        <w:t>více než</w:t>
      </w:r>
      <w:r w:rsidR="00DE4D5A">
        <w:t xml:space="preserve"> </w:t>
      </w:r>
      <w:r w:rsidR="00F81682">
        <w:t>80 % činností, které jí</w:t>
      </w:r>
      <w:r w:rsidR="00A01806">
        <w:t xml:space="preserve"> svěřila Česká republika</w:t>
      </w:r>
      <w:r w:rsidR="00DE4D5A">
        <w:t xml:space="preserve"> </w:t>
      </w:r>
      <w:r w:rsidR="00A01806">
        <w:t>zastoupen</w:t>
      </w:r>
      <w:r w:rsidR="00C85A0D">
        <w:t>á</w:t>
      </w:r>
      <w:r w:rsidR="00A01806">
        <w:t xml:space="preserve"> různými orgány státní správy nebo jinými právnickými osobami, které Česká republika ovládá.</w:t>
      </w:r>
    </w:p>
    <w:p w:rsidR="00A01806" w:rsidRDefault="00A01806" w:rsidP="00D650A9">
      <w:pPr>
        <w:jc w:val="both"/>
      </w:pPr>
      <w:r>
        <w:t xml:space="preserve">Z výše uvedených důvodů je v případě ČMZRB </w:t>
      </w:r>
      <w:r w:rsidR="0094796E">
        <w:t>možné</w:t>
      </w:r>
      <w:r>
        <w:t>, aby v případě zadání veřejné zakázky této bance byla tato zakázka považována za zakázku, na kterou se</w:t>
      </w:r>
      <w:r w:rsidR="00DE4D5A">
        <w:t xml:space="preserve"> </w:t>
      </w:r>
      <w:r>
        <w:t xml:space="preserve">vztahuje z čl. 12 odst. 1 </w:t>
      </w:r>
      <w:r w:rsidR="00B72B30" w:rsidRPr="00A01806">
        <w:t>Směrnice EU o VZ</w:t>
      </w:r>
      <w:r w:rsidR="00B72B30">
        <w:t xml:space="preserve"> , resp. § 18 odst. 1 </w:t>
      </w:r>
      <w:r>
        <w:t>ZVZ</w:t>
      </w:r>
      <w:r w:rsidR="007F534B">
        <w:t>,</w:t>
      </w:r>
      <w:r>
        <w:t xml:space="preserve"> a </w:t>
      </w:r>
      <w:r w:rsidR="007F534B">
        <w:t xml:space="preserve">aby </w:t>
      </w:r>
      <w:r>
        <w:t>zak</w:t>
      </w:r>
      <w:r w:rsidR="00F81682">
        <w:t>ázka byla ČMZRB zadána tzv. in-</w:t>
      </w:r>
      <w:r>
        <w:t xml:space="preserve">house. </w:t>
      </w:r>
      <w:r w:rsidR="00322355">
        <w:t>Naplnění požadavku Směrnice ze strany ČMZRB viz příloha č. 7.</w:t>
      </w:r>
    </w:p>
    <w:p w:rsidR="00952EFF" w:rsidRDefault="00A01806" w:rsidP="00D650A9">
      <w:pPr>
        <w:jc w:val="both"/>
      </w:pPr>
      <w:r>
        <w:lastRenderedPageBreak/>
        <w:t xml:space="preserve">Zadání zakázky může vůči ČMZRB na základě výše uvedeného provést jakákoliv </w:t>
      </w:r>
      <w:r w:rsidR="00B72B30">
        <w:t>organizační složka státu ve smyslu zákona č. 219/2000 Sb., o majetku ČR a jejím vystupování v právních vztazích, ve znění pozdějších předpisů</w:t>
      </w:r>
      <w:r w:rsidR="00952EFF">
        <w:t>. Všechny Řídící orgány Operačních programů</w:t>
      </w:r>
      <w:r w:rsidR="00DE4D5A">
        <w:t xml:space="preserve"> </w:t>
      </w:r>
      <w:r w:rsidR="00952EFF">
        <w:t>jsou takovými</w:t>
      </w:r>
      <w:r w:rsidR="00B72B30">
        <w:t xml:space="preserve"> organizačními složkami státu</w:t>
      </w:r>
      <w:r w:rsidR="00952EFF">
        <w:t>.</w:t>
      </w:r>
    </w:p>
    <w:p w:rsidR="00873F79" w:rsidRDefault="007F534B" w:rsidP="00D650A9">
      <w:pPr>
        <w:jc w:val="both"/>
      </w:pPr>
      <w:r>
        <w:t xml:space="preserve">Aby nedošlo k </w:t>
      </w:r>
      <w:r w:rsidR="00952EFF">
        <w:t xml:space="preserve">narušení tohoto </w:t>
      </w:r>
      <w:r w:rsidR="00C119F2">
        <w:t xml:space="preserve">stavu </w:t>
      </w:r>
      <w:r w:rsidR="00952EFF">
        <w:t xml:space="preserve">a </w:t>
      </w:r>
      <w:r>
        <w:t xml:space="preserve">bylo </w:t>
      </w:r>
      <w:r w:rsidR="00952EFF">
        <w:t>zabezpečen</w:t>
      </w:r>
      <w:r>
        <w:t>o</w:t>
      </w:r>
      <w:r w:rsidR="00952EFF">
        <w:t xml:space="preserve">, </w:t>
      </w:r>
      <w:r>
        <w:t xml:space="preserve">že </w:t>
      </w:r>
      <w:r w:rsidR="00952EFF">
        <w:t xml:space="preserve">jednotlivé </w:t>
      </w:r>
      <w:r w:rsidR="00873F79">
        <w:t>Ř</w:t>
      </w:r>
      <w:r w:rsidR="00952EFF">
        <w:t>íd</w:t>
      </w:r>
      <w:r w:rsidR="00873F79">
        <w:t>í</w:t>
      </w:r>
      <w:r w:rsidR="00952EFF">
        <w:t xml:space="preserve">cí orgány </w:t>
      </w:r>
      <w:r>
        <w:t>budou moci</w:t>
      </w:r>
      <w:r w:rsidR="00952EFF">
        <w:t xml:space="preserve"> </w:t>
      </w:r>
      <w:r w:rsidR="00C119F2">
        <w:t xml:space="preserve">bez jakýchkoliv pochybností </w:t>
      </w:r>
      <w:r w:rsidR="00952EFF">
        <w:t xml:space="preserve">uzavírat </w:t>
      </w:r>
      <w:r>
        <w:t xml:space="preserve">s ČMZRB </w:t>
      </w:r>
      <w:r w:rsidR="00952EFF">
        <w:t>dohody o financování pro implementaci Nástrojů</w:t>
      </w:r>
      <w:r w:rsidR="00C119F2">
        <w:t xml:space="preserve"> v režimu in-house zadání</w:t>
      </w:r>
      <w:r w:rsidR="00952EFF">
        <w:t xml:space="preserve">, je nutné, aby </w:t>
      </w:r>
      <w:r w:rsidR="007944E2">
        <w:t xml:space="preserve">byl </w:t>
      </w:r>
      <w:r w:rsidR="00952EFF">
        <w:t>v rámci</w:t>
      </w:r>
      <w:r w:rsidR="00F81682">
        <w:t xml:space="preserve"> </w:t>
      </w:r>
      <w:r w:rsidR="00952EFF">
        <w:t>připomínkového</w:t>
      </w:r>
      <w:r w:rsidR="00F81682">
        <w:t xml:space="preserve"> </w:t>
      </w:r>
      <w:r w:rsidR="00952EFF">
        <w:t xml:space="preserve">řízení k novele </w:t>
      </w:r>
      <w:r w:rsidR="00CB46AF">
        <w:t>ZVZ text v § 10 odst. 1 písm. a)</w:t>
      </w:r>
      <w:r w:rsidR="00C119F2">
        <w:t xml:space="preserve"> </w:t>
      </w:r>
      <w:r w:rsidR="007944E2">
        <w:t xml:space="preserve">upraven </w:t>
      </w:r>
      <w:r w:rsidR="00873F79">
        <w:t>následovně</w:t>
      </w:r>
      <w:r w:rsidR="00FB551A">
        <w:rPr>
          <w:rStyle w:val="Znakapoznpodarou"/>
        </w:rPr>
        <w:footnoteReference w:id="1"/>
      </w:r>
      <w:r w:rsidR="00873F79">
        <w:t>:</w:t>
      </w:r>
    </w:p>
    <w:p w:rsidR="00AA0E08" w:rsidRDefault="00873F79" w:rsidP="00D650A9">
      <w:pPr>
        <w:ind w:left="284"/>
        <w:jc w:val="both"/>
      </w:pPr>
      <w:r>
        <w:t>„1) Za zadání veřejné zakázky se nepovažuje uzavření smlouvy veřejného zadavatele s jinou osobou, pokud</w:t>
      </w:r>
    </w:p>
    <w:p w:rsidR="00AA0E08" w:rsidRDefault="00873F79" w:rsidP="00D650A9">
      <w:pPr>
        <w:ind w:left="284"/>
        <w:jc w:val="both"/>
      </w:pPr>
      <w:r>
        <w:t>a)</w:t>
      </w:r>
      <w:r w:rsidR="00C119F2">
        <w:t xml:space="preserve"> </w:t>
      </w:r>
      <w:r>
        <w:t>sám nebo společně s jinými veřejnými zadavateli ovládá tuto právnickou osobu obdobně jako své vnitřní organizační jednotky; v případě státu se za ovládající považuje</w:t>
      </w:r>
      <w:r w:rsidRPr="00873F79">
        <w:rPr>
          <w:b/>
        </w:rPr>
        <w:t xml:space="preserve"> </w:t>
      </w:r>
      <w:r w:rsidRPr="00873F79">
        <w:rPr>
          <w:b/>
          <w:strike/>
        </w:rPr>
        <w:t>ta</w:t>
      </w:r>
      <w:r w:rsidRPr="00873F79">
        <w:rPr>
          <w:b/>
        </w:rPr>
        <w:t xml:space="preserve"> jakákoliv </w:t>
      </w:r>
      <w:r w:rsidR="00F81682">
        <w:t>organizační složka státu.</w:t>
      </w:r>
      <w:r>
        <w:t xml:space="preserve"> </w:t>
      </w:r>
      <w:r w:rsidRPr="00873F79">
        <w:rPr>
          <w:b/>
          <w:strike/>
        </w:rPr>
        <w:t>která je zakladatelem nebo zřizovatelem ovládané osoby</w:t>
      </w:r>
      <w:r w:rsidR="00C119F2">
        <w:rPr>
          <w:b/>
          <w:strike/>
        </w:rPr>
        <w:t>.</w:t>
      </w:r>
      <w:r>
        <w:t>“</w:t>
      </w:r>
    </w:p>
    <w:p w:rsidR="00FB551A" w:rsidRDefault="00FB551A" w:rsidP="00D650A9">
      <w:pPr>
        <w:jc w:val="both"/>
      </w:pPr>
    </w:p>
    <w:p w:rsidR="00CB46AF" w:rsidRDefault="00CB46AF" w:rsidP="00D650A9">
      <w:pPr>
        <w:jc w:val="both"/>
      </w:pPr>
      <w:r>
        <w:t>Stávající znění návrhu novely ZVZ, kdy se za ovládající považuje pouze ta organizační složka státu, která je zakladatelem příp. zřizovatelem daného subjektu, neodůvodněně zužuje implementaci směrnice č. 2014/24 v případě vertikální spolupráce organizačních složek státu a státem ovládaných</w:t>
      </w:r>
      <w:r w:rsidR="00182D50">
        <w:t xml:space="preserve"> subjektů</w:t>
      </w:r>
      <w:r>
        <w:t>. Takové omezení totiž ze směrnice nevyplývá. Dále se jedná o rozpor tohoto návrhu se zákonem č. 219/2000 Sb., o majetku státu, kdy právní úkony jménem státu, tedy veřejného zadavatele, činí vedoucí jakýchkoliv jeho organizačních složek.</w:t>
      </w:r>
    </w:p>
    <w:p w:rsidR="00567571" w:rsidRPr="00EF0FF6" w:rsidRDefault="00DE4D5A" w:rsidP="00D650A9">
      <w:pPr>
        <w:jc w:val="both"/>
      </w:pPr>
      <w:r>
        <w:t xml:space="preserve">                            </w:t>
      </w:r>
    </w:p>
    <w:p w:rsidR="00E77A29" w:rsidRPr="00C85A0D" w:rsidRDefault="00F21777" w:rsidP="009754EB">
      <w:pPr>
        <w:pStyle w:val="Nadpis2"/>
        <w:numPr>
          <w:ilvl w:val="0"/>
          <w:numId w:val="28"/>
        </w:numPr>
        <w:jc w:val="both"/>
      </w:pPr>
      <w:bookmarkStart w:id="6" w:name="_Toc419730424"/>
      <w:r>
        <w:t xml:space="preserve">II. </w:t>
      </w:r>
      <w:r w:rsidR="00D62541" w:rsidRPr="00D62541">
        <w:t>Převod prostředků do</w:t>
      </w:r>
      <w:r w:rsidR="00DE4D5A">
        <w:t xml:space="preserve"> </w:t>
      </w:r>
      <w:r w:rsidR="00D62541" w:rsidRPr="00D62541">
        <w:t>Nástroje a vztah Nástroje ke státní pokladně</w:t>
      </w:r>
      <w:bookmarkEnd w:id="6"/>
      <w:r w:rsidR="00D62541" w:rsidRPr="00D62541">
        <w:t xml:space="preserve"> </w:t>
      </w:r>
    </w:p>
    <w:p w:rsidR="008F3EBB" w:rsidRDefault="006E1824" w:rsidP="00D650A9">
      <w:pPr>
        <w:jc w:val="both"/>
      </w:pPr>
      <w:r>
        <w:t>V případě centralizované správy Nástrojů</w:t>
      </w:r>
      <w:r w:rsidR="00DE4D5A">
        <w:t xml:space="preserve"> </w:t>
      </w:r>
      <w:r>
        <w:t xml:space="preserve">budou </w:t>
      </w:r>
      <w:r w:rsidR="0094796E">
        <w:t>F</w:t>
      </w:r>
      <w:r>
        <w:t>ondy fondů</w:t>
      </w:r>
      <w:r w:rsidR="005A7ADA">
        <w:t xml:space="preserve"> pro jednotlivé operační programy, </w:t>
      </w:r>
      <w:r>
        <w:t xml:space="preserve"> případně i některé </w:t>
      </w:r>
      <w:r w:rsidR="0094796E">
        <w:t>F</w:t>
      </w:r>
      <w:r>
        <w:t>inanční nástroje</w:t>
      </w:r>
      <w:r w:rsidR="00064F6E">
        <w:t>,</w:t>
      </w:r>
      <w:r>
        <w:t xml:space="preserve"> vytvářeny v souladu s článkem</w:t>
      </w:r>
      <w:r w:rsidR="00DE4D5A">
        <w:t xml:space="preserve"> </w:t>
      </w:r>
      <w:r>
        <w:t>38 odst. 6</w:t>
      </w:r>
      <w:r w:rsidR="00DE4D5A">
        <w:t xml:space="preserve"> </w:t>
      </w:r>
      <w:r>
        <w:t xml:space="preserve">Obecného nařízení jako </w:t>
      </w:r>
      <w:r w:rsidRPr="006E1824">
        <w:t>samostatn</w:t>
      </w:r>
      <w:r>
        <w:t>é</w:t>
      </w:r>
      <w:r w:rsidRPr="006E1824">
        <w:t xml:space="preserve"> blok</w:t>
      </w:r>
      <w:r>
        <w:t>y</w:t>
      </w:r>
      <w:r w:rsidRPr="006E1824">
        <w:t xml:space="preserve"> finančních prostředků v rámci finanční instituce</w:t>
      </w:r>
      <w:r>
        <w:t xml:space="preserve">, tj. ČMZRB. Současně zmíněný odst. 6 požaduje, aby </w:t>
      </w:r>
      <w:r w:rsidR="00B250AF">
        <w:t xml:space="preserve">byly </w:t>
      </w:r>
      <w:r>
        <w:t>v</w:t>
      </w:r>
      <w:r w:rsidRPr="006E1824">
        <w:t xml:space="preserve"> případě samostatného bloku finančních prostředků účetně rozliš</w:t>
      </w:r>
      <w:r w:rsidR="00B250AF">
        <w:t>eny</w:t>
      </w:r>
      <w:r w:rsidRPr="006E1824">
        <w:t xml:space="preserve"> zdroje investované do daného finančního nástroje </w:t>
      </w:r>
      <w:r w:rsidR="00B250AF" w:rsidRPr="006E1824">
        <w:t xml:space="preserve">z programu </w:t>
      </w:r>
      <w:r w:rsidR="00B250AF">
        <w:t>od</w:t>
      </w:r>
      <w:r w:rsidRPr="006E1824">
        <w:t xml:space="preserve"> </w:t>
      </w:r>
      <w:r w:rsidR="00B250AF">
        <w:t>ostatních</w:t>
      </w:r>
      <w:r w:rsidRPr="006E1824">
        <w:t xml:space="preserve"> zdroj</w:t>
      </w:r>
      <w:r w:rsidR="00B250AF">
        <w:t>ů</w:t>
      </w:r>
      <w:r w:rsidRPr="006E1824">
        <w:t xml:space="preserve">, které jsou k dispozici v dané finanční instituci. </w:t>
      </w:r>
      <w:r>
        <w:t>T</w:t>
      </w:r>
      <w:r w:rsidRPr="006E1824">
        <w:t>yto samostatné bloky finančních prostředků musí být spravovány v souladu se zásadou řádného finančního řízení při dodržení vhodných pravidel obezřetnosti a musí mít odpovídající likviditu.</w:t>
      </w:r>
      <w:r>
        <w:t xml:space="preserve"> </w:t>
      </w:r>
    </w:p>
    <w:p w:rsidR="00EC2856" w:rsidRDefault="00EC2856" w:rsidP="00D650A9">
      <w:pPr>
        <w:jc w:val="both"/>
      </w:pPr>
      <w:r>
        <w:t xml:space="preserve">Současně </w:t>
      </w:r>
      <w:r w:rsidR="00953D05">
        <w:t>článek 43 odst. 1 Obecného nařízení stanoví:</w:t>
      </w:r>
    </w:p>
    <w:p w:rsidR="00AA0E08" w:rsidRDefault="00953D05" w:rsidP="00D650A9">
      <w:pPr>
        <w:ind w:left="284"/>
        <w:jc w:val="both"/>
      </w:pPr>
      <w:r>
        <w:t>„</w:t>
      </w:r>
      <w:r w:rsidRPr="00953D05">
        <w:t>Podpora z fondů ESI poskytovaná na finanční nástroje se poukazuje na úročené účty vedené u finančních institucí v členských státech a je na přechodnou dobu investována v souladu se zásadami řádného finančního řízení.</w:t>
      </w:r>
      <w:r>
        <w:t>“</w:t>
      </w:r>
    </w:p>
    <w:p w:rsidR="00767773" w:rsidRDefault="00767773" w:rsidP="00D650A9">
      <w:pPr>
        <w:jc w:val="both"/>
      </w:pPr>
      <w:r>
        <w:t>Článek 45 Obecného</w:t>
      </w:r>
      <w:r w:rsidR="00DE4D5A">
        <w:t xml:space="preserve"> </w:t>
      </w:r>
      <w:r>
        <w:t>nařízení dále ukládá následující:</w:t>
      </w:r>
    </w:p>
    <w:p w:rsidR="00B250AF" w:rsidRDefault="00767773" w:rsidP="00D650A9">
      <w:pPr>
        <w:ind w:left="284"/>
        <w:jc w:val="both"/>
      </w:pPr>
      <w:r>
        <w:lastRenderedPageBreak/>
        <w:t>„</w:t>
      </w:r>
      <w:r w:rsidRPr="00767773">
        <w:t>Členské státy přijmou nezbytná opatření k zajištění toho, aby se zdroje vložené zpět do finančních nástrojů, včetně kapitálových splátek a výnosů a dalších příjmů vytvořených po dobu nejméně osmi let po skončení období způsobilosti, které</w:t>
      </w:r>
      <w:r>
        <w:t xml:space="preserve"> </w:t>
      </w:r>
      <w:r w:rsidRPr="00767773">
        <w:t>mohou být připsány podpoře z fondů ESI poskytované na finanční nástroje podle článku 37, využívaly v souladu s cíli programu nebo programů, buď v rámci téhož finančního nástroje, nebo poté, co tyto zdroje opustí finanční nástroj, u jiných finančních nástrojů,</w:t>
      </w:r>
      <w:r w:rsidR="00B250AF">
        <w:t xml:space="preserve"> </w:t>
      </w:r>
      <w:r>
        <w:t>..</w:t>
      </w:r>
      <w:r w:rsidR="00B250AF">
        <w:t>.</w:t>
      </w:r>
      <w:r>
        <w:t xml:space="preserve">“. </w:t>
      </w:r>
    </w:p>
    <w:p w:rsidR="007E46BE" w:rsidRDefault="00767773" w:rsidP="00D650A9">
      <w:pPr>
        <w:jc w:val="both"/>
      </w:pPr>
      <w:r>
        <w:t xml:space="preserve">Z výše uvedeného ustanovení vyplývá, že </w:t>
      </w:r>
      <w:r w:rsidR="00B250AF">
        <w:t xml:space="preserve">si </w:t>
      </w:r>
      <w:r>
        <w:t>Řídící orgán</w:t>
      </w:r>
      <w:r w:rsidR="00DE4D5A">
        <w:t xml:space="preserve"> </w:t>
      </w:r>
      <w:r>
        <w:t>musí zachovat trvale kontrolu na</w:t>
      </w:r>
      <w:r w:rsidR="00B250AF">
        <w:t>d</w:t>
      </w:r>
      <w:r>
        <w:t xml:space="preserve"> prostředky, které jsou do nástroje vloženy</w:t>
      </w:r>
      <w:r w:rsidR="00222762">
        <w:t>.</w:t>
      </w:r>
      <w:r>
        <w:t xml:space="preserve"> </w:t>
      </w:r>
      <w:r w:rsidR="00222762">
        <w:t>P</w:t>
      </w:r>
      <w:r>
        <w:t xml:space="preserve">říjemce, který plní </w:t>
      </w:r>
      <w:r w:rsidR="00222762">
        <w:t>funkci jejich správce, využívá tyto prostředky v souladu s jejich účelovým vymezením k činnostem prováděným podle pravidel sjednaných v Dohodě o financování.</w:t>
      </w:r>
      <w:r w:rsidR="00DE4D5A">
        <w:t xml:space="preserve">   </w:t>
      </w:r>
    </w:p>
    <w:p w:rsidR="007E46BE" w:rsidRDefault="007E46BE" w:rsidP="007E46BE">
      <w:pPr>
        <w:jc w:val="both"/>
      </w:pPr>
      <w:r>
        <w:t>Nástroje mají charakter investice a to bez ohledu na to zda je finanční nástroj realizován v podobě s právní subjektivitou (investice do akcií investičního fondu) či v p</w:t>
      </w:r>
      <w:r w:rsidR="00F81682">
        <w:t>odobě bez právní subjektivity (</w:t>
      </w:r>
      <w:r>
        <w:t>garanční schéma, úvěrové schéma, risk sharing facility apod.). Tento režim je uplatňován i ze strany evropských finančních institucí EIB/EIF, kdy prostředky členského státu spravované těmito institucemi na základě Nařízení Rady (EU) č. 1303/2013  vždy zůstávají majetkem členských zemí a je možno, na základě pokynu Řídícího orgánu a v souladu s dohodou o financování, je převést pod jiného správce (příklad z předchozího programovacího období - Jessica Moravskoslezko).</w:t>
      </w:r>
    </w:p>
    <w:p w:rsidR="0003437B" w:rsidRDefault="00953D05" w:rsidP="00D650A9">
      <w:pPr>
        <w:jc w:val="both"/>
      </w:pPr>
      <w:r>
        <w:t xml:space="preserve">Výše uvedeným požadavkům legislativy nejvíce vyhovuje převod prostředků mající charakter </w:t>
      </w:r>
      <w:r w:rsidR="007E46BE">
        <w:t xml:space="preserve">výdaje </w:t>
      </w:r>
      <w:r>
        <w:t>Řídícího orgánu</w:t>
      </w:r>
      <w:r w:rsidR="007E46BE">
        <w:t xml:space="preserve">, kterým </w:t>
      </w:r>
      <w:r w:rsidR="00D37333">
        <w:t>Řídící orgán poř</w:t>
      </w:r>
      <w:r w:rsidR="007E46BE">
        <w:t xml:space="preserve">izuje </w:t>
      </w:r>
      <w:r w:rsidR="00D37333">
        <w:t>finančního aktiv</w:t>
      </w:r>
      <w:r w:rsidR="007E46BE">
        <w:t>um</w:t>
      </w:r>
      <w:r w:rsidR="00D37333">
        <w:t>,</w:t>
      </w:r>
      <w:r w:rsidR="007E46BE">
        <w:t xml:space="preserve"> </w:t>
      </w:r>
      <w:r w:rsidR="00D37333">
        <w:t>jenž má podobu</w:t>
      </w:r>
      <w:r w:rsidR="007E46BE">
        <w:t xml:space="preserve"> peněžních prostředků vedených na účtech u finanční instituce</w:t>
      </w:r>
      <w:r>
        <w:t xml:space="preserve">. Nakládání finanční instituce s těmito prostředky </w:t>
      </w:r>
      <w:r w:rsidR="00B250AF">
        <w:t xml:space="preserve">z hlediska účelu a času použití </w:t>
      </w:r>
      <w:r>
        <w:t xml:space="preserve">je </w:t>
      </w:r>
      <w:r w:rsidR="00B250AF">
        <w:t>vy</w:t>
      </w:r>
      <w:r>
        <w:t>mezeno detailně stanovený</w:t>
      </w:r>
      <w:r w:rsidR="003D09A1">
        <w:t>mi</w:t>
      </w:r>
      <w:r>
        <w:t xml:space="preserve"> pravidl</w:t>
      </w:r>
      <w:r w:rsidR="003D09A1">
        <w:t>y</w:t>
      </w:r>
      <w:r w:rsidR="00DE4D5A">
        <w:t xml:space="preserve"> </w:t>
      </w:r>
      <w:r>
        <w:t>v Dohodě o financování</w:t>
      </w:r>
      <w:r w:rsidR="00B250AF">
        <w:t>.</w:t>
      </w:r>
      <w:r>
        <w:t xml:space="preserve"> </w:t>
      </w:r>
      <w:r w:rsidR="00B250AF">
        <w:t>Tato dohod</w:t>
      </w:r>
      <w:r w:rsidR="00C85A0D">
        <w:t>a</w:t>
      </w:r>
      <w:r>
        <w:t xml:space="preserve"> </w:t>
      </w:r>
      <w:r w:rsidR="00222762">
        <w:t>s</w:t>
      </w:r>
      <w:r>
        <w:t>jednává</w:t>
      </w:r>
      <w:r w:rsidR="00B250AF">
        <w:t xml:space="preserve"> např.</w:t>
      </w:r>
      <w:r>
        <w:t xml:space="preserve"> i způsob a výši úročení a další použití úroků</w:t>
      </w:r>
      <w:r w:rsidR="007E46BE">
        <w:t xml:space="preserve"> či splátek úvěrů a dalších prostředků vrácených do Nástroje</w:t>
      </w:r>
      <w:r>
        <w:t>.</w:t>
      </w:r>
      <w:r w:rsidR="007E46BE">
        <w:t xml:space="preserve">     </w:t>
      </w:r>
    </w:p>
    <w:p w:rsidR="00F30C0E" w:rsidRDefault="0003437B">
      <w:r>
        <w:t>Přestože přímo aplikovatelný předpis EU (Obecné nařízení)</w:t>
      </w:r>
      <w:r w:rsidR="00DE4D5A">
        <w:t xml:space="preserve"> </w:t>
      </w:r>
      <w:r>
        <w:t>navržený způsob prov</w:t>
      </w:r>
      <w:r w:rsidR="00EC4F8B">
        <w:t>e</w:t>
      </w:r>
      <w:r>
        <w:t>dení</w:t>
      </w:r>
      <w:r w:rsidR="00EC4F8B">
        <w:t xml:space="preserve"> převodu prostředků do Nástroje </w:t>
      </w:r>
      <w:r w:rsidR="00B250AF">
        <w:t xml:space="preserve">vkladem </w:t>
      </w:r>
      <w:r w:rsidR="00EC4F8B">
        <w:t>umožňuje, je k zamezení kolize se zákonem č. 218/</w:t>
      </w:r>
      <w:r w:rsidR="00EC4F8B" w:rsidRPr="00EC4F8B">
        <w:t>2000 Sb., o rozpočtových pravidlech</w:t>
      </w:r>
      <w:r w:rsidR="00EC4F8B">
        <w:t xml:space="preserve">, </w:t>
      </w:r>
      <w:r w:rsidR="00B250AF">
        <w:t xml:space="preserve">potřeba </w:t>
      </w:r>
      <w:r w:rsidR="00EC4F8B">
        <w:t xml:space="preserve">provést </w:t>
      </w:r>
      <w:r w:rsidR="00B250AF">
        <w:t xml:space="preserve">jeho </w:t>
      </w:r>
      <w:r w:rsidR="00EC4F8B">
        <w:t xml:space="preserve">změny </w:t>
      </w:r>
      <w:r w:rsidR="00B250AF">
        <w:t>tak</w:t>
      </w:r>
      <w:r w:rsidR="00A538AC">
        <w:t xml:space="preserve">, </w:t>
      </w:r>
      <w:r w:rsidR="00B250AF">
        <w:t xml:space="preserve">aby </w:t>
      </w:r>
      <w:r w:rsidR="003D09A1">
        <w:t>zákon č. 218/2000 Sb.</w:t>
      </w:r>
      <w:r w:rsidR="007E46BE">
        <w:t xml:space="preserve"> výslovně </w:t>
      </w:r>
      <w:r w:rsidR="003D09A1">
        <w:t xml:space="preserve">umožnil </w:t>
      </w:r>
      <w:r w:rsidR="00A538AC">
        <w:t xml:space="preserve">provedení převodu prostředků do Nástrojů jiným způsobem než </w:t>
      </w:r>
      <w:r w:rsidR="003D09A1">
        <w:t xml:space="preserve">je </w:t>
      </w:r>
      <w:r w:rsidR="00A538AC">
        <w:t>dotace či návratná finanční výpomoc</w:t>
      </w:r>
      <w:r w:rsidR="007E46BE">
        <w:t xml:space="preserve">. </w:t>
      </w:r>
      <w:r w:rsidR="00A538AC" w:rsidRPr="007B4C0A">
        <w:t>Podrobněji viz návrh novely zákona</w:t>
      </w:r>
      <w:r w:rsidR="00DE4D5A" w:rsidRPr="007B4C0A">
        <w:t xml:space="preserve"> </w:t>
      </w:r>
      <w:r w:rsidR="00A538AC" w:rsidRPr="007B4C0A">
        <w:t>č. 218/2000 Sb., rozpočtov</w:t>
      </w:r>
      <w:r w:rsidR="00CB46AF" w:rsidRPr="007B4C0A">
        <w:t>á</w:t>
      </w:r>
      <w:r w:rsidR="00A538AC" w:rsidRPr="007B4C0A">
        <w:t xml:space="preserve"> pravidl</w:t>
      </w:r>
      <w:r w:rsidR="00CB46AF" w:rsidRPr="007B4C0A">
        <w:t>a</w:t>
      </w:r>
      <w:r w:rsidR="00A538AC" w:rsidRPr="007B4C0A">
        <w:t>, uvedený v příloze č.</w:t>
      </w:r>
      <w:r w:rsidR="00B61895">
        <w:t xml:space="preserve"> </w:t>
      </w:r>
      <w:r w:rsidR="00A538AC" w:rsidRPr="007B4C0A">
        <w:t>4.</w:t>
      </w:r>
    </w:p>
    <w:p w:rsidR="00781222" w:rsidRDefault="00DE4D5A" w:rsidP="00D650A9">
      <w:pPr>
        <w:jc w:val="both"/>
      </w:pPr>
      <w:r w:rsidRPr="007B4C0A">
        <w:t xml:space="preserve"> </w:t>
      </w:r>
      <w:r w:rsidR="00A538AC" w:rsidRPr="007B4C0A">
        <w:t xml:space="preserve">Dalším nezbytným krokem je, aby Řídící orgány </w:t>
      </w:r>
      <w:r w:rsidR="003D09A1" w:rsidRPr="007B4C0A">
        <w:t xml:space="preserve">o prostředcích (hodnotě </w:t>
      </w:r>
      <w:r w:rsidR="007E46BE">
        <w:t xml:space="preserve">majetku ve </w:t>
      </w:r>
      <w:r w:rsidR="00297852" w:rsidRPr="007B4C0A">
        <w:t>F</w:t>
      </w:r>
      <w:r w:rsidR="007B4C0A">
        <w:t>ondu fond</w:t>
      </w:r>
      <w:r w:rsidR="00607D92">
        <w:t>ů</w:t>
      </w:r>
      <w:r w:rsidR="007B4C0A">
        <w:t xml:space="preserve"> </w:t>
      </w:r>
      <w:r w:rsidR="00297852" w:rsidRPr="007B4C0A">
        <w:t>či F</w:t>
      </w:r>
      <w:r w:rsidR="007B4C0A">
        <w:t>inančního nástroje</w:t>
      </w:r>
      <w:r w:rsidR="003D09A1" w:rsidRPr="007B4C0A">
        <w:t xml:space="preserve">) účtovaly </w:t>
      </w:r>
      <w:r w:rsidR="000E49FB">
        <w:t>a vedly ho ve svém účetnictví</w:t>
      </w:r>
      <w:r w:rsidR="00DD5AE6">
        <w:t xml:space="preserve"> a to jako dlouhodobý finanční </w:t>
      </w:r>
      <w:commentRangeStart w:id="7"/>
      <w:r w:rsidR="00DD5AE6">
        <w:t>majetek</w:t>
      </w:r>
      <w:commentRangeEnd w:id="7"/>
      <w:r w:rsidR="003C433B">
        <w:rPr>
          <w:rStyle w:val="Odkaznakoment"/>
        </w:rPr>
        <w:commentReference w:id="7"/>
      </w:r>
      <w:r w:rsidR="00DD5AE6">
        <w:t xml:space="preserve"> </w:t>
      </w:r>
      <w:r w:rsidR="00D20FE9">
        <w:t>Řídící orgány povedou prostředky</w:t>
      </w:r>
      <w:r w:rsidR="00765668">
        <w:t xml:space="preserve"> </w:t>
      </w:r>
      <w:r w:rsidR="00064F6E">
        <w:t>vložené do Nástroje v rámci svého účetnictví</w:t>
      </w:r>
      <w:r w:rsidR="001D0F42">
        <w:t xml:space="preserve"> </w:t>
      </w:r>
      <w:r w:rsidR="00064F6E">
        <w:t>v rozvaze</w:t>
      </w:r>
      <w:r w:rsidR="00781222">
        <w:t>, a to takto:</w:t>
      </w:r>
    </w:p>
    <w:p w:rsidR="001261BB" w:rsidRPr="00DD5AE6" w:rsidRDefault="00126DCF" w:rsidP="009754EB">
      <w:pPr>
        <w:pStyle w:val="Odstavecseseznamem"/>
        <w:numPr>
          <w:ilvl w:val="0"/>
          <w:numId w:val="12"/>
        </w:numPr>
        <w:jc w:val="both"/>
        <w:rPr>
          <w:highlight w:val="yellow"/>
        </w:rPr>
      </w:pPr>
      <w:r w:rsidRPr="00126DCF">
        <w:rPr>
          <w:highlight w:val="yellow"/>
        </w:rPr>
        <w:t xml:space="preserve">Vklad do Fondu fondů (v případě implementace bez Fondu fondů pak vklad do Finančního nástroje) bude v Aktivech veden v položce Ostatní dlouhodobý finanční majetek, syntetický účet 069. </w:t>
      </w:r>
    </w:p>
    <w:p w:rsidR="001261BB" w:rsidRPr="00DD5AE6" w:rsidRDefault="00126DCF" w:rsidP="009754EB">
      <w:pPr>
        <w:pStyle w:val="Odstavecseseznamem"/>
        <w:numPr>
          <w:ilvl w:val="0"/>
          <w:numId w:val="12"/>
        </w:numPr>
        <w:jc w:val="both"/>
        <w:rPr>
          <w:highlight w:val="yellow"/>
        </w:rPr>
      </w:pPr>
      <w:r w:rsidRPr="00126DCF">
        <w:rPr>
          <w:highlight w:val="yellow"/>
        </w:rPr>
        <w:t>Na straně pasiv budou prostředky získané do rozpočtové kapitoly Řídícího orgánu k předfinancování prostředků EU pro vklad do Nástroje vedeny v  položce Ostatní dlouhodobé závazky, syntetický účet 459. Po jeho uhrazení bude účet 459 vynulován na základě výpisu z účtu 241.</w:t>
      </w:r>
    </w:p>
    <w:p w:rsidR="001261BB" w:rsidRPr="00DD5AE6" w:rsidRDefault="00126DCF" w:rsidP="00D650A9">
      <w:pPr>
        <w:ind w:left="709"/>
        <w:jc w:val="both"/>
        <w:rPr>
          <w:highlight w:val="yellow"/>
        </w:rPr>
      </w:pPr>
      <w:r w:rsidRPr="00126DCF">
        <w:rPr>
          <w:highlight w:val="yellow"/>
        </w:rPr>
        <w:lastRenderedPageBreak/>
        <w:t>Alt. lze financovat z „úspor“ 241 event. na úkor schodku – nákladový účet 569 – pořízení finančního majetku vždy nutno promítnout přes účet 043 - Pořizovaný dlouhodobý finanční majetek.</w:t>
      </w:r>
    </w:p>
    <w:p w:rsidR="000E49FB" w:rsidRDefault="00126DCF" w:rsidP="000E49FB">
      <w:pPr>
        <w:jc w:val="both"/>
      </w:pPr>
      <w:r w:rsidRPr="00126DCF">
        <w:rPr>
          <w:highlight w:val="yellow"/>
        </w:rPr>
        <w:t>Ke zpracování rozvahy předloží ČMZRB (Příjemce) Řídícímu orgánu kromě výpisů z účtů Nástroje též speciální zprávu, ve které bude uvedena aktualizovaná výše hodnoty investice, na základě výpisů z účtů Fondu fondů (případně Finančního nástroje v případě implementace bez Fondu fondů), zpráv od správce Nástroje (Příjemce) a ocenění aktuální hodnoty investic vypracovaných Příjemcem podle zásad sjednaných v Dohodě o financování.</w:t>
      </w:r>
      <w:r w:rsidR="00DD5AE6">
        <w:t xml:space="preserve"> </w:t>
      </w:r>
    </w:p>
    <w:p w:rsidR="008943E0" w:rsidRDefault="008943E0" w:rsidP="008943E0">
      <w:pPr>
        <w:jc w:val="both"/>
      </w:pPr>
      <w:r>
        <w:t>Ocenění výše aktiva Řídícího orgánu tvořeného prostředky Fondu fondů či Finančního nástroje bude průběžně upravováno o:</w:t>
      </w:r>
    </w:p>
    <w:p w:rsidR="008943E0" w:rsidRDefault="008943E0" w:rsidP="008943E0">
      <w:pPr>
        <w:pStyle w:val="Odstavecseseznamem"/>
        <w:numPr>
          <w:ilvl w:val="0"/>
          <w:numId w:val="9"/>
        </w:numPr>
        <w:jc w:val="both"/>
      </w:pPr>
      <w:r>
        <w:t>naběhlé úroky z vkladu (+)</w:t>
      </w:r>
    </w:p>
    <w:p w:rsidR="008943E0" w:rsidRDefault="008943E0" w:rsidP="008943E0">
      <w:pPr>
        <w:pStyle w:val="Odstavecseseznamem"/>
        <w:numPr>
          <w:ilvl w:val="0"/>
          <w:numId w:val="9"/>
        </w:numPr>
        <w:jc w:val="both"/>
      </w:pPr>
      <w:r>
        <w:t>ztráty z nedobytných úvěrů (-), až do výše dohodnutého limitu sdílení rizik</w:t>
      </w:r>
    </w:p>
    <w:p w:rsidR="008943E0" w:rsidRDefault="008943E0" w:rsidP="008943E0">
      <w:pPr>
        <w:pStyle w:val="Odstavecseseznamem"/>
        <w:numPr>
          <w:ilvl w:val="0"/>
          <w:numId w:val="9"/>
        </w:numPr>
        <w:jc w:val="both"/>
      </w:pPr>
      <w:r>
        <w:t>úroky z úvěrů či jejich části poskytnutých z prostředků vkladu (+)</w:t>
      </w:r>
    </w:p>
    <w:p w:rsidR="008943E0" w:rsidRDefault="008943E0" w:rsidP="008943E0">
      <w:pPr>
        <w:pStyle w:val="Odstavecseseznamem"/>
        <w:numPr>
          <w:ilvl w:val="0"/>
          <w:numId w:val="9"/>
        </w:numPr>
        <w:jc w:val="both"/>
      </w:pPr>
      <w:r>
        <w:t>vymožené sankce od Konečných příjemců (+)</w:t>
      </w:r>
    </w:p>
    <w:p w:rsidR="008943E0" w:rsidRDefault="008943E0" w:rsidP="008943E0">
      <w:pPr>
        <w:pStyle w:val="Odstavecseseznamem"/>
        <w:numPr>
          <w:ilvl w:val="0"/>
          <w:numId w:val="9"/>
        </w:numPr>
        <w:jc w:val="both"/>
      </w:pPr>
      <w:r>
        <w:t>prostředky použité na úhradu ztrát ze záruk (-)</w:t>
      </w:r>
    </w:p>
    <w:p w:rsidR="008943E0" w:rsidRDefault="008943E0" w:rsidP="008943E0">
      <w:pPr>
        <w:pStyle w:val="Odstavecseseznamem"/>
        <w:numPr>
          <w:ilvl w:val="0"/>
          <w:numId w:val="9"/>
        </w:numPr>
        <w:jc w:val="both"/>
      </w:pPr>
      <w:r>
        <w:t>prostředky použité na úhradu poplatku za správu (-)</w:t>
      </w:r>
    </w:p>
    <w:p w:rsidR="008943E0" w:rsidRDefault="008943E0" w:rsidP="008943E0">
      <w:pPr>
        <w:pStyle w:val="Odstavecseseznamem"/>
        <w:numPr>
          <w:ilvl w:val="0"/>
          <w:numId w:val="9"/>
        </w:numPr>
        <w:jc w:val="both"/>
      </w:pPr>
      <w:r>
        <w:t>zhodnocení/znehodnocení vkladu p</w:t>
      </w:r>
      <w:r w:rsidR="00B61DD4">
        <w:t>ře</w:t>
      </w:r>
      <w:r>
        <w:t xml:space="preserve">vedeného z Fondu fondů do investičního Finančního nástroje </w:t>
      </w:r>
      <w:r w:rsidRPr="003D060C">
        <w:t>(+/-);</w:t>
      </w:r>
      <w:r>
        <w:t xml:space="preserve"> ocenění vkladu z FF do FN </w:t>
      </w:r>
      <w:r w:rsidRPr="003D060C">
        <w:t>bude korigováno o přecenění majetkových účastí nebo dalších kapitálových investic na reálnou</w:t>
      </w:r>
      <w:r>
        <w:t xml:space="preserve"> </w:t>
      </w:r>
      <w:r w:rsidRPr="003D060C">
        <w:t>na základě ocenění vypracovaných správcem</w:t>
      </w:r>
      <w:r>
        <w:t xml:space="preserve"> investičního Finančního nástroje.</w:t>
      </w:r>
    </w:p>
    <w:p w:rsidR="008943E0" w:rsidRPr="001261BB" w:rsidRDefault="008943E0" w:rsidP="008943E0">
      <w:pPr>
        <w:pStyle w:val="Odstavecseseznamem"/>
        <w:ind w:left="0"/>
        <w:jc w:val="both"/>
      </w:pPr>
      <w:r w:rsidRPr="001261BB">
        <w:t xml:space="preserve">Do výkazů </w:t>
      </w:r>
    </w:p>
    <w:p w:rsidR="008943E0" w:rsidRPr="001261BB" w:rsidRDefault="008943E0" w:rsidP="008943E0">
      <w:pPr>
        <w:pStyle w:val="Odstavecseseznamem"/>
        <w:ind w:left="360"/>
        <w:jc w:val="both"/>
      </w:pPr>
      <w:r w:rsidRPr="001261BB">
        <w:t>a) „Přehled o peněžních tocích“ – položka „Výdaje na pořízení dlouhodobých aktiv“</w:t>
      </w:r>
    </w:p>
    <w:p w:rsidR="008943E0" w:rsidRPr="001261BB" w:rsidRDefault="008943E0" w:rsidP="008943E0">
      <w:pPr>
        <w:pStyle w:val="Odstavecseseznamem"/>
        <w:ind w:left="360"/>
        <w:jc w:val="both"/>
      </w:pPr>
      <w:r w:rsidRPr="001261BB">
        <w:t xml:space="preserve">b) Přehled o změnách vlastního kapitálu </w:t>
      </w:r>
      <w:r>
        <w:t>-</w:t>
      </w:r>
      <w:r w:rsidRPr="001261BB">
        <w:t xml:space="preserve"> p</w:t>
      </w:r>
      <w:r w:rsidR="00B61DD4">
        <w:t>oložka „Investiční transfery“ (</w:t>
      </w:r>
      <w:r w:rsidRPr="001261BB">
        <w:t>ve výkazu 2x)</w:t>
      </w:r>
      <w:r>
        <w:t xml:space="preserve"> </w:t>
      </w:r>
      <w:r w:rsidRPr="001261BB">
        <w:t>a „Snížení investičních transferů ve věcné a časové souvislosti“</w:t>
      </w:r>
      <w:r>
        <w:t>,</w:t>
      </w:r>
    </w:p>
    <w:p w:rsidR="008943E0" w:rsidRPr="001261BB" w:rsidRDefault="008943E0" w:rsidP="008943E0">
      <w:pPr>
        <w:pStyle w:val="Odstavecseseznamem"/>
        <w:ind w:left="0"/>
        <w:jc w:val="both"/>
      </w:pPr>
      <w:r w:rsidRPr="001261BB">
        <w:t>se změn</w:t>
      </w:r>
      <w:r w:rsidR="00B61DD4">
        <w:t>y</w:t>
      </w:r>
      <w:r w:rsidRPr="001261BB">
        <w:t xml:space="preserve"> v rozvaze </w:t>
      </w:r>
      <w:r>
        <w:t xml:space="preserve">budou </w:t>
      </w:r>
      <w:r w:rsidRPr="001261BB">
        <w:t>promítat automaticky na základě nastavení účetního programu.</w:t>
      </w:r>
    </w:p>
    <w:p w:rsidR="008943E0" w:rsidRDefault="008943E0" w:rsidP="00D650A9">
      <w:pPr>
        <w:pStyle w:val="Odstavecseseznamem"/>
        <w:ind w:left="0"/>
        <w:jc w:val="both"/>
      </w:pPr>
    </w:p>
    <w:p w:rsidR="00474A50" w:rsidRDefault="008943E0" w:rsidP="00D650A9">
      <w:pPr>
        <w:pStyle w:val="Odstavecseseznamem"/>
        <w:ind w:left="0"/>
        <w:jc w:val="both"/>
      </w:pPr>
      <w:r>
        <w:t xml:space="preserve">Majetek v podobě prostředků Řídícího orgánu ve </w:t>
      </w:r>
      <w:r w:rsidR="00474A50">
        <w:t>F</w:t>
      </w:r>
      <w:r w:rsidR="009B5B9A">
        <w:t xml:space="preserve">ondu </w:t>
      </w:r>
      <w:r w:rsidR="00474A50">
        <w:t>f</w:t>
      </w:r>
      <w:r w:rsidR="009B5B9A">
        <w:t xml:space="preserve">ondů vedený u banky tak bude složen z aktuální hodnoty jednotlivých </w:t>
      </w:r>
      <w:r w:rsidR="00474A50">
        <w:t>F</w:t>
      </w:r>
      <w:r w:rsidR="009B5B9A">
        <w:t xml:space="preserve">inančních nástrojů a v souladu s charakterem </w:t>
      </w:r>
      <w:r w:rsidR="00474A50">
        <w:t>F</w:t>
      </w:r>
      <w:r w:rsidR="009B5B9A">
        <w:t xml:space="preserve">inančního nástroje bude docházet ke změně jeho hodnoty a to jak k jeho snížení (např. garanční schéma a snížení o již uplatněné garance) či k jeho navýšení (úrokové příjmy z úvěrů, nárůst hodnoty akcií či cenných papírů emitovaných finančním nástrojem ve formě investičního fondu na základě jeho aktuálního ocenění). </w:t>
      </w:r>
    </w:p>
    <w:p w:rsidR="00474A50" w:rsidRDefault="00474A50" w:rsidP="00D650A9">
      <w:pPr>
        <w:pStyle w:val="Odstavecseseznamem"/>
        <w:ind w:left="0"/>
        <w:jc w:val="both"/>
      </w:pPr>
    </w:p>
    <w:p w:rsidR="009B5B9A" w:rsidRDefault="009B5B9A" w:rsidP="00D650A9">
      <w:pPr>
        <w:pStyle w:val="Odstavecseseznamem"/>
        <w:ind w:left="0"/>
        <w:jc w:val="both"/>
      </w:pPr>
      <w:r>
        <w:t xml:space="preserve">Ve variantě implementace prostřednictvím správy </w:t>
      </w:r>
      <w:r w:rsidR="00474A50">
        <w:t>F</w:t>
      </w:r>
      <w:r>
        <w:t>ondu fondů jednotlivých Ř</w:t>
      </w:r>
      <w:r w:rsidR="00474A50">
        <w:t>ídíc</w:t>
      </w:r>
      <w:r w:rsidR="00607D92">
        <w:t>íc</w:t>
      </w:r>
      <w:r w:rsidR="00474A50">
        <w:t>h orgánů</w:t>
      </w:r>
      <w:r>
        <w:t xml:space="preserve"> ze strany ČMZRB by tak </w:t>
      </w:r>
      <w:r w:rsidR="00474A50">
        <w:t>Ř</w:t>
      </w:r>
      <w:r>
        <w:t>ídící orgány dostávaly informaci o hodnotě zůstatku na investičním účtu a zúčtovávaly by jej výše uvedeným způsobem. Tento postup zajišťuje jak „odstátnění“ vložených prostředků tak i zajištění pravidel uplatňovaných pro implementaci finančních nástrojů v rámci ESIF fondů. Tento postup řeší zároveň i případnou kolizi se státní pokladnou, protože prostředky vložené do FF či FN mají své konkrétní použití na základě dohody o financování a nejedná se tedy o vedení běžných účtů jednotlivých ŘO ze strany ČMZRB. Do účetnictví jednotlivých ŘO se pak promítá celková hodnota „investic“ a nikoliv jednotlivé transakce r</w:t>
      </w:r>
      <w:r w:rsidR="00474A50">
        <w:t>e</w:t>
      </w:r>
      <w:r>
        <w:t>alizované přímo na úrovni F</w:t>
      </w:r>
      <w:r w:rsidR="00474A50">
        <w:t xml:space="preserve">ondu fondů </w:t>
      </w:r>
      <w:r>
        <w:t>či F</w:t>
      </w:r>
      <w:r w:rsidR="00863D91">
        <w:t>inančních nástrojů</w:t>
      </w:r>
      <w:r>
        <w:t>.</w:t>
      </w:r>
    </w:p>
    <w:p w:rsidR="00CB2E41" w:rsidRDefault="00CB2E41">
      <w:pPr>
        <w:pStyle w:val="Nadpis2"/>
        <w:ind w:left="720"/>
        <w:jc w:val="both"/>
      </w:pPr>
    </w:p>
    <w:p w:rsidR="000B5DC8" w:rsidRDefault="000B5DC8" w:rsidP="00D650A9">
      <w:pPr>
        <w:jc w:val="both"/>
      </w:pPr>
    </w:p>
    <w:p w:rsidR="00EA76DA" w:rsidRDefault="00DE4D5A" w:rsidP="00D650A9">
      <w:pPr>
        <w:jc w:val="both"/>
        <w:rPr>
          <w:b/>
        </w:rPr>
      </w:pPr>
      <w:r>
        <w:t xml:space="preserve">            </w:t>
      </w:r>
    </w:p>
    <w:p w:rsidR="003214F7" w:rsidRDefault="00F21777" w:rsidP="009754EB">
      <w:pPr>
        <w:pStyle w:val="Nadpis2"/>
        <w:numPr>
          <w:ilvl w:val="0"/>
          <w:numId w:val="32"/>
        </w:numPr>
        <w:jc w:val="both"/>
      </w:pPr>
      <w:bookmarkStart w:id="8" w:name="_Toc419730428"/>
      <w:r>
        <w:t>I</w:t>
      </w:r>
      <w:r w:rsidR="00C87443">
        <w:t>II</w:t>
      </w:r>
      <w:r>
        <w:t xml:space="preserve">. </w:t>
      </w:r>
      <w:r w:rsidR="00D62541" w:rsidRPr="00D62541">
        <w:t>Celkové</w:t>
      </w:r>
      <w:r w:rsidR="00DE4D5A">
        <w:t xml:space="preserve"> </w:t>
      </w:r>
      <w:r w:rsidR="00D62541" w:rsidRPr="00D62541">
        <w:t>zhodnocení</w:t>
      </w:r>
      <w:r w:rsidR="00DE4D5A">
        <w:t xml:space="preserve"> </w:t>
      </w:r>
      <w:r w:rsidR="003D3B30">
        <w:t>l</w:t>
      </w:r>
      <w:r w:rsidR="00D62541" w:rsidRPr="00D62541">
        <w:t>egislativního rámce k provedení centralizované správy Nástrojů</w:t>
      </w:r>
      <w:bookmarkEnd w:id="8"/>
      <w:r w:rsidR="00DE4D5A">
        <w:t xml:space="preserve">  </w:t>
      </w:r>
    </w:p>
    <w:p w:rsidR="003D3B30" w:rsidRPr="00F72B78" w:rsidRDefault="003D3B30" w:rsidP="00D650A9">
      <w:pPr>
        <w:jc w:val="both"/>
      </w:pPr>
      <w:r>
        <w:t>Ze strany Evropské komise byla v minulosti z okruhu výše uvedených otázek</w:t>
      </w:r>
      <w:r w:rsidR="00DE4D5A">
        <w:t xml:space="preserve"> </w:t>
      </w:r>
      <w:r w:rsidR="00476EBD">
        <w:t>p</w:t>
      </w:r>
      <w:r>
        <w:t>od body</w:t>
      </w:r>
      <w:r w:rsidR="00476EBD">
        <w:t xml:space="preserve"> </w:t>
      </w:r>
      <w:r w:rsidR="000846EF">
        <w:t xml:space="preserve">I. až </w:t>
      </w:r>
      <w:r w:rsidR="001B5C92" w:rsidRPr="001B5C92">
        <w:t>II</w:t>
      </w:r>
      <w:r w:rsidR="000846EF">
        <w:t xml:space="preserve">. po několikaletém zkoumání finančních nástrojů v ČR vznesena pouze jediná zásadní námitka, a tou byla přítomnost soukromých akcionářů v ČMZRB, které byla zadána správa finančních nástrojů bez výběrového řízení. Tato námitka je již zcela vyřešena. ČMZRB má pouze jediného akcionáře, Českou republiku, a nedrží žádné vlastní akcie.  </w:t>
      </w:r>
      <w:r w:rsidR="00C42977">
        <w:t>Specifická námitkou uplatněnou Evropskou komisí byla existence příspěvku k ceně záruky. Tento možný způsob použití prostředků EU se však v programovacím období 2014</w:t>
      </w:r>
      <w:r w:rsidR="00F56760">
        <w:t xml:space="preserve"> </w:t>
      </w:r>
      <w:r w:rsidR="00C42977">
        <w:t>- 2020  nenavrhuje.</w:t>
      </w:r>
      <w:r w:rsidR="000846EF">
        <w:t xml:space="preserve"> </w:t>
      </w:r>
      <w:r w:rsidR="00C42977">
        <w:t xml:space="preserve">Jiné připomínky systémové povahy nebyly ze strany Komise uplatněny.    </w:t>
      </w:r>
      <w:r w:rsidR="000846EF">
        <w:t xml:space="preserve"> </w:t>
      </w:r>
    </w:p>
    <w:p w:rsidR="003D3B30" w:rsidRDefault="000846EF" w:rsidP="00D650A9">
      <w:pPr>
        <w:jc w:val="both"/>
      </w:pPr>
      <w:r>
        <w:t xml:space="preserve">Opatření a řešení navržená v bodech I. až </w:t>
      </w:r>
      <w:r w:rsidR="001B5C92" w:rsidRPr="001B5C92">
        <w:t>II</w:t>
      </w:r>
      <w:r>
        <w:t xml:space="preserve">. </w:t>
      </w:r>
      <w:r w:rsidR="000548E5">
        <w:t xml:space="preserve">se jeví jako postačující k tomu, aby byly </w:t>
      </w:r>
      <w:r>
        <w:t>odstraněny</w:t>
      </w:r>
      <w:r w:rsidR="00DE4D5A">
        <w:t xml:space="preserve">  </w:t>
      </w:r>
      <w:r w:rsidR="003D3B30">
        <w:t>překážky</w:t>
      </w:r>
      <w:r w:rsidR="00DE4D5A">
        <w:t xml:space="preserve">  </w:t>
      </w:r>
      <w:r w:rsidR="003D3B30">
        <w:t>a nejistoty, které byly i v minulosti v různé míře s vytvářením a fungováním finančních nástrojů spojovány ze strany národních institucí.</w:t>
      </w:r>
      <w:r w:rsidR="00DE4D5A">
        <w:t xml:space="preserve">              </w:t>
      </w:r>
    </w:p>
    <w:p w:rsidR="00215325" w:rsidRPr="0032758F" w:rsidRDefault="00215325" w:rsidP="009754EB">
      <w:pPr>
        <w:pStyle w:val="Nadpis1"/>
        <w:numPr>
          <w:ilvl w:val="0"/>
          <w:numId w:val="32"/>
        </w:numPr>
        <w:jc w:val="both"/>
      </w:pPr>
      <w:bookmarkStart w:id="9" w:name="_Toc419730429"/>
      <w:r w:rsidRPr="0032758F">
        <w:t>Východiska pro zpracování Studie</w:t>
      </w:r>
      <w:bookmarkEnd w:id="9"/>
      <w:r w:rsidRPr="0032758F">
        <w:t xml:space="preserve"> </w:t>
      </w:r>
    </w:p>
    <w:p w:rsidR="000215AE" w:rsidRDefault="004C0DC9" w:rsidP="00D650A9">
      <w:pPr>
        <w:jc w:val="both"/>
      </w:pPr>
      <w:r w:rsidRPr="004C0DC9">
        <w:t xml:space="preserve">Studie </w:t>
      </w:r>
      <w:r>
        <w:t>je zpracována za těchto dále uvedených podmínek, které předurčují možnou míru její podrobnosti.</w:t>
      </w:r>
      <w:r w:rsidR="005F0346">
        <w:t xml:space="preserve"> </w:t>
      </w:r>
    </w:p>
    <w:p w:rsidR="000548E5" w:rsidRDefault="000548E5" w:rsidP="00D650A9">
      <w:pPr>
        <w:jc w:val="both"/>
      </w:pPr>
    </w:p>
    <w:p w:rsidR="007D6404" w:rsidRPr="000215AE" w:rsidRDefault="00F21777" w:rsidP="009754EB">
      <w:pPr>
        <w:pStyle w:val="Nadpis2"/>
        <w:numPr>
          <w:ilvl w:val="0"/>
          <w:numId w:val="24"/>
        </w:numPr>
        <w:jc w:val="both"/>
      </w:pPr>
      <w:bookmarkStart w:id="10" w:name="_Toc419730430"/>
      <w:r>
        <w:t xml:space="preserve">I. </w:t>
      </w:r>
      <w:r w:rsidR="004C0DC9" w:rsidRPr="003B5F62">
        <w:t xml:space="preserve">Předběžné </w:t>
      </w:r>
      <w:r w:rsidR="007D6404" w:rsidRPr="003B5F62">
        <w:t>posouzení finančních nástrojů</w:t>
      </w:r>
      <w:r w:rsidR="00DE4D5A">
        <w:t xml:space="preserve"> </w:t>
      </w:r>
      <w:r w:rsidR="007D6404" w:rsidRPr="003B5F62">
        <w:t>v Operačních programech</w:t>
      </w:r>
      <w:bookmarkEnd w:id="10"/>
    </w:p>
    <w:p w:rsidR="007D6404" w:rsidRDefault="007D6404" w:rsidP="00D650A9">
      <w:pPr>
        <w:jc w:val="both"/>
      </w:pPr>
      <w:r>
        <w:t>Závěrečnými</w:t>
      </w:r>
      <w:r w:rsidR="00DE4D5A">
        <w:t xml:space="preserve"> </w:t>
      </w:r>
      <w:r>
        <w:t xml:space="preserve">zprávami </w:t>
      </w:r>
      <w:r w:rsidR="003D6656">
        <w:t>bylo</w:t>
      </w:r>
      <w:r w:rsidR="00DE4D5A">
        <w:t xml:space="preserve"> </w:t>
      </w:r>
      <w:r>
        <w:t>ukončen</w:t>
      </w:r>
      <w:r w:rsidR="00DF1B5A">
        <w:t>o</w:t>
      </w:r>
      <w:r w:rsidR="003D6656">
        <w:t xml:space="preserve"> p</w:t>
      </w:r>
      <w:r w:rsidR="003D6656" w:rsidRPr="003D6656">
        <w:t xml:space="preserve">ředběžné posouzení finančních nástrojů </w:t>
      </w:r>
      <w:r w:rsidR="003D6656">
        <w:t>(ex ante analýza)</w:t>
      </w:r>
      <w:r w:rsidR="00DE4D5A">
        <w:t xml:space="preserve"> </w:t>
      </w:r>
      <w:r w:rsidR="003D6656">
        <w:t>ve třech operačních programech</w:t>
      </w:r>
      <w:r>
        <w:t>. Závěry z ex a</w:t>
      </w:r>
      <w:r w:rsidR="00DC3559">
        <w:t>n</w:t>
      </w:r>
      <w:r>
        <w:t>te analýz lze pro jednotlivé operační programy</w:t>
      </w:r>
      <w:r w:rsidR="00DE4D5A">
        <w:t xml:space="preserve"> </w:t>
      </w:r>
      <w:r>
        <w:t xml:space="preserve">shrnout následovně: </w:t>
      </w:r>
    </w:p>
    <w:p w:rsidR="00E9184D" w:rsidRDefault="00E9184D" w:rsidP="00D650A9">
      <w:pPr>
        <w:spacing w:after="0" w:line="360" w:lineRule="auto"/>
        <w:jc w:val="both"/>
      </w:pPr>
      <w:r w:rsidRPr="00F44A75">
        <w:rPr>
          <w:b/>
          <w:bCs/>
        </w:rPr>
        <w:t>OPŽP</w:t>
      </w:r>
      <w:r w:rsidRPr="00F44A75">
        <w:t>:</w:t>
      </w:r>
    </w:p>
    <w:p w:rsidR="00E9184D" w:rsidRPr="00F44A75" w:rsidRDefault="00E9184D" w:rsidP="00D650A9">
      <w:pPr>
        <w:spacing w:after="0" w:line="360" w:lineRule="auto"/>
        <w:jc w:val="both"/>
      </w:pPr>
      <w:r>
        <w:t>Jako vhodné pro využití finančních nástrojů byly definovány následující oblasti: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AE1D48">
        <w:rPr>
          <w:b/>
        </w:rPr>
        <w:t>Energetické úspory</w:t>
      </w:r>
      <w:r w:rsidRPr="00F44A75">
        <w:t xml:space="preserve"> - úvěrový finanční nástroj 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AE1D48">
        <w:rPr>
          <w:b/>
        </w:rPr>
        <w:t>Odpady</w:t>
      </w:r>
      <w:r w:rsidRPr="00F44A75">
        <w:t xml:space="preserve"> - úvěrový finanční nástroj 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AE1D48">
        <w:rPr>
          <w:b/>
        </w:rPr>
        <w:t>Ovzduší</w:t>
      </w:r>
      <w:r w:rsidRPr="00F44A75">
        <w:t xml:space="preserve"> - výměna starých kotlů v domácnostech - úvěrový finanční nástroj (pilotní projekt v Moravskoslezském kraji)</w:t>
      </w:r>
    </w:p>
    <w:p w:rsidR="00E9184D" w:rsidRPr="00F44A75" w:rsidRDefault="00E9184D" w:rsidP="009754EB">
      <w:pPr>
        <w:numPr>
          <w:ilvl w:val="0"/>
          <w:numId w:val="11"/>
        </w:numPr>
        <w:spacing w:after="0" w:line="360" w:lineRule="auto"/>
        <w:jc w:val="both"/>
      </w:pPr>
      <w:r w:rsidRPr="00F44A75">
        <w:t>kombinace úvěru a dotace (až do výše 15%) na financování projektu</w:t>
      </w:r>
    </w:p>
    <w:p w:rsidR="00E9184D" w:rsidRPr="00F44A75" w:rsidRDefault="00E9184D" w:rsidP="009754EB">
      <w:pPr>
        <w:numPr>
          <w:ilvl w:val="0"/>
          <w:numId w:val="11"/>
        </w:numPr>
        <w:spacing w:after="0" w:line="360" w:lineRule="auto"/>
        <w:jc w:val="both"/>
      </w:pPr>
      <w:r w:rsidRPr="00F44A75">
        <w:t>v rámci Environmentálního fondu vzniknou 4 podfondy: Voda, Ovzduší, Odpady, Energetické úspory</w:t>
      </w:r>
      <w:r w:rsidR="000548E5">
        <w:t>.</w:t>
      </w:r>
    </w:p>
    <w:p w:rsidR="00E9184D" w:rsidRDefault="00E9184D" w:rsidP="00D650A9">
      <w:pPr>
        <w:spacing w:after="0" w:line="360" w:lineRule="auto"/>
        <w:jc w:val="both"/>
      </w:pPr>
      <w:r w:rsidRPr="00F44A75">
        <w:t xml:space="preserve"> </w:t>
      </w:r>
    </w:p>
    <w:p w:rsidR="00E9184D" w:rsidRPr="00F44A75" w:rsidRDefault="00E9184D" w:rsidP="00D650A9">
      <w:pPr>
        <w:spacing w:after="0" w:line="360" w:lineRule="auto"/>
        <w:jc w:val="both"/>
        <w:rPr>
          <w:b/>
        </w:rPr>
      </w:pPr>
      <w:r w:rsidRPr="00F44A75">
        <w:rPr>
          <w:b/>
        </w:rPr>
        <w:t>OPPIK:</w:t>
      </w:r>
    </w:p>
    <w:p w:rsidR="00E9184D" w:rsidRPr="00F44A75" w:rsidRDefault="00E9184D" w:rsidP="00D650A9">
      <w:pPr>
        <w:spacing w:after="0" w:line="360" w:lineRule="auto"/>
        <w:jc w:val="both"/>
      </w:pPr>
      <w:r>
        <w:lastRenderedPageBreak/>
        <w:t>Jako vhodné pro využití finančních nástrojů byly definovány následující oblasti:</w:t>
      </w:r>
    </w:p>
    <w:p w:rsidR="00E9184D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>PO1, SC1.1 Zvýšit inovační výkonnost podniků</w:t>
      </w:r>
      <w:r>
        <w:t xml:space="preserve"> </w:t>
      </w:r>
    </w:p>
    <w:p w:rsidR="00E9184D" w:rsidRPr="00F44A75" w:rsidRDefault="00E9184D" w:rsidP="00D650A9">
      <w:pPr>
        <w:pStyle w:val="Odstavecseseznamem"/>
        <w:spacing w:after="0" w:line="360" w:lineRule="auto"/>
        <w:jc w:val="both"/>
      </w:pPr>
      <w:r>
        <w:t>p</w:t>
      </w:r>
      <w:r w:rsidRPr="00F44A75">
        <w:t xml:space="preserve">rogram </w:t>
      </w:r>
      <w:r w:rsidRPr="00F44A75">
        <w:rPr>
          <w:b/>
          <w:bCs/>
        </w:rPr>
        <w:t>Inovace</w:t>
      </w:r>
      <w:r>
        <w:rPr>
          <w:b/>
          <w:bCs/>
        </w:rPr>
        <w:t xml:space="preserve"> </w:t>
      </w:r>
      <w:r>
        <w:t>-</w:t>
      </w:r>
      <w:r w:rsidR="00DE4D5A">
        <w:t xml:space="preserve">  </w:t>
      </w:r>
      <w:r w:rsidRPr="00F44A75">
        <w:t xml:space="preserve">záruky úvěrové instituci za konkrétní záměr na realizaci investice do VaVaI 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 xml:space="preserve">PO1, SC1.2 Zvýšit intenzitu a účinnost spolupráce ve výzkumu, vývoji a inovacích: </w:t>
      </w:r>
    </w:p>
    <w:p w:rsidR="00E9184D" w:rsidRPr="00F44A75" w:rsidRDefault="00E9184D" w:rsidP="00D650A9">
      <w:pPr>
        <w:spacing w:after="0" w:line="360" w:lineRule="auto"/>
        <w:ind w:left="720"/>
        <w:jc w:val="both"/>
      </w:pPr>
      <w:r w:rsidRPr="00F44A75">
        <w:t xml:space="preserve">Program </w:t>
      </w:r>
      <w:r w:rsidRPr="00BE6863">
        <w:rPr>
          <w:b/>
        </w:rPr>
        <w:t>Proof of Concept</w:t>
      </w:r>
      <w:r w:rsidRPr="00F44A75">
        <w:t xml:space="preserve"> – kapitálové vstupy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>PO2,</w:t>
      </w:r>
      <w:r w:rsidR="00DE4D5A">
        <w:t xml:space="preserve">  </w:t>
      </w:r>
      <w:r w:rsidRPr="00F44A75">
        <w:t>SC2.1 Zvýšit konkurenceschopnost začínajících a rozvojových MSP:</w:t>
      </w:r>
    </w:p>
    <w:p w:rsidR="00E9184D" w:rsidRPr="00F44A75" w:rsidRDefault="00E9184D" w:rsidP="00D650A9">
      <w:pPr>
        <w:spacing w:after="0" w:line="360" w:lineRule="auto"/>
        <w:ind w:left="720"/>
        <w:jc w:val="both"/>
      </w:pPr>
      <w:r w:rsidRPr="00F44A75">
        <w:t xml:space="preserve">Program </w:t>
      </w:r>
      <w:r w:rsidRPr="00F44A75">
        <w:rPr>
          <w:b/>
          <w:bCs/>
        </w:rPr>
        <w:t>Expanze</w:t>
      </w:r>
      <w:r w:rsidRPr="00F44A75">
        <w:t xml:space="preserve"> - zvýhodněný úvěr se sníženou úrokovou sazbou a delší dobou splatnosti, S-záruka, M-záruka</w:t>
      </w:r>
    </w:p>
    <w:p w:rsidR="00E9184D" w:rsidRPr="00F44A75" w:rsidRDefault="00E9184D" w:rsidP="00D650A9">
      <w:pPr>
        <w:spacing w:after="0" w:line="360" w:lineRule="auto"/>
        <w:ind w:left="720"/>
        <w:jc w:val="both"/>
      </w:pPr>
      <w:r w:rsidRPr="00F44A75">
        <w:t xml:space="preserve">Program Rizikový kapitál – kapitálové vstupy 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 xml:space="preserve">PO2, SC2.3 </w:t>
      </w:r>
      <w:r w:rsidRPr="00F44A75">
        <w:rPr>
          <w:lang w:val="pl-PL"/>
        </w:rPr>
        <w:t>Zvýšit využitelnost infrastruktury pro podnikání:</w:t>
      </w:r>
    </w:p>
    <w:p w:rsidR="00E9184D" w:rsidRPr="00F44A75" w:rsidRDefault="00E9184D" w:rsidP="00D650A9">
      <w:pPr>
        <w:spacing w:after="0" w:line="360" w:lineRule="auto"/>
        <w:ind w:left="708"/>
        <w:jc w:val="both"/>
      </w:pPr>
      <w:r w:rsidRPr="00F44A75">
        <w:rPr>
          <w:lang w:val="pl-PL"/>
        </w:rPr>
        <w:t xml:space="preserve">Program </w:t>
      </w:r>
      <w:r w:rsidRPr="00F44A75">
        <w:rPr>
          <w:b/>
          <w:bCs/>
          <w:lang w:val="pl-PL"/>
        </w:rPr>
        <w:t>Nemovitosti</w:t>
      </w:r>
      <w:r w:rsidRPr="00F44A75">
        <w:t xml:space="preserve"> - Kombinovaná podpora</w:t>
      </w:r>
      <w:r>
        <w:t>, z</w:t>
      </w:r>
      <w:r w:rsidRPr="00F44A75">
        <w:t>výhodněný úvěr se sníženou úrokovou sazbou a delší dobou splatnosti, případně odkladem splátek, finanční příspěvek na projektovou přípravu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 xml:space="preserve">PO 3, SC3.2 - Zvýšit energetickou účinnost podnikatelského sektoru: </w:t>
      </w:r>
    </w:p>
    <w:p w:rsidR="00E9184D" w:rsidRPr="00F44A75" w:rsidRDefault="00E9184D" w:rsidP="00D650A9">
      <w:pPr>
        <w:spacing w:after="0" w:line="360" w:lineRule="auto"/>
        <w:ind w:left="720"/>
        <w:jc w:val="both"/>
      </w:pPr>
      <w:r w:rsidRPr="00F44A75">
        <w:t xml:space="preserve">Program </w:t>
      </w:r>
      <w:r w:rsidRPr="00F44A75">
        <w:rPr>
          <w:b/>
          <w:bCs/>
        </w:rPr>
        <w:t xml:space="preserve">Úspory energie </w:t>
      </w:r>
      <w:r w:rsidRPr="00F44A75">
        <w:t>-</w:t>
      </w:r>
      <w:r w:rsidRPr="00F44A75">
        <w:rPr>
          <w:b/>
          <w:bCs/>
        </w:rPr>
        <w:t xml:space="preserve"> </w:t>
      </w:r>
      <w:r w:rsidRPr="00F44A75">
        <w:t>Kombinovaná podpora</w:t>
      </w:r>
      <w:r>
        <w:t>, z</w:t>
      </w:r>
      <w:r w:rsidRPr="00F44A75">
        <w:t>výhodněný úvěr se sníženou úrokovou sazbou a delší dobou splatnosti, finanční příspěvek na úhradu úroků (subvence úrokové sazby) za podmínky dosažení požadované úspory, finanční příspěvek na úhradu nákladů na energetický audit a ověření úspory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>PO 3, SC3.5 - Zvýšit účinnost soustav zásobování teplem:</w:t>
      </w:r>
    </w:p>
    <w:p w:rsidR="00E9184D" w:rsidRPr="00F44A75" w:rsidRDefault="00E9184D" w:rsidP="00D650A9">
      <w:pPr>
        <w:spacing w:after="0" w:line="360" w:lineRule="auto"/>
        <w:ind w:left="720"/>
        <w:jc w:val="both"/>
      </w:pPr>
      <w:r w:rsidRPr="00F44A75">
        <w:t>Program</w:t>
      </w:r>
      <w:r w:rsidRPr="00F44A75">
        <w:rPr>
          <w:b/>
          <w:bCs/>
        </w:rPr>
        <w:t xml:space="preserve"> Úspory energie v SZT</w:t>
      </w:r>
      <w:r w:rsidRPr="00F44A75">
        <w:t xml:space="preserve"> - Kombinovaná podpora (viz program Úspory energie)</w:t>
      </w:r>
    </w:p>
    <w:p w:rsidR="00E9184D" w:rsidRPr="00F44A75" w:rsidRDefault="00E9184D" w:rsidP="009754EB">
      <w:pPr>
        <w:pStyle w:val="Odstavecseseznamem"/>
        <w:numPr>
          <w:ilvl w:val="0"/>
          <w:numId w:val="3"/>
        </w:numPr>
        <w:spacing w:after="0" w:line="360" w:lineRule="auto"/>
        <w:ind w:left="720"/>
        <w:jc w:val="both"/>
      </w:pPr>
      <w:r w:rsidRPr="00F44A75">
        <w:t>PO 3, SC 3.1 - Zvýšit podíl výroby energie z obnovitelných zdr</w:t>
      </w:r>
      <w:r>
        <w:t xml:space="preserve">ojů na hrubé konečné spotřebě </w:t>
      </w:r>
    </w:p>
    <w:p w:rsidR="00E9184D" w:rsidRPr="00F44A75" w:rsidRDefault="00E9184D" w:rsidP="00D650A9">
      <w:pPr>
        <w:spacing w:after="0" w:line="360" w:lineRule="auto"/>
        <w:ind w:left="720"/>
        <w:jc w:val="both"/>
      </w:pPr>
      <w:r w:rsidRPr="00F44A75">
        <w:t xml:space="preserve">Program </w:t>
      </w:r>
      <w:r w:rsidRPr="00F44A75">
        <w:rPr>
          <w:b/>
          <w:bCs/>
        </w:rPr>
        <w:t xml:space="preserve">Obnovitelné zdroje energie </w:t>
      </w:r>
      <w:r w:rsidRPr="00F44A75">
        <w:t xml:space="preserve">– Kombinovaná podpora </w:t>
      </w:r>
    </w:p>
    <w:p w:rsidR="00E9184D" w:rsidRDefault="00E9184D" w:rsidP="00D650A9">
      <w:pPr>
        <w:jc w:val="both"/>
      </w:pPr>
    </w:p>
    <w:p w:rsidR="00E9184D" w:rsidRDefault="00E9184D" w:rsidP="00D650A9">
      <w:pPr>
        <w:jc w:val="both"/>
      </w:pPr>
    </w:p>
    <w:p w:rsidR="00E9184D" w:rsidRDefault="00E9184D" w:rsidP="00D650A9">
      <w:pPr>
        <w:jc w:val="both"/>
      </w:pPr>
      <w:r w:rsidRPr="00E9184D">
        <w:rPr>
          <w:noProof/>
          <w:lang w:eastAsia="cs-CZ"/>
        </w:rPr>
        <w:lastRenderedPageBreak/>
        <w:drawing>
          <wp:inline distT="0" distB="0" distL="0" distR="0">
            <wp:extent cx="5345430" cy="3447013"/>
            <wp:effectExtent l="1905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876" t="7529" r="15764" b="1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344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D9" w:rsidRDefault="004F64D9" w:rsidP="00D650A9">
      <w:pPr>
        <w:jc w:val="both"/>
      </w:pPr>
    </w:p>
    <w:p w:rsidR="004F64D9" w:rsidRDefault="00D62541" w:rsidP="00D650A9">
      <w:pPr>
        <w:jc w:val="both"/>
        <w:rPr>
          <w:b/>
        </w:rPr>
      </w:pPr>
      <w:r w:rsidRPr="00D62541">
        <w:rPr>
          <w:b/>
        </w:rPr>
        <w:t xml:space="preserve">IROP </w:t>
      </w:r>
    </w:p>
    <w:p w:rsidR="00667B75" w:rsidRPr="004F64D9" w:rsidRDefault="00667B75" w:rsidP="00D650A9">
      <w:pPr>
        <w:jc w:val="both"/>
        <w:rPr>
          <w:b/>
        </w:rPr>
      </w:pPr>
      <w:r>
        <w:t>Jako vhodné pro využití finančních nástrojů byly definovány následující oblasti:</w:t>
      </w:r>
    </w:p>
    <w:p w:rsidR="00667B75" w:rsidRPr="00667B75" w:rsidRDefault="001C10D2" w:rsidP="00667B75">
      <w:pPr>
        <w:pStyle w:val="Odstavecseseznamem"/>
        <w:numPr>
          <w:ilvl w:val="0"/>
          <w:numId w:val="3"/>
        </w:numPr>
        <w:jc w:val="both"/>
        <w:rPr>
          <w:bCs/>
        </w:rPr>
      </w:pPr>
      <w:r>
        <w:t>PO 2, SC</w:t>
      </w:r>
      <w:r w:rsidR="00667B75">
        <w:t xml:space="preserve"> </w:t>
      </w:r>
      <w:r w:rsidR="00667B75" w:rsidRPr="00667B75">
        <w:t xml:space="preserve">2.5 </w:t>
      </w:r>
      <w:r w:rsidR="00667B75" w:rsidRPr="00667B75">
        <w:rPr>
          <w:b/>
          <w:bCs/>
        </w:rPr>
        <w:t>Snížení energetické náročnosti v sektoru</w:t>
      </w:r>
      <w:r w:rsidR="00667B75" w:rsidRPr="001C10D2">
        <w:rPr>
          <w:b/>
          <w:bCs/>
        </w:rPr>
        <w:t xml:space="preserve"> bydlení</w:t>
      </w:r>
      <w:r w:rsidR="00DC615B" w:rsidRPr="00DC615B">
        <w:rPr>
          <w:bCs/>
        </w:rPr>
        <w:t xml:space="preserve"> pro</w:t>
      </w:r>
      <w:r w:rsidR="00DC615B">
        <w:rPr>
          <w:b/>
          <w:bCs/>
        </w:rPr>
        <w:t xml:space="preserve"> </w:t>
      </w:r>
      <w:r>
        <w:t>vlastníky</w:t>
      </w:r>
      <w:r w:rsidR="00DC615B">
        <w:t xml:space="preserve"> bytových domů a společenství vlastníků bytových jednotek</w:t>
      </w:r>
      <w:r w:rsidR="00D2060C">
        <w:t>.</w:t>
      </w:r>
    </w:p>
    <w:p w:rsidR="00667B75" w:rsidRPr="00C53109" w:rsidRDefault="00667B75" w:rsidP="00C53109">
      <w:pPr>
        <w:pStyle w:val="Odstavecseseznamem"/>
        <w:ind w:left="360"/>
        <w:jc w:val="both"/>
        <w:rPr>
          <w:bCs/>
        </w:rPr>
      </w:pPr>
      <w:r>
        <w:t>Zvýhodněný úvěr na celou částku způsobilých nákladů projektu,</w:t>
      </w:r>
      <w:r w:rsidRPr="00667B75">
        <w:t xml:space="preserve"> </w:t>
      </w:r>
      <w:r>
        <w:t>v případě nadstandardních environmentálních přínosů dodatečné přiznání dotace do výše 10</w:t>
      </w:r>
      <w:r w:rsidR="00D2060C">
        <w:t xml:space="preserve"> </w:t>
      </w:r>
      <w:r>
        <w:t>% podílu zapojení Fondu.</w:t>
      </w:r>
    </w:p>
    <w:p w:rsidR="007D6404" w:rsidRDefault="007D6404" w:rsidP="00D650A9">
      <w:pPr>
        <w:jc w:val="both"/>
      </w:pPr>
      <w:r w:rsidRPr="004B0C32">
        <w:t xml:space="preserve">Podrobněji </w:t>
      </w:r>
      <w:r w:rsidR="00476EBD">
        <w:t>k jednotlivým předběžným hodnocením v Operačních programech</w:t>
      </w:r>
      <w:r w:rsidR="00DE4D5A">
        <w:t xml:space="preserve"> </w:t>
      </w:r>
      <w:r w:rsidRPr="004B0C32">
        <w:t>viz příloha č. 1</w:t>
      </w:r>
      <w:r w:rsidR="00476EBD">
        <w:t>.</w:t>
      </w:r>
      <w:r w:rsidR="004B0C32">
        <w:t xml:space="preserve"> </w:t>
      </w:r>
      <w:r w:rsidR="00DE4D5A">
        <w:rPr>
          <w:highlight w:val="yellow"/>
        </w:rPr>
        <w:t xml:space="preserve">  </w:t>
      </w:r>
      <w:r w:rsidR="00215325" w:rsidRPr="004C0DC9">
        <w:t xml:space="preserve"> </w:t>
      </w:r>
    </w:p>
    <w:p w:rsidR="006219C0" w:rsidRPr="006219C0" w:rsidRDefault="00DE4D5A" w:rsidP="00D650A9">
      <w:pPr>
        <w:jc w:val="both"/>
        <w:rPr>
          <w:b/>
        </w:rPr>
      </w:pPr>
      <w:r w:rsidRPr="006219C0">
        <w:rPr>
          <w:b/>
        </w:rPr>
        <w:t xml:space="preserve"> </w:t>
      </w:r>
      <w:r w:rsidR="003D6656" w:rsidRPr="006219C0">
        <w:rPr>
          <w:b/>
        </w:rPr>
        <w:t xml:space="preserve">OP Doprava </w:t>
      </w:r>
    </w:p>
    <w:p w:rsidR="003D6656" w:rsidRDefault="006219C0" w:rsidP="00D650A9">
      <w:pPr>
        <w:jc w:val="both"/>
      </w:pPr>
      <w:r>
        <w:t>P</w:t>
      </w:r>
      <w:r w:rsidR="003D6656">
        <w:t>ředpokládá vyhlášení výběrového řízení na zpracovatele</w:t>
      </w:r>
      <w:r w:rsidR="00DE4D5A">
        <w:t xml:space="preserve"> </w:t>
      </w:r>
      <w:r w:rsidR="00496080">
        <w:t>předběžného posouzení finančních nástrojů v tomto operačním programu.</w:t>
      </w:r>
      <w:r w:rsidR="00DE4D5A">
        <w:t xml:space="preserve">  </w:t>
      </w:r>
    </w:p>
    <w:p w:rsidR="0032758F" w:rsidRDefault="0032758F" w:rsidP="00D650A9">
      <w:pPr>
        <w:jc w:val="both"/>
        <w:rPr>
          <w:b/>
        </w:rPr>
      </w:pPr>
    </w:p>
    <w:p w:rsidR="00CF09CD" w:rsidRDefault="00126DCF" w:rsidP="00D650A9">
      <w:pPr>
        <w:jc w:val="both"/>
        <w:rPr>
          <w:b/>
        </w:rPr>
      </w:pPr>
      <w:r w:rsidRPr="00126DCF">
        <w:rPr>
          <w:b/>
        </w:rPr>
        <w:t>OP PPR</w:t>
      </w:r>
    </w:p>
    <w:p w:rsidR="00CF09CD" w:rsidRPr="00CF09CD" w:rsidRDefault="00126DCF" w:rsidP="00D650A9">
      <w:pPr>
        <w:jc w:val="both"/>
      </w:pPr>
      <w:r w:rsidRPr="00126DCF">
        <w:rPr>
          <w:highlight w:val="yellow"/>
        </w:rPr>
        <w:t>Bude dopracováno.</w:t>
      </w:r>
    </w:p>
    <w:p w:rsidR="00CF09CD" w:rsidRPr="00CF09CD" w:rsidRDefault="00126DCF" w:rsidP="00D650A9">
      <w:pPr>
        <w:jc w:val="both"/>
      </w:pPr>
      <w:r w:rsidRPr="00126DCF">
        <w:t xml:space="preserve"> </w:t>
      </w:r>
    </w:p>
    <w:p w:rsidR="00F30C0E" w:rsidRDefault="00F72B78">
      <w:pPr>
        <w:pStyle w:val="Nadpis2"/>
        <w:ind w:left="360"/>
        <w:jc w:val="both"/>
      </w:pPr>
      <w:bookmarkStart w:id="11" w:name="_Toc419730431"/>
      <w:r>
        <w:t>F.II. Veřejná podpora</w:t>
      </w:r>
    </w:p>
    <w:p w:rsidR="00F72B78" w:rsidRDefault="00F72B78" w:rsidP="00F72B78">
      <w:pPr>
        <w:jc w:val="both"/>
      </w:pPr>
      <w:r w:rsidRPr="00F3565B">
        <w:t xml:space="preserve">V případě </w:t>
      </w:r>
      <w:r>
        <w:t>správy Nástrojů a jejich využití je nutno zajistit, že při implementaci Nástrojů nedojde k porušení článků 107 a 108 Smlouvy o ES, tj. k poskytnutí nedovolené veřejné podpory.</w:t>
      </w:r>
    </w:p>
    <w:p w:rsidR="00F72B78" w:rsidRDefault="00F72B78" w:rsidP="00F72B78">
      <w:pPr>
        <w:jc w:val="both"/>
      </w:pPr>
      <w:r>
        <w:lastRenderedPageBreak/>
        <w:t>Zajištění souladu s pravidly pro poskytování veřejné podpory na úrovni Konečného příjemce zabezpečí jednotlivé Řídící orgány správným nastavením podmínek jednotlivých Výzev. Budou využívány tyto režimy veřejné podpory:</w:t>
      </w:r>
    </w:p>
    <w:p w:rsidR="00F72B78" w:rsidRDefault="00F72B78" w:rsidP="00F72B78">
      <w:pPr>
        <w:pStyle w:val="Odstavecseseznamem"/>
        <w:numPr>
          <w:ilvl w:val="0"/>
          <w:numId w:val="3"/>
        </w:numPr>
        <w:jc w:val="both"/>
      </w:pPr>
      <w:r>
        <w:t xml:space="preserve">de minimis podle Nařízení Komise (EU) č. 1407/2013     </w:t>
      </w:r>
    </w:p>
    <w:p w:rsidR="00F72B78" w:rsidRDefault="00F72B78" w:rsidP="00F72B78">
      <w:pPr>
        <w:pStyle w:val="Odstavecseseznamem"/>
        <w:numPr>
          <w:ilvl w:val="0"/>
          <w:numId w:val="3"/>
        </w:numPr>
        <w:jc w:val="both"/>
      </w:pPr>
      <w:r>
        <w:t>bloková výjimka podle Nařízení Komise (EU) č. 651/2014</w:t>
      </w:r>
    </w:p>
    <w:p w:rsidR="00F72B78" w:rsidRDefault="00F72B78" w:rsidP="00F72B78">
      <w:pPr>
        <w:pStyle w:val="Odstavecseseznamem"/>
        <w:numPr>
          <w:ilvl w:val="0"/>
          <w:numId w:val="3"/>
        </w:numPr>
        <w:jc w:val="both"/>
      </w:pPr>
      <w:r>
        <w:t>veřejná podpora notifikovaná na základě návrhu Řídícího orgánu Evropskou komisí.</w:t>
      </w:r>
    </w:p>
    <w:p w:rsidR="00F72B78" w:rsidRDefault="00F72B78" w:rsidP="00F72B78">
      <w:pPr>
        <w:pStyle w:val="Odstavecseseznamem"/>
        <w:ind w:left="0"/>
        <w:jc w:val="both"/>
      </w:pPr>
      <w:r>
        <w:t>O poskytnutí veřejné podpory bude rozhodovat Příjemce nebo Finanční zprostředkovatel, kteří ponesou odpovědnost za soulad poskytnuté podpory s podmínkami platné legislativy a budou provádět veškeré úkony, které jim jako poskytovatelům veřejné podpory přísluší.</w:t>
      </w:r>
    </w:p>
    <w:p w:rsidR="00F72B78" w:rsidRDefault="00F72B78" w:rsidP="00F72B78">
      <w:pPr>
        <w:pStyle w:val="Odstavecseseznamem"/>
        <w:ind w:left="0"/>
        <w:jc w:val="both"/>
      </w:pPr>
    </w:p>
    <w:p w:rsidR="00F72B78" w:rsidRDefault="00F72B78" w:rsidP="00F72B78">
      <w:pPr>
        <w:pStyle w:val="Odstavecseseznamem"/>
        <w:ind w:left="0"/>
        <w:jc w:val="both"/>
      </w:pPr>
      <w:r>
        <w:t xml:space="preserve">Zabezpečení souladu s pravidly pro poskytování veřejné podpory na úrovni </w:t>
      </w:r>
      <w:r w:rsidR="00F318AE">
        <w:t xml:space="preserve">správce Fondu Fondů ( Příjemce)  </w:t>
      </w:r>
      <w:r>
        <w:t xml:space="preserve">bude zabezpečeno dodržením pravidel a omezení stanovených pro výši poplatku za správu stanovených v článku 13 Nařízení Komise (EU) č. 480/2014. Výše sazeb poplatku za správu a zásady a metodika jeho výpočtu budou stanoveny jednotně v rámci vzorové Dohody o financování (viz část G.III.1). </w:t>
      </w:r>
    </w:p>
    <w:p w:rsidR="00F72B78" w:rsidRDefault="00F72B78" w:rsidP="00F72B78">
      <w:pPr>
        <w:pStyle w:val="Odstavecseseznamem"/>
        <w:ind w:left="0"/>
        <w:jc w:val="both"/>
      </w:pPr>
    </w:p>
    <w:p w:rsidR="00F72B78" w:rsidRDefault="00F72B78" w:rsidP="00F72B78">
      <w:pPr>
        <w:pStyle w:val="Odstavecseseznamem"/>
        <w:ind w:left="0"/>
        <w:jc w:val="both"/>
      </w:pPr>
      <w:r>
        <w:t>Zabezpečení souladu s pravidly pro poskytování veřejné podpory na úrovni Finančního zprostředkovatele bude podle okolností v rámci jednotlivých Operačních programů zabezpečeno dvěma alternativními postupy:</w:t>
      </w:r>
    </w:p>
    <w:p w:rsidR="00F72B78" w:rsidRDefault="00F72B78" w:rsidP="00F72B78">
      <w:pPr>
        <w:pStyle w:val="Odstavecseseznamem"/>
        <w:numPr>
          <w:ilvl w:val="0"/>
          <w:numId w:val="3"/>
        </w:numPr>
        <w:jc w:val="both"/>
      </w:pPr>
      <w:r>
        <w:t>provedením výběrového řízení na Finanční zprostředkovatele, v jehož rámci bude nastavením podmínek Dohody o financování s využitím best practices EIB/EIF zabezpečeno, že finanční   výhoda spojena s poskytnutím prostředků z Operačního programu bude přenesena na Konečného příjemce,</w:t>
      </w:r>
    </w:p>
    <w:p w:rsidR="00F72B78" w:rsidRDefault="00F72B78" w:rsidP="00F72B78">
      <w:pPr>
        <w:pStyle w:val="Odstavecseseznamem"/>
        <w:numPr>
          <w:ilvl w:val="0"/>
          <w:numId w:val="3"/>
        </w:numPr>
        <w:jc w:val="both"/>
      </w:pPr>
      <w:r>
        <w:t xml:space="preserve">vyhlášením otevřené výzvy pro Finanční zprostředkovatele umožňující zapojení v roli Finančního zprostředkovatele spravujícím všem subjektů splňujícím kritéria článku 7 nařízení Komise (EU) č. 480/2014, případně další kritéria stanovena pro plnění funkce Finančního zprostředkovatele Řídícím orgánem.       </w:t>
      </w:r>
    </w:p>
    <w:p w:rsidR="00F72B78" w:rsidRDefault="00F72B78" w:rsidP="00F72B78">
      <w:pPr>
        <w:pStyle w:val="Odstavecseseznamem"/>
        <w:ind w:left="0"/>
        <w:jc w:val="both"/>
      </w:pPr>
      <w:r>
        <w:t xml:space="preserve">Výše poplatku za správu bude omezena limity stanovenými pro subjekty spravující Finanční nástroje Nařízením Komise (EU) č. 480/2014.                     </w:t>
      </w:r>
    </w:p>
    <w:p w:rsidR="00F30C0E" w:rsidRDefault="00F30C0E"/>
    <w:p w:rsidR="003C0D8C" w:rsidRPr="00F11979" w:rsidRDefault="00F21777" w:rsidP="009754EB">
      <w:pPr>
        <w:pStyle w:val="Nadpis2"/>
        <w:numPr>
          <w:ilvl w:val="0"/>
          <w:numId w:val="25"/>
        </w:numPr>
        <w:jc w:val="both"/>
      </w:pPr>
      <w:r>
        <w:t>I</w:t>
      </w:r>
      <w:r w:rsidR="00F72B78">
        <w:t>I</w:t>
      </w:r>
      <w:r>
        <w:t xml:space="preserve">I. </w:t>
      </w:r>
      <w:r w:rsidR="00D62541" w:rsidRPr="00D62541">
        <w:t>Návrhy Programy /Výzev</w:t>
      </w:r>
      <w:bookmarkEnd w:id="11"/>
      <w:r w:rsidR="00D62541" w:rsidRPr="00D62541">
        <w:t xml:space="preserve"> </w:t>
      </w:r>
    </w:p>
    <w:p w:rsidR="007D6404" w:rsidRPr="007D6404" w:rsidRDefault="007D6404" w:rsidP="00D650A9">
      <w:pPr>
        <w:jc w:val="both"/>
      </w:pPr>
      <w:r w:rsidRPr="007D6404">
        <w:t>Ná</w:t>
      </w:r>
      <w:r>
        <w:t>v</w:t>
      </w:r>
      <w:r w:rsidRPr="007D6404">
        <w:t>rhy</w:t>
      </w:r>
      <w:r>
        <w:t xml:space="preserve"> </w:t>
      </w:r>
      <w:r w:rsidRPr="007D6404">
        <w:t>prog</w:t>
      </w:r>
      <w:r>
        <w:t>r</w:t>
      </w:r>
      <w:r w:rsidRPr="007D6404">
        <w:t>amů</w:t>
      </w:r>
      <w:r>
        <w:t>, případně Výzev, jejichž znění je nezbytnou podmínkou pro přípravu</w:t>
      </w:r>
      <w:r w:rsidR="00DE4D5A">
        <w:t xml:space="preserve"> </w:t>
      </w:r>
      <w:r>
        <w:t>Dohod</w:t>
      </w:r>
      <w:r w:rsidR="00DE4D5A">
        <w:t xml:space="preserve"> </w:t>
      </w:r>
      <w:r>
        <w:t>o financování doposud</w:t>
      </w:r>
      <w:r w:rsidR="003B0168">
        <w:t>, nebyly zpracovány. S výjimkou</w:t>
      </w:r>
      <w:r w:rsidR="00DE4D5A">
        <w:t xml:space="preserve"> </w:t>
      </w:r>
      <w:r w:rsidR="003B0168">
        <w:t>OP PIK je schválení jednotlivých programů podpory v kompetenci příslušného ústředního orgánu státní správy. V případě OP PIK je nutné schválení programu vládou České republiky. Kompetenci k následn</w:t>
      </w:r>
      <w:r w:rsidR="003105A2">
        <w:t>é</w:t>
      </w:r>
      <w:r w:rsidR="003B0168">
        <w:t>mu vyhlášení Výzvy má</w:t>
      </w:r>
      <w:r w:rsidR="004B0C32">
        <w:t xml:space="preserve"> v tomto případě</w:t>
      </w:r>
      <w:r w:rsidR="00DE4D5A">
        <w:t xml:space="preserve"> </w:t>
      </w:r>
      <w:r w:rsidR="003B0168">
        <w:t>MPO.</w:t>
      </w:r>
      <w:r w:rsidR="00DE4D5A">
        <w:t xml:space="preserve">         </w:t>
      </w:r>
    </w:p>
    <w:p w:rsidR="00F11979" w:rsidRDefault="00F11979" w:rsidP="00D650A9">
      <w:pPr>
        <w:pStyle w:val="Odstavecseseznamem"/>
        <w:ind w:left="0"/>
        <w:jc w:val="both"/>
        <w:rPr>
          <w:b/>
        </w:rPr>
      </w:pPr>
    </w:p>
    <w:p w:rsidR="00F11979" w:rsidRDefault="00F11979" w:rsidP="00D650A9">
      <w:pPr>
        <w:pStyle w:val="Odstavecseseznamem"/>
        <w:ind w:left="0"/>
        <w:jc w:val="both"/>
        <w:rPr>
          <w:b/>
        </w:rPr>
      </w:pPr>
    </w:p>
    <w:p w:rsidR="003C0D8C" w:rsidRPr="00ED1424" w:rsidRDefault="00F21777" w:rsidP="009754EB">
      <w:pPr>
        <w:pStyle w:val="Nadpis2"/>
        <w:numPr>
          <w:ilvl w:val="0"/>
          <w:numId w:val="26"/>
        </w:numPr>
        <w:jc w:val="both"/>
      </w:pPr>
      <w:bookmarkStart w:id="12" w:name="_Toc419730432"/>
      <w:r>
        <w:t>I</w:t>
      </w:r>
      <w:r w:rsidR="00F72B78">
        <w:t>V</w:t>
      </w:r>
      <w:r>
        <w:t xml:space="preserve">. </w:t>
      </w:r>
      <w:r w:rsidR="00D62541" w:rsidRPr="00ED1424">
        <w:t>Legislativní</w:t>
      </w:r>
      <w:r w:rsidR="00DE4D5A" w:rsidRPr="00ED1424">
        <w:t xml:space="preserve">  </w:t>
      </w:r>
      <w:r w:rsidR="00D62541" w:rsidRPr="00ED1424">
        <w:t>a metodické materiály</w:t>
      </w:r>
      <w:bookmarkEnd w:id="12"/>
      <w:r w:rsidR="00DE4D5A" w:rsidRPr="00ED1424">
        <w:t xml:space="preserve">   </w:t>
      </w:r>
    </w:p>
    <w:p w:rsidR="00C26830" w:rsidRDefault="009E25D4" w:rsidP="00D650A9">
      <w:pPr>
        <w:jc w:val="both"/>
      </w:pPr>
      <w:r>
        <w:t>Legislativa na úrovni nařízení Rady EU či</w:t>
      </w:r>
      <w:r w:rsidR="00DE4D5A">
        <w:t xml:space="preserve"> </w:t>
      </w:r>
      <w:r>
        <w:t>Evropské komise je dokončena a k</w:t>
      </w:r>
      <w:r w:rsidR="004B0C32">
        <w:t> </w:t>
      </w:r>
      <w:r>
        <w:t>dispozici</w:t>
      </w:r>
      <w:r w:rsidR="004B0C32">
        <w:t>, podrobněji</w:t>
      </w:r>
      <w:r w:rsidR="00DE4D5A">
        <w:t xml:space="preserve"> </w:t>
      </w:r>
      <w:r w:rsidR="004B0C32">
        <w:t>viz příloha č. 3</w:t>
      </w:r>
      <w:r>
        <w:t xml:space="preserve">. Doposud </w:t>
      </w:r>
      <w:r w:rsidR="00DF1B5A">
        <w:t xml:space="preserve">však </w:t>
      </w:r>
      <w:r>
        <w:t xml:space="preserve">chybí metodická doporučení </w:t>
      </w:r>
      <w:r w:rsidR="00C26830">
        <w:t xml:space="preserve">Komise, jejichž zpracování Evropská komise </w:t>
      </w:r>
      <w:r w:rsidR="00C26830">
        <w:lastRenderedPageBreak/>
        <w:t>přislíbila</w:t>
      </w:r>
      <w:r w:rsidR="00DF1B5A">
        <w:t xml:space="preserve"> a která jsou pro implementaci finančních nástrojů velmi důležitá.</w:t>
      </w:r>
      <w:r w:rsidR="00DE4D5A">
        <w:t xml:space="preserve">  </w:t>
      </w:r>
      <w:r w:rsidR="00DF1B5A">
        <w:t>Jedná se o tato doporučení</w:t>
      </w:r>
      <w:r w:rsidR="00C26830">
        <w:t>:</w:t>
      </w:r>
    </w:p>
    <w:p w:rsidR="001B021C" w:rsidRDefault="001B021C" w:rsidP="00D650A9">
      <w:pPr>
        <w:jc w:val="both"/>
      </w:pPr>
    </w:p>
    <w:p w:rsidR="001B021C" w:rsidRDefault="001B021C" w:rsidP="00D650A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5"/>
        <w:gridCol w:w="2973"/>
      </w:tblGrid>
      <w:tr w:rsidR="00C26830" w:rsidRPr="000B46CA" w:rsidTr="00B411E5">
        <w:tc>
          <w:tcPr>
            <w:tcW w:w="9747" w:type="dxa"/>
            <w:tcBorders>
              <w:bottom w:val="single" w:sz="4" w:space="0" w:color="auto"/>
            </w:tcBorders>
            <w:shd w:val="pct20" w:color="auto" w:fill="auto"/>
          </w:tcPr>
          <w:p w:rsidR="00C26830" w:rsidRPr="000B46CA" w:rsidRDefault="00C26830" w:rsidP="00D650A9">
            <w:pPr>
              <w:pStyle w:val="Odstavecseseznamem"/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0B46CA">
              <w:rPr>
                <w:rFonts w:cs="Arial"/>
                <w:b/>
                <w:sz w:val="24"/>
                <w:szCs w:val="24"/>
              </w:rPr>
              <w:t>Tematická oblast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pct20" w:color="auto" w:fill="auto"/>
          </w:tcPr>
          <w:p w:rsidR="00C26830" w:rsidRPr="000B46CA" w:rsidRDefault="00C26830" w:rsidP="00D650A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0B46CA">
              <w:rPr>
                <w:rFonts w:cs="Arial"/>
                <w:b/>
                <w:sz w:val="24"/>
                <w:szCs w:val="24"/>
              </w:rPr>
              <w:t>Indikativní termín předložení na EGESIF</w:t>
            </w:r>
          </w:p>
        </w:tc>
      </w:tr>
      <w:tr w:rsidR="00C26830" w:rsidRPr="000B46CA" w:rsidTr="00B411E5">
        <w:tc>
          <w:tcPr>
            <w:tcW w:w="9747" w:type="dxa"/>
            <w:shd w:val="pct15" w:color="auto" w:fill="auto"/>
          </w:tcPr>
          <w:p w:rsidR="00C26830" w:rsidRPr="000B46CA" w:rsidRDefault="00C26830" w:rsidP="00D650A9">
            <w:pPr>
              <w:pStyle w:val="Odstavecseseznamem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pct5" w:color="auto" w:fill="auto"/>
          </w:tcPr>
          <w:p w:rsidR="00C26830" w:rsidRPr="000B46CA" w:rsidRDefault="00C26830" w:rsidP="00D650A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26830" w:rsidRPr="000B46CA" w:rsidTr="00B411E5">
        <w:tc>
          <w:tcPr>
            <w:tcW w:w="9747" w:type="dxa"/>
            <w:shd w:val="pct15" w:color="auto" w:fill="auto"/>
          </w:tcPr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management costs and fees</w:t>
            </w:r>
          </w:p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eligibility questions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pct10" w:color="auto" w:fill="auto"/>
          </w:tcPr>
          <w:p w:rsidR="00C26830" w:rsidRPr="000B46CA" w:rsidRDefault="00C26830" w:rsidP="00D650A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Březen – duben 2015</w:t>
            </w:r>
          </w:p>
        </w:tc>
      </w:tr>
      <w:tr w:rsidR="00C26830" w:rsidRPr="000B46CA" w:rsidTr="00B411E5">
        <w:tc>
          <w:tcPr>
            <w:tcW w:w="9747" w:type="dxa"/>
            <w:shd w:val="pct15" w:color="auto" w:fill="auto"/>
          </w:tcPr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leverage</w:t>
            </w:r>
          </w:p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implementation options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pct5" w:color="auto" w:fill="auto"/>
          </w:tcPr>
          <w:p w:rsidR="00C26830" w:rsidRPr="000B46CA" w:rsidRDefault="00C26830" w:rsidP="00D650A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Druhé čtvrtletí 2015</w:t>
            </w:r>
          </w:p>
        </w:tc>
      </w:tr>
      <w:tr w:rsidR="00C26830" w:rsidRPr="000B46CA" w:rsidTr="00B411E5">
        <w:tc>
          <w:tcPr>
            <w:tcW w:w="9747" w:type="dxa"/>
            <w:shd w:val="pct15" w:color="auto" w:fill="auto"/>
          </w:tcPr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measuring performance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pct10" w:color="auto" w:fill="auto"/>
          </w:tcPr>
          <w:p w:rsidR="00C26830" w:rsidRPr="000B46CA" w:rsidRDefault="00C26830" w:rsidP="00D650A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Třetí čtvrtletí 2015</w:t>
            </w:r>
          </w:p>
        </w:tc>
      </w:tr>
      <w:tr w:rsidR="00C26830" w:rsidRPr="000B46CA" w:rsidTr="00B411E5">
        <w:tc>
          <w:tcPr>
            <w:tcW w:w="9747" w:type="dxa"/>
            <w:shd w:val="pct15" w:color="auto" w:fill="auto"/>
          </w:tcPr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reporting</w:t>
            </w:r>
          </w:p>
          <w:p w:rsidR="00C26830" w:rsidRPr="000B46CA" w:rsidRDefault="00C26830" w:rsidP="009754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Guidance note on financial instruments: re-use of resources</w:t>
            </w:r>
          </w:p>
        </w:tc>
        <w:tc>
          <w:tcPr>
            <w:tcW w:w="4395" w:type="dxa"/>
            <w:shd w:val="pct5" w:color="auto" w:fill="auto"/>
          </w:tcPr>
          <w:p w:rsidR="00C26830" w:rsidRPr="000B46CA" w:rsidRDefault="00C26830" w:rsidP="00D650A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B46CA">
              <w:rPr>
                <w:rFonts w:cs="Arial"/>
                <w:sz w:val="24"/>
                <w:szCs w:val="24"/>
              </w:rPr>
              <w:t>Čtvrté čtvrtletí 2015</w:t>
            </w:r>
          </w:p>
        </w:tc>
      </w:tr>
    </w:tbl>
    <w:p w:rsidR="001A1FF3" w:rsidRDefault="001A1FF3" w:rsidP="00D650A9">
      <w:pPr>
        <w:jc w:val="both"/>
      </w:pPr>
    </w:p>
    <w:p w:rsidR="001A1FF3" w:rsidRPr="009E25D4" w:rsidRDefault="001A1FF3" w:rsidP="00D650A9">
      <w:pPr>
        <w:jc w:val="both"/>
      </w:pPr>
      <w:r>
        <w:t>Pro oblast implementace dosud chybí stanovisko Komise k otázkám, kde na národní úrovni existují nejasnosti či pochybnosti o správném postupu</w:t>
      </w:r>
      <w:r w:rsidR="003105A2">
        <w:t>.</w:t>
      </w:r>
      <w:r w:rsidR="00DE4D5A">
        <w:t xml:space="preserve">     </w:t>
      </w:r>
    </w:p>
    <w:p w:rsidR="004B0C32" w:rsidRDefault="00DF1B5A" w:rsidP="00D650A9">
      <w:pPr>
        <w:jc w:val="both"/>
      </w:pPr>
      <w:r>
        <w:t>Na národní úrovni j</w:t>
      </w:r>
      <w:r w:rsidR="004B0C32">
        <w:t>e k dispozici řada metodických pokynů a doporučení</w:t>
      </w:r>
      <w:r w:rsidR="00DE4D5A">
        <w:t xml:space="preserve">  </w:t>
      </w:r>
      <w:r w:rsidR="004B0C32">
        <w:t>MMR a MF k jednotlivým aspektům implementace Nástrojů, podrobněji</w:t>
      </w:r>
      <w:r w:rsidR="003105A2">
        <w:t xml:space="preserve"> </w:t>
      </w:r>
      <w:r w:rsidR="004B0C32">
        <w:t>viz příloha č. 3</w:t>
      </w:r>
      <w:r w:rsidR="00DC3559">
        <w:t xml:space="preserve">. </w:t>
      </w:r>
      <w:r w:rsidR="009E25D4">
        <w:t>Chybí</w:t>
      </w:r>
      <w:r w:rsidR="004B0C32">
        <w:t xml:space="preserve"> však </w:t>
      </w:r>
      <w:r w:rsidR="009E25D4">
        <w:t>metodika pro provedení článku č. 7 Nařízení Komise (EU) č. 480/2014</w:t>
      </w:r>
      <w:r w:rsidR="004B0C32">
        <w:t xml:space="preserve"> a není též metodicky dostatečně vyjasněno posuzování nesrovnalostí u Nástrojů</w:t>
      </w:r>
      <w:r w:rsidR="003105A2">
        <w:t xml:space="preserve"> </w:t>
      </w:r>
      <w:r w:rsidR="004B0C32">
        <w:t>a následné kroky v případ</w:t>
      </w:r>
      <w:r w:rsidR="005D07FD">
        <w:t>ě</w:t>
      </w:r>
      <w:r w:rsidR="004B0C32">
        <w:t xml:space="preserve"> jejich zjištění.</w:t>
      </w:r>
    </w:p>
    <w:p w:rsidR="0032758F" w:rsidRDefault="0032758F" w:rsidP="00D650A9">
      <w:pPr>
        <w:jc w:val="both"/>
        <w:rPr>
          <w:b/>
        </w:rPr>
      </w:pPr>
    </w:p>
    <w:p w:rsidR="00711A7B" w:rsidRPr="00F11979" w:rsidRDefault="00D62541" w:rsidP="009754EB">
      <w:pPr>
        <w:pStyle w:val="Nadpis1"/>
        <w:numPr>
          <w:ilvl w:val="0"/>
          <w:numId w:val="26"/>
        </w:numPr>
        <w:jc w:val="both"/>
      </w:pPr>
      <w:bookmarkStart w:id="13" w:name="_Toc419730433"/>
      <w:r w:rsidRPr="00D62541">
        <w:t>Centralizovaná</w:t>
      </w:r>
      <w:r w:rsidR="000215AE">
        <w:t xml:space="preserve"> </w:t>
      </w:r>
      <w:r w:rsidRPr="00D62541">
        <w:t>správa Nástrojů</w:t>
      </w:r>
      <w:bookmarkEnd w:id="13"/>
      <w:r w:rsidR="00DE4D5A">
        <w:t xml:space="preserve">    </w:t>
      </w:r>
    </w:p>
    <w:p w:rsidR="00711A7B" w:rsidRPr="00F11979" w:rsidRDefault="00322294" w:rsidP="009754EB">
      <w:pPr>
        <w:pStyle w:val="Nadpis2"/>
        <w:numPr>
          <w:ilvl w:val="0"/>
          <w:numId w:val="19"/>
        </w:numPr>
        <w:jc w:val="both"/>
      </w:pPr>
      <w:bookmarkStart w:id="14" w:name="_Toc419730434"/>
      <w:r>
        <w:rPr>
          <w:bCs w:val="0"/>
        </w:rPr>
        <w:t xml:space="preserve">I. </w:t>
      </w:r>
      <w:r w:rsidR="00D62541" w:rsidRPr="00D62541">
        <w:t>Shrnutí navrhovaného řešení</w:t>
      </w:r>
      <w:bookmarkEnd w:id="14"/>
      <w:r w:rsidR="00DE4D5A">
        <w:t xml:space="preserve">   </w:t>
      </w:r>
    </w:p>
    <w:p w:rsidR="00B411E5" w:rsidRDefault="00B411E5" w:rsidP="00D650A9">
      <w:pPr>
        <w:jc w:val="both"/>
      </w:pPr>
      <w:r>
        <w:t>Správa Nástrojů bude prováděna jedním Příjemcem</w:t>
      </w:r>
      <w:r w:rsidR="00DF1B5A">
        <w:t xml:space="preserve"> - ČMZRB</w:t>
      </w:r>
      <w:r>
        <w:t>, kter</w:t>
      </w:r>
      <w:r w:rsidR="00DF1B5A">
        <w:t>á</w:t>
      </w:r>
      <w:r>
        <w:t xml:space="preserve"> na základě </w:t>
      </w:r>
      <w:r w:rsidR="00F64F54">
        <w:t xml:space="preserve">vzorové </w:t>
      </w:r>
      <w:r>
        <w:t>Dohody o</w:t>
      </w:r>
      <w:r w:rsidR="00DE4D5A">
        <w:t xml:space="preserve"> </w:t>
      </w:r>
      <w:r>
        <w:t xml:space="preserve">financování vytvoří Fond fondů </w:t>
      </w:r>
      <w:r w:rsidR="003105A2">
        <w:t>pro každý Řídící orgán</w:t>
      </w:r>
      <w:r w:rsidR="00DF1B5A">
        <w:t xml:space="preserve">. Fondy fondů budou </w:t>
      </w:r>
      <w:r>
        <w:t>spravovan</w:t>
      </w:r>
      <w:r w:rsidR="00DF1B5A">
        <w:t>é</w:t>
      </w:r>
      <w:r>
        <w:t xml:space="preserve"> podle jednotných pravidel, podporovan</w:t>
      </w:r>
      <w:r w:rsidR="00DF1B5A">
        <w:t>é</w:t>
      </w:r>
      <w:r>
        <w:t xml:space="preserve"> jedním informačním systémem, standardizovanými procesy výkonu správy v jednotlivých fázích fungování Nástrojů.</w:t>
      </w:r>
    </w:p>
    <w:p w:rsidR="00B411E5" w:rsidRDefault="00B411E5" w:rsidP="00D650A9">
      <w:pPr>
        <w:jc w:val="both"/>
      </w:pPr>
      <w:r>
        <w:t xml:space="preserve">Fondy fondů budou vytvářeny jako </w:t>
      </w:r>
      <w:r w:rsidRPr="006E1824">
        <w:t>samostatn</w:t>
      </w:r>
      <w:r>
        <w:t>é</w:t>
      </w:r>
      <w:r w:rsidRPr="006E1824">
        <w:t xml:space="preserve"> blok</w:t>
      </w:r>
      <w:r>
        <w:t>y</w:t>
      </w:r>
      <w:r w:rsidRPr="006E1824">
        <w:t xml:space="preserve"> finančních prostředků </w:t>
      </w:r>
      <w:r>
        <w:t xml:space="preserve">(systémy účtů) </w:t>
      </w:r>
      <w:r w:rsidRPr="006E1824">
        <w:t>v rámci finanční instituce</w:t>
      </w:r>
      <w:r>
        <w:t xml:space="preserve">, </w:t>
      </w:r>
      <w:r w:rsidR="00B607B0">
        <w:t>kterou bude</w:t>
      </w:r>
      <w:r>
        <w:t xml:space="preserve"> ČMZRB. V závislosti na potřebách jednotlivých Řídících orgánů budou jednotlivé Fondy fondů působit ve dvou možných režimech</w:t>
      </w:r>
      <w:r w:rsidR="005C7EFD">
        <w:t>:</w:t>
      </w:r>
    </w:p>
    <w:p w:rsidR="005C7EFD" w:rsidRDefault="005C7EFD" w:rsidP="009754EB">
      <w:pPr>
        <w:pStyle w:val="Odstavecseseznamem"/>
        <w:numPr>
          <w:ilvl w:val="0"/>
          <w:numId w:val="3"/>
        </w:numPr>
        <w:jc w:val="both"/>
      </w:pPr>
      <w:r>
        <w:lastRenderedPageBreak/>
        <w:t xml:space="preserve">s využitím </w:t>
      </w:r>
      <w:r w:rsidR="00510399">
        <w:t>F</w:t>
      </w:r>
      <w:r>
        <w:t xml:space="preserve">inančních </w:t>
      </w:r>
      <w:r w:rsidR="0014655D">
        <w:t>z</w:t>
      </w:r>
      <w:r>
        <w:t xml:space="preserve">prostředkovatelů (bank, fondů rizikového kapitálu), kteří </w:t>
      </w:r>
      <w:r w:rsidR="00510399">
        <w:t>budou spravovat Finanční nástroje (úvěrové fondy, investiční fondy</w:t>
      </w:r>
      <w:r w:rsidR="008733D7">
        <w:t xml:space="preserve"> rizikového kapitálu</w:t>
      </w:r>
      <w:r w:rsidR="00510399">
        <w:t>)</w:t>
      </w:r>
      <w:r w:rsidR="00B607B0">
        <w:t>,</w:t>
      </w:r>
      <w:r w:rsidR="00510399">
        <w:t xml:space="preserve"> </w:t>
      </w:r>
      <w:r w:rsidR="00B607B0">
        <w:t>a kteří budou</w:t>
      </w:r>
      <w:r w:rsidR="00DE4D5A">
        <w:t xml:space="preserve"> </w:t>
      </w:r>
      <w:r>
        <w:t>návazně uzavírat smluvní vztahy s </w:t>
      </w:r>
      <w:r w:rsidR="00510399">
        <w:t>K</w:t>
      </w:r>
      <w:r>
        <w:t>onečnými příjemci,</w:t>
      </w:r>
    </w:p>
    <w:p w:rsidR="005C7EFD" w:rsidRDefault="005C7EFD" w:rsidP="009754EB">
      <w:pPr>
        <w:pStyle w:val="Odstavecseseznamem"/>
        <w:numPr>
          <w:ilvl w:val="0"/>
          <w:numId w:val="3"/>
        </w:numPr>
        <w:jc w:val="both"/>
      </w:pPr>
      <w:r>
        <w:t xml:space="preserve">bez využití </w:t>
      </w:r>
      <w:r w:rsidR="00510399">
        <w:t>F</w:t>
      </w:r>
      <w:r>
        <w:t xml:space="preserve">inančních zprostředkovatelů, přičemž </w:t>
      </w:r>
      <w:r w:rsidR="00B607B0">
        <w:t>ČMZRB</w:t>
      </w:r>
      <w:r w:rsidR="00067F01">
        <w:t xml:space="preserve"> jako správce Fondu fondů</w:t>
      </w:r>
      <w:r w:rsidR="00DE4D5A">
        <w:t xml:space="preserve"> </w:t>
      </w:r>
      <w:r w:rsidR="00B607B0">
        <w:t>(</w:t>
      </w:r>
      <w:r>
        <w:t>Příjemce</w:t>
      </w:r>
      <w:r w:rsidR="00B607B0">
        <w:t>)</w:t>
      </w:r>
      <w:r>
        <w:t xml:space="preserve"> bude současně působit v režimu správce jednotlivého </w:t>
      </w:r>
      <w:r w:rsidR="00510399">
        <w:t>F</w:t>
      </w:r>
      <w:r>
        <w:t>inančního nástroje a bude uzavírat smluvní vztahy s Konečnými příjemci</w:t>
      </w:r>
      <w:r w:rsidR="00510399">
        <w:t xml:space="preserve"> (úvěrové a záruční Finanční nástroje)</w:t>
      </w:r>
      <w:r w:rsidR="003105A2">
        <w:t>.</w:t>
      </w:r>
    </w:p>
    <w:p w:rsidR="005C7EFD" w:rsidRDefault="005C7EFD" w:rsidP="00D650A9">
      <w:pPr>
        <w:jc w:val="both"/>
      </w:pPr>
      <w:r>
        <w:t>Podrobnější vymezení činností Příjemce v režimu správce Fondu fondů či správce</w:t>
      </w:r>
      <w:r w:rsidR="008977C5">
        <w:t xml:space="preserve"> Fin</w:t>
      </w:r>
      <w:r w:rsidR="00DC3559">
        <w:t>an</w:t>
      </w:r>
      <w:r w:rsidR="008977C5">
        <w:t>čního nástroje viz příloha č. 6</w:t>
      </w:r>
      <w:r>
        <w:t>.</w:t>
      </w:r>
    </w:p>
    <w:p w:rsidR="00DA7425" w:rsidRDefault="005C7EFD" w:rsidP="00D650A9">
      <w:pPr>
        <w:jc w:val="both"/>
      </w:pPr>
      <w:r>
        <w:t>Pokud se při přípravě jednotlivých Dohod o financování prokáže jako efektivnější uzavřít Dohodu o</w:t>
      </w:r>
      <w:r w:rsidR="00DE4D5A">
        <w:t xml:space="preserve">  </w:t>
      </w:r>
      <w:r>
        <w:t xml:space="preserve">financování přímo v režimu správy </w:t>
      </w:r>
      <w:r w:rsidR="007707F5">
        <w:t>F</w:t>
      </w:r>
      <w:r>
        <w:t>inančního nástroje</w:t>
      </w:r>
      <w:r w:rsidR="007707F5">
        <w:t>,</w:t>
      </w:r>
      <w:r>
        <w:t xml:space="preserve"> bude toto realizováno podle potřeby.</w:t>
      </w:r>
    </w:p>
    <w:p w:rsidR="00D23CDD" w:rsidRDefault="00D23CDD" w:rsidP="00D650A9">
      <w:pPr>
        <w:jc w:val="both"/>
      </w:pPr>
      <w:r>
        <w:t>Znázornění základních vztahů</w:t>
      </w:r>
      <w:r w:rsidR="007707F5">
        <w:t xml:space="preserve"> při fungování centralizované správy</w:t>
      </w:r>
      <w:r>
        <w:t xml:space="preserve"> </w:t>
      </w:r>
      <w:r w:rsidR="007707F5">
        <w:t xml:space="preserve">Nástrojů </w:t>
      </w:r>
      <w:r>
        <w:t>viz schéma č. 1</w:t>
      </w:r>
      <w:r w:rsidR="00F11979">
        <w:t>.</w:t>
      </w:r>
      <w:r>
        <w:t xml:space="preserve"> </w:t>
      </w:r>
    </w:p>
    <w:p w:rsidR="00065AAD" w:rsidRPr="00065AAD" w:rsidRDefault="00065AAD" w:rsidP="00D650A9">
      <w:pPr>
        <w:jc w:val="both"/>
        <w:rPr>
          <w:u w:val="single"/>
        </w:rPr>
      </w:pPr>
      <w:r w:rsidRPr="00065AAD">
        <w:rPr>
          <w:u w:val="single"/>
        </w:rPr>
        <w:t>Vysvětlivky ke schématu č. 1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vklad do FF zřízeného pro příslušný ŘO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dohoda o financování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texty výzev jednotlivých programů podpory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vypořádání vkladu pro ukončení dohody o financování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reporting o realizaci dohody o financování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žádost o vklad do FF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kontroly auditního orgánu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metodické pokyny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metodické pokyny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data o realizaci dohod o financování v předepsané struktuře a rozsahu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majetková účast FF ve FN (finanční prostředky FF pro financování kapitálových vstupů apod.)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dohoda o financování/realizaci mezi FF a FN/FZ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kontrola správce FF o naplňování dohody o financování/realizaci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metodická podpora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vypořádání finančních prostředků FF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reporting o realizaci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žádost o vložení finančních prostředků FF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majetková účast ve FN (finanční prostředky ke spolufinancování kapitálových vstupů apod.) resp. na konečném příjemci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nákup kapitálových účastí (majetková účast na konečném příjemci), finanční prostředky pro realizaci projektů konečného příjemce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kontroly realizace projektu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informace o realizaci projektu, plnění indikátorů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úvěrová linka se sdílením rizik - finanční prostředky FF pro poskytování úvěrů konečným příjemcům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dohoda o financování/realizaci mezi FF a FN/FZ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kontrola správce FF o naplňování dohody o financování/realizaci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metodická podpora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úvěr konečnému příjemci (financovaný z prostředků z úvěrové linky a z vlastních prostředků FZ)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lastRenderedPageBreak/>
        <w:t>kontroly realizace projektu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portfoliová záruka úvěrující bance s limitem (</w:t>
      </w:r>
      <w:r w:rsidRPr="00065AAD">
        <w:rPr>
          <w:rFonts w:cs="Arial"/>
          <w:lang w:val="en-GB"/>
        </w:rPr>
        <w:t>capped guarantee</w:t>
      </w:r>
      <w:r w:rsidRPr="00065AAD">
        <w:rPr>
          <w:rFonts w:cs="Arial"/>
        </w:rPr>
        <w:t>)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dohoda o realizaci mezi FF a FZ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kontrola správce FF o naplňování dohody o realizaci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metodická podpora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úvěr konečnému příjemci financovaný z vlastních prostředků FZ</w:t>
      </w:r>
    </w:p>
    <w:p w:rsidR="00065AAD" w:rsidRPr="00065AAD" w:rsidRDefault="00065AAD" w:rsidP="00D650A9">
      <w:pPr>
        <w:pStyle w:val="Odstavecseseznamem"/>
        <w:ind w:left="705"/>
        <w:jc w:val="both"/>
        <w:rPr>
          <w:rFonts w:cs="Arial"/>
        </w:rPr>
      </w:pPr>
      <w:r w:rsidRPr="00065AAD">
        <w:rPr>
          <w:rFonts w:cs="Arial"/>
        </w:rPr>
        <w:t>kontroly realizace projektu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finanční prostředky z FF na realizaci FN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vypořádání finančních prostředků po ukončení FN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úvěr konečnému příjemci z finančních prostředků FN na realizaci projektu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úvěr konečnému příjemci z finančních prostředků soukromého investora na realizaci projektu (spolufinancování)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smlouva o záruce úvěr soukromého investora konečnému příjemci na realizaci projektu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úvěr soukromého investora konečnému příjemci na realizaci projektu</w:t>
      </w:r>
    </w:p>
    <w:p w:rsidR="00065AAD" w:rsidRPr="00065AAD" w:rsidRDefault="00065AAD" w:rsidP="009754EB">
      <w:pPr>
        <w:pStyle w:val="Odstavecseseznamem"/>
        <w:numPr>
          <w:ilvl w:val="0"/>
          <w:numId w:val="10"/>
        </w:numPr>
        <w:jc w:val="both"/>
        <w:rPr>
          <w:rFonts w:cs="Arial"/>
        </w:rPr>
      </w:pPr>
      <w:r w:rsidRPr="00065AAD">
        <w:rPr>
          <w:rFonts w:cs="Arial"/>
        </w:rPr>
        <w:t>vystavení záruční listiny soukromému investorovi (bance) za úvěr konečnému příjemci na realizaci projektu</w:t>
      </w:r>
    </w:p>
    <w:p w:rsidR="00065AAD" w:rsidRPr="00C06888" w:rsidRDefault="00065AAD" w:rsidP="00D650A9">
      <w:pPr>
        <w:jc w:val="both"/>
        <w:rPr>
          <w:rFonts w:ascii="Arial" w:hAnsi="Arial" w:cs="Arial"/>
        </w:rPr>
      </w:pPr>
    </w:p>
    <w:p w:rsidR="00D23CDD" w:rsidRDefault="00D23CDD" w:rsidP="00D650A9">
      <w:pPr>
        <w:jc w:val="both"/>
      </w:pPr>
      <w:r>
        <w:br w:type="page"/>
      </w:r>
    </w:p>
    <w:p w:rsidR="00D23CDD" w:rsidRDefault="00D23CDD" w:rsidP="00D650A9">
      <w:pPr>
        <w:jc w:val="both"/>
        <w:sectPr w:rsidR="00D23CDD" w:rsidSect="00A1031E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1FEF" w:rsidRPr="00C06888" w:rsidRDefault="007B45C3" w:rsidP="00D650A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pict>
          <v:oval id="_x0000_s1133" style="position:absolute;left:0;text-align:left;margin-left:566.65pt;margin-top:277.15pt;width:30pt;height:20.25pt;z-index:251713024">
            <v:textbox style="mso-next-textbox:#_x0000_s1133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2" type="#_x0000_t32" style="position:absolute;left:0;text-align:left;margin-left:566.65pt;margin-top:221.65pt;width:29.25pt;height:126.75pt;flip:x;z-index:25171200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131" style="position:absolute;left:0;text-align:left;margin-left:227.65pt;margin-top:313.85pt;width:66.75pt;height:24pt;z-index:251710976" fillcolor="#c2d69b [1942]">
            <v:fill r:id="rId11" o:title="Malé tečky" type="pattern"/>
            <v:textbox>
              <w:txbxContent>
                <w:p w:rsidR="006F0D94" w:rsidRPr="000219F8" w:rsidRDefault="006F0D94" w:rsidP="00DC3559">
                  <w:pPr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oval id="_x0000_s1118" style="position:absolute;left:0;text-align:left;margin-left:245.65pt;margin-top:346.9pt;width:30pt;height:20.25pt;z-index:251697664">
            <v:textbox style="mso-next-textbox:#_x0000_s1118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30" style="position:absolute;left:0;text-align:left;margin-left:565.9pt;margin-top:381.4pt;width:30pt;height:20.25pt;z-index:251709952">
            <v:textbox style="mso-next-textbox:#_x0000_s1130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9" style="position:absolute;left:0;text-align:left;margin-left:591.4pt;margin-top:318.35pt;width:30pt;height:20.25pt;z-index:251708928">
            <v:textbox style="mso-next-textbox:#_x0000_s1129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8" style="position:absolute;left:0;text-align:left;margin-left:444.4pt;margin-top:382.15pt;width:30pt;height:20.25pt;z-index:251707904">
            <v:textbox style="mso-next-textbox:#_x0000_s1128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7" style="position:absolute;left:0;text-align:left;margin-left:463.15pt;margin-top:321.35pt;width:30pt;height:20.25pt;z-index:251706880">
            <v:textbox style="mso-next-textbox:#_x0000_s1127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6" style="position:absolute;left:0;text-align:left;margin-left:503.65pt;margin-top:147.4pt;width:30pt;height:20.25pt;z-index:251705856">
            <v:textbox style="mso-next-textbox:#_x0000_s1126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5" style="position:absolute;left:0;text-align:left;margin-left:523.15pt;margin-top:175.95pt;width:30pt;height:20.25pt;z-index:251704832">
            <v:textbox style="mso-next-textbox:#_x0000_s1125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4" style="position:absolute;left:0;text-align:left;margin-left:460.9pt;margin-top:172.2pt;width:30pt;height:20.25pt;z-index:251703808">
            <v:textbox style="mso-next-textbox:#_x0000_s1124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shape id="_x0000_s1068" type="#_x0000_t32" style="position:absolute;left:0;text-align:left;margin-left:628.9pt;margin-top:221.65pt;width:0;height:192.75pt;flip:y;z-index:251646464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67" type="#_x0000_t32" style="position:absolute;left:0;text-align:left;margin-left:607.95pt;margin-top:221.65pt;width:.05pt;height:192.75pt;z-index:25164544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73" type="#_x0000_t32" style="position:absolute;left:0;text-align:left;margin-left:503.65pt;margin-top:221.65pt;width:0;height:192.75pt;flip:y;z-index:251651584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55" type="#_x0000_t32" style="position:absolute;left:0;text-align:left;margin-left:480.4pt;margin-top:221.65pt;width:.05pt;height:192.75pt;z-index:251633152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53" type="#_x0000_t32" style="position:absolute;left:0;text-align:left;margin-left:444.4pt;margin-top:160.15pt;width:0;height:36.05pt;z-index:251631104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49" style="position:absolute;left:0;text-align:left;margin-left:566.65pt;margin-top:196.2pt;width:65.25pt;height:25.45pt;z-index:251627008" fillcolor="#c2d69b [1942]">
            <v:fill r:id="rId11" o:title="Malé tečky" type="pattern"/>
            <v:textbox style="mso-next-textbox:#_x0000_s1049">
              <w:txbxContent>
                <w:p w:rsidR="006F0D94" w:rsidRPr="00994A25" w:rsidRDefault="006F0D94">
                  <w:pPr>
                    <w:rPr>
                      <w:b/>
                      <w:sz w:val="24"/>
                      <w:szCs w:val="24"/>
                    </w:rPr>
                  </w:pPr>
                  <w:r w:rsidRPr="00994A25">
                    <w:rPr>
                      <w:b/>
                      <w:sz w:val="24"/>
                      <w:szCs w:val="24"/>
                    </w:rPr>
                    <w:t>FN Záruky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50" style="position:absolute;left:0;text-align:left;margin-left:441.4pt;margin-top:196.2pt;width:66.75pt;height:25.45pt;z-index:251628032" fillcolor="#d99594 [1941]">
            <v:fill r:id="rId11" o:title="Malé tečky" type="pattern"/>
            <v:textbox style="mso-next-textbox:#_x0000_s1050">
              <w:txbxContent>
                <w:p w:rsidR="006F0D94" w:rsidRPr="00994A25" w:rsidRDefault="006F0D94" w:rsidP="00DC355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FN Úvěry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oval id="_x0000_s1123" style="position:absolute;left:0;text-align:left;margin-left:430.9pt;margin-top:163.85pt;width:30pt;height:20.25pt;z-index:251702784">
            <v:textbox style="mso-next-textbox:#_x0000_s1123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2" style="position:absolute;left:0;text-align:left;margin-left:376.15pt;margin-top:322.15pt;width:18pt;height:20.25pt;z-index:251701760">
            <v:textbox style="mso-next-textbox:#_x0000_s1122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1" style="position:absolute;left:0;text-align:left;margin-left:349.15pt;margin-top:382.15pt;width:18pt;height:20.25pt;z-index:251700736">
            <v:textbox style="mso-next-textbox:#_x0000_s1121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20" style="position:absolute;left:0;text-align:left;margin-left:336.45pt;margin-top:322.9pt;width:18pt;height:20.25pt;z-index:251699712">
            <v:textbox style="mso-next-textbox:#_x0000_s1120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9" style="position:absolute;left:0;text-align:left;margin-left:346.15pt;margin-top:197.65pt;width:18pt;height:20.25pt;z-index:251698688">
            <v:textbox style="mso-next-textbox:#_x0000_s1119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7" style="position:absolute;left:0;text-align:left;margin-left:237.4pt;margin-top:197.65pt;width:30pt;height:20.25pt;z-index:251696640">
            <v:textbox style="mso-next-textbox:#_x0000_s1117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6" style="position:absolute;left:0;text-align:left;margin-left:147.45pt;margin-top:348.4pt;width:30pt;height:20.25pt;z-index:251695616">
            <v:textbox style="mso-next-textbox:#_x0000_s1116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5" style="position:absolute;left:0;text-align:left;margin-left:162.4pt;margin-top:198.4pt;width:30pt;height:20.25pt;z-index:251694592">
            <v:textbox style="mso-next-textbox:#_x0000_s1115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4" style="position:absolute;left:0;text-align:left;margin-left:610.9pt;margin-top:242.65pt;width:30pt;height:20.25pt;z-index:251693568">
            <v:textbox style="mso-next-textbox:#_x0000_s1114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3" style="position:absolute;left:0;text-align:left;margin-left:386.65pt;margin-top:367.15pt;width:30pt;height:20.25pt;z-index:251692544">
            <v:textbox style="mso-next-textbox:#_x0000_s1113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shape id="_x0000_s1069" type="#_x0000_t32" style="position:absolute;left:0;text-align:left;margin-left:574.15pt;margin-top:373.9pt;width:24pt;height:41.25pt;z-index:251647488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64" type="#_x0000_t32" style="position:absolute;left:0;text-align:left;margin-left:451.9pt;margin-top:373.9pt;width:24pt;height:45pt;z-index:251642368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60" type="#_x0000_t32" style="position:absolute;left:0;text-align:left;margin-left:347.65pt;margin-top:373.15pt;width:22.5pt;height:45.75pt;z-index:251638272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91" type="#_x0000_t32" style="position:absolute;left:0;text-align:left;margin-left:232.85pt;margin-top:363.4pt;width:97.55pt;height:0;rotation:270;z-index:251670016" o:connectortype="curved" adj="-78052,-1,-78052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26" type="#_x0000_t32" style="position:absolute;left:0;text-align:left;margin-left:261.4pt;margin-top:313.85pt;width:0;height:101.3pt;z-index:251602432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77" type="#_x0000_t32" style="position:absolute;left:0;text-align:left;margin-left:61.15pt;margin-top:373.9pt;width:28.5pt;height:41.25pt;z-index:25165568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1" type="#_x0000_t38" style="position:absolute;left:0;text-align:left;margin-left:350.65pt;margin-top:364.1pt;width:101.3pt;height:.75pt;rotation:270;flip:x;z-index:251639296" o:connectortype="curved" adj="10800,13996800,-100750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59" type="#_x0000_t32" style="position:absolute;left:0;text-align:left;margin-left:382.15pt;margin-top:313.85pt;width:0;height:101.3pt;z-index:251637248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80" type="#_x0000_t32" style="position:absolute;left:0;text-align:left;margin-left:66pt;margin-top:364.5pt;width:99.8pt;height:0;rotation:270;z-index:251658752" o:connectortype="curved" adj="-40419,-1,-40419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79" type="#_x0000_t32" style="position:absolute;left:0;text-align:left;margin-left:96.4pt;margin-top:314.6pt;width:0;height:99.8pt;z-index:251657728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27" type="#_x0000_t32" style="position:absolute;left:0;text-align:left;margin-left:154.85pt;margin-top:376.15pt;width:75.05pt;height:0;rotation:270;z-index:251603456" o:connectortype="curved" adj="-75765,-1,-75765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28" type="#_x0000_t32" style="position:absolute;left:0;text-align:left;margin-left:164.65pt;margin-top:338.6pt;width:0;height:80.3pt;z-index:25160448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oval id="_x0000_s1065" style="position:absolute;left:0;text-align:left;margin-left:595.9pt;margin-top:412.15pt;width:42pt;height:30.75pt;z-index:251643392" fillcolor="#b2a1c7 [1943]">
            <v:fill r:id="rId12" o:title="25%" type="pattern"/>
            <v:textbox>
              <w:txbxContent>
                <w:p w:rsidR="006F0D94" w:rsidRPr="000219F8" w:rsidRDefault="006F0D94" w:rsidP="00DC355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KP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63" style="position:absolute;left:0;text-align:left;margin-left:471.4pt;margin-top:413.65pt;width:42pt;height:30.75pt;z-index:251641344" fillcolor="#b2a1c7 [1943]">
            <v:fill r:id="rId12" o:title="25%" type="pattern"/>
            <v:textbox>
              <w:txbxContent>
                <w:p w:rsidR="006F0D94" w:rsidRPr="000219F8" w:rsidRDefault="006F0D94" w:rsidP="00DC355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KP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89" style="position:absolute;left:0;text-align:left;margin-left:249.4pt;margin-top:415.15pt;width:42pt;height:30.75pt;z-index:251667968" fillcolor="#b2a1c7 [1943]">
            <v:fill r:id="rId12" o:title="25%" type="pattern"/>
            <v:textbox>
              <w:txbxContent>
                <w:p w:rsidR="006F0D94" w:rsidRPr="000219F8" w:rsidRDefault="006F0D94" w:rsidP="00DC355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KP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56" style="position:absolute;left:0;text-align:left;margin-left:370.15pt;margin-top:414.4pt;width:42pt;height:30.75pt;z-index:251634176" fillcolor="#b2a1c7 [1943]">
            <v:fill r:id="rId12" o:title="25%" type="pattern"/>
            <v:textbox>
              <w:txbxContent>
                <w:p w:rsidR="006F0D94" w:rsidRPr="000219F8" w:rsidRDefault="006F0D94" w:rsidP="00DC355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KP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0" style="position:absolute;left:0;text-align:left;margin-left:160.15pt;margin-top:415.15pt;width:42pt;height:30.75pt;z-index:251668992" fillcolor="#b2a1c7 [1943]">
            <v:fill r:id="rId12" o:title="25%" type="pattern"/>
            <v:textbox>
              <w:txbxContent>
                <w:p w:rsidR="006F0D94" w:rsidRPr="000219F8" w:rsidRDefault="006F0D94" w:rsidP="00DC355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KP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76" style="position:absolute;left:0;text-align:left;margin-left:82.9pt;margin-top:414.4pt;width:42pt;height:30.75pt;z-index:251654656" fillcolor="#b2a1c7 [1943]">
            <v:fill r:id="rId12" o:title="25%" type="pattern"/>
            <v:textbox>
              <w:txbxContent>
                <w:p w:rsidR="006F0D94" w:rsidRPr="000219F8" w:rsidRDefault="006F0D94" w:rsidP="00DC355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KP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2" style="position:absolute;left:0;text-align:left;margin-left:268.15pt;margin-top:367.15pt;width:30pt;height:20.25pt;z-index:251691520">
            <v:textbox style="mso-next-textbox:#_x0000_s1112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0" style="position:absolute;left:0;text-align:left;margin-left:107.65pt;margin-top:365.65pt;width:30pt;height:20.25pt;z-index:251689472">
            <v:textbox style="mso-next-textbox:#_x0000_s1110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11" style="position:absolute;left:0;text-align:left;margin-left:177.4pt;margin-top:367.15pt;width:30pt;height:20.25pt;z-index:251690496">
            <v:textbox style="mso-next-textbox:#_x0000_s1111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9" style="position:absolute;left:0;text-align:left;margin-left:86.65pt;margin-top:322.9pt;width:18pt;height:20.25pt;z-index:251688448">
            <v:textbox style="mso-next-textbox:#_x0000_s1109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8" style="position:absolute;left:0;text-align:left;margin-left:64.9pt;margin-top:378.4pt;width:18pt;height:20.25pt;z-index:251687424">
            <v:textbox style="mso-next-textbox:#_x0000_s1108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7" style="position:absolute;left:0;text-align:left;margin-left:44.65pt;margin-top:322.9pt;width:18pt;height:20.25pt;z-index:251686400">
            <v:textbox style="mso-next-textbox:#_x0000_s1107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6" style="position:absolute;left:0;text-align:left;margin-left:493.15pt;margin-top:238.9pt;width:30pt;height:20.25pt;z-index:251685376">
            <v:textbox style="mso-next-textbox:#_x0000_s1106">
              <w:txbxContent>
                <w:p w:rsidR="006F0D94" w:rsidRPr="000B3128" w:rsidRDefault="006F0D94" w:rsidP="00DC355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5" style="position:absolute;left:0;text-align:left;margin-left:389.65pt;margin-top:238.9pt;width:18pt;height:20.25pt;z-index:251684352">
            <v:textbox style="mso-next-textbox:#_x0000_s1105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3" style="position:absolute;left:0;text-align:left;margin-left:196.9pt;margin-top:238.9pt;width:18pt;height:20.25pt;z-index:251682304">
            <v:textbox style="mso-next-textbox:#_x0000_s1103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4" style="position:absolute;left:0;text-align:left;margin-left:273.4pt;margin-top:238.9pt;width:18pt;height:20.25pt;z-index:251683328">
            <v:textbox style="mso-next-textbox:#_x0000_s1104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2" style="position:absolute;left:0;text-align:left;margin-left:116.65pt;margin-top:238.9pt;width:18pt;height:20.25pt;z-index:251681280">
            <v:textbox style="mso-next-textbox:#_x0000_s1102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1" style="position:absolute;left:0;text-align:left;margin-left:71.65pt;margin-top:250.15pt;width:18pt;height:20.25pt;z-index:251680256">
            <v:textbox style="mso-next-textbox:#_x0000_s1101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100" style="position:absolute;left:0;text-align:left;margin-left:104.65pt;margin-top:181.9pt;width:18pt;height:20.25pt;z-index:251679232">
            <v:textbox style="mso-next-textbox:#_x0000_s1100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9" style="position:absolute;left:0;text-align:left;margin-left:104.65pt;margin-top:133.9pt;width:18pt;height:20.25pt;z-index:251678208">
            <v:textbox style="mso-next-textbox:#_x0000_s1099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8" style="position:absolute;left:0;text-align:left;margin-left:104.65pt;margin-top:85.9pt;width:18pt;height:20.25pt;z-index:251677184">
            <v:textbox style="mso-next-textbox:#_x0000_s1098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7" style="position:absolute;left:0;text-align:left;margin-left:631.15pt;margin-top:69.4pt;width:18pt;height:20.25pt;z-index:251676160">
            <v:textbox style="mso-next-textbox:#_x0000_s1097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6" style="position:absolute;left:0;text-align:left;margin-left:421.9pt;margin-top:69.4pt;width:18pt;height:20.25pt;z-index:251675136">
            <v:textbox style="mso-next-textbox:#_x0000_s1096"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5" style="position:absolute;left:0;text-align:left;margin-left:231.4pt;margin-top:69.4pt;width:18pt;height:20.25pt;z-index:251674112">
            <v:textbox>
              <w:txbxContent>
                <w:p w:rsidR="006F0D94" w:rsidRPr="000B3128" w:rsidRDefault="006F0D94" w:rsidP="00DC355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4" style="position:absolute;left:0;text-align:left;margin-left:580.9pt;margin-top:41.65pt;width:18pt;height:19.5pt;z-index:251673088">
            <v:textbox>
              <w:txbxContent>
                <w:p w:rsidR="006F0D94" w:rsidRPr="000B3128" w:rsidRDefault="006F0D94" w:rsidP="00DC355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B3128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3" style="position:absolute;left:0;text-align:left;margin-left:368.65pt;margin-top:41.65pt;width:18pt;height:19.5pt;z-index:251672064">
            <v:textbox>
              <w:txbxContent>
                <w:p w:rsidR="006F0D94" w:rsidRPr="000B3128" w:rsidRDefault="006F0D94" w:rsidP="00DC355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B3128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oval id="_x0000_s1092" style="position:absolute;left:0;text-align:left;margin-left:177.45pt;margin-top:41.65pt;width:18pt;height:19.5pt;z-index:251671040">
            <v:textbox>
              <w:txbxContent>
                <w:p w:rsidR="006F0D94" w:rsidRPr="000B3128" w:rsidRDefault="006F0D94" w:rsidP="00DC3559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0B3128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lang w:eastAsia="cs-CZ"/>
        </w:rPr>
        <w:pict>
          <v:rect id="_x0000_s1029" style="position:absolute;left:0;text-align:left;margin-left:133.15pt;margin-top:314.6pt;width:81pt;height:24.75pt;z-index:251605504" fillcolor="#d99594 [1941]">
            <v:fill r:id="rId11" o:title="Malé tečky" type="pattern"/>
            <v:textbox>
              <w:txbxContent>
                <w:p w:rsidR="006F0D94" w:rsidRPr="000219F8" w:rsidRDefault="006F0D94" w:rsidP="00DC3559">
                  <w:pPr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88" type="#_x0000_t32" style="position:absolute;left:0;text-align:left;margin-left:280.9pt;margin-top:160.15pt;width:.75pt;height:124.55pt;flip:x y;z-index:251666944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86" type="#_x0000_t32" style="position:absolute;left:0;text-align:left;margin-left:253.1pt;margin-top:159.4pt;width:.05pt;height:129pt;z-index:251664896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87" type="#_x0000_t32" style="position:absolute;left:0;text-align:left;margin-left:203.65pt;margin-top:163.85pt;width:.75pt;height:124.55pt;flip:x y;z-index:251665920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85" type="#_x0000_t32" style="position:absolute;left:0;text-align:left;margin-left:177.4pt;margin-top:160.15pt;width:.05pt;height:129pt;z-index:251663872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83" style="position:absolute;left:0;text-align:left;margin-left:133.15pt;margin-top:289.15pt;width:81pt;height:25.45pt;z-index:251661824" fillcolor="#d99594 [1941]">
            <v:fill r:id="rId11" o:title="Malé tečky" type="pattern"/>
            <v:textbox style="mso-next-textbox:#_x0000_s1083">
              <w:txbxContent>
                <w:p w:rsidR="006F0D94" w:rsidRPr="00994A25" w:rsidRDefault="006F0D94" w:rsidP="00DC355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FN/FZ Úvěry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84" style="position:absolute;left:0;text-align:left;margin-left:227.65pt;margin-top:288.4pt;width:66.75pt;height:25.45pt;z-index:251662848" fillcolor="#c2d69b [1942]">
            <v:fill r:id="rId11" o:title="Malé tečky" type="pattern"/>
            <v:textbox style="mso-next-textbox:#_x0000_s1084">
              <w:txbxContent>
                <w:p w:rsidR="006F0D94" w:rsidRPr="00994A25" w:rsidRDefault="006F0D94" w:rsidP="00DC355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FZ Záruky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51" style="position:absolute;left:0;text-align:left;margin-left:330.4pt;margin-top:288.4pt;width:91.5pt;height:25.45pt;z-index:251629056" fillcolor="#548dd4 [1951]">
            <v:fill r:id="rId11" o:title="Malé tečky" type="pattern"/>
            <v:textbox style="mso-next-textbox:#_x0000_s1051">
              <w:txbxContent>
                <w:p w:rsidR="006F0D94" w:rsidRPr="00994A25" w:rsidRDefault="006F0D94" w:rsidP="00DC355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FN/FZ Riz. kap.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74" style="position:absolute;left:0;text-align:left;margin-left:31.9pt;margin-top:288.4pt;width:90.75pt;height:25.45pt;z-index:251652608" fillcolor="#548dd4 [1951]">
            <v:fill r:id="rId11" o:title="Malé tečky" type="pattern"/>
            <v:textbox style="mso-next-textbox:#_x0000_s1074">
              <w:txbxContent>
                <w:p w:rsidR="006F0D94" w:rsidRPr="00994A25" w:rsidRDefault="006F0D94" w:rsidP="00DC355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FN/FZ Riz. kap.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82" type="#_x0000_t32" style="position:absolute;left:0;text-align:left;margin-left:107.65pt;margin-top:160.15pt;width:63.75pt;height:128.25pt;flip:y;z-index:251660800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81" type="#_x0000_t32" style="position:absolute;left:0;text-align:left;margin-left:61.15pt;margin-top:160.15pt;width:103.5pt;height:128.25pt;flip:x;z-index:251659776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78" type="#_x0000_t32" style="position:absolute;left:0;text-align:left;margin-left:55.9pt;margin-top:313.85pt;width:0;height:34.55pt;flip:y;z-index:251656704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75" style="position:absolute;left:0;text-align:left;margin-left:44.65pt;margin-top:348.4pt;width:27pt;height:24.75pt;z-index:251653632" fillcolor="#31849b [2408]">
            <v:fill r:id="rId13" o:title="Čárkovaný šikmo nahoru" type="pattern"/>
            <v:textbox>
              <w:txbxContent>
                <w:p w:rsidR="006F0D94" w:rsidRPr="000219F8" w:rsidRDefault="006F0D94" w:rsidP="00DC3559">
                  <w:pPr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70" type="#_x0000_t32" style="position:absolute;left:0;text-align:left;margin-left:469.9pt;margin-top:142.15pt;width:150pt;height:50.3pt;flip:x y;z-index:251648512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72" type="#_x0000_t32" style="position:absolute;left:0;text-align:left;margin-left:396.4pt;margin-top:160.15pt;width:.75pt;height:124.55pt;flip:x y;z-index:251650560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52" type="#_x0000_t32" style="position:absolute;left:0;text-align:left;margin-left:354.4pt;margin-top:159.4pt;width:.05pt;height:129pt;z-index:25163008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62" style="position:absolute;left:0;text-align:left;margin-left:427.9pt;margin-top:348.4pt;width:27pt;height:24.75pt;z-index:251640320" fillcolor="#31849b [2408]">
            <v:fill r:id="rId13" o:title="Čárkovaný šikmo nahoru" type="pattern"/>
            <v:textbox>
              <w:txbxContent>
                <w:p w:rsidR="006F0D94" w:rsidRPr="000219F8" w:rsidRDefault="006F0D94" w:rsidP="00DC3559">
                  <w:pPr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33" style="position:absolute;left:0;text-align:left;margin-left:349.15pt;margin-top:130.15pt;width:122.25pt;height:29.25pt;z-index:251610624" fillcolor="#c2d69b [1942]">
            <v:fill r:id="rId14" o:title="20%" type="pattern"/>
            <v:textbox style="mso-next-textbox:#_x0000_s1033">
              <w:txbxContent>
                <w:p w:rsidR="006F0D94" w:rsidRPr="00AF179F" w:rsidRDefault="006F0D94" w:rsidP="00DC3559">
                  <w:pPr>
                    <w:jc w:val="center"/>
                    <w:rPr>
                      <w:sz w:val="28"/>
                      <w:szCs w:val="28"/>
                    </w:rPr>
                  </w:pPr>
                  <w:r w:rsidRPr="00AF179F">
                    <w:rPr>
                      <w:sz w:val="28"/>
                      <w:szCs w:val="28"/>
                    </w:rPr>
                    <w:t xml:space="preserve">účty </w:t>
                  </w:r>
                  <w:r w:rsidRPr="00AF179F">
                    <w:rPr>
                      <w:b/>
                      <w:sz w:val="28"/>
                      <w:szCs w:val="28"/>
                    </w:rPr>
                    <w:t>FF 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71" type="#_x0000_t32" style="position:absolute;left:0;text-align:left;margin-left:470.65pt;margin-top:159.4pt;width:0;height:33.05pt;flip:y;z-index:251649536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54" type="#_x0000_t32" style="position:absolute;left:0;text-align:left;margin-left:469.9pt;margin-top:159.4pt;width:104.25pt;height:33.05pt;z-index:251632128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66" style="position:absolute;left:0;text-align:left;margin-left:554.65pt;margin-top:348.4pt;width:27pt;height:24.75pt;z-index:251644416" fillcolor="#31849b [2408]">
            <v:fill r:id="rId13" o:title="Čárkovaný šikmo nahoru" type="pattern"/>
            <v:textbox>
              <w:txbxContent>
                <w:p w:rsidR="006F0D94" w:rsidRPr="000219F8" w:rsidRDefault="006F0D94" w:rsidP="00DC3559">
                  <w:pPr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58" type="#_x0000_t32" style="position:absolute;left:0;text-align:left;margin-left:347.65pt;margin-top:313.85pt;width:0;height:34.55pt;flip:y;z-index:251636224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57" style="position:absolute;left:0;text-align:left;margin-left:334.9pt;margin-top:348.4pt;width:27pt;height:24.75pt;z-index:251635200" fillcolor="#31849b [2408]">
            <v:fill r:id="rId13" o:title="Čárkovaný šikmo nahoru" type="pattern"/>
            <v:textbox>
              <w:txbxContent>
                <w:p w:rsidR="006F0D94" w:rsidRPr="000219F8" w:rsidRDefault="006F0D94">
                  <w:pPr>
                    <w:rPr>
                      <w:b/>
                      <w:sz w:val="24"/>
                      <w:szCs w:val="24"/>
                    </w:rPr>
                  </w:pPr>
                  <w:r w:rsidRPr="000219F8">
                    <w:rPr>
                      <w:b/>
                      <w:sz w:val="24"/>
                      <w:szCs w:val="24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oundrect id="_x0000_s1030" style="position:absolute;left:0;text-align:left;margin-left:143.65pt;margin-top:64.9pt;width:546pt;height:163.5pt;z-index:251607552" arcsize="10923f" fillcolor="#fde9d9 [665]">
            <v:fill r:id="rId15" o:title="Velké konfety" type="pattern"/>
            <v:textbox style="mso-next-textbox:#_x0000_s1030">
              <w:txbxContent>
                <w:p w:rsidR="006F0D94" w:rsidRPr="00AB2E59" w:rsidRDefault="006F0D94" w:rsidP="00DC3559">
                  <w:pPr>
                    <w:spacing w:before="240" w:after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B2E59">
                    <w:rPr>
                      <w:b/>
                      <w:color w:val="FF0000"/>
                      <w:sz w:val="28"/>
                      <w:szCs w:val="28"/>
                    </w:rPr>
                    <w:t>ČMZRB – společná infrastruktura Fondu fondů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lang w:eastAsia="cs-CZ"/>
        </w:rPr>
        <w:pict>
          <v:shape id="_x0000_s1041" type="#_x0000_t32" style="position:absolute;left:0;text-align:left;margin-left:430.9pt;margin-top:37.9pt;width:.75pt;height:92.25pt;flip:x y;z-index:251618816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38" type="#_x0000_t32" style="position:absolute;left:0;text-align:left;margin-left:376.15pt;margin-top:37.9pt;width:0;height:92.25pt;z-index:251615744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35" style="position:absolute;left:0;text-align:left;margin-left:364.15pt;margin-top:13.15pt;width:80.25pt;height:24.75pt;z-index:251612672" fillcolor="#eaf1dd [662]">
            <v:textbox style="mso-next-textbox:#_x0000_s1035">
              <w:txbxContent>
                <w:p w:rsidR="006F0D94" w:rsidRPr="00AB2E59" w:rsidRDefault="006F0D94" w:rsidP="00DC35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ŘO 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34" style="position:absolute;left:0;text-align:left;margin-left:177.4pt;margin-top:13.15pt;width:80.25pt;height:24.75pt;z-index:251611648" fillcolor="#f2dbdb [661]">
            <v:textbox style="mso-next-textbox:#_x0000_s1034">
              <w:txbxContent>
                <w:p w:rsidR="006F0D94" w:rsidRPr="00AB2E59" w:rsidRDefault="006F0D94" w:rsidP="00DC35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B2E59">
                    <w:rPr>
                      <w:b/>
                      <w:sz w:val="24"/>
                      <w:szCs w:val="24"/>
                    </w:rPr>
                    <w:t>ŘO 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40" type="#_x0000_t32" style="position:absolute;left:0;text-align:left;margin-left:241.9pt;margin-top:37.9pt;width:.75pt;height:92.25pt;flip:x y;z-index:251617792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37" type="#_x0000_t32" style="position:absolute;left:0;text-align:left;margin-left:184.9pt;margin-top:37.9pt;width:0;height:92.25pt;z-index:25161472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32" style="position:absolute;left:0;text-align:left;margin-left:164.65pt;margin-top:130.15pt;width:122.25pt;height:29.25pt;z-index:251609600" fillcolor="#e5b8b7 [1301]">
            <v:fill r:id="rId14" o:title="20%" type="pattern"/>
            <v:textbox style="mso-next-textbox:#_x0000_s1032">
              <w:txbxContent>
                <w:p w:rsidR="006F0D94" w:rsidRPr="00AF179F" w:rsidRDefault="006F0D94" w:rsidP="00DC3559">
                  <w:pPr>
                    <w:jc w:val="center"/>
                    <w:rPr>
                      <w:sz w:val="28"/>
                      <w:szCs w:val="28"/>
                    </w:rPr>
                  </w:pPr>
                  <w:r w:rsidRPr="00AF179F">
                    <w:rPr>
                      <w:sz w:val="28"/>
                      <w:szCs w:val="28"/>
                    </w:rPr>
                    <w:t xml:space="preserve">účty </w:t>
                  </w:r>
                  <w:r w:rsidRPr="00AF179F">
                    <w:rPr>
                      <w:b/>
                      <w:sz w:val="28"/>
                      <w:szCs w:val="28"/>
                    </w:rPr>
                    <w:t>FF 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47" type="#_x0000_t32" style="position:absolute;left:0;text-align:left;margin-left:85.15pt;margin-top:142.15pt;width:57pt;height:0;z-index:251624960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46" type="#_x0000_t32" style="position:absolute;left:0;text-align:left;margin-left:85.15pt;margin-top:96.4pt;width:57pt;height:0;z-index:251623936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48" type="#_x0000_t32" style="position:absolute;left:0;text-align:left;margin-left:85.15pt;margin-top:192.45pt;width:57pt;height:0;flip:x;z-index:251625984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45" style="position:absolute;left:0;text-align:left;margin-left:10.15pt;margin-top:180.4pt;width:74.25pt;height:24pt;z-index:251622912" fillcolor="#d8d8d8 [2732]">
            <v:textbox style="mso-next-textbox:#_x0000_s1045">
              <w:txbxContent>
                <w:p w:rsidR="006F0D94" w:rsidRPr="00A45A99" w:rsidRDefault="006F0D94" w:rsidP="00DC35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MS 2014+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44" style="position:absolute;left:0;text-align:left;margin-left:10.15pt;margin-top:130.15pt;width:74.25pt;height:24pt;z-index:251621888" fillcolor="#d8d8d8 [2732]">
            <v:textbox style="mso-next-textbox:#_x0000_s1044">
              <w:txbxContent>
                <w:p w:rsidR="006F0D94" w:rsidRPr="00A45A99" w:rsidRDefault="006F0D94" w:rsidP="00DC35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MMR-NOK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43" style="position:absolute;left:0;text-align:left;margin-left:10.15pt;margin-top:85.9pt;width:74.25pt;height:24pt;z-index:251620864" fillcolor="#d8d8d8 [2732]">
            <v:textbox style="mso-next-textbox:#_x0000_s1043">
              <w:txbxContent>
                <w:p w:rsidR="006F0D94" w:rsidRPr="00A45A99" w:rsidRDefault="006F0D94" w:rsidP="00DC35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A45A99">
                    <w:rPr>
                      <w:b/>
                      <w:sz w:val="24"/>
                      <w:szCs w:val="24"/>
                    </w:rPr>
                    <w:t>MF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shape id="_x0000_s1042" type="#_x0000_t32" style="position:absolute;left:0;text-align:left;margin-left:640.15pt;margin-top:37.9pt;width:.75pt;height:92.25pt;flip:x y;z-index:251619840" o:connectortype="straight">
            <v:stroke dashstyle="dashDot" endarrow="block"/>
          </v:shape>
        </w:pict>
      </w:r>
      <w:r>
        <w:rPr>
          <w:rFonts w:ascii="Arial" w:hAnsi="Arial" w:cs="Arial"/>
          <w:noProof/>
          <w:lang w:eastAsia="cs-CZ"/>
        </w:rPr>
        <w:pict>
          <v:shape id="_x0000_s1039" type="#_x0000_t32" style="position:absolute;left:0;text-align:left;margin-left:588.4pt;margin-top:37.9pt;width:0;height:92.25pt;z-index:251616768" o:connectortype="straight">
            <v:stroke endarrow="block"/>
          </v:shape>
        </w:pict>
      </w:r>
      <w:r>
        <w:rPr>
          <w:rFonts w:ascii="Arial" w:hAnsi="Arial" w:cs="Arial"/>
          <w:noProof/>
          <w:lang w:eastAsia="cs-CZ"/>
        </w:rPr>
        <w:pict>
          <v:rect id="_x0000_s1036" style="position:absolute;left:0;text-align:left;margin-left:568.9pt;margin-top:13.15pt;width:80.25pt;height:24.75pt;z-index:251613696" fillcolor="#daeef3 [664]">
            <v:textbox style="mso-next-textbox:#_x0000_s1036">
              <w:txbxContent>
                <w:p w:rsidR="006F0D94" w:rsidRPr="00AB2E59" w:rsidRDefault="006F0D94" w:rsidP="00DC35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ŘO 3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cs-CZ"/>
        </w:rPr>
        <w:pict>
          <v:rect id="_x0000_s1031" style="position:absolute;left:0;text-align:left;margin-left:550.15pt;margin-top:130.15pt;width:122.25pt;height:29.25pt;z-index:251608576" fillcolor="#92cddc [1944]">
            <v:fill r:id="rId14" o:title="20%" type="pattern"/>
            <v:textbox style="mso-next-textbox:#_x0000_s1031">
              <w:txbxContent>
                <w:p w:rsidR="006F0D94" w:rsidRPr="00AF179F" w:rsidRDefault="006F0D94" w:rsidP="00DC3559">
                  <w:pPr>
                    <w:jc w:val="center"/>
                    <w:rPr>
                      <w:sz w:val="28"/>
                      <w:szCs w:val="28"/>
                    </w:rPr>
                  </w:pPr>
                  <w:r w:rsidRPr="00AF179F">
                    <w:rPr>
                      <w:sz w:val="28"/>
                      <w:szCs w:val="28"/>
                    </w:rPr>
                    <w:t xml:space="preserve">účty </w:t>
                  </w:r>
                  <w:r w:rsidRPr="00AF179F">
                    <w:rPr>
                      <w:b/>
                      <w:sz w:val="28"/>
                      <w:szCs w:val="28"/>
                    </w:rPr>
                    <w:t>FF 3</w:t>
                  </w:r>
                </w:p>
              </w:txbxContent>
            </v:textbox>
          </v:rect>
        </w:pict>
      </w:r>
      <w:r w:rsidR="00921456">
        <w:rPr>
          <w:rFonts w:ascii="Arial" w:hAnsi="Arial" w:cs="Arial"/>
        </w:rPr>
        <w:t xml:space="preserve">Schéma č. 1: </w:t>
      </w:r>
    </w:p>
    <w:p w:rsidR="00D23CDD" w:rsidRDefault="00D23CDD" w:rsidP="00D650A9">
      <w:pPr>
        <w:jc w:val="both"/>
      </w:pPr>
    </w:p>
    <w:p w:rsidR="00D23CDD" w:rsidRDefault="00DE4D5A" w:rsidP="00D650A9">
      <w:pPr>
        <w:jc w:val="both"/>
      </w:pPr>
      <w:r>
        <w:t xml:space="preserve">               </w:t>
      </w:r>
      <w:r w:rsidR="00D23CDD">
        <w:br w:type="page"/>
      </w:r>
    </w:p>
    <w:p w:rsidR="00D23CDD" w:rsidRDefault="00D23CDD" w:rsidP="00D650A9">
      <w:pPr>
        <w:jc w:val="both"/>
        <w:sectPr w:rsidR="00D23CDD" w:rsidSect="00A103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947F3" w:rsidRPr="00ED1424" w:rsidRDefault="00322294" w:rsidP="009754EB">
      <w:pPr>
        <w:pStyle w:val="Nadpis2"/>
        <w:numPr>
          <w:ilvl w:val="0"/>
          <w:numId w:val="18"/>
        </w:numPr>
        <w:jc w:val="both"/>
      </w:pPr>
      <w:bookmarkStart w:id="15" w:name="_Toc419730435"/>
      <w:r>
        <w:lastRenderedPageBreak/>
        <w:t xml:space="preserve">II. </w:t>
      </w:r>
      <w:r w:rsidR="004E6B33" w:rsidRPr="00ED1424">
        <w:t xml:space="preserve">Předpoklady </w:t>
      </w:r>
      <w:r w:rsidR="00D62541" w:rsidRPr="00ED1424">
        <w:t>a východiska k činnosti Nástroje</w:t>
      </w:r>
      <w:bookmarkEnd w:id="15"/>
    </w:p>
    <w:p w:rsidR="005947F3" w:rsidRDefault="009C5862" w:rsidP="00D650A9">
      <w:pPr>
        <w:jc w:val="both"/>
      </w:pPr>
      <w:r>
        <w:t>K provedení jednotlivých fází přípravy a zabezpečení přípravy implementace</w:t>
      </w:r>
      <w:r w:rsidR="00B607B0">
        <w:t xml:space="preserve"> a fungování Nástrojů v rozsahu</w:t>
      </w:r>
      <w:r>
        <w:t xml:space="preserve"> bodu</w:t>
      </w:r>
      <w:r w:rsidR="00065AAD">
        <w:t xml:space="preserve"> </w:t>
      </w:r>
      <w:r w:rsidR="00B36675">
        <w:t xml:space="preserve">H. </w:t>
      </w:r>
      <w:r w:rsidR="00B607B0">
        <w:t xml:space="preserve">III </w:t>
      </w:r>
      <w:r w:rsidR="005947F3" w:rsidRPr="005947F3">
        <w:t>musí</w:t>
      </w:r>
      <w:r>
        <w:t xml:space="preserve"> být ze strany jednotl</w:t>
      </w:r>
      <w:r w:rsidR="006272C8">
        <w:t>ivých Řídících orgánů</w:t>
      </w:r>
      <w:r w:rsidR="00B607B0">
        <w:t xml:space="preserve"> vytvořeny</w:t>
      </w:r>
      <w:r>
        <w:t xml:space="preserve"> tyto</w:t>
      </w:r>
      <w:r w:rsidR="00B36675">
        <w:t xml:space="preserve"> minimální</w:t>
      </w:r>
      <w:r w:rsidR="00DE4D5A">
        <w:t xml:space="preserve">  </w:t>
      </w:r>
      <w:r>
        <w:t>podmínky</w:t>
      </w:r>
      <w:r w:rsidR="00B607B0">
        <w:t>:</w:t>
      </w:r>
      <w:r w:rsidR="00DE4D5A">
        <w:t xml:space="preserve">  </w:t>
      </w:r>
    </w:p>
    <w:p w:rsidR="00B36675" w:rsidRDefault="00B36675" w:rsidP="009754EB">
      <w:pPr>
        <w:pStyle w:val="Odstavecseseznamem"/>
        <w:numPr>
          <w:ilvl w:val="0"/>
          <w:numId w:val="2"/>
        </w:numPr>
        <w:jc w:val="both"/>
      </w:pPr>
      <w:r>
        <w:t>Vypracování závěrečné zprávy z o předběžném posou</w:t>
      </w:r>
      <w:r w:rsidR="00B607B0">
        <w:t xml:space="preserve">zení finančních nástrojů, její </w:t>
      </w:r>
      <w:r>
        <w:t>projednání monitorovacím v</w:t>
      </w:r>
      <w:r w:rsidR="00B607B0">
        <w:t xml:space="preserve">ýborem a zveřejnění souhrnného </w:t>
      </w:r>
      <w:r>
        <w:t>přehled</w:t>
      </w:r>
      <w:r w:rsidR="008733D7">
        <w:t>u</w:t>
      </w:r>
      <w:r>
        <w:t xml:space="preserve"> jejích zjištění a závěrů.</w:t>
      </w:r>
    </w:p>
    <w:p w:rsidR="003C0D8C" w:rsidRDefault="00B36675" w:rsidP="009754EB">
      <w:pPr>
        <w:pStyle w:val="Odstavecseseznamem"/>
        <w:numPr>
          <w:ilvl w:val="0"/>
          <w:numId w:val="2"/>
        </w:numPr>
        <w:jc w:val="both"/>
      </w:pPr>
      <w:r>
        <w:t>Vypr</w:t>
      </w:r>
      <w:r w:rsidR="00B607B0">
        <w:t xml:space="preserve">acování znění programů podpory </w:t>
      </w:r>
      <w:r>
        <w:t>a jejich výzev, včetně kritérií schválených monitorovacím výborem Operačního programu</w:t>
      </w:r>
      <w:r w:rsidR="006272C8">
        <w:t>.</w:t>
      </w:r>
      <w:r w:rsidR="00DE4D5A">
        <w:t xml:space="preserve">  </w:t>
      </w:r>
    </w:p>
    <w:p w:rsidR="003C0D8C" w:rsidRDefault="00B36675" w:rsidP="009754EB">
      <w:pPr>
        <w:pStyle w:val="Odstavecseseznamem"/>
        <w:numPr>
          <w:ilvl w:val="0"/>
          <w:numId w:val="2"/>
        </w:numPr>
        <w:jc w:val="both"/>
      </w:pPr>
      <w:r>
        <w:t xml:space="preserve">Zpracování </w:t>
      </w:r>
      <w:r w:rsidR="003C0D8C">
        <w:t>Operační</w:t>
      </w:r>
      <w:r w:rsidR="0032758F">
        <w:t>ho</w:t>
      </w:r>
      <w:r w:rsidR="003C0D8C">
        <w:t xml:space="preserve"> manuál</w:t>
      </w:r>
      <w:r w:rsidR="0032758F">
        <w:t>u</w:t>
      </w:r>
      <w:r w:rsidR="003C0D8C">
        <w:t xml:space="preserve"> </w:t>
      </w:r>
      <w:r>
        <w:t>Říd</w:t>
      </w:r>
      <w:r w:rsidR="009D0A96">
        <w:t>í</w:t>
      </w:r>
      <w:r>
        <w:t xml:space="preserve">cího </w:t>
      </w:r>
      <w:r w:rsidR="009D0A96">
        <w:t>orgánu v částech vztahujících se k Nástrojům využívaným v daném program</w:t>
      </w:r>
      <w:r w:rsidR="00B607B0">
        <w:t>u</w:t>
      </w:r>
      <w:r w:rsidR="006272C8">
        <w:t>.</w:t>
      </w:r>
      <w:r w:rsidR="009D0A96">
        <w:t xml:space="preserve"> </w:t>
      </w:r>
    </w:p>
    <w:p w:rsidR="009C5862" w:rsidRDefault="009D0A96" w:rsidP="009754EB">
      <w:pPr>
        <w:pStyle w:val="Odstavecseseznamem"/>
        <w:numPr>
          <w:ilvl w:val="0"/>
          <w:numId w:val="2"/>
        </w:numPr>
        <w:jc w:val="both"/>
      </w:pPr>
      <w:r>
        <w:t>Předán</w:t>
      </w:r>
      <w:r w:rsidR="00B607B0">
        <w:t>í Příjemci veškerých potřebných</w:t>
      </w:r>
      <w:r>
        <w:t xml:space="preserve"> manuálů a specifikací pro předávání dat </w:t>
      </w:r>
      <w:r w:rsidR="009C5862">
        <w:t>do MS2014+.</w:t>
      </w:r>
    </w:p>
    <w:p w:rsidR="009C5862" w:rsidRDefault="009C5862" w:rsidP="00D650A9">
      <w:pPr>
        <w:pStyle w:val="Odstavecseseznamem"/>
        <w:jc w:val="both"/>
      </w:pPr>
    </w:p>
    <w:p w:rsidR="009C5862" w:rsidRDefault="009C5862" w:rsidP="00D650A9">
      <w:pPr>
        <w:pStyle w:val="Odstavecseseznamem"/>
        <w:ind w:left="0"/>
        <w:jc w:val="both"/>
      </w:pPr>
      <w:r>
        <w:t>Návazně musí dojít k uzavření Dohody o financování, na její</w:t>
      </w:r>
      <w:r w:rsidR="00B607B0">
        <w:t>m</w:t>
      </w:r>
      <w:r>
        <w:t xml:space="preserve">ž základě Nástroj vznikne a které vytvoří zadání, </w:t>
      </w:r>
      <w:r w:rsidR="00067F01">
        <w:t>podle něhož</w:t>
      </w:r>
      <w:r w:rsidR="00DE4D5A">
        <w:t xml:space="preserve"> </w:t>
      </w:r>
      <w:r>
        <w:t>bude Příjemce nastavovat procesy nezbytné p</w:t>
      </w:r>
      <w:r w:rsidR="006272C8">
        <w:t>ro jeho fungování, kterými jsou</w:t>
      </w:r>
      <w:r>
        <w:t>:</w:t>
      </w:r>
    </w:p>
    <w:p w:rsidR="000C0EA3" w:rsidRPr="000C0EA3" w:rsidRDefault="00742982" w:rsidP="009754EB">
      <w:pPr>
        <w:pStyle w:val="Odstavecseseznamem"/>
        <w:numPr>
          <w:ilvl w:val="0"/>
          <w:numId w:val="2"/>
        </w:numPr>
        <w:jc w:val="both"/>
      </w:pPr>
      <w:r w:rsidRPr="00742982">
        <w:t xml:space="preserve">Operativní a strategické řízení </w:t>
      </w:r>
      <w:r w:rsidR="0032758F">
        <w:t>Nástroje</w:t>
      </w:r>
      <w:r w:rsidR="00067F01">
        <w:t>,</w:t>
      </w:r>
    </w:p>
    <w:p w:rsidR="000C0EA3" w:rsidRPr="000C0EA3" w:rsidRDefault="0032758F" w:rsidP="009754EB">
      <w:pPr>
        <w:pStyle w:val="Odstavecseseznamem"/>
        <w:numPr>
          <w:ilvl w:val="0"/>
          <w:numId w:val="2"/>
        </w:numPr>
        <w:jc w:val="both"/>
      </w:pPr>
      <w:r>
        <w:t>Výkonná činnost poskytování finančních produktů Nástroje a její m</w:t>
      </w:r>
      <w:r w:rsidR="00742982" w:rsidRPr="00742982">
        <w:t>etodické řízení</w:t>
      </w:r>
      <w:r w:rsidR="00067F01">
        <w:t>,</w:t>
      </w:r>
      <w:r w:rsidR="00742982" w:rsidRPr="00742982">
        <w:t xml:space="preserve"> </w:t>
      </w:r>
    </w:p>
    <w:p w:rsidR="000C0EA3" w:rsidRPr="000C0EA3" w:rsidRDefault="00742982" w:rsidP="009754EB">
      <w:pPr>
        <w:pStyle w:val="Odstavecseseznamem"/>
        <w:numPr>
          <w:ilvl w:val="0"/>
          <w:numId w:val="2"/>
        </w:numPr>
        <w:jc w:val="both"/>
      </w:pPr>
      <w:r w:rsidRPr="00742982">
        <w:t xml:space="preserve">Účtování </w:t>
      </w:r>
      <w:r w:rsidR="0032758F">
        <w:t>o činnosti Nástroje</w:t>
      </w:r>
      <w:r w:rsidR="00067F01">
        <w:t>,</w:t>
      </w:r>
      <w:r w:rsidR="0032758F">
        <w:t xml:space="preserve"> </w:t>
      </w:r>
    </w:p>
    <w:p w:rsidR="000C0EA3" w:rsidRPr="000C0EA3" w:rsidRDefault="00742982" w:rsidP="009754EB">
      <w:pPr>
        <w:pStyle w:val="Odstavecseseznamem"/>
        <w:numPr>
          <w:ilvl w:val="0"/>
          <w:numId w:val="2"/>
        </w:numPr>
        <w:jc w:val="both"/>
      </w:pPr>
      <w:r w:rsidRPr="00742982">
        <w:t xml:space="preserve">Monitoring </w:t>
      </w:r>
      <w:r w:rsidR="0032758F">
        <w:t>činnosti Nástroje a reporting pro MS2014+</w:t>
      </w:r>
      <w:r w:rsidR="00067F01">
        <w:t>,</w:t>
      </w:r>
    </w:p>
    <w:p w:rsidR="000C0EA3" w:rsidRPr="000C0EA3" w:rsidRDefault="00742982" w:rsidP="009754EB">
      <w:pPr>
        <w:pStyle w:val="Odstavecseseznamem"/>
        <w:numPr>
          <w:ilvl w:val="0"/>
          <w:numId w:val="2"/>
        </w:numPr>
        <w:jc w:val="both"/>
      </w:pPr>
      <w:r w:rsidRPr="00742982">
        <w:t xml:space="preserve">Kontrola a audit </w:t>
      </w:r>
      <w:r w:rsidR="0032758F">
        <w:t>Nástroje, Finančních zprostředkovatelů a Konečných příjemců</w:t>
      </w:r>
      <w:r w:rsidR="00067F01">
        <w:t>,</w:t>
      </w:r>
      <w:r w:rsidR="00DE4D5A">
        <w:t xml:space="preserve">  </w:t>
      </w:r>
    </w:p>
    <w:p w:rsidR="003B5F62" w:rsidRDefault="00742982" w:rsidP="009754EB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 w:rsidRPr="00742982">
        <w:t>P</w:t>
      </w:r>
      <w:r w:rsidR="0032758F">
        <w:t>ublicita činnosti Nástroje.</w:t>
      </w:r>
      <w:r w:rsidR="0032758F">
        <w:rPr>
          <w:u w:val="single"/>
        </w:rPr>
        <w:t xml:space="preserve"> </w:t>
      </w:r>
    </w:p>
    <w:p w:rsidR="0032758F" w:rsidRDefault="0032758F" w:rsidP="00D650A9">
      <w:pPr>
        <w:jc w:val="both"/>
        <w:rPr>
          <w:b/>
        </w:rPr>
      </w:pPr>
    </w:p>
    <w:p w:rsidR="00392A49" w:rsidRPr="00ED1424" w:rsidRDefault="00322294" w:rsidP="009754EB">
      <w:pPr>
        <w:pStyle w:val="Nadpis2"/>
        <w:numPr>
          <w:ilvl w:val="0"/>
          <w:numId w:val="20"/>
        </w:numPr>
        <w:jc w:val="both"/>
      </w:pPr>
      <w:bookmarkStart w:id="16" w:name="_Toc419730436"/>
      <w:r>
        <w:t xml:space="preserve">III. </w:t>
      </w:r>
      <w:r w:rsidR="00D62541" w:rsidRPr="00ED1424">
        <w:t>Provedení jednotlivých fází</w:t>
      </w:r>
      <w:r w:rsidR="00DE4D5A" w:rsidRPr="00ED1424">
        <w:t xml:space="preserve"> </w:t>
      </w:r>
      <w:r w:rsidR="00D62541" w:rsidRPr="00ED1424">
        <w:t>přípravy a fungování Nástrojů v podmínkách jejich správy zabezpečované ČMZRB</w:t>
      </w:r>
      <w:bookmarkEnd w:id="16"/>
    </w:p>
    <w:p w:rsidR="005947F3" w:rsidRPr="008C2BDA" w:rsidRDefault="00D62541" w:rsidP="00D650A9">
      <w:pPr>
        <w:pStyle w:val="Nadpis3"/>
        <w:jc w:val="both"/>
      </w:pPr>
      <w:bookmarkStart w:id="17" w:name="_Toc419730437"/>
      <w:r w:rsidRPr="00D62541">
        <w:t>1. Provedení</w:t>
      </w:r>
      <w:r w:rsidR="00DE4D5A">
        <w:t xml:space="preserve"> </w:t>
      </w:r>
      <w:r w:rsidRPr="00D62541">
        <w:t>Fondu fondů</w:t>
      </w:r>
      <w:bookmarkEnd w:id="17"/>
    </w:p>
    <w:p w:rsidR="00392A49" w:rsidRPr="003B5F62" w:rsidRDefault="00392A49" w:rsidP="00D650A9">
      <w:pPr>
        <w:pStyle w:val="Nadpis4"/>
        <w:jc w:val="both"/>
      </w:pPr>
      <w:r w:rsidRPr="003B5F62">
        <w:t xml:space="preserve">1. </w:t>
      </w:r>
      <w:r w:rsidR="007F0AAA" w:rsidRPr="003B5F62">
        <w:t>1. V</w:t>
      </w:r>
      <w:r w:rsidR="000E56D6" w:rsidRPr="003B5F62">
        <w:t>znik F</w:t>
      </w:r>
      <w:r w:rsidR="009D0A96">
        <w:t xml:space="preserve">ondu fondů </w:t>
      </w:r>
    </w:p>
    <w:p w:rsidR="00F64F54" w:rsidRDefault="009D0A96" w:rsidP="00D650A9">
      <w:pPr>
        <w:pStyle w:val="Odstavecseseznamem"/>
        <w:ind w:left="0"/>
        <w:jc w:val="both"/>
      </w:pPr>
      <w:r>
        <w:t>Fond fondů vznikne na základě Dohody o financování</w:t>
      </w:r>
      <w:r w:rsidR="00DA7A8E">
        <w:t>.</w:t>
      </w:r>
      <w:r w:rsidR="00DE4D5A">
        <w:t xml:space="preserve">  </w:t>
      </w:r>
      <w:r w:rsidR="00EB27EF">
        <w:t xml:space="preserve">Návrh vzorové Dohody o financování  vypracuje správce Fondu fondů </w:t>
      </w:r>
      <w:r w:rsidR="00F64F54">
        <w:t xml:space="preserve">s využitím </w:t>
      </w:r>
      <w:r w:rsidR="0032758F">
        <w:t xml:space="preserve">dostupných </w:t>
      </w:r>
      <w:r w:rsidR="00F64F54">
        <w:t>metodick</w:t>
      </w:r>
      <w:r w:rsidR="00B607B0">
        <w:t>ých</w:t>
      </w:r>
      <w:r w:rsidR="00F64F54">
        <w:t xml:space="preserve"> </w:t>
      </w:r>
      <w:r w:rsidR="0032758F">
        <w:t xml:space="preserve">doporučení </w:t>
      </w:r>
      <w:r w:rsidR="00F64F54">
        <w:t xml:space="preserve">Evropské komise </w:t>
      </w:r>
      <w:r w:rsidR="00EB27EF">
        <w:t xml:space="preserve"> a předloží ho k připomínkám </w:t>
      </w:r>
      <w:r w:rsidR="00F64F54">
        <w:t>Ministerstv</w:t>
      </w:r>
      <w:r w:rsidR="00EB27EF">
        <w:t>u</w:t>
      </w:r>
      <w:r w:rsidR="006272C8">
        <w:t xml:space="preserve"> </w:t>
      </w:r>
      <w:r w:rsidR="00F64F54">
        <w:t>pro místní rozvoj</w:t>
      </w:r>
      <w:r w:rsidR="00EB27EF">
        <w:t xml:space="preserve"> a </w:t>
      </w:r>
      <w:r w:rsidR="00F64F54">
        <w:t> M</w:t>
      </w:r>
      <w:r w:rsidR="00EB27EF">
        <w:t>inisterstvu financí.</w:t>
      </w:r>
      <w:r w:rsidR="00F64F54">
        <w:t xml:space="preserve"> </w:t>
      </w:r>
      <w:r w:rsidR="00E55650">
        <w:t>Tento vzor bude využit při vypracování</w:t>
      </w:r>
      <w:r w:rsidR="00F64F54">
        <w:t xml:space="preserve"> finální podoby </w:t>
      </w:r>
      <w:r w:rsidR="00E55650">
        <w:t>konkrétní Dohody o financování mezi Řídícími orgány a</w:t>
      </w:r>
      <w:r w:rsidR="00DE4D5A">
        <w:t xml:space="preserve"> </w:t>
      </w:r>
      <w:r w:rsidR="00E55650">
        <w:t xml:space="preserve">Příjemcem </w:t>
      </w:r>
      <w:r w:rsidR="00F64F54">
        <w:t>pro potřeby jednotlivých Operačních programů.</w:t>
      </w:r>
      <w:r w:rsidR="008977C5">
        <w:t xml:space="preserve"> Součástí Dohody o financování bude též</w:t>
      </w:r>
      <w:r w:rsidR="006A389E">
        <w:t xml:space="preserve"> vzorová dohoda o financování</w:t>
      </w:r>
      <w:r w:rsidR="006272C8">
        <w:t xml:space="preserve"> </w:t>
      </w:r>
      <w:r w:rsidR="00DA7A8E">
        <w:t xml:space="preserve">mezi </w:t>
      </w:r>
      <w:r w:rsidR="00E55650">
        <w:t xml:space="preserve">ČMZRB jako </w:t>
      </w:r>
      <w:r w:rsidR="00DA7A8E">
        <w:t>správce Fondu fondů a Finančními zprostředkovateli</w:t>
      </w:r>
      <w:r w:rsidR="0032758F">
        <w:t xml:space="preserve"> spravujícími jednotlivé Finanční nástroje</w:t>
      </w:r>
      <w:r w:rsidR="00DA7A8E">
        <w:t>.</w:t>
      </w:r>
      <w:r w:rsidR="00DE4D5A">
        <w:t xml:space="preserve">  </w:t>
      </w:r>
      <w:r w:rsidR="00EB27EF">
        <w:t>Návrhy jednotlivých Dohod o financování budou před jejich podpisem předloženy k vyjádření MF a MMR.</w:t>
      </w:r>
    </w:p>
    <w:p w:rsidR="00F64F54" w:rsidRDefault="00F64F54" w:rsidP="00D650A9">
      <w:pPr>
        <w:pStyle w:val="Odstavecseseznamem"/>
        <w:ind w:left="0"/>
        <w:jc w:val="both"/>
      </w:pPr>
    </w:p>
    <w:p w:rsidR="00F64F54" w:rsidRDefault="00F64F54" w:rsidP="00D650A9">
      <w:pPr>
        <w:pStyle w:val="Odstavecseseznamem"/>
        <w:ind w:left="0"/>
        <w:jc w:val="both"/>
      </w:pPr>
      <w:r>
        <w:t>Před uzavřením Dohod</w:t>
      </w:r>
      <w:r w:rsidR="0032758F">
        <w:t>y</w:t>
      </w:r>
      <w:r>
        <w:t xml:space="preserve"> o financování </w:t>
      </w:r>
      <w:r w:rsidR="0032758F">
        <w:t>s</w:t>
      </w:r>
      <w:r w:rsidR="00E55650">
        <w:t xml:space="preserve"> ČMZRB jako </w:t>
      </w:r>
      <w:r w:rsidR="0032758F">
        <w:t xml:space="preserve">správcem Fondu fondů </w:t>
      </w:r>
      <w:r>
        <w:t xml:space="preserve">bude </w:t>
      </w:r>
      <w:r w:rsidR="0032758F">
        <w:t>Říd</w:t>
      </w:r>
      <w:r w:rsidR="00DC3559">
        <w:t>í</w:t>
      </w:r>
      <w:r w:rsidR="0032758F">
        <w:t xml:space="preserve">cím orgánem </w:t>
      </w:r>
      <w:r>
        <w:t>provedeno ověření toho, zda jsou naplněny podmínky stanovené článkem 7 Nařízení Komi</w:t>
      </w:r>
      <w:r w:rsidR="008977C5">
        <w:t>s</w:t>
      </w:r>
      <w:r>
        <w:t>e (EU) č. 480/2014. Toto ověření proběhne ve dvou částech:</w:t>
      </w:r>
    </w:p>
    <w:p w:rsidR="00894DA4" w:rsidRDefault="00F64F54" w:rsidP="009754EB">
      <w:pPr>
        <w:pStyle w:val="Odstavecseseznamem"/>
        <w:numPr>
          <w:ilvl w:val="0"/>
          <w:numId w:val="5"/>
        </w:numPr>
        <w:jc w:val="both"/>
      </w:pPr>
      <w:r>
        <w:t>jako společné pro všechny Operační programy v rozsahu podmínek stanovených v odst. 1</w:t>
      </w:r>
      <w:r w:rsidR="00DE4D5A">
        <w:t xml:space="preserve">  </w:t>
      </w:r>
      <w:r>
        <w:t>a</w:t>
      </w:r>
      <w:r w:rsidR="00DE4D5A">
        <w:t xml:space="preserve">   </w:t>
      </w:r>
      <w:r w:rsidR="006272C8">
        <w:t>písm. a)</w:t>
      </w:r>
      <w:r w:rsidR="002D6028">
        <w:t xml:space="preserve"> pouze první část</w:t>
      </w:r>
      <w:r>
        <w:t>, b) a</w:t>
      </w:r>
      <w:r w:rsidR="00DE4D5A">
        <w:t xml:space="preserve">  </w:t>
      </w:r>
      <w:r>
        <w:t>e) článku 7 uvedeného nařízení ve společné gesci MMR a MF,</w:t>
      </w:r>
    </w:p>
    <w:p w:rsidR="00894DA4" w:rsidRDefault="00F64F54" w:rsidP="009754EB">
      <w:pPr>
        <w:pStyle w:val="Odstavecseseznamem"/>
        <w:numPr>
          <w:ilvl w:val="0"/>
          <w:numId w:val="5"/>
        </w:numPr>
        <w:jc w:val="both"/>
      </w:pPr>
      <w:r>
        <w:t>individuálně</w:t>
      </w:r>
      <w:r w:rsidR="00DE4D5A">
        <w:t xml:space="preserve"> </w:t>
      </w:r>
      <w:r>
        <w:t>pro jednotlivé Operační programy v rozsahu zbývajících ustanovení odst</w:t>
      </w:r>
      <w:r w:rsidR="00DA7A8E">
        <w:t>.</w:t>
      </w:r>
      <w:r>
        <w:t xml:space="preserve"> 2 článku 7 uvedeného nařízení.</w:t>
      </w:r>
      <w:r w:rsidR="00DE4D5A">
        <w:t xml:space="preserve">  </w:t>
      </w:r>
      <w:r w:rsidR="00DA7A8E">
        <w:t>Provedení zajistí jednotlivé Řídící orgány.</w:t>
      </w:r>
      <w:r w:rsidR="00DE4D5A">
        <w:t xml:space="preserve">        </w:t>
      </w:r>
    </w:p>
    <w:p w:rsidR="005947F3" w:rsidRPr="007371A2" w:rsidRDefault="007F0AAA" w:rsidP="00D650A9">
      <w:pPr>
        <w:pStyle w:val="Nadpis4"/>
        <w:jc w:val="both"/>
      </w:pPr>
      <w:r w:rsidRPr="007371A2">
        <w:lastRenderedPageBreak/>
        <w:t xml:space="preserve">1. </w:t>
      </w:r>
      <w:r w:rsidR="0032758F">
        <w:t>2</w:t>
      </w:r>
      <w:r w:rsidR="005947F3" w:rsidRPr="007371A2">
        <w:t>. Fungování F</w:t>
      </w:r>
      <w:r w:rsidR="008977C5">
        <w:t xml:space="preserve">ondu fondů </w:t>
      </w:r>
    </w:p>
    <w:p w:rsidR="00E14168" w:rsidRPr="007371A2" w:rsidRDefault="007371A2" w:rsidP="00D650A9">
      <w:pPr>
        <w:jc w:val="both"/>
        <w:rPr>
          <w:i/>
        </w:rPr>
      </w:pPr>
      <w:r w:rsidRPr="007371A2">
        <w:rPr>
          <w:i/>
        </w:rPr>
        <w:t xml:space="preserve">a) </w:t>
      </w:r>
      <w:r w:rsidR="00E14168" w:rsidRPr="007371A2">
        <w:rPr>
          <w:i/>
        </w:rPr>
        <w:t>Činnost</w:t>
      </w:r>
      <w:r w:rsidR="006272C8">
        <w:rPr>
          <w:i/>
        </w:rPr>
        <w:t>i</w:t>
      </w:r>
      <w:r w:rsidR="00E14168" w:rsidRPr="007371A2">
        <w:rPr>
          <w:i/>
        </w:rPr>
        <w:t xml:space="preserve"> vykonávané </w:t>
      </w:r>
      <w:r w:rsidR="00E55650">
        <w:rPr>
          <w:i/>
        </w:rPr>
        <w:t>ČMZRB (</w:t>
      </w:r>
      <w:r w:rsidR="00E14168" w:rsidRPr="007371A2">
        <w:rPr>
          <w:i/>
        </w:rPr>
        <w:t>P</w:t>
      </w:r>
      <w:r w:rsidR="008977C5">
        <w:rPr>
          <w:i/>
        </w:rPr>
        <w:t>ří</w:t>
      </w:r>
      <w:r w:rsidR="00E14168" w:rsidRPr="007371A2">
        <w:rPr>
          <w:i/>
        </w:rPr>
        <w:t>jemcem</w:t>
      </w:r>
      <w:r w:rsidR="00E55650">
        <w:rPr>
          <w:i/>
        </w:rPr>
        <w:t>)</w:t>
      </w:r>
      <w:r w:rsidR="00E14168" w:rsidRPr="007371A2">
        <w:rPr>
          <w:i/>
        </w:rPr>
        <w:t xml:space="preserve"> při správě </w:t>
      </w:r>
      <w:r w:rsidR="008977C5">
        <w:rPr>
          <w:i/>
        </w:rPr>
        <w:t>F</w:t>
      </w:r>
      <w:r w:rsidR="00E14168" w:rsidRPr="007371A2">
        <w:rPr>
          <w:i/>
        </w:rPr>
        <w:t xml:space="preserve">ondu fondů </w:t>
      </w:r>
    </w:p>
    <w:p w:rsidR="007371A2" w:rsidRDefault="008F456B" w:rsidP="00D650A9">
      <w:pPr>
        <w:jc w:val="both"/>
      </w:pPr>
      <w:r>
        <w:t>viz příloha č. 6</w:t>
      </w:r>
    </w:p>
    <w:p w:rsidR="00894DA4" w:rsidRDefault="00742982" w:rsidP="009754EB">
      <w:pPr>
        <w:pStyle w:val="Odstavecseseznamem"/>
        <w:numPr>
          <w:ilvl w:val="0"/>
          <w:numId w:val="6"/>
        </w:numPr>
        <w:ind w:left="284" w:hanging="284"/>
        <w:jc w:val="both"/>
        <w:rPr>
          <w:i/>
        </w:rPr>
      </w:pPr>
      <w:r w:rsidRPr="00742982">
        <w:rPr>
          <w:i/>
        </w:rPr>
        <w:t xml:space="preserve">Výběr </w:t>
      </w:r>
      <w:r w:rsidR="008977C5">
        <w:rPr>
          <w:i/>
        </w:rPr>
        <w:t>Finančních zprostředkovatelů</w:t>
      </w:r>
    </w:p>
    <w:p w:rsidR="00894DA4" w:rsidRDefault="00742982" w:rsidP="00D650A9">
      <w:pPr>
        <w:pStyle w:val="Odstavecseseznamem"/>
        <w:ind w:left="284"/>
        <w:jc w:val="both"/>
      </w:pPr>
      <w:r w:rsidRPr="00742982">
        <w:t>Výběr Fin</w:t>
      </w:r>
      <w:r w:rsidR="00DA7A8E">
        <w:t>a</w:t>
      </w:r>
      <w:r w:rsidRPr="00742982">
        <w:t>nčních zpro</w:t>
      </w:r>
      <w:r w:rsidR="00DA7A8E">
        <w:t>st</w:t>
      </w:r>
      <w:r w:rsidRPr="00742982">
        <w:t>ř</w:t>
      </w:r>
      <w:r w:rsidR="008977C5">
        <w:t>e</w:t>
      </w:r>
      <w:r w:rsidRPr="00742982">
        <w:t xml:space="preserve">dkovatelů proběhne </w:t>
      </w:r>
      <w:r w:rsidR="008977C5">
        <w:t xml:space="preserve">ve </w:t>
      </w:r>
      <w:r w:rsidR="00A50E63">
        <w:t xml:space="preserve">třech možných </w:t>
      </w:r>
      <w:r w:rsidR="008977C5">
        <w:t>režimech.</w:t>
      </w:r>
      <w:r w:rsidR="00DE4D5A">
        <w:t xml:space="preserve">   </w:t>
      </w:r>
    </w:p>
    <w:p w:rsidR="008977C5" w:rsidRDefault="008977C5" w:rsidP="009754EB">
      <w:pPr>
        <w:pStyle w:val="Odstavecseseznamem"/>
        <w:numPr>
          <w:ilvl w:val="0"/>
          <w:numId w:val="3"/>
        </w:numPr>
        <w:jc w:val="both"/>
      </w:pPr>
      <w:r>
        <w:t>provedením výběrového řízení na</w:t>
      </w:r>
      <w:r w:rsidR="00DE4D5A">
        <w:t xml:space="preserve"> </w:t>
      </w:r>
      <w:r>
        <w:t>Finanční zprostředkovatele, v jehož rámci bude nastavením podmínek dohody o financování s využitím best practices EIB/EIF zabezpečeno, že finanční</w:t>
      </w:r>
      <w:r w:rsidR="00DE4D5A">
        <w:t xml:space="preserve">  </w:t>
      </w:r>
      <w:r>
        <w:t>výhoda spojena s poskytnutím prostředků z Operačního programu bude přenesena na Konečného příjemce</w:t>
      </w:r>
      <w:r w:rsidR="00DA7A8E">
        <w:t>; provedení výběrového řízení zajistí Příjemce; podmínky výběrového řízení bude schvalovat Řídící orgán,</w:t>
      </w:r>
      <w:r w:rsidR="00DE4D5A">
        <w:t xml:space="preserve">  </w:t>
      </w:r>
      <w:r>
        <w:t xml:space="preserve">nebo </w:t>
      </w:r>
    </w:p>
    <w:p w:rsidR="00A50E63" w:rsidRDefault="008977C5" w:rsidP="009754EB">
      <w:pPr>
        <w:pStyle w:val="Odstavecseseznamem"/>
        <w:numPr>
          <w:ilvl w:val="0"/>
          <w:numId w:val="3"/>
        </w:numPr>
        <w:jc w:val="both"/>
      </w:pPr>
      <w:r>
        <w:t>vyhlášením otevřené výzvy pro finanční zprostředkovatele umožňující zapojení</w:t>
      </w:r>
      <w:r w:rsidR="00DE4D5A">
        <w:t xml:space="preserve"> </w:t>
      </w:r>
      <w:r>
        <w:t xml:space="preserve">v roli Finančního </w:t>
      </w:r>
      <w:r w:rsidR="0014655D">
        <w:t>z</w:t>
      </w:r>
      <w:r>
        <w:t>prostředkovatele</w:t>
      </w:r>
      <w:r w:rsidR="00DE4D5A">
        <w:t xml:space="preserve"> </w:t>
      </w:r>
      <w:r>
        <w:t>všem subjektů splňujícím kritéria článku 7 n</w:t>
      </w:r>
      <w:r w:rsidR="006272C8">
        <w:t>ařízení Komise (EU) č. 480/2014</w:t>
      </w:r>
      <w:r>
        <w:t>, případně další kritéria stanovena pro plnění funkce Finančního zprostředkovatele Řídícím orgánem</w:t>
      </w:r>
      <w:r w:rsidR="00A50E63">
        <w:t>,</w:t>
      </w:r>
    </w:p>
    <w:p w:rsidR="008977C5" w:rsidRDefault="00A50E63" w:rsidP="009754EB">
      <w:pPr>
        <w:pStyle w:val="Odstavecseseznamem"/>
        <w:numPr>
          <w:ilvl w:val="0"/>
          <w:numId w:val="3"/>
        </w:numPr>
        <w:jc w:val="both"/>
      </w:pPr>
      <w:r>
        <w:t xml:space="preserve">určením ČMZRB  jako správce Finančního nástroje vytvořeného přímo v rámci Fondu fondů  v Dohodě o financování ke správě Fondu fondů, tj. působení ČMZRB v dvojí roli jako správce Fondu fondů i správce Finančního nástroje ( pouze pro oblast úvěrů a záruk). </w:t>
      </w:r>
      <w:r w:rsidR="00DE4D5A">
        <w:t xml:space="preserve">                            </w:t>
      </w:r>
    </w:p>
    <w:p w:rsidR="002634F4" w:rsidRDefault="008977C5" w:rsidP="00D650A9">
      <w:pPr>
        <w:jc w:val="both"/>
      </w:pPr>
      <w:r>
        <w:t xml:space="preserve">O použití příslušného režimu </w:t>
      </w:r>
      <w:r w:rsidR="008C5603">
        <w:t>výběru Fina</w:t>
      </w:r>
      <w:r w:rsidR="00DA7A8E">
        <w:t>n</w:t>
      </w:r>
      <w:r w:rsidR="008C5603">
        <w:t>č</w:t>
      </w:r>
      <w:r w:rsidR="00DA7A8E">
        <w:t>n</w:t>
      </w:r>
      <w:r w:rsidR="008C5603">
        <w:t>ích zpr</w:t>
      </w:r>
      <w:r w:rsidR="00DA7A8E">
        <w:t>o</w:t>
      </w:r>
      <w:r w:rsidR="008C5603">
        <w:t>stř</w:t>
      </w:r>
      <w:r w:rsidR="00DA7A8E">
        <w:t>e</w:t>
      </w:r>
      <w:r w:rsidR="008C5603">
        <w:t xml:space="preserve">dkovatelů </w:t>
      </w:r>
      <w:r>
        <w:t>rozhodne Řídící orgán</w:t>
      </w:r>
      <w:r w:rsidR="00A50E63">
        <w:t xml:space="preserve"> zejména s přihlédnutím k rozsahu prostředků pro jednotlivé Finanční nástroje</w:t>
      </w:r>
      <w:r w:rsidR="00DA7A8E">
        <w:t>.</w:t>
      </w:r>
    </w:p>
    <w:p w:rsidR="00476EBD" w:rsidRDefault="00476EBD" w:rsidP="00D650A9">
      <w:pPr>
        <w:jc w:val="both"/>
      </w:pPr>
    </w:p>
    <w:p w:rsidR="00894DA4" w:rsidRDefault="00742982" w:rsidP="009754EB">
      <w:pPr>
        <w:pStyle w:val="Odstavecseseznamem"/>
        <w:numPr>
          <w:ilvl w:val="0"/>
          <w:numId w:val="6"/>
        </w:numPr>
        <w:ind w:left="284" w:hanging="284"/>
        <w:jc w:val="both"/>
        <w:rPr>
          <w:i/>
        </w:rPr>
      </w:pPr>
      <w:r w:rsidRPr="00742982">
        <w:rPr>
          <w:i/>
        </w:rPr>
        <w:t xml:space="preserve">Uzavření dohody o financování </w:t>
      </w:r>
    </w:p>
    <w:p w:rsidR="007F55AD" w:rsidRDefault="00DC3559" w:rsidP="00D650A9">
      <w:pPr>
        <w:jc w:val="both"/>
      </w:pPr>
      <w:r>
        <w:t xml:space="preserve">ČMZRB jako </w:t>
      </w:r>
      <w:r w:rsidR="00A50E63">
        <w:t xml:space="preserve">správce Fondu fondů </w:t>
      </w:r>
      <w:r w:rsidR="00DA7A8E">
        <w:t xml:space="preserve">uzavře dohody o financování s jednotlivými </w:t>
      </w:r>
      <w:r w:rsidR="007F55AD">
        <w:t>Finančními zprostředkovateli. Před provedením převodu prostředků do jednotlivého Finančního nástroje provede ověření, zda jsou naplněny požadavky stanovené v odst. 2 článku 7 Nařízení Komise (EU) č. 480/2014.</w:t>
      </w:r>
    </w:p>
    <w:p w:rsidR="008977C5" w:rsidRDefault="007F55AD" w:rsidP="00D650A9">
      <w:pPr>
        <w:jc w:val="both"/>
      </w:pPr>
      <w:r>
        <w:t>Vzhledem k zásadn</w:t>
      </w:r>
      <w:r w:rsidR="00DC50FF">
        <w:t>í</w:t>
      </w:r>
      <w:r>
        <w:t>mu významu této fáze implementace je žádoucí, aby jí</w:t>
      </w:r>
      <w:r w:rsidR="00DE4D5A">
        <w:t xml:space="preserve"> </w:t>
      </w:r>
      <w:r>
        <w:t>věnoval dostatečnou pozornost vhodným zaměřením kontrolní a auditní činnost</w:t>
      </w:r>
      <w:r w:rsidR="006272C8">
        <w:t>í</w:t>
      </w:r>
      <w:r>
        <w:t xml:space="preserve"> též Řídící orgán.</w:t>
      </w:r>
      <w:r w:rsidR="00DE4D5A">
        <w:t xml:space="preserve">   </w:t>
      </w:r>
    </w:p>
    <w:p w:rsidR="005909E4" w:rsidRDefault="005909E4" w:rsidP="00D650A9">
      <w:pPr>
        <w:jc w:val="both"/>
      </w:pPr>
    </w:p>
    <w:p w:rsidR="00DA7A8E" w:rsidRPr="00442746" w:rsidRDefault="002718F3" w:rsidP="00D650A9">
      <w:pPr>
        <w:jc w:val="both"/>
        <w:rPr>
          <w:i/>
        </w:rPr>
      </w:pPr>
      <w:r>
        <w:rPr>
          <w:i/>
        </w:rPr>
        <w:t>d</w:t>
      </w:r>
      <w:r w:rsidR="00742982" w:rsidRPr="00742982">
        <w:rPr>
          <w:i/>
        </w:rPr>
        <w:t>)</w:t>
      </w:r>
      <w:r w:rsidR="00DE4D5A">
        <w:rPr>
          <w:i/>
        </w:rPr>
        <w:t xml:space="preserve">  </w:t>
      </w:r>
      <w:r w:rsidR="00742982" w:rsidRPr="00742982">
        <w:rPr>
          <w:i/>
        </w:rPr>
        <w:t xml:space="preserve">Opatření k zajištění funkčnosti Fondu fondů </w:t>
      </w:r>
    </w:p>
    <w:p w:rsidR="00DA7A8E" w:rsidRPr="00442746" w:rsidRDefault="002718F3" w:rsidP="00D650A9">
      <w:pPr>
        <w:jc w:val="both"/>
        <w:rPr>
          <w:i/>
        </w:rPr>
      </w:pPr>
      <w:r>
        <w:rPr>
          <w:i/>
        </w:rPr>
        <w:t>d</w:t>
      </w:r>
      <w:r w:rsidR="00742982" w:rsidRPr="00742982">
        <w:rPr>
          <w:i/>
        </w:rPr>
        <w:t xml:space="preserve">a) Vypracování vnitřních předpisů pro správu </w:t>
      </w:r>
      <w:r w:rsidR="009A436E">
        <w:rPr>
          <w:i/>
        </w:rPr>
        <w:t>Fondu fondů</w:t>
      </w:r>
      <w:r w:rsidR="00077EF5">
        <w:rPr>
          <w:i/>
        </w:rPr>
        <w:t xml:space="preserve"> </w:t>
      </w:r>
      <w:r w:rsidR="00742982" w:rsidRPr="00742982">
        <w:rPr>
          <w:i/>
        </w:rPr>
        <w:t>a jeho produktů</w:t>
      </w:r>
    </w:p>
    <w:p w:rsidR="002634F4" w:rsidRDefault="00265516" w:rsidP="00D650A9">
      <w:pPr>
        <w:jc w:val="both"/>
      </w:pPr>
      <w:r>
        <w:t>Správcem Fondu fondů b</w:t>
      </w:r>
      <w:r w:rsidR="002634F4">
        <w:t>udou vypracovány tyto předpisy:</w:t>
      </w:r>
    </w:p>
    <w:p w:rsidR="00894DA4" w:rsidRDefault="002634F4" w:rsidP="009754EB">
      <w:pPr>
        <w:pStyle w:val="Odstavecseseznamem"/>
        <w:numPr>
          <w:ilvl w:val="0"/>
          <w:numId w:val="7"/>
        </w:numPr>
        <w:jc w:val="both"/>
      </w:pPr>
      <w:r>
        <w:t>Předpis o činnosti administrátora Fondu fondů</w:t>
      </w:r>
      <w:r w:rsidR="00A069AD">
        <w:t>,</w:t>
      </w:r>
    </w:p>
    <w:p w:rsidR="00894DA4" w:rsidRDefault="002634F4" w:rsidP="009754EB">
      <w:pPr>
        <w:pStyle w:val="Odstavecseseznamem"/>
        <w:numPr>
          <w:ilvl w:val="0"/>
          <w:numId w:val="7"/>
        </w:numPr>
        <w:jc w:val="both"/>
      </w:pPr>
      <w:r>
        <w:t>Předpis o monitoringu činnosti Fondu fondů a reportingu</w:t>
      </w:r>
      <w:r w:rsidR="00A069AD">
        <w:t>,</w:t>
      </w:r>
    </w:p>
    <w:p w:rsidR="00894DA4" w:rsidRDefault="002634F4" w:rsidP="009754EB">
      <w:pPr>
        <w:pStyle w:val="Odstavecseseznamem"/>
        <w:numPr>
          <w:ilvl w:val="0"/>
          <w:numId w:val="7"/>
        </w:numPr>
        <w:jc w:val="both"/>
      </w:pPr>
      <w:r>
        <w:t>Produktový předpis - o produktech Fondu fondů (refinanční úvěr, portfoliová globální záruka, majetková účast),</w:t>
      </w:r>
    </w:p>
    <w:p w:rsidR="00894DA4" w:rsidRDefault="002634F4" w:rsidP="009754EB">
      <w:pPr>
        <w:pStyle w:val="Odstavecseseznamem"/>
        <w:numPr>
          <w:ilvl w:val="0"/>
          <w:numId w:val="7"/>
        </w:numPr>
        <w:jc w:val="both"/>
      </w:pPr>
      <w:r>
        <w:t>Předpis o účetní metodice pro účtování Fondu fondů a jeho produktů</w:t>
      </w:r>
      <w:r w:rsidR="00A069AD">
        <w:t>,</w:t>
      </w:r>
      <w:r>
        <w:t xml:space="preserve"> </w:t>
      </w:r>
    </w:p>
    <w:p w:rsidR="00894DA4" w:rsidRDefault="002634F4" w:rsidP="009754EB">
      <w:pPr>
        <w:pStyle w:val="Odstavecseseznamem"/>
        <w:numPr>
          <w:ilvl w:val="0"/>
          <w:numId w:val="7"/>
        </w:numPr>
        <w:jc w:val="both"/>
      </w:pPr>
      <w:r>
        <w:lastRenderedPageBreak/>
        <w:t xml:space="preserve">Doplněny a aktualizovány budou předpisy o řízení úvěrového a operačního </w:t>
      </w:r>
      <w:r w:rsidR="00A069AD">
        <w:t>rizika a rizikový profil banky,</w:t>
      </w:r>
    </w:p>
    <w:p w:rsidR="00894DA4" w:rsidRDefault="002634F4" w:rsidP="009754EB">
      <w:pPr>
        <w:pStyle w:val="Odstavecseseznamem"/>
        <w:numPr>
          <w:ilvl w:val="0"/>
          <w:numId w:val="7"/>
        </w:numPr>
        <w:jc w:val="both"/>
      </w:pPr>
      <w:r>
        <w:t>Předpis o provádění kontrol vzorku projektů u Finančních zprostředkovatelů a konečných příjemců</w:t>
      </w:r>
      <w:r w:rsidR="00A069AD">
        <w:t>,</w:t>
      </w:r>
      <w:r w:rsidR="00DE4D5A">
        <w:t xml:space="preserve">   </w:t>
      </w:r>
    </w:p>
    <w:p w:rsidR="00A069AD" w:rsidRDefault="002634F4" w:rsidP="009754EB">
      <w:pPr>
        <w:pStyle w:val="Odstavecseseznamem"/>
        <w:numPr>
          <w:ilvl w:val="0"/>
          <w:numId w:val="7"/>
        </w:numPr>
        <w:jc w:val="both"/>
      </w:pPr>
      <w:r>
        <w:t>Předpis o provádění systémových kontrol u Finančních zprostředkovatelů</w:t>
      </w:r>
      <w:r w:rsidR="00A069AD">
        <w:t>,</w:t>
      </w:r>
    </w:p>
    <w:p w:rsidR="00894DA4" w:rsidRDefault="00A069AD" w:rsidP="009754EB">
      <w:pPr>
        <w:pStyle w:val="Odstavecseseznamem"/>
        <w:numPr>
          <w:ilvl w:val="0"/>
          <w:numId w:val="7"/>
        </w:numPr>
        <w:jc w:val="both"/>
      </w:pPr>
      <w:r>
        <w:t xml:space="preserve"> </w:t>
      </w:r>
      <w:r w:rsidR="003B6A82">
        <w:t>Doplnění ročního plánu auditu a víceletého výhledu</w:t>
      </w:r>
      <w:r>
        <w:t>.</w:t>
      </w:r>
      <w:r w:rsidR="00DE4D5A">
        <w:t xml:space="preserve">           </w:t>
      </w:r>
    </w:p>
    <w:p w:rsidR="00CF2F41" w:rsidRPr="00E24DFD" w:rsidRDefault="002718F3" w:rsidP="00D650A9">
      <w:pPr>
        <w:jc w:val="both"/>
        <w:rPr>
          <w:i/>
        </w:rPr>
      </w:pPr>
      <w:r>
        <w:rPr>
          <w:i/>
        </w:rPr>
        <w:t>d</w:t>
      </w:r>
      <w:r w:rsidR="003C2F9C">
        <w:rPr>
          <w:i/>
        </w:rPr>
        <w:t>b</w:t>
      </w:r>
      <w:r w:rsidR="00742982" w:rsidRPr="00742982">
        <w:rPr>
          <w:i/>
        </w:rPr>
        <w:t>) Příprava informačního systému (účetní a neúčetní informace), včetně systému zpracování</w:t>
      </w:r>
      <w:r w:rsidR="00DE4D5A">
        <w:rPr>
          <w:i/>
        </w:rPr>
        <w:t xml:space="preserve"> </w:t>
      </w:r>
      <w:r w:rsidR="00742982" w:rsidRPr="00742982">
        <w:rPr>
          <w:i/>
        </w:rPr>
        <w:t xml:space="preserve">dat od finančních zprostředkovatelů na úrovni konečných příjemců </w:t>
      </w:r>
    </w:p>
    <w:p w:rsidR="00F9166D" w:rsidRDefault="00F9166D" w:rsidP="00D650A9">
      <w:pPr>
        <w:jc w:val="both"/>
      </w:pPr>
      <w:r>
        <w:t>Fungování Fondu fondů</w:t>
      </w:r>
      <w:r w:rsidR="00DE4D5A">
        <w:t xml:space="preserve"> </w:t>
      </w:r>
      <w:r>
        <w:t xml:space="preserve">vyžaduje, aby </w:t>
      </w:r>
      <w:r w:rsidR="00265516">
        <w:t xml:space="preserve">správce Fondu fondů </w:t>
      </w:r>
      <w:r>
        <w:t>při jeho správě</w:t>
      </w:r>
      <w:r w:rsidR="00A069AD">
        <w:t xml:space="preserve"> </w:t>
      </w:r>
      <w:r>
        <w:t>zpracoval</w:t>
      </w:r>
      <w:r w:rsidR="00A069AD">
        <w:t xml:space="preserve"> </w:t>
      </w:r>
      <w:r>
        <w:t>značné množství účetních a neúčetních dat ze dvou hlavních zdrojů.</w:t>
      </w:r>
    </w:p>
    <w:p w:rsidR="00F9166D" w:rsidRDefault="00F9166D" w:rsidP="00D650A9">
      <w:pPr>
        <w:jc w:val="both"/>
      </w:pPr>
      <w:r>
        <w:t xml:space="preserve">- vlastní data </w:t>
      </w:r>
    </w:p>
    <w:p w:rsidR="00F9166D" w:rsidRDefault="00F9166D" w:rsidP="00D650A9">
      <w:pPr>
        <w:jc w:val="both"/>
      </w:pPr>
      <w:r>
        <w:t>- data od</w:t>
      </w:r>
      <w:r w:rsidR="00DE4D5A">
        <w:t xml:space="preserve"> </w:t>
      </w:r>
      <w:r w:rsidR="00A90C15">
        <w:t>F</w:t>
      </w:r>
      <w:r>
        <w:t>inančních zprostředkovatelů, a to</w:t>
      </w:r>
      <w:r w:rsidR="00A069AD">
        <w:t xml:space="preserve"> </w:t>
      </w:r>
      <w:r>
        <w:t xml:space="preserve">o jednotlivých </w:t>
      </w:r>
      <w:r w:rsidR="00A90C15">
        <w:t xml:space="preserve">Finančních nástrojích i jednotlivých Konečných příjemcích </w:t>
      </w:r>
      <w:r>
        <w:t>a jejich projektech</w:t>
      </w:r>
      <w:r w:rsidR="00A90C15">
        <w:t>.</w:t>
      </w:r>
      <w:r w:rsidR="00DE4D5A">
        <w:t xml:space="preserve">  </w:t>
      </w:r>
    </w:p>
    <w:p w:rsidR="00F9166D" w:rsidRDefault="00A069AD" w:rsidP="00D650A9">
      <w:pPr>
        <w:jc w:val="both"/>
      </w:pPr>
      <w:r>
        <w:t>Ta</w:t>
      </w:r>
      <w:r w:rsidR="00F9166D">
        <w:t>to data</w:t>
      </w:r>
      <w:r>
        <w:t xml:space="preserve"> </w:t>
      </w:r>
      <w:r w:rsidR="00F9166D">
        <w:t>budou využívána ve třech hlavních směrech:</w:t>
      </w:r>
    </w:p>
    <w:p w:rsidR="00AA0E08" w:rsidRPr="002C4201" w:rsidRDefault="00067F01" w:rsidP="009754EB">
      <w:pPr>
        <w:pStyle w:val="Odstavecseseznamem"/>
        <w:numPr>
          <w:ilvl w:val="0"/>
          <w:numId w:val="14"/>
        </w:numPr>
        <w:jc w:val="both"/>
      </w:pPr>
      <w:r>
        <w:t>O</w:t>
      </w:r>
      <w:r w:rsidR="00F9166D">
        <w:t xml:space="preserve">perativní a strategické </w:t>
      </w:r>
      <w:r w:rsidR="00F9166D" w:rsidRPr="002C4201">
        <w:t xml:space="preserve">řízení Fondu fondů </w:t>
      </w:r>
    </w:p>
    <w:p w:rsidR="00AA0E08" w:rsidRDefault="006B2B6E" w:rsidP="00D650A9">
      <w:pPr>
        <w:pStyle w:val="Odstavecseseznamem"/>
        <w:ind w:left="360"/>
        <w:jc w:val="both"/>
      </w:pPr>
      <w:r w:rsidRPr="002C4201">
        <w:t>Bud</w:t>
      </w:r>
      <w:r w:rsidR="004E4C45" w:rsidRPr="002C4201">
        <w:t>ou</w:t>
      </w:r>
      <w:r w:rsidR="00DE4D5A" w:rsidRPr="002C4201">
        <w:t xml:space="preserve"> </w:t>
      </w:r>
      <w:r w:rsidRPr="002C4201">
        <w:t xml:space="preserve">využívána data vedená </w:t>
      </w:r>
      <w:r w:rsidR="002C4201" w:rsidRPr="002C4201">
        <w:t xml:space="preserve">o </w:t>
      </w:r>
      <w:r w:rsidRPr="002C4201">
        <w:t>operacích na účtech příslušného Fondu</w:t>
      </w:r>
      <w:r w:rsidR="002C4201">
        <w:t xml:space="preserve"> fondů </w:t>
      </w:r>
      <w:r w:rsidR="00DE4D5A" w:rsidRPr="002C4201">
        <w:t xml:space="preserve">  </w:t>
      </w:r>
      <w:r w:rsidRPr="002C4201">
        <w:t xml:space="preserve">v účetním systému banky. Pro účely řízení budou využívány některé výkazy zpracovávané </w:t>
      </w:r>
      <w:r w:rsidR="004E4C45" w:rsidRPr="002C4201">
        <w:t>v rámci reportingu pro Řídící orgán, speciální man</w:t>
      </w:r>
      <w:r w:rsidR="008D52CB" w:rsidRPr="002C4201">
        <w:t>a</w:t>
      </w:r>
      <w:r w:rsidR="00160FEB" w:rsidRPr="002C4201">
        <w:t>ž</w:t>
      </w:r>
      <w:r w:rsidR="004E4C45" w:rsidRPr="002C4201">
        <w:t>erské</w:t>
      </w:r>
      <w:r w:rsidR="004E4C45">
        <w:t xml:space="preserve"> reporty budou vytvořeny s využitím vzorů používaných při</w:t>
      </w:r>
      <w:r w:rsidR="00DE4D5A">
        <w:t xml:space="preserve"> </w:t>
      </w:r>
      <w:r w:rsidR="004E4C45">
        <w:t>činnos</w:t>
      </w:r>
      <w:r w:rsidR="008D52CB">
        <w:t>t</w:t>
      </w:r>
      <w:r w:rsidR="004E4C45">
        <w:t>i správy úvěrových a záručních fondů v OPPI.</w:t>
      </w:r>
    </w:p>
    <w:p w:rsidR="00AA0E08" w:rsidRDefault="00067F01" w:rsidP="009754EB">
      <w:pPr>
        <w:pStyle w:val="Odstavecseseznamem"/>
        <w:numPr>
          <w:ilvl w:val="0"/>
          <w:numId w:val="14"/>
        </w:numPr>
        <w:jc w:val="both"/>
      </w:pPr>
      <w:r>
        <w:t>V</w:t>
      </w:r>
      <w:r w:rsidR="00F9166D">
        <w:t xml:space="preserve">kládání </w:t>
      </w:r>
      <w:r w:rsidR="000C0EA3">
        <w:t xml:space="preserve">a </w:t>
      </w:r>
      <w:r w:rsidR="00F9166D">
        <w:t>přenos dat</w:t>
      </w:r>
      <w:r w:rsidR="00DE4D5A">
        <w:t xml:space="preserve"> </w:t>
      </w:r>
      <w:r w:rsidR="00F9166D">
        <w:t>do MS2014+ v rozsahu stanoveném</w:t>
      </w:r>
      <w:r w:rsidR="00724147">
        <w:t xml:space="preserve"> M</w:t>
      </w:r>
      <w:r w:rsidR="006B2B6E">
        <w:t>etodickým pokynem pro monitorování implementace evropských strukturálních a investičních fondů</w:t>
      </w:r>
      <w:r w:rsidR="00DE4D5A">
        <w:t xml:space="preserve"> </w:t>
      </w:r>
      <w:r w:rsidR="006B2B6E">
        <w:t xml:space="preserve">v České republice v programovém období 2014 </w:t>
      </w:r>
      <w:r w:rsidR="004E4C45">
        <w:t>–</w:t>
      </w:r>
      <w:r w:rsidR="006B2B6E">
        <w:t xml:space="preserve"> 2020</w:t>
      </w:r>
      <w:r w:rsidR="00CA4F5D">
        <w:t>.</w:t>
      </w:r>
    </w:p>
    <w:p w:rsidR="00AA0E08" w:rsidRDefault="00A069AD" w:rsidP="00D650A9">
      <w:pPr>
        <w:pStyle w:val="Odstavecseseznamem"/>
        <w:ind w:left="360"/>
        <w:jc w:val="both"/>
      </w:pPr>
      <w:r>
        <w:t>Rozsah dat je daný</w:t>
      </w:r>
      <w:r w:rsidR="004E4C45">
        <w:t xml:space="preserve"> metodickým pokynem</w:t>
      </w:r>
      <w:r w:rsidR="008D52CB">
        <w:t xml:space="preserve"> MMR</w:t>
      </w:r>
      <w:r w:rsidR="004E4C45">
        <w:t>, technické specifikace pro přenos dat budou řešeny prostřednictvím MPO, se kterým ČMZRB v minulosti spolupracovala v</w:t>
      </w:r>
      <w:r w:rsidR="008D52CB">
        <w:t> </w:t>
      </w:r>
      <w:r w:rsidR="004E4C45">
        <w:t>OPPI</w:t>
      </w:r>
      <w:r w:rsidR="008D52CB">
        <w:t xml:space="preserve"> a vypracované postupy a řešení budou použita i pro další Řídící orgány</w:t>
      </w:r>
      <w:r w:rsidR="00160FEB">
        <w:t>.</w:t>
      </w:r>
    </w:p>
    <w:p w:rsidR="00AA0E08" w:rsidRDefault="00067F01" w:rsidP="009754EB">
      <w:pPr>
        <w:pStyle w:val="Odstavecseseznamem"/>
        <w:numPr>
          <w:ilvl w:val="0"/>
          <w:numId w:val="14"/>
        </w:numPr>
        <w:jc w:val="both"/>
      </w:pPr>
      <w:r>
        <w:t>R</w:t>
      </w:r>
      <w:r w:rsidR="00724147">
        <w:t>eporting pro potřeby Řídícího orgánu v rozsahu stanoveném v Dohodě o financování</w:t>
      </w:r>
      <w:r w:rsidR="00A069AD">
        <w:t>.</w:t>
      </w:r>
      <w:r w:rsidR="00DE4D5A">
        <w:t xml:space="preserve">     </w:t>
      </w:r>
    </w:p>
    <w:p w:rsidR="00AA0E08" w:rsidRDefault="004E4C45" w:rsidP="00D650A9">
      <w:pPr>
        <w:pStyle w:val="Odstavecseseznamem"/>
        <w:ind w:left="360"/>
        <w:jc w:val="both"/>
      </w:pPr>
      <w:r>
        <w:t>Za základ, který bude přizpůsoben potřebám jednotlivých Řídících orgánů, budou použity reporty využívané při správě OPPI. Tyto reporty budou pokrývat jak vývoj realizace jednotlivých programů podpory, resp. výzev, tak i využívání prostředků v jednotlivých Nástrojích.</w:t>
      </w:r>
      <w:r w:rsidR="00DE4D5A">
        <w:t xml:space="preserve">     </w:t>
      </w:r>
    </w:p>
    <w:p w:rsidR="008D52CB" w:rsidRDefault="008D52CB" w:rsidP="00D650A9">
      <w:pPr>
        <w:jc w:val="both"/>
      </w:pPr>
    </w:p>
    <w:p w:rsidR="00A2688D" w:rsidRPr="000E56D6" w:rsidRDefault="00DE4D5A" w:rsidP="00D650A9">
      <w:pPr>
        <w:jc w:val="both"/>
      </w:pPr>
      <w:r>
        <w:t xml:space="preserve">    </w:t>
      </w:r>
      <w:r w:rsidR="0065658D">
        <w:rPr>
          <w:i/>
        </w:rPr>
        <w:t>e</w:t>
      </w:r>
      <w:r w:rsidR="00742982" w:rsidRPr="00742982">
        <w:rPr>
          <w:i/>
        </w:rPr>
        <w:t xml:space="preserve">) Způsob zabezpečení účasti soukromých zdrojů k financování projektů </w:t>
      </w:r>
    </w:p>
    <w:p w:rsidR="00341A82" w:rsidRDefault="00341A82" w:rsidP="00D650A9">
      <w:pPr>
        <w:jc w:val="both"/>
      </w:pPr>
      <w:r>
        <w:t>Soukromé zdroje na spolufinancování budou zabezpečovány na úrovni fin</w:t>
      </w:r>
      <w:r w:rsidR="008D52CB">
        <w:t>an</w:t>
      </w:r>
      <w:r>
        <w:t>č</w:t>
      </w:r>
      <w:r w:rsidR="008D52CB">
        <w:t>n</w:t>
      </w:r>
      <w:r>
        <w:t>ího nástroje nebo jednotlivých projektů.</w:t>
      </w:r>
      <w:r w:rsidR="00DE4D5A">
        <w:t xml:space="preserve">  </w:t>
      </w:r>
      <w:r>
        <w:t xml:space="preserve">Nepředpokládá se soukromé spolufinancování na úrovni </w:t>
      </w:r>
      <w:r w:rsidR="008D52CB">
        <w:t>F</w:t>
      </w:r>
      <w:r>
        <w:t xml:space="preserve">ondu fondů. </w:t>
      </w:r>
    </w:p>
    <w:p w:rsidR="008D52CB" w:rsidRDefault="00341A82" w:rsidP="00D650A9">
      <w:pPr>
        <w:jc w:val="both"/>
      </w:pPr>
      <w:r>
        <w:t xml:space="preserve">V případě úvěrového nástroje bude </w:t>
      </w:r>
      <w:r w:rsidR="008D52CB">
        <w:t xml:space="preserve">spoluúčast soukromých prostředků </w:t>
      </w:r>
      <w:r>
        <w:t>řešen</w:t>
      </w:r>
      <w:r w:rsidR="008D52CB">
        <w:t>a</w:t>
      </w:r>
      <w:r>
        <w:t xml:space="preserve"> stanovením fixního </w:t>
      </w:r>
      <w:r w:rsidR="008D52CB">
        <w:t>podílu soukromých prostředků v každém čerpání úvěru Konečnému příjemci.</w:t>
      </w:r>
      <w:r w:rsidR="00DE4D5A">
        <w:t xml:space="preserve">    </w:t>
      </w:r>
    </w:p>
    <w:p w:rsidR="00341A82" w:rsidRDefault="00341A82" w:rsidP="00D650A9">
      <w:pPr>
        <w:jc w:val="both"/>
      </w:pPr>
      <w:r>
        <w:t>U záručního nástroje bude možné veškeré prostředky bankovního úvěru považovat za soukromé spolufinancování</w:t>
      </w:r>
      <w:r w:rsidR="0008704B">
        <w:t>, které bude zabezpečováno na úrovni projektu</w:t>
      </w:r>
      <w:r>
        <w:t>.</w:t>
      </w:r>
    </w:p>
    <w:p w:rsidR="008D52CB" w:rsidRDefault="008D52CB" w:rsidP="00D650A9">
      <w:pPr>
        <w:jc w:val="both"/>
        <w:rPr>
          <w:i/>
        </w:rPr>
      </w:pPr>
    </w:p>
    <w:p w:rsidR="00061F19" w:rsidRDefault="00D62541" w:rsidP="00D650A9">
      <w:pPr>
        <w:jc w:val="both"/>
      </w:pPr>
      <w:r w:rsidRPr="00D62541">
        <w:rPr>
          <w:i/>
        </w:rPr>
        <w:t xml:space="preserve"> </w:t>
      </w:r>
      <w:r w:rsidR="0065658D">
        <w:rPr>
          <w:i/>
        </w:rPr>
        <w:t>f</w:t>
      </w:r>
      <w:r w:rsidRPr="00D62541">
        <w:rPr>
          <w:i/>
        </w:rPr>
        <w:t>) Odměňování správce Fondu fondů</w:t>
      </w:r>
      <w:r w:rsidR="00061F19">
        <w:t xml:space="preserve"> </w:t>
      </w:r>
    </w:p>
    <w:p w:rsidR="00265516" w:rsidRPr="00265516" w:rsidRDefault="00126DCF" w:rsidP="00D650A9">
      <w:pPr>
        <w:jc w:val="both"/>
      </w:pPr>
      <w:r w:rsidRPr="00126DCF">
        <w:t xml:space="preserve">Odměňování správce Fondu fondů bude respektovat zásady a omezení daná čl. 13 Nařízení Komise (EU) č. 480/2014. </w:t>
      </w:r>
    </w:p>
    <w:p w:rsidR="0002469E" w:rsidRDefault="00D62541" w:rsidP="00D650A9">
      <w:pPr>
        <w:jc w:val="both"/>
        <w:rPr>
          <w:i/>
        </w:rPr>
      </w:pPr>
      <w:r w:rsidRPr="00D62541">
        <w:rPr>
          <w:i/>
        </w:rPr>
        <w:t>Záruky</w:t>
      </w:r>
    </w:p>
    <w:p w:rsidR="0002469E" w:rsidRPr="0002469E" w:rsidRDefault="0002469E" w:rsidP="00D650A9">
      <w:pPr>
        <w:jc w:val="both"/>
        <w:rPr>
          <w:i/>
        </w:rPr>
      </w:pPr>
      <w:r>
        <w:t xml:space="preserve">Jednotlivé </w:t>
      </w:r>
      <w:r w:rsidRPr="0002469E">
        <w:t>složk</w:t>
      </w:r>
      <w:r>
        <w:t>y</w:t>
      </w:r>
      <w:r w:rsidRPr="0002469E">
        <w:t xml:space="preserve"> poplatku za sprá</w:t>
      </w:r>
      <w:r w:rsidR="009E7680">
        <w:t>vu budou</w:t>
      </w:r>
      <w:r w:rsidRPr="0002469E">
        <w:t xml:space="preserve"> kalkulován</w:t>
      </w:r>
      <w:r>
        <w:t>y</w:t>
      </w:r>
      <w:r w:rsidRPr="0002469E">
        <w:t xml:space="preserve"> následovně</w:t>
      </w:r>
      <w:r>
        <w:t>:</w:t>
      </w:r>
    </w:p>
    <w:p w:rsidR="00AA0E08" w:rsidRDefault="00D62541" w:rsidP="009754EB">
      <w:pPr>
        <w:pStyle w:val="Odstavecseseznamem"/>
        <w:numPr>
          <w:ilvl w:val="0"/>
          <w:numId w:val="3"/>
        </w:numPr>
        <w:jc w:val="both"/>
      </w:pPr>
      <w:r w:rsidRPr="00D62541">
        <w:t>Základní složka poplatku za správu</w:t>
      </w:r>
    </w:p>
    <w:p w:rsidR="00AA0E08" w:rsidRDefault="00D62541" w:rsidP="00D650A9">
      <w:pPr>
        <w:ind w:left="426"/>
        <w:jc w:val="both"/>
      </w:pPr>
      <w:r w:rsidRPr="00D62541">
        <w:t>x % p.a. z kumulativního</w:t>
      </w:r>
      <w:r w:rsidR="00DE4D5A">
        <w:t xml:space="preserve">  </w:t>
      </w:r>
      <w:r w:rsidRPr="00D62541">
        <w:t>zůst</w:t>
      </w:r>
      <w:r w:rsidR="009E7680">
        <w:t>atku prostředků převedených do F</w:t>
      </w:r>
      <w:r w:rsidRPr="00D62541">
        <w:t>ondu fondů</w:t>
      </w:r>
      <w:r w:rsidR="0002469E">
        <w:t>;</w:t>
      </w:r>
      <w:r w:rsidRPr="00D62541">
        <w:t xml:space="preserve"> do data </w:t>
      </w:r>
      <w:r w:rsidR="0083580E">
        <w:t xml:space="preserve"> ukončení (</w:t>
      </w:r>
      <w:r w:rsidRPr="00D62541">
        <w:t>winding–up</w:t>
      </w:r>
      <w:r w:rsidR="0083580E">
        <w:t>)</w:t>
      </w:r>
      <w:r w:rsidRPr="00D62541">
        <w:t xml:space="preserve"> </w:t>
      </w:r>
      <w:r w:rsidR="0083580E">
        <w:t>O</w:t>
      </w:r>
      <w:r w:rsidRPr="00D62541">
        <w:t xml:space="preserve">peračního programu </w:t>
      </w:r>
      <w:r w:rsidR="0002469E">
        <w:t xml:space="preserve">budou hrazeny jako způsobilý výdaj z příspěvku z Operačního programu, po datu </w:t>
      </w:r>
      <w:r w:rsidR="0083580E">
        <w:t xml:space="preserve">ukončení operačního programu </w:t>
      </w:r>
      <w:r w:rsidR="0002469E">
        <w:t xml:space="preserve">z podílu na výtěžku z vymáhání pohledávek připadající na </w:t>
      </w:r>
      <w:r w:rsidR="004C4022">
        <w:t xml:space="preserve">pohledávky z </w:t>
      </w:r>
      <w:r w:rsidR="0002469E">
        <w:t>plnění ze záruky vráceného do Fondu fondů,</w:t>
      </w:r>
      <w:r w:rsidR="00DE3059">
        <w:t>.</w:t>
      </w:r>
      <w:r w:rsidR="00DE4D5A">
        <w:t xml:space="preserve">    </w:t>
      </w:r>
    </w:p>
    <w:p w:rsidR="0002469E" w:rsidRPr="0002469E" w:rsidRDefault="0002469E" w:rsidP="00D650A9">
      <w:pPr>
        <w:jc w:val="both"/>
      </w:pPr>
      <w:r>
        <w:t>-</w:t>
      </w:r>
      <w:r w:rsidR="009E7680">
        <w:t xml:space="preserve">        </w:t>
      </w:r>
      <w:r w:rsidR="00D62541" w:rsidRPr="00D62541">
        <w:t>Výsledková</w:t>
      </w:r>
      <w:r>
        <w:t xml:space="preserve"> </w:t>
      </w:r>
      <w:r w:rsidRPr="0002469E">
        <w:t>složka poplatku za správu</w:t>
      </w:r>
    </w:p>
    <w:p w:rsidR="00061F19" w:rsidRDefault="00D62541" w:rsidP="00D650A9">
      <w:pPr>
        <w:ind w:left="426"/>
        <w:jc w:val="both"/>
        <w:rPr>
          <w:i/>
        </w:rPr>
      </w:pPr>
      <w:r w:rsidRPr="00D62541">
        <w:t xml:space="preserve"> x % p.a. z výše prostředků </w:t>
      </w:r>
      <w:r w:rsidR="0002469E">
        <w:t>na krytí ztrát</w:t>
      </w:r>
      <w:r w:rsidR="00DE4D5A">
        <w:t xml:space="preserve">  </w:t>
      </w:r>
      <w:r w:rsidR="0002469E">
        <w:t>ze záruk převedených k </w:t>
      </w:r>
      <w:r w:rsidR="004C4022">
        <w:t>F</w:t>
      </w:r>
      <w:r w:rsidR="0002469E">
        <w:t xml:space="preserve">inančním zprostředkovatelům poskytujícím úvěry </w:t>
      </w:r>
      <w:r w:rsidRPr="00D62541">
        <w:t xml:space="preserve">záruk minus výtěžek z vymáhání pohledávek </w:t>
      </w:r>
      <w:r w:rsidR="0002469E">
        <w:t xml:space="preserve">připadající </w:t>
      </w:r>
      <w:r w:rsidR="004C4022">
        <w:t xml:space="preserve">na pohledávky z plnění ze záruky </w:t>
      </w:r>
      <w:r w:rsidRPr="00D62541">
        <w:t>vrácen</w:t>
      </w:r>
      <w:r w:rsidR="004C4022">
        <w:t>ého</w:t>
      </w:r>
      <w:r w:rsidRPr="00D62541">
        <w:t xml:space="preserve"> do </w:t>
      </w:r>
      <w:r w:rsidR="004C4022">
        <w:t>F</w:t>
      </w:r>
      <w:r w:rsidRPr="00D62541">
        <w:t>ondu fondů</w:t>
      </w:r>
      <w:r w:rsidR="004C4022">
        <w:t xml:space="preserve">; </w:t>
      </w:r>
      <w:r w:rsidR="004C4022" w:rsidRPr="0002469E">
        <w:t xml:space="preserve">do data </w:t>
      </w:r>
      <w:r w:rsidR="0083580E">
        <w:t xml:space="preserve">ukončení </w:t>
      </w:r>
      <w:r w:rsidR="004C4022">
        <w:t>O</w:t>
      </w:r>
      <w:r w:rsidR="004C4022" w:rsidRPr="0002469E">
        <w:t xml:space="preserve">peračního programu </w:t>
      </w:r>
      <w:r w:rsidR="004C4022">
        <w:t xml:space="preserve">budou hrazeny jako způsobilý výdaj z příspěvku z Operačního programu, po datu </w:t>
      </w:r>
      <w:r w:rsidR="0083580E">
        <w:t xml:space="preserve">ukončení Operačního programu </w:t>
      </w:r>
      <w:r w:rsidR="004C4022">
        <w:t>z podílu na výtěžku z vymáhání pohledávek připadající na pohledávky z plnění ze záruky vráceného do Fondu fondů.</w:t>
      </w:r>
      <w:r w:rsidRPr="00D62541">
        <w:t xml:space="preserve"> </w:t>
      </w:r>
    </w:p>
    <w:p w:rsidR="0083580E" w:rsidRDefault="0083580E" w:rsidP="00D650A9">
      <w:pPr>
        <w:jc w:val="both"/>
        <w:rPr>
          <w:i/>
        </w:rPr>
      </w:pPr>
    </w:p>
    <w:p w:rsidR="004C4022" w:rsidRDefault="004C4022" w:rsidP="00D650A9">
      <w:pPr>
        <w:jc w:val="both"/>
        <w:rPr>
          <w:i/>
        </w:rPr>
      </w:pPr>
      <w:r>
        <w:rPr>
          <w:i/>
        </w:rPr>
        <w:t xml:space="preserve">Úvěry </w:t>
      </w:r>
    </w:p>
    <w:p w:rsidR="004C4022" w:rsidRPr="0002469E" w:rsidRDefault="004C4022" w:rsidP="00D650A9">
      <w:pPr>
        <w:jc w:val="both"/>
        <w:rPr>
          <w:i/>
        </w:rPr>
      </w:pPr>
      <w:r>
        <w:t xml:space="preserve">Jednotlivé </w:t>
      </w:r>
      <w:r w:rsidRPr="0002469E">
        <w:t>složk</w:t>
      </w:r>
      <w:r>
        <w:t>y</w:t>
      </w:r>
      <w:r w:rsidR="009E7680">
        <w:t xml:space="preserve"> poplatku za správu budou</w:t>
      </w:r>
      <w:r w:rsidRPr="0002469E">
        <w:t xml:space="preserve"> kalkulován</w:t>
      </w:r>
      <w:r>
        <w:t>y</w:t>
      </w:r>
      <w:r w:rsidRPr="0002469E">
        <w:t xml:space="preserve"> následovně</w:t>
      </w:r>
      <w:r>
        <w:t>:</w:t>
      </w:r>
    </w:p>
    <w:p w:rsidR="00AA0E08" w:rsidRDefault="004C4022" w:rsidP="009754EB">
      <w:pPr>
        <w:pStyle w:val="Odstavecseseznamem"/>
        <w:numPr>
          <w:ilvl w:val="0"/>
          <w:numId w:val="3"/>
        </w:numPr>
        <w:jc w:val="both"/>
      </w:pPr>
      <w:r>
        <w:t>Základní složka poplatku za správu</w:t>
      </w:r>
      <w:r w:rsidR="00DE4D5A">
        <w:t xml:space="preserve">  </w:t>
      </w:r>
    </w:p>
    <w:p w:rsidR="004C4022" w:rsidRDefault="004C4022" w:rsidP="00D650A9">
      <w:pPr>
        <w:ind w:left="426"/>
        <w:jc w:val="both"/>
      </w:pPr>
      <w:r>
        <w:t>x % p.a. z kumulativního</w:t>
      </w:r>
      <w:r w:rsidR="00DE4D5A">
        <w:t xml:space="preserve">  </w:t>
      </w:r>
      <w:r>
        <w:t xml:space="preserve">zůstatku prostředků převedených do Fondu fondů; </w:t>
      </w:r>
      <w:r w:rsidRPr="0002469E">
        <w:t xml:space="preserve">do data winding–up </w:t>
      </w:r>
      <w:r>
        <w:t>O</w:t>
      </w:r>
      <w:r w:rsidRPr="0002469E">
        <w:t xml:space="preserve">peračního programu </w:t>
      </w:r>
      <w:r>
        <w:t>budou hrazeny jako způsobilý výdaj z příspěvku z Operačního programu, po datu winding-up Operačního programu ze splátek úvěrů převedených do Fondu fondů Finančními zprostř</w:t>
      </w:r>
      <w:r w:rsidR="004C0967">
        <w:t>e</w:t>
      </w:r>
      <w:r>
        <w:t>dkovateli</w:t>
      </w:r>
      <w:r w:rsidR="00DE3059">
        <w:t>.</w:t>
      </w:r>
      <w:r>
        <w:t xml:space="preserve"> </w:t>
      </w:r>
    </w:p>
    <w:p w:rsidR="004C4022" w:rsidRDefault="004C4022" w:rsidP="00D650A9">
      <w:pPr>
        <w:jc w:val="both"/>
      </w:pPr>
      <w:r>
        <w:t xml:space="preserve">Výsledková složka poplatku za správu </w:t>
      </w:r>
    </w:p>
    <w:p w:rsidR="004C0967" w:rsidRDefault="004C4022" w:rsidP="00D650A9">
      <w:pPr>
        <w:ind w:left="426"/>
        <w:jc w:val="both"/>
      </w:pPr>
      <w:r>
        <w:t>x % p.a</w:t>
      </w:r>
      <w:r w:rsidR="00DE3059">
        <w:t>.</w:t>
      </w:r>
      <w:r>
        <w:t xml:space="preserve"> ze zůstatku </w:t>
      </w:r>
      <w:r w:rsidR="004C0967">
        <w:t xml:space="preserve">nesplaceného vkladu do Finančních nástrojů; </w:t>
      </w:r>
      <w:r w:rsidR="004C0967" w:rsidRPr="0002469E">
        <w:t xml:space="preserve">do data winding–up </w:t>
      </w:r>
      <w:r w:rsidR="004C0967">
        <w:t>O</w:t>
      </w:r>
      <w:r w:rsidR="004C0967" w:rsidRPr="0002469E">
        <w:t xml:space="preserve">peračního programu </w:t>
      </w:r>
      <w:r w:rsidR="004C0967">
        <w:t xml:space="preserve">budou hrazeny jako způsobilý výdaj z příspěvku z Operačního programu, po datu winding-up Operačního programu ze splátek úvěrů převedených do Fondu fondů Finančními zprostředkovateli. </w:t>
      </w:r>
    </w:p>
    <w:p w:rsidR="006B7682" w:rsidRDefault="00DE3059" w:rsidP="00D650A9">
      <w:pPr>
        <w:jc w:val="both"/>
      </w:pPr>
      <w:r>
        <w:t xml:space="preserve">V případě, že </w:t>
      </w:r>
      <w:r w:rsidR="002F66FB">
        <w:t>bude správce Fondu plnit současně úkoly správce Finančního  ná</w:t>
      </w:r>
      <w:r>
        <w:t xml:space="preserve">stroje bude se jeho odměňování </w:t>
      </w:r>
      <w:r w:rsidR="002F66FB">
        <w:t xml:space="preserve">řídit pravidly pro odměňování za správu Finančního nástroje. Poplatek za správu Fondu fondů nebude uplatněn.    </w:t>
      </w:r>
    </w:p>
    <w:p w:rsidR="00D00DCE" w:rsidRDefault="00D00DCE" w:rsidP="00D650A9">
      <w:pPr>
        <w:jc w:val="both"/>
        <w:rPr>
          <w:i/>
        </w:rPr>
      </w:pPr>
    </w:p>
    <w:p w:rsidR="006B7682" w:rsidRPr="006B7682" w:rsidRDefault="00D62541" w:rsidP="00D650A9">
      <w:pPr>
        <w:jc w:val="both"/>
        <w:rPr>
          <w:i/>
        </w:rPr>
      </w:pPr>
      <w:r w:rsidRPr="00D62541">
        <w:rPr>
          <w:i/>
        </w:rPr>
        <w:t>h)</w:t>
      </w:r>
      <w:r w:rsidR="00DE4D5A">
        <w:rPr>
          <w:i/>
        </w:rPr>
        <w:t xml:space="preserve">  </w:t>
      </w:r>
      <w:r w:rsidR="008D52CB">
        <w:rPr>
          <w:i/>
        </w:rPr>
        <w:t xml:space="preserve">Opětovné </w:t>
      </w:r>
      <w:r w:rsidRPr="00D62541">
        <w:rPr>
          <w:i/>
        </w:rPr>
        <w:t>využití prostředků vrácených do Fondu fondů</w:t>
      </w:r>
      <w:r w:rsidR="00DE4D5A">
        <w:rPr>
          <w:i/>
        </w:rPr>
        <w:t xml:space="preserve">  </w:t>
      </w:r>
      <w:r w:rsidRPr="00D62541">
        <w:rPr>
          <w:i/>
        </w:rPr>
        <w:t>a ukončování činnosti F</w:t>
      </w:r>
      <w:r w:rsidR="008D52CB">
        <w:rPr>
          <w:i/>
        </w:rPr>
        <w:t>ondu fondů</w:t>
      </w:r>
    </w:p>
    <w:p w:rsidR="006B7682" w:rsidRPr="006B7682" w:rsidRDefault="00D62541" w:rsidP="00D650A9">
      <w:pPr>
        <w:jc w:val="both"/>
      </w:pPr>
      <w:r w:rsidRPr="00D62541">
        <w:t>Využití prostředků vracených od Finančních zprostředkovatelů je zapracováno do systému</w:t>
      </w:r>
      <w:r w:rsidR="00DE3059">
        <w:t xml:space="preserve"> </w:t>
      </w:r>
      <w:r w:rsidRPr="00D62541">
        <w:t>finančních toků</w:t>
      </w:r>
      <w:r w:rsidR="00DE3059">
        <w:t xml:space="preserve"> </w:t>
      </w:r>
      <w:r w:rsidRPr="00D62541">
        <w:t>úvěrového, resp. záručního schématu FF, viz</w:t>
      </w:r>
      <w:r w:rsidR="008D52CB">
        <w:t xml:space="preserve"> písmeno d)</w:t>
      </w:r>
      <w:r w:rsidRPr="00D62541">
        <w:t>.</w:t>
      </w:r>
    </w:p>
    <w:p w:rsidR="006B7682" w:rsidRPr="006B7682" w:rsidRDefault="00D62541" w:rsidP="00D650A9">
      <w:pPr>
        <w:jc w:val="both"/>
      </w:pPr>
      <w:r w:rsidRPr="00D62541">
        <w:t>Správa F</w:t>
      </w:r>
      <w:r w:rsidR="008D52CB">
        <w:t>ondu</w:t>
      </w:r>
      <w:r w:rsidR="00DE3059">
        <w:t xml:space="preserve"> fondů</w:t>
      </w:r>
      <w:r w:rsidRPr="00D62541">
        <w:t>, případně jeho části (záruční či úvěrov</w:t>
      </w:r>
      <w:r w:rsidR="00DE3059">
        <w:t>ý nástroj</w:t>
      </w:r>
      <w:r w:rsidRPr="00D62541">
        <w:t>) bude ukončena poté, co:</w:t>
      </w:r>
    </w:p>
    <w:p w:rsidR="006B7682" w:rsidRPr="006B7682" w:rsidRDefault="00D62541" w:rsidP="00D650A9">
      <w:pPr>
        <w:jc w:val="both"/>
      </w:pPr>
      <w:r w:rsidRPr="00D62541">
        <w:t>a) budou uzavřeny všechny účty F</w:t>
      </w:r>
      <w:r w:rsidR="00DE3059">
        <w:t>ondu fondů</w:t>
      </w:r>
      <w:r w:rsidRPr="00D62541">
        <w:t>, resp. jeho části</w:t>
      </w:r>
      <w:r w:rsidR="008D52CB">
        <w:t>,</w:t>
      </w:r>
      <w:r w:rsidRPr="00D62541">
        <w:t xml:space="preserve"> a případné zůstatky na těchto účtech převedeny na účet</w:t>
      </w:r>
      <w:r w:rsidR="008D52CB">
        <w:t xml:space="preserve"> uvedený</w:t>
      </w:r>
      <w:r w:rsidR="00DE4D5A">
        <w:t xml:space="preserve"> </w:t>
      </w:r>
      <w:r w:rsidRPr="00D62541">
        <w:t xml:space="preserve">v </w:t>
      </w:r>
      <w:r w:rsidR="008D52CB">
        <w:t>D</w:t>
      </w:r>
      <w:r w:rsidRPr="00D62541">
        <w:t>ohodě o financování</w:t>
      </w:r>
      <w:r w:rsidR="008D52CB">
        <w:t xml:space="preserve"> nebo dodatečně stanovený Řídícím orgánem, </w:t>
      </w:r>
    </w:p>
    <w:p w:rsidR="006B7682" w:rsidRPr="006B7682" w:rsidRDefault="00D62541" w:rsidP="00D650A9">
      <w:pPr>
        <w:jc w:val="both"/>
      </w:pPr>
      <w:r w:rsidRPr="00D62541">
        <w:t>b) účty F</w:t>
      </w:r>
      <w:r w:rsidR="008D52CB">
        <w:t>ondu fondů</w:t>
      </w:r>
      <w:r w:rsidRPr="00D62541">
        <w:t>, resp. jeho části</w:t>
      </w:r>
      <w:r w:rsidR="008D52CB">
        <w:t>,</w:t>
      </w:r>
      <w:r w:rsidRPr="00D62541">
        <w:t xml:space="preserve"> budou uzavřeny poté, co</w:t>
      </w:r>
      <w:r w:rsidR="006562D7">
        <w:t>:</w:t>
      </w:r>
      <w:r w:rsidRPr="00D62541">
        <w:t xml:space="preserve"> </w:t>
      </w:r>
    </w:p>
    <w:p w:rsidR="006B7682" w:rsidRPr="006B7682" w:rsidRDefault="00D62541" w:rsidP="00D650A9">
      <w:pPr>
        <w:jc w:val="both"/>
      </w:pPr>
      <w:r w:rsidRPr="00D62541">
        <w:t>- správce F</w:t>
      </w:r>
      <w:r w:rsidR="008D52CB">
        <w:t>ondu fondů</w:t>
      </w:r>
      <w:r w:rsidR="00DE4D5A">
        <w:t xml:space="preserve"> </w:t>
      </w:r>
      <w:r w:rsidRPr="00D62541">
        <w:t>a vyvede z účetnictví rozvahové pohledávky za Finančními zprostředkovateli poté, co byly uhrazeny Finančními zprostředkovateli, nebo byly pro nedobytnost odepsány (při použití obvyklých účetních postupů správce F</w:t>
      </w:r>
      <w:r w:rsidR="008D52CB">
        <w:t>ondu fondů</w:t>
      </w:r>
      <w:r w:rsidRPr="00D62541">
        <w:t>);</w:t>
      </w:r>
    </w:p>
    <w:p w:rsidR="006B7682" w:rsidRPr="006B7682" w:rsidRDefault="00D62541" w:rsidP="00D650A9">
      <w:pPr>
        <w:jc w:val="both"/>
      </w:pPr>
      <w:r w:rsidRPr="00D62541">
        <w:t xml:space="preserve">- budou provedeny všechny splatné úhrady poplatku za správu, </w:t>
      </w:r>
    </w:p>
    <w:p w:rsidR="006B7682" w:rsidRPr="006B7682" w:rsidRDefault="00D62541" w:rsidP="00D650A9">
      <w:pPr>
        <w:jc w:val="both"/>
      </w:pPr>
      <w:r w:rsidRPr="00D62541">
        <w:t xml:space="preserve">- </w:t>
      </w:r>
      <w:r w:rsidR="008D52CB">
        <w:t>F</w:t>
      </w:r>
      <w:r w:rsidRPr="00D62541">
        <w:t>inanční zprostředkovatelé</w:t>
      </w:r>
      <w:r w:rsidR="004F149B">
        <w:t xml:space="preserve"> sdělí, že vyvedou-li </w:t>
      </w:r>
      <w:r w:rsidRPr="00D62541">
        <w:t xml:space="preserve">z účetnictví podrozvahové pohledávky za konečnými uživateli </w:t>
      </w:r>
      <w:r w:rsidR="008D52CB">
        <w:t>z uplatněných sankcí za poru</w:t>
      </w:r>
      <w:r w:rsidR="006562D7">
        <w:t>š</w:t>
      </w:r>
      <w:r w:rsidR="008D52CB">
        <w:t>ení podmínek programu</w:t>
      </w:r>
      <w:r w:rsidRPr="00D62541">
        <w:t xml:space="preserve"> poté, co byly uhrazeny </w:t>
      </w:r>
      <w:r w:rsidR="008D52CB">
        <w:t>K</w:t>
      </w:r>
      <w:r w:rsidRPr="00D62541">
        <w:t xml:space="preserve">onečnými </w:t>
      </w:r>
      <w:r w:rsidR="008D52CB">
        <w:t>příjemci</w:t>
      </w:r>
      <w:r w:rsidR="00DE4D5A">
        <w:t xml:space="preserve"> </w:t>
      </w:r>
      <w:r w:rsidRPr="00D62541">
        <w:t>nebo výtěžkem z vymáhání pohledávek či jejich prodejem nebo byly odepsány pro nedobytnost (při použití obvyklých účetních postupů Finančních zprostředkovatelů),</w:t>
      </w:r>
    </w:p>
    <w:p w:rsidR="006B7682" w:rsidRPr="006B7682" w:rsidRDefault="00D62541" w:rsidP="00D650A9">
      <w:pPr>
        <w:jc w:val="both"/>
      </w:pPr>
      <w:r w:rsidRPr="00D62541">
        <w:t xml:space="preserve"> - správce F</w:t>
      </w:r>
      <w:r w:rsidR="006562D7">
        <w:t>ondu fondů</w:t>
      </w:r>
      <w:r w:rsidR="00DE4D5A">
        <w:t xml:space="preserve"> </w:t>
      </w:r>
      <w:r w:rsidRPr="00D62541">
        <w:t xml:space="preserve">vyvede své rozvahové pohledávky za Finančními zprostředkovateli vzniklé </w:t>
      </w:r>
      <w:r w:rsidR="006562D7">
        <w:t xml:space="preserve">převodem prostředků na účty krytí rizik u Finančních zprostředkovatelů </w:t>
      </w:r>
      <w:r w:rsidRPr="00D62541">
        <w:t xml:space="preserve">z účetní evidence poté, co </w:t>
      </w:r>
      <w:r w:rsidR="006562D7">
        <w:t xml:space="preserve">zůstatky těchto účtů </w:t>
      </w:r>
      <w:r w:rsidRPr="00D62541">
        <w:t>byly</w:t>
      </w:r>
      <w:r w:rsidR="00DE4D5A">
        <w:t xml:space="preserve"> </w:t>
      </w:r>
      <w:r w:rsidR="006562D7">
        <w:t xml:space="preserve">vráceny </w:t>
      </w:r>
      <w:r w:rsidRPr="00D62541">
        <w:t xml:space="preserve">Finančními zprostředkovateli </w:t>
      </w:r>
      <w:r w:rsidR="006562D7">
        <w:t xml:space="preserve">a zbývající pohledávky byly </w:t>
      </w:r>
      <w:r w:rsidRPr="00D62541">
        <w:t xml:space="preserve">odepsány pro nedobytnost </w:t>
      </w:r>
      <w:r w:rsidR="006562D7">
        <w:t xml:space="preserve">provedeného plnění ze záruky na straně Konečných příjemců </w:t>
      </w:r>
      <w:r w:rsidRPr="00D62541">
        <w:t>při použití obvyklých účetních postupů</w:t>
      </w:r>
      <w:r w:rsidR="006562D7">
        <w:t xml:space="preserve"> Finančních zprostředkovatelů</w:t>
      </w:r>
      <w:r w:rsidRPr="00D62541">
        <w:t>.</w:t>
      </w:r>
    </w:p>
    <w:p w:rsidR="006B7682" w:rsidRPr="006B7682" w:rsidRDefault="006B7682" w:rsidP="00D650A9">
      <w:pPr>
        <w:jc w:val="both"/>
      </w:pPr>
    </w:p>
    <w:p w:rsidR="006B7682" w:rsidRPr="006562D7" w:rsidRDefault="00D62541" w:rsidP="00D650A9">
      <w:pPr>
        <w:jc w:val="both"/>
        <w:rPr>
          <w:i/>
        </w:rPr>
      </w:pPr>
      <w:r w:rsidRPr="00D62541">
        <w:rPr>
          <w:i/>
        </w:rPr>
        <w:t>i) Vnitřní audit F</w:t>
      </w:r>
      <w:r w:rsidR="006562D7">
        <w:rPr>
          <w:i/>
        </w:rPr>
        <w:t>ondu fondů</w:t>
      </w:r>
    </w:p>
    <w:p w:rsidR="006B7682" w:rsidRPr="006B7682" w:rsidRDefault="00D62541" w:rsidP="00D650A9">
      <w:pPr>
        <w:jc w:val="both"/>
      </w:pPr>
      <w:r w:rsidRPr="00D62541">
        <w:t>Audit činnosti F</w:t>
      </w:r>
      <w:r w:rsidR="008910EE">
        <w:t>ondu krom</w:t>
      </w:r>
      <w:r w:rsidR="002E6946">
        <w:t>ě</w:t>
      </w:r>
      <w:r w:rsidR="008910EE">
        <w:t xml:space="preserve"> externích auditů</w:t>
      </w:r>
      <w:r w:rsidRPr="00D62541">
        <w:t xml:space="preserve"> prováděn útvarem vnitřního</w:t>
      </w:r>
      <w:r w:rsidR="008910EE">
        <w:t xml:space="preserve"> ČMZRB</w:t>
      </w:r>
      <w:r w:rsidR="00DE4D5A">
        <w:t xml:space="preserve">  </w:t>
      </w:r>
      <w:r w:rsidRPr="00D62541">
        <w:t xml:space="preserve">auditu obdobně jako je prováděn u finančních nástrojů v OPPI. Informace o zjištěních auditu budou součástí monitorovacích zpráv pro </w:t>
      </w:r>
      <w:r w:rsidR="00923E0D">
        <w:t>Ř</w:t>
      </w:r>
      <w:r w:rsidRPr="00D62541">
        <w:t>ídící orgán operačního programu.</w:t>
      </w:r>
      <w:r w:rsidR="00DE4D5A">
        <w:t xml:space="preserve">        </w:t>
      </w:r>
    </w:p>
    <w:p w:rsidR="006B7682" w:rsidRPr="006B7682" w:rsidRDefault="006B7682" w:rsidP="00D650A9">
      <w:pPr>
        <w:jc w:val="both"/>
      </w:pPr>
    </w:p>
    <w:p w:rsidR="006B7682" w:rsidRPr="002E6946" w:rsidRDefault="00D62541" w:rsidP="00D650A9">
      <w:pPr>
        <w:jc w:val="both"/>
        <w:rPr>
          <w:i/>
        </w:rPr>
      </w:pPr>
      <w:r w:rsidRPr="00D62541">
        <w:rPr>
          <w:i/>
        </w:rPr>
        <w:t>j)</w:t>
      </w:r>
      <w:r w:rsidR="00DE4D5A">
        <w:rPr>
          <w:i/>
        </w:rPr>
        <w:t xml:space="preserve">  </w:t>
      </w:r>
      <w:r w:rsidRPr="00D62541">
        <w:rPr>
          <w:i/>
        </w:rPr>
        <w:t>Rozsah a způsob metodického řízení správců F</w:t>
      </w:r>
      <w:r w:rsidR="002E6946">
        <w:rPr>
          <w:i/>
        </w:rPr>
        <w:t>inančních</w:t>
      </w:r>
      <w:r w:rsidR="00DE4D5A">
        <w:rPr>
          <w:i/>
        </w:rPr>
        <w:t xml:space="preserve">  </w:t>
      </w:r>
      <w:r w:rsidR="002E6946">
        <w:rPr>
          <w:i/>
        </w:rPr>
        <w:t xml:space="preserve">nástrojů </w:t>
      </w:r>
      <w:r w:rsidRPr="00D62541">
        <w:rPr>
          <w:i/>
        </w:rPr>
        <w:t>ze strany správce F</w:t>
      </w:r>
      <w:r w:rsidR="002E6946">
        <w:rPr>
          <w:i/>
        </w:rPr>
        <w:t xml:space="preserve">ondu fondů </w:t>
      </w:r>
    </w:p>
    <w:p w:rsidR="006B7682" w:rsidRPr="006B7682" w:rsidRDefault="00D62541" w:rsidP="00D650A9">
      <w:pPr>
        <w:jc w:val="both"/>
      </w:pPr>
      <w:r w:rsidRPr="00D62541">
        <w:t>Správce F</w:t>
      </w:r>
      <w:r w:rsidR="002E6946">
        <w:t>ondu fondů</w:t>
      </w:r>
      <w:r w:rsidRPr="00D62541">
        <w:t>:</w:t>
      </w:r>
    </w:p>
    <w:p w:rsidR="00F30C0E" w:rsidRDefault="00D62541">
      <w:pPr>
        <w:pStyle w:val="Odstavecseseznamem"/>
        <w:numPr>
          <w:ilvl w:val="0"/>
          <w:numId w:val="39"/>
        </w:numPr>
        <w:jc w:val="both"/>
      </w:pPr>
      <w:r w:rsidRPr="00D62541">
        <w:t xml:space="preserve">zřídí informační linku a zvláštní info adresy na web pro kontaktní osoby </w:t>
      </w:r>
      <w:r w:rsidR="002E6946">
        <w:t>F</w:t>
      </w:r>
      <w:r w:rsidRPr="00D62541">
        <w:t>inančních zprostředkovatelů;</w:t>
      </w:r>
    </w:p>
    <w:p w:rsidR="00F30C0E" w:rsidRDefault="00D62541">
      <w:pPr>
        <w:pStyle w:val="Odstavecseseznamem"/>
        <w:numPr>
          <w:ilvl w:val="0"/>
          <w:numId w:val="39"/>
        </w:numPr>
        <w:jc w:val="both"/>
      </w:pPr>
      <w:r w:rsidRPr="00D62541">
        <w:t>vyhradí část</w:t>
      </w:r>
      <w:r w:rsidR="0045020F">
        <w:t xml:space="preserve"> svojí</w:t>
      </w:r>
      <w:r w:rsidR="00924DBB">
        <w:t xml:space="preserve"> </w:t>
      </w:r>
      <w:r w:rsidRPr="00D62541">
        <w:t>web</w:t>
      </w:r>
      <w:r w:rsidR="0045020F">
        <w:t>ové</w:t>
      </w:r>
      <w:r w:rsidR="00924DBB">
        <w:t xml:space="preserve"> </w:t>
      </w:r>
      <w:r w:rsidRPr="00D62541">
        <w:t>stránky pro problematiku F</w:t>
      </w:r>
      <w:r w:rsidR="0045020F">
        <w:t>ondu fondů</w:t>
      </w:r>
      <w:r w:rsidRPr="00D62541">
        <w:t>;</w:t>
      </w:r>
    </w:p>
    <w:p w:rsidR="00F30C0E" w:rsidRDefault="00D62541">
      <w:pPr>
        <w:pStyle w:val="Odstavecseseznamem"/>
        <w:numPr>
          <w:ilvl w:val="0"/>
          <w:numId w:val="39"/>
        </w:numPr>
        <w:jc w:val="both"/>
      </w:pPr>
      <w:r w:rsidRPr="00D62541">
        <w:t>určí zaměstnance odpovědné za oblast konzultací metodických otázek v rozhodovací činnosti Finančních zprostředkovatelů: veřejná podpora, způsobilé výdaje, definice MSP, hodnocení podmínek programů</w:t>
      </w:r>
      <w:r w:rsidR="00924DBB">
        <w:t xml:space="preserve"> před uzavřením smlouvy o úvěru</w:t>
      </w:r>
      <w:r w:rsidRPr="00D62541">
        <w:t>, dodržování podmínek programů v průběhu realizace smlouvy;</w:t>
      </w:r>
    </w:p>
    <w:p w:rsidR="00F30C0E" w:rsidRDefault="00D62541">
      <w:pPr>
        <w:pStyle w:val="Odstavecseseznamem"/>
        <w:numPr>
          <w:ilvl w:val="0"/>
          <w:numId w:val="39"/>
        </w:numPr>
        <w:jc w:val="both"/>
      </w:pPr>
      <w:r w:rsidRPr="00D62541">
        <w:t>FAQ pro finanční zprostředkovatele na web</w:t>
      </w:r>
      <w:r w:rsidR="0045020F">
        <w:t xml:space="preserve"> správce fondu fondů</w:t>
      </w:r>
      <w:r w:rsidRPr="00D62541">
        <w:t>.</w:t>
      </w:r>
    </w:p>
    <w:p w:rsidR="006B7682" w:rsidRDefault="00D62541" w:rsidP="00D650A9">
      <w:pPr>
        <w:jc w:val="both"/>
      </w:pPr>
      <w:r w:rsidRPr="00D62541">
        <w:t>FF bude informovat Finanční zprostředkovatele o nových výzvách, zasílat metodické informace a výklady i jednotlivým otázkám na základě informací od Řídícího orgánu, či z jiných oficiálních zdrojů.</w:t>
      </w:r>
    </w:p>
    <w:p w:rsidR="0045020F" w:rsidRDefault="0045020F" w:rsidP="00D650A9">
      <w:pPr>
        <w:jc w:val="both"/>
      </w:pPr>
      <w:r>
        <w:t>Pro zabezpečený přenos dat bude využívána webová podatelna ČMZRB.</w:t>
      </w:r>
    </w:p>
    <w:p w:rsidR="00311141" w:rsidRPr="006B7682" w:rsidRDefault="00311141" w:rsidP="00D650A9">
      <w:pPr>
        <w:jc w:val="both"/>
      </w:pPr>
      <w:r>
        <w:t>Pro účely metodického sjednocení činnosti Finančních zprostředkovatelů b</w:t>
      </w:r>
      <w:r w:rsidR="00924DBB">
        <w:t xml:space="preserve">ude vypracován metodický pokyn </w:t>
      </w:r>
      <w:r>
        <w:t xml:space="preserve">správce Fondu fondů pro správu finančních nástrojů.      </w:t>
      </w:r>
    </w:p>
    <w:p w:rsidR="006B7682" w:rsidRPr="006B7682" w:rsidRDefault="006B7682" w:rsidP="00D650A9">
      <w:pPr>
        <w:jc w:val="both"/>
      </w:pPr>
    </w:p>
    <w:p w:rsidR="006B7682" w:rsidRPr="00A22096" w:rsidRDefault="006B7682" w:rsidP="00D650A9">
      <w:pPr>
        <w:jc w:val="both"/>
        <w:rPr>
          <w:i/>
        </w:rPr>
      </w:pPr>
      <w:r>
        <w:t>j</w:t>
      </w:r>
      <w:r w:rsidR="00D62541" w:rsidRPr="00D62541">
        <w:rPr>
          <w:i/>
        </w:rPr>
        <w:t>) Povinnosti správce FF v oblasti</w:t>
      </w:r>
      <w:r w:rsidR="00924DBB">
        <w:rPr>
          <w:i/>
        </w:rPr>
        <w:t xml:space="preserve"> </w:t>
      </w:r>
      <w:r w:rsidR="00D62541" w:rsidRPr="00D62541">
        <w:rPr>
          <w:i/>
        </w:rPr>
        <w:t>publicity</w:t>
      </w:r>
    </w:p>
    <w:p w:rsidR="002D0426" w:rsidRDefault="006B7682" w:rsidP="00D650A9">
      <w:pPr>
        <w:jc w:val="both"/>
      </w:pPr>
      <w:r>
        <w:t>Správce Fondu fondů bude zabezpečovat požadavky vyplývající z legislativy EU (příloha XII nařízení Komise č.1303/2013</w:t>
      </w:r>
      <w:r w:rsidR="00DE4D5A">
        <w:t xml:space="preserve">  </w:t>
      </w:r>
      <w:r w:rsidR="00CA2D46">
        <w:t xml:space="preserve">a </w:t>
      </w:r>
      <w:r w:rsidR="00D62541" w:rsidRPr="00D62541">
        <w:t xml:space="preserve">realizovat tato opatření: </w:t>
      </w:r>
    </w:p>
    <w:p w:rsidR="00AA0E08" w:rsidRDefault="00D62541" w:rsidP="009754EB">
      <w:pPr>
        <w:pStyle w:val="Odstavecseseznamem"/>
        <w:numPr>
          <w:ilvl w:val="0"/>
          <w:numId w:val="15"/>
        </w:numPr>
        <w:jc w:val="both"/>
      </w:pPr>
      <w:r w:rsidRPr="00D62541">
        <w:t>publikovat na web strá</w:t>
      </w:r>
      <w:r w:rsidR="00924DBB">
        <w:t>nce výzvy k předkládání žádostí,</w:t>
      </w:r>
      <w:r w:rsidRPr="00D62541">
        <w:t xml:space="preserve"> pokyny</w:t>
      </w:r>
      <w:r w:rsidR="00924DBB">
        <w:t xml:space="preserve"> pro žadatele o podporu a pokyny</w:t>
      </w:r>
      <w:r w:rsidRPr="00D62541">
        <w:t xml:space="preserve"> pro publicitu podpory pro příjemce podpory,</w:t>
      </w:r>
      <w:r w:rsidR="00DE4D5A">
        <w:t xml:space="preserve">  </w:t>
      </w:r>
    </w:p>
    <w:p w:rsidR="00AA0E08" w:rsidRDefault="00CA2D46" w:rsidP="009754EB">
      <w:pPr>
        <w:pStyle w:val="Odstavecseseznamem"/>
        <w:numPr>
          <w:ilvl w:val="0"/>
          <w:numId w:val="15"/>
        </w:numPr>
        <w:jc w:val="both"/>
      </w:pPr>
      <w:r>
        <w:t xml:space="preserve">zabezpečovat </w:t>
      </w:r>
      <w:r w:rsidR="00D62541" w:rsidRPr="00D62541">
        <w:t xml:space="preserve">provoz informační linky a adresy pro </w:t>
      </w:r>
      <w:r w:rsidR="00924DBB">
        <w:t>e-</w:t>
      </w:r>
      <w:r w:rsidR="00D62541" w:rsidRPr="00D62541">
        <w:t xml:space="preserve">mailové dotazy pro žadatele o podporu, </w:t>
      </w:r>
    </w:p>
    <w:p w:rsidR="00AA0E08" w:rsidRDefault="00924DBB" w:rsidP="009754EB">
      <w:pPr>
        <w:pStyle w:val="Odstavecseseznamem"/>
        <w:numPr>
          <w:ilvl w:val="0"/>
          <w:numId w:val="15"/>
        </w:numPr>
        <w:jc w:val="both"/>
      </w:pPr>
      <w:r>
        <w:t>předáva</w:t>
      </w:r>
      <w:r w:rsidR="00CA2D46">
        <w:t>t</w:t>
      </w:r>
      <w:r w:rsidR="00D62541" w:rsidRPr="00D62541">
        <w:t xml:space="preserve"> údaj</w:t>
      </w:r>
      <w:r w:rsidR="00CA2D46">
        <w:t>e</w:t>
      </w:r>
      <w:r w:rsidR="00D62541" w:rsidRPr="00D62541">
        <w:t xml:space="preserve"> o poskytnutých podporách </w:t>
      </w:r>
      <w:r w:rsidR="007C2CBD">
        <w:t>Ř</w:t>
      </w:r>
      <w:r>
        <w:t>í</w:t>
      </w:r>
      <w:r w:rsidR="00D62541" w:rsidRPr="00D62541">
        <w:t xml:space="preserve">dícímu orgánu ke zveřejnění, </w:t>
      </w:r>
    </w:p>
    <w:p w:rsidR="00AA0E08" w:rsidRDefault="00D62541" w:rsidP="009754EB">
      <w:pPr>
        <w:pStyle w:val="Odstavecseseznamem"/>
        <w:numPr>
          <w:ilvl w:val="0"/>
          <w:numId w:val="15"/>
        </w:numPr>
        <w:jc w:val="both"/>
      </w:pPr>
      <w:r w:rsidRPr="00D62541">
        <w:t>publikovat na web stránce ve zvláštní sekci s omezeným přístupem pokyny a informace pro kontaktní osoby Finančních zprostředkovatelů,</w:t>
      </w:r>
      <w:r w:rsidR="00DE4D5A">
        <w:t xml:space="preserve">   </w:t>
      </w:r>
    </w:p>
    <w:p w:rsidR="00AA0E08" w:rsidRDefault="00D62541" w:rsidP="009754EB">
      <w:pPr>
        <w:pStyle w:val="Odstavecseseznamem"/>
        <w:numPr>
          <w:ilvl w:val="0"/>
          <w:numId w:val="15"/>
        </w:numPr>
        <w:jc w:val="both"/>
      </w:pPr>
      <w:r w:rsidRPr="00D62541">
        <w:t>provádět kontrolu dodržování opatření a pravidel publicity u Finančních zprostředkovatelů</w:t>
      </w:r>
      <w:r w:rsidR="00CA2D46">
        <w:t>.</w:t>
      </w:r>
      <w:r w:rsidR="00DE4D5A">
        <w:t xml:space="preserve">   </w:t>
      </w:r>
    </w:p>
    <w:p w:rsidR="006B7682" w:rsidRPr="00CA2D46" w:rsidRDefault="00D62541" w:rsidP="00D650A9">
      <w:pPr>
        <w:jc w:val="both"/>
        <w:rPr>
          <w:i/>
        </w:rPr>
      </w:pPr>
      <w:r w:rsidRPr="00D62541">
        <w:rPr>
          <w:i/>
        </w:rPr>
        <w:t>k)</w:t>
      </w:r>
      <w:r w:rsidR="00DE4D5A">
        <w:rPr>
          <w:i/>
        </w:rPr>
        <w:t xml:space="preserve">  </w:t>
      </w:r>
      <w:r w:rsidRPr="00D62541">
        <w:rPr>
          <w:i/>
        </w:rPr>
        <w:t>Archivace</w:t>
      </w:r>
      <w:r w:rsidR="00DE4D5A">
        <w:rPr>
          <w:i/>
        </w:rPr>
        <w:t xml:space="preserve"> </w:t>
      </w:r>
      <w:r w:rsidRPr="00D62541">
        <w:rPr>
          <w:i/>
        </w:rPr>
        <w:t xml:space="preserve">dokumentů </w:t>
      </w:r>
    </w:p>
    <w:p w:rsidR="006B7682" w:rsidRPr="006B7682" w:rsidRDefault="00D62541" w:rsidP="00D650A9">
      <w:pPr>
        <w:jc w:val="both"/>
      </w:pPr>
      <w:r w:rsidRPr="00D62541">
        <w:t>Správce F</w:t>
      </w:r>
      <w:r w:rsidR="007C2CBD">
        <w:t>ondu</w:t>
      </w:r>
      <w:r w:rsidR="00924DBB">
        <w:t xml:space="preserve"> </w:t>
      </w:r>
      <w:r w:rsidRPr="00D62541">
        <w:t xml:space="preserve">bude </w:t>
      </w:r>
      <w:r w:rsidR="00CA2D46">
        <w:t>zabezpečovat</w:t>
      </w:r>
      <w:r w:rsidR="00924DBB">
        <w:t xml:space="preserve"> </w:t>
      </w:r>
      <w:r w:rsidRPr="00D62541">
        <w:t xml:space="preserve">archivování informací a dokumentů po dobu </w:t>
      </w:r>
      <w:r w:rsidR="0058552F">
        <w:t>stanovenou v Dohodě o financování.</w:t>
      </w:r>
      <w:r w:rsidR="00DE4D5A">
        <w:t xml:space="preserve">  </w:t>
      </w:r>
      <w:r w:rsidRPr="00D62541">
        <w:t>Předběžně lze uvažovat s datem 31.</w:t>
      </w:r>
      <w:r w:rsidR="00924DBB">
        <w:t xml:space="preserve"> </w:t>
      </w:r>
      <w:r w:rsidRPr="00D62541">
        <w:t>12. 20</w:t>
      </w:r>
      <w:r w:rsidR="0058552F">
        <w:t>33</w:t>
      </w:r>
      <w:r w:rsidRPr="00D62541">
        <w:t>.</w:t>
      </w:r>
      <w:r w:rsidR="00DE4D5A">
        <w:t xml:space="preserve">   </w:t>
      </w:r>
      <w:r w:rsidRPr="00D62541">
        <w:t xml:space="preserve">Jedná se o tyto dokumenty: </w:t>
      </w:r>
    </w:p>
    <w:p w:rsidR="006B7682" w:rsidRPr="006B7682" w:rsidRDefault="00D62541" w:rsidP="00D650A9">
      <w:pPr>
        <w:jc w:val="both"/>
      </w:pPr>
      <w:r w:rsidRPr="00D62541">
        <w:t>•</w:t>
      </w:r>
      <w:r w:rsidRPr="00D62541">
        <w:tab/>
      </w:r>
      <w:r w:rsidR="00BA59C3">
        <w:t>D</w:t>
      </w:r>
      <w:r w:rsidRPr="00D62541">
        <w:t>ohoda o financování s řídícím orgánem</w:t>
      </w:r>
    </w:p>
    <w:p w:rsidR="006B7682" w:rsidRPr="006B7682" w:rsidRDefault="00D62541" w:rsidP="00D650A9">
      <w:pPr>
        <w:jc w:val="both"/>
      </w:pPr>
      <w:r w:rsidRPr="00D62541">
        <w:t>•</w:t>
      </w:r>
      <w:r w:rsidRPr="00D62541">
        <w:tab/>
      </w:r>
      <w:r w:rsidR="00BA59C3">
        <w:t>D</w:t>
      </w:r>
      <w:r w:rsidRPr="00D62541">
        <w:t>ohody o</w:t>
      </w:r>
      <w:r w:rsidR="00DE4D5A">
        <w:t xml:space="preserve"> </w:t>
      </w:r>
      <w:r w:rsidRPr="00D62541">
        <w:t>financování s finančními zprostředkovateli</w:t>
      </w:r>
      <w:r w:rsidR="00DE4D5A">
        <w:t xml:space="preserve">  </w:t>
      </w:r>
    </w:p>
    <w:p w:rsidR="006B7682" w:rsidRPr="006B7682" w:rsidRDefault="00D62541" w:rsidP="00D650A9">
      <w:pPr>
        <w:jc w:val="both"/>
      </w:pPr>
      <w:r w:rsidRPr="00D62541">
        <w:t>•</w:t>
      </w:r>
      <w:r w:rsidRPr="00D62541">
        <w:tab/>
        <w:t>výpisy z účtů F</w:t>
      </w:r>
      <w:r w:rsidR="00BA59C3">
        <w:t>ondu f</w:t>
      </w:r>
      <w:r w:rsidR="0058552F">
        <w:t>o</w:t>
      </w:r>
      <w:r w:rsidR="00924DBB">
        <w:t>ndů</w:t>
      </w:r>
      <w:r w:rsidRPr="00D62541">
        <w:t>, jejich systém musí být vytvořen tak</w:t>
      </w:r>
      <w:r w:rsidR="00CA2D46">
        <w:t>,</w:t>
      </w:r>
      <w:r w:rsidR="002016C0">
        <w:t xml:space="preserve"> </w:t>
      </w:r>
      <w:r w:rsidRPr="00D62541">
        <w:t>aby bylo možné identifikovat příspěvek</w:t>
      </w:r>
      <w:r w:rsidR="002D6028">
        <w:t xml:space="preserve"> každého </w:t>
      </w:r>
      <w:r w:rsidRPr="00D62541">
        <w:t>programu podpory do F</w:t>
      </w:r>
      <w:r w:rsidR="00BA59C3">
        <w:t>ondu fondů</w:t>
      </w:r>
      <w:r w:rsidR="002D6028">
        <w:t xml:space="preserve"> </w:t>
      </w:r>
      <w:r w:rsidRPr="00D62541">
        <w:t xml:space="preserve">a následně pro jednotlivé </w:t>
      </w:r>
      <w:r w:rsidR="00BA59C3">
        <w:t>F</w:t>
      </w:r>
      <w:r w:rsidRPr="00D62541">
        <w:t>inanční zpro</w:t>
      </w:r>
      <w:r w:rsidR="00924B7D">
        <w:t>středkovatele a jeho využit tak</w:t>
      </w:r>
      <w:r w:rsidRPr="00D62541">
        <w:t>,</w:t>
      </w:r>
      <w:r w:rsidR="00924B7D">
        <w:t xml:space="preserve"> </w:t>
      </w:r>
      <w:r w:rsidRPr="00D62541">
        <w:t>a by bylo možné zajistit prokázání způsobilosti výdajů do F</w:t>
      </w:r>
      <w:r w:rsidR="00BA59C3">
        <w:t>ondu fondů</w:t>
      </w:r>
      <w:r w:rsidRPr="00D62541">
        <w:t>,</w:t>
      </w:r>
    </w:p>
    <w:p w:rsidR="006B7682" w:rsidRPr="006B7682" w:rsidRDefault="00D62541" w:rsidP="00D650A9">
      <w:pPr>
        <w:jc w:val="both"/>
      </w:pPr>
      <w:r w:rsidRPr="00D62541">
        <w:t>•</w:t>
      </w:r>
      <w:r w:rsidRPr="00D62541">
        <w:tab/>
        <w:t>výpisy z</w:t>
      </w:r>
      <w:r w:rsidR="00BA59C3">
        <w:t> </w:t>
      </w:r>
      <w:r w:rsidRPr="00D62541">
        <w:t>účtů</w:t>
      </w:r>
      <w:r w:rsidR="00BA59C3">
        <w:t xml:space="preserve"> Finančních nástrojů</w:t>
      </w:r>
      <w:r w:rsidR="00DE4D5A">
        <w:t xml:space="preserve"> </w:t>
      </w:r>
      <w:r w:rsidRPr="00D62541">
        <w:t>od Finančních zprostředkovatelů</w:t>
      </w:r>
      <w:r w:rsidR="00DE4D5A">
        <w:t xml:space="preserve">  </w:t>
      </w:r>
    </w:p>
    <w:p w:rsidR="006B7682" w:rsidRPr="006B7682" w:rsidRDefault="00D62541" w:rsidP="00D650A9">
      <w:pPr>
        <w:jc w:val="both"/>
      </w:pPr>
      <w:r w:rsidRPr="00D62541">
        <w:t>•</w:t>
      </w:r>
      <w:r w:rsidRPr="00D62541">
        <w:tab/>
        <w:t>monitorovací zprávy pro řídící orgán a od Finančních zprostředkovatelů</w:t>
      </w:r>
    </w:p>
    <w:p w:rsidR="006B7682" w:rsidRPr="006B7682" w:rsidRDefault="00D62541" w:rsidP="00D650A9">
      <w:pPr>
        <w:jc w:val="both"/>
      </w:pPr>
      <w:r w:rsidRPr="00D62541">
        <w:t>•</w:t>
      </w:r>
      <w:r w:rsidRPr="00D62541">
        <w:tab/>
      </w:r>
      <w:r w:rsidR="007C2CBD">
        <w:t xml:space="preserve">dokumenty </w:t>
      </w:r>
      <w:r w:rsidRPr="00D62541">
        <w:t xml:space="preserve">týkající se </w:t>
      </w:r>
      <w:r w:rsidR="007C2CBD">
        <w:t xml:space="preserve">úhrady </w:t>
      </w:r>
      <w:r w:rsidRPr="00D62541">
        <w:t xml:space="preserve">poplatků za správu </w:t>
      </w:r>
      <w:r w:rsidR="007C2CBD">
        <w:t xml:space="preserve">Fondu fondů a za správu Finančních nástrojů </w:t>
      </w:r>
    </w:p>
    <w:p w:rsidR="006B7682" w:rsidRPr="006B7682" w:rsidRDefault="00D62541" w:rsidP="00D650A9">
      <w:pPr>
        <w:jc w:val="both"/>
      </w:pPr>
      <w:r w:rsidRPr="00D62541">
        <w:t>•</w:t>
      </w:r>
      <w:r w:rsidRPr="00D62541">
        <w:tab/>
        <w:t xml:space="preserve">žádosti o doplnění prostředků úvěrových fondů, </w:t>
      </w:r>
      <w:r w:rsidR="00B57928">
        <w:t xml:space="preserve">či fondů rizikového kapitálu, </w:t>
      </w:r>
      <w:r w:rsidRPr="00D62541">
        <w:t>resp. navýšení kapacity ručení</w:t>
      </w:r>
      <w:r w:rsidR="00924B7D">
        <w:t xml:space="preserve"> </w:t>
      </w:r>
      <w:r w:rsidRPr="00D62541">
        <w:t xml:space="preserve">od </w:t>
      </w:r>
      <w:r w:rsidR="007C2CBD">
        <w:t>F</w:t>
      </w:r>
      <w:r w:rsidRPr="00D62541">
        <w:t>inančních zprostředkovatelů</w:t>
      </w:r>
      <w:r w:rsidR="00924B7D">
        <w:t>.</w:t>
      </w:r>
    </w:p>
    <w:p w:rsidR="00311141" w:rsidRDefault="00311141" w:rsidP="00D650A9">
      <w:pPr>
        <w:jc w:val="both"/>
        <w:rPr>
          <w:i/>
        </w:rPr>
      </w:pPr>
    </w:p>
    <w:p w:rsidR="0099709C" w:rsidRDefault="0099709C" w:rsidP="00D650A9">
      <w:pPr>
        <w:jc w:val="both"/>
        <w:rPr>
          <w:i/>
        </w:rPr>
      </w:pPr>
      <w:r>
        <w:rPr>
          <w:i/>
        </w:rPr>
        <w:t xml:space="preserve">l) </w:t>
      </w:r>
      <w:r w:rsidRPr="0099709C">
        <w:rPr>
          <w:i/>
        </w:rPr>
        <w:t>Kontrola a nesrovnalosti</w:t>
      </w:r>
    </w:p>
    <w:p w:rsidR="0099709C" w:rsidRPr="0099709C" w:rsidRDefault="0099709C" w:rsidP="00D650A9">
      <w:pPr>
        <w:jc w:val="both"/>
        <w:rPr>
          <w:i/>
        </w:rPr>
      </w:pPr>
      <w:r>
        <w:rPr>
          <w:i/>
        </w:rPr>
        <w:t xml:space="preserve">la) </w:t>
      </w:r>
      <w:r w:rsidRPr="0099709C">
        <w:rPr>
          <w:i/>
        </w:rPr>
        <w:t xml:space="preserve">Kontrola u </w:t>
      </w:r>
      <w:r>
        <w:rPr>
          <w:i/>
        </w:rPr>
        <w:t>F</w:t>
      </w:r>
      <w:r w:rsidRPr="0099709C">
        <w:rPr>
          <w:i/>
        </w:rPr>
        <w:t xml:space="preserve">inančních zprostředkovatelů </w:t>
      </w:r>
    </w:p>
    <w:p w:rsidR="0099709C" w:rsidRPr="0099709C" w:rsidRDefault="00D62541" w:rsidP="00D650A9">
      <w:pPr>
        <w:jc w:val="both"/>
      </w:pPr>
      <w:r w:rsidRPr="00D62541">
        <w:t>Fond fondů</w:t>
      </w:r>
      <w:r w:rsidR="00DE4D5A">
        <w:t xml:space="preserve"> </w:t>
      </w:r>
      <w:r w:rsidRPr="00D62541">
        <w:t xml:space="preserve">vykonává kontrolu přijatých podkladů, resp. kontrolu vybraného vzorku podkladů ke konkrétním projektům a taktéž kontrolu na místě u Finančního zprostředkovatele. </w:t>
      </w:r>
    </w:p>
    <w:p w:rsidR="0099709C" w:rsidRPr="0099709C" w:rsidRDefault="00D62541" w:rsidP="00D650A9">
      <w:pPr>
        <w:jc w:val="both"/>
      </w:pPr>
      <w:r w:rsidRPr="00D62541">
        <w:t>Cílem kontrolní činnosti je ověření dodržování jednotlivých ustanovení dohody o financování uzavřené mezi F</w:t>
      </w:r>
      <w:r w:rsidR="0099709C">
        <w:t>ondem f</w:t>
      </w:r>
      <w:r w:rsidR="00924B7D">
        <w:t>o</w:t>
      </w:r>
      <w:r w:rsidR="0099709C">
        <w:t>ndů</w:t>
      </w:r>
      <w:r w:rsidR="00924B7D">
        <w:t xml:space="preserve"> </w:t>
      </w:r>
      <w:r w:rsidRPr="00D62541">
        <w:t xml:space="preserve">a Finančním zprostředkovatelem, zejména: 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>dodržování podmínek výběru konečných uživatelů;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>převádění prostředků konečným uživatelům včas a v celém objemu;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>provádění kontrol</w:t>
      </w:r>
      <w:r w:rsidR="00DE4D5A">
        <w:t xml:space="preserve"> </w:t>
      </w:r>
      <w:r w:rsidRPr="00D62541">
        <w:t>vzorku proje</w:t>
      </w:r>
      <w:r w:rsidR="00924B7D">
        <w:t>ktů na místě realizace projektu;</w:t>
      </w:r>
      <w:r w:rsidRPr="00D62541">
        <w:t xml:space="preserve"> 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>provádění kontrol způsobilých výdajů;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>příjímání splátek a vymáhání prostředků;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>zajišťování publicity;</w:t>
      </w:r>
    </w:p>
    <w:p w:rsidR="00AA0E08" w:rsidRDefault="00D62541" w:rsidP="009754EB">
      <w:pPr>
        <w:pStyle w:val="Odstavecseseznamem"/>
        <w:numPr>
          <w:ilvl w:val="0"/>
          <w:numId w:val="16"/>
        </w:numPr>
        <w:jc w:val="both"/>
      </w:pPr>
      <w:r w:rsidRPr="00D62541">
        <w:t xml:space="preserve">řádné vedení dokumentace k jednotlivým projektům konečných uživatelů. </w:t>
      </w:r>
    </w:p>
    <w:p w:rsidR="0099709C" w:rsidRPr="0099709C" w:rsidRDefault="0099709C" w:rsidP="00D650A9">
      <w:pPr>
        <w:jc w:val="both"/>
      </w:pPr>
    </w:p>
    <w:p w:rsidR="0099709C" w:rsidRPr="0099709C" w:rsidRDefault="001A4CF5" w:rsidP="00D650A9">
      <w:pPr>
        <w:jc w:val="both"/>
        <w:rPr>
          <w:i/>
        </w:rPr>
      </w:pPr>
      <w:r>
        <w:rPr>
          <w:i/>
        </w:rPr>
        <w:t>lb)</w:t>
      </w:r>
      <w:r w:rsidR="0099709C" w:rsidRPr="0099709C">
        <w:rPr>
          <w:i/>
        </w:rPr>
        <w:t xml:space="preserve"> Kontrola u </w:t>
      </w:r>
      <w:r>
        <w:rPr>
          <w:i/>
        </w:rPr>
        <w:t xml:space="preserve">Konečných příjemců </w:t>
      </w:r>
    </w:p>
    <w:p w:rsidR="0099709C" w:rsidRPr="001A4CF5" w:rsidRDefault="00D62541" w:rsidP="00D650A9">
      <w:pPr>
        <w:jc w:val="both"/>
      </w:pPr>
      <w:r w:rsidRPr="00D62541">
        <w:t xml:space="preserve">Kontroly budou prováděny na místě realizace projektů u </w:t>
      </w:r>
      <w:r w:rsidR="001A4CF5">
        <w:t>K</w:t>
      </w:r>
      <w:r w:rsidRPr="00D62541">
        <w:t xml:space="preserve">onečných </w:t>
      </w:r>
      <w:r w:rsidR="001A4CF5">
        <w:t xml:space="preserve">příjemců </w:t>
      </w:r>
      <w:r w:rsidRPr="00D62541">
        <w:t>na vzorku pr</w:t>
      </w:r>
      <w:r w:rsidR="00924B7D">
        <w:t>ojektů. Procentní výši vzorku (</w:t>
      </w:r>
      <w:r w:rsidRPr="00D62541">
        <w:t>z počtu podpořených projektů)</w:t>
      </w:r>
      <w:r w:rsidR="00924B7D">
        <w:t xml:space="preserve"> </w:t>
      </w:r>
      <w:r w:rsidRPr="00D62541">
        <w:t xml:space="preserve">určí </w:t>
      </w:r>
      <w:r w:rsidR="001A4CF5">
        <w:t>D</w:t>
      </w:r>
      <w:r w:rsidRPr="00D62541">
        <w:t xml:space="preserve">ohoda o </w:t>
      </w:r>
      <w:r w:rsidR="001A4CF5">
        <w:t>f</w:t>
      </w:r>
      <w:r w:rsidRPr="00D62541">
        <w:t xml:space="preserve">inancování mezi </w:t>
      </w:r>
      <w:r w:rsidR="001A4CF5">
        <w:t>Ř</w:t>
      </w:r>
      <w:r w:rsidRPr="00D62541">
        <w:t>ídícím orgánem a správcem F</w:t>
      </w:r>
      <w:r w:rsidR="00924B7D">
        <w:t xml:space="preserve">ondu. </w:t>
      </w:r>
      <w:r w:rsidRPr="00D62541">
        <w:t>Výběr vzorku bude vždy prováděn podle stavu portfolia k určitému datu</w:t>
      </w:r>
      <w:r w:rsidR="00DE4D5A">
        <w:t xml:space="preserve">  </w:t>
      </w:r>
      <w:r w:rsidRPr="00D62541">
        <w:t>a vzorek bude stanoven vždy do 2 měsíců po uvedeném datu. Termíny budou</w:t>
      </w:r>
      <w:r w:rsidR="002D6028">
        <w:t xml:space="preserve"> </w:t>
      </w:r>
      <w:r w:rsidRPr="00D62541">
        <w:t>uvedeny v dohodě o financování</w:t>
      </w:r>
      <w:r w:rsidR="002D6028">
        <w:t xml:space="preserve"> </w:t>
      </w:r>
      <w:r w:rsidRPr="00D62541">
        <w:t>mezi správcem</w:t>
      </w:r>
      <w:r w:rsidR="002D6028">
        <w:t xml:space="preserve"> </w:t>
      </w:r>
      <w:r w:rsidRPr="00D62541">
        <w:t>FF a Finančním zprostředkovatelem.</w:t>
      </w:r>
    </w:p>
    <w:p w:rsidR="0099709C" w:rsidRPr="001A4CF5" w:rsidRDefault="00D62541" w:rsidP="00D650A9">
      <w:pPr>
        <w:jc w:val="both"/>
      </w:pPr>
      <w:r w:rsidRPr="00D62541">
        <w:t>Výběr projektů ke kontrole bude provádět Finanční zprostředkovatel 1 x ročně, podle kritérií, která</w:t>
      </w:r>
      <w:r w:rsidR="002D6028">
        <w:t xml:space="preserve"> </w:t>
      </w:r>
      <w:r w:rsidRPr="00D62541">
        <w:t xml:space="preserve">budou stanovena v </w:t>
      </w:r>
      <w:r w:rsidR="00413858">
        <w:t xml:space="preserve">Dohodě </w:t>
      </w:r>
      <w:r w:rsidRPr="00D62541">
        <w:t>o financování mezi Finančním zprostředkovatelem a Fondem fondů. Jsou to zejména tato kritéria: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 xml:space="preserve">dle výše podpory (doplnění o stanovení mezních limitů), 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 xml:space="preserve"> rizikové klasifikace konečného uživatele,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konečná splatnost úvěru poskytnutého Finančním zprostředkovatelem,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právní forma klienta (v členění na fyzické a právnické osoby),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odvětví (v členění na CZ_NACE, ve kterých je podpora poskytována),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region (v členění dle NUTS 2).</w:t>
      </w:r>
    </w:p>
    <w:p w:rsidR="0099709C" w:rsidRPr="001A4CF5" w:rsidRDefault="00D62541" w:rsidP="00D650A9">
      <w:pPr>
        <w:jc w:val="both"/>
      </w:pPr>
      <w:r w:rsidRPr="00D62541">
        <w:t xml:space="preserve">Ze zpracovaného přehledu budou vybráni Finančním zprostředkovatelem </w:t>
      </w:r>
      <w:r w:rsidR="00924B7D">
        <w:t>Kone</w:t>
      </w:r>
      <w:r w:rsidR="0063076D">
        <w:t xml:space="preserve">ční příjemci </w:t>
      </w:r>
      <w:r w:rsidRPr="00D62541">
        <w:t>a realizované projekty takto:</w:t>
      </w:r>
    </w:p>
    <w:p w:rsidR="0099709C" w:rsidRPr="0099709C" w:rsidRDefault="0099709C" w:rsidP="00D650A9">
      <w:pPr>
        <w:jc w:val="both"/>
        <w:rPr>
          <w:i/>
        </w:rPr>
      </w:pPr>
      <w:r w:rsidRPr="0099709C">
        <w:rPr>
          <w:i/>
        </w:rPr>
        <w:t>•</w:t>
      </w:r>
      <w:r w:rsidRPr="0099709C">
        <w:rPr>
          <w:i/>
        </w:rPr>
        <w:tab/>
        <w:t>vybírány</w:t>
      </w:r>
      <w:r w:rsidR="00924B7D">
        <w:rPr>
          <w:i/>
        </w:rPr>
        <w:t xml:space="preserve"> </w:t>
      </w:r>
      <w:r w:rsidRPr="0099709C">
        <w:rPr>
          <w:i/>
        </w:rPr>
        <w:t>budou pouze projekty, u kterých nedošlo k ukončení smlouvy o úvěru,</w:t>
      </w:r>
      <w:r w:rsidRPr="0099709C">
        <w:rPr>
          <w:i/>
        </w:rPr>
        <w:tab/>
        <w:t>přednostně</w:t>
      </w:r>
      <w:r w:rsidR="002D6028">
        <w:rPr>
          <w:i/>
        </w:rPr>
        <w:t xml:space="preserve"> </w:t>
      </w:r>
      <w:r w:rsidRPr="0099709C">
        <w:rPr>
          <w:i/>
        </w:rPr>
        <w:t>budou vybírány projekty, u nichž je indikováno zvýšené riziko, tzn. horší riziková k</w:t>
      </w:r>
      <w:r w:rsidR="00924B7D">
        <w:rPr>
          <w:i/>
        </w:rPr>
        <w:t>lasifikace konečného uživatele.</w:t>
      </w:r>
    </w:p>
    <w:p w:rsidR="0099709C" w:rsidRPr="0063076D" w:rsidRDefault="00D62541" w:rsidP="00D650A9">
      <w:pPr>
        <w:jc w:val="both"/>
      </w:pPr>
      <w:r w:rsidRPr="00D62541">
        <w:t>Seznam kontrol zadaných</w:t>
      </w:r>
      <w:r w:rsidR="00924B7D">
        <w:t xml:space="preserve"> </w:t>
      </w:r>
      <w:r w:rsidRPr="00D62541">
        <w:t>Finančním zprostředkovatelem k provedení</w:t>
      </w:r>
      <w:r w:rsidR="00924B7D">
        <w:t xml:space="preserve"> </w:t>
      </w:r>
      <w:r w:rsidRPr="00D62541">
        <w:t>bude předán</w:t>
      </w:r>
      <w:r w:rsidR="00924B7D">
        <w:t xml:space="preserve"> na vědomí i správci Fondu fondů.</w:t>
      </w:r>
      <w:r w:rsidR="00DE4D5A">
        <w:t xml:space="preserve"> </w:t>
      </w:r>
      <w:r w:rsidRPr="00D62541">
        <w:t>Kontroly</w:t>
      </w:r>
      <w:r w:rsidR="00924B7D">
        <w:t xml:space="preserve"> </w:t>
      </w:r>
      <w:r w:rsidRPr="00D62541">
        <w:t>budou realizovány a dokončeny do jednoho roku od data stanovení vzorku projektů ke kontrole.</w:t>
      </w:r>
    </w:p>
    <w:p w:rsidR="0099709C" w:rsidRPr="0063076D" w:rsidRDefault="0063076D" w:rsidP="00D650A9">
      <w:pPr>
        <w:jc w:val="both"/>
      </w:pPr>
      <w:r>
        <w:t xml:space="preserve">Dohoda </w:t>
      </w:r>
      <w:r w:rsidR="00D62541" w:rsidRPr="00D62541">
        <w:t>o financování vymezí hlavní zásady a povinnosti při provádění kontroly, zejména: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 xml:space="preserve">zjistit skutečný stav; 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kontrolní nálezy a zjištěné nedostatky prokázat a doložit doklady;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stanovit nápravná opatření, vč. lhůt, do kterých má klient zjištěné nedostatky odstranit;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šetřit práva a právem chr</w:t>
      </w:r>
      <w:r w:rsidR="00924B7D">
        <w:t>áněné zájmy konečného uživatele</w:t>
      </w:r>
      <w:r w:rsidRPr="00D62541">
        <w:t>;</w:t>
      </w:r>
    </w:p>
    <w:p w:rsidR="00AA0E08" w:rsidRDefault="00D62541" w:rsidP="00D650A9">
      <w:pPr>
        <w:spacing w:after="120"/>
        <w:jc w:val="both"/>
      </w:pPr>
      <w:r w:rsidRPr="00D62541">
        <w:t>•</w:t>
      </w:r>
      <w:r w:rsidRPr="00D62541">
        <w:tab/>
        <w:t>zachovat mlčenlivost o všech skutečnostech zjištěných při kontrole projektu a nezneužít znalosti těchto skutečností (tím není dotčena povinnost oznamovat určité skutečnosti orgánům příslušným podle zvláštních předpisů);</w:t>
      </w:r>
    </w:p>
    <w:p w:rsidR="0099709C" w:rsidRPr="0063076D" w:rsidRDefault="00D62541" w:rsidP="00D650A9">
      <w:pPr>
        <w:jc w:val="both"/>
      </w:pPr>
      <w:r w:rsidRPr="00D62541">
        <w:t>•</w:t>
      </w:r>
      <w:r w:rsidRPr="00D62541">
        <w:tab/>
        <w:t>vypracovat Protokol z kontroly projektu, seznámit konečného uživatele</w:t>
      </w:r>
      <w:r w:rsidR="00924B7D">
        <w:t xml:space="preserve"> </w:t>
      </w:r>
      <w:r w:rsidRPr="00D62541">
        <w:t>s jeho obsahem a předat podepsaný stejno</w:t>
      </w:r>
      <w:r w:rsidR="00924B7D">
        <w:t>pis konečnému uživateli</w:t>
      </w:r>
      <w:r w:rsidRPr="00D62541">
        <w:t>, vč. poučení o možnosti podání písemných námitek proti textu Protokolu z kontroly projektu do stanoveného termínu.</w:t>
      </w:r>
    </w:p>
    <w:p w:rsidR="0099709C" w:rsidRPr="0063076D" w:rsidRDefault="00D62541" w:rsidP="00D650A9">
      <w:pPr>
        <w:jc w:val="both"/>
      </w:pPr>
      <w:r w:rsidRPr="00D62541">
        <w:t>Pro</w:t>
      </w:r>
      <w:r w:rsidR="00924B7D">
        <w:t>tokol z kontroly projektu budou</w:t>
      </w:r>
      <w:r w:rsidR="002D6028">
        <w:t xml:space="preserve"> </w:t>
      </w:r>
      <w:r w:rsidRPr="00D62541">
        <w:t>ukládány ve složce obchodu. Finanční zprostředkovatel bude zasílat jednou ročně správci F</w:t>
      </w:r>
      <w:r w:rsidR="0063076D">
        <w:t>ondu fondů</w:t>
      </w:r>
      <w:r w:rsidR="00924B7D">
        <w:t xml:space="preserve"> </w:t>
      </w:r>
      <w:r w:rsidRPr="00D62541">
        <w:t>přehled provedených kontrol.</w:t>
      </w:r>
    </w:p>
    <w:p w:rsidR="0099709C" w:rsidRPr="0063076D" w:rsidRDefault="0099709C" w:rsidP="00D650A9">
      <w:pPr>
        <w:jc w:val="both"/>
      </w:pPr>
    </w:p>
    <w:p w:rsidR="0099709C" w:rsidRPr="0099709C" w:rsidRDefault="0063076D" w:rsidP="00D650A9">
      <w:pPr>
        <w:jc w:val="both"/>
        <w:rPr>
          <w:i/>
        </w:rPr>
      </w:pPr>
      <w:r>
        <w:rPr>
          <w:i/>
        </w:rPr>
        <w:t>lc)</w:t>
      </w:r>
      <w:r w:rsidR="0099709C" w:rsidRPr="0099709C">
        <w:rPr>
          <w:i/>
        </w:rPr>
        <w:t xml:space="preserve"> Nesrovnalosti</w:t>
      </w:r>
    </w:p>
    <w:p w:rsidR="0099709C" w:rsidRPr="0063076D" w:rsidRDefault="00D62541" w:rsidP="00D650A9">
      <w:pPr>
        <w:jc w:val="both"/>
      </w:pPr>
      <w:r w:rsidRPr="00D62541">
        <w:t>Bude nutno dořešit poté, co bude definováno, co se u finančních nástrojů považuje, resp. nepovažuje za nesrovnalost.</w:t>
      </w:r>
      <w:r w:rsidR="00DE4D5A">
        <w:t xml:space="preserve">  </w:t>
      </w:r>
      <w:r w:rsidR="0063076D">
        <w:t xml:space="preserve">V uvedené oblasti bude nutné dopracovat </w:t>
      </w:r>
      <w:r w:rsidR="00763F9C" w:rsidRPr="00763F9C">
        <w:t>Metodický pokyn finančních toků programů spolufinancovaných z Evropských strukturálních fondů, Fondu soudržnosti a Evropského námořního a rybářského fondu na programové období 2014 - 2020</w:t>
      </w:r>
      <w:r w:rsidR="0063076D">
        <w:t>. Návrh na její dopracování již MPO v minulosti předložilo na pracovní úrovni MF</w:t>
      </w:r>
      <w:r w:rsidR="00B57928">
        <w:t>.</w:t>
      </w:r>
      <w:r w:rsidR="00DE4D5A">
        <w:t xml:space="preserve">  </w:t>
      </w:r>
    </w:p>
    <w:p w:rsidR="00A22096" w:rsidRDefault="00A22096" w:rsidP="00D650A9">
      <w:pPr>
        <w:jc w:val="both"/>
        <w:rPr>
          <w:b/>
        </w:rPr>
      </w:pPr>
    </w:p>
    <w:p w:rsidR="00D650A9" w:rsidRDefault="00D62541" w:rsidP="00D650A9">
      <w:pPr>
        <w:pStyle w:val="Nadpis3"/>
        <w:jc w:val="both"/>
      </w:pPr>
      <w:bookmarkStart w:id="18" w:name="_Toc419730438"/>
      <w:r w:rsidRPr="00D62541">
        <w:t xml:space="preserve">2. </w:t>
      </w:r>
      <w:r w:rsidR="008C2BDA">
        <w:t xml:space="preserve">Provedení </w:t>
      </w:r>
      <w:r w:rsidRPr="00D62541">
        <w:t>Finanční</w:t>
      </w:r>
      <w:r w:rsidR="00F6392A">
        <w:t>ch</w:t>
      </w:r>
      <w:r w:rsidR="00DE4D5A">
        <w:t xml:space="preserve"> </w:t>
      </w:r>
      <w:r w:rsidRPr="00D62541">
        <w:t>nástroj</w:t>
      </w:r>
      <w:r w:rsidR="008C2BDA">
        <w:t>ů</w:t>
      </w:r>
      <w:r w:rsidRPr="00D62541">
        <w:t xml:space="preserve"> současně spravovan</w:t>
      </w:r>
      <w:r w:rsidR="00F6392A">
        <w:t>ých</w:t>
      </w:r>
      <w:r w:rsidRPr="00D62541">
        <w:t xml:space="preserve"> správcem Fondu fondů nebo vytvořen</w:t>
      </w:r>
      <w:r w:rsidR="008C2BDA">
        <w:t>ých</w:t>
      </w:r>
      <w:r w:rsidRPr="00D62541">
        <w:t xml:space="preserve"> přímo</w:t>
      </w:r>
      <w:bookmarkEnd w:id="18"/>
      <w:r w:rsidR="009A436E">
        <w:t xml:space="preserve"> </w:t>
      </w:r>
    </w:p>
    <w:p w:rsidR="007F0AAA" w:rsidRPr="007460D0" w:rsidRDefault="007F0AAA" w:rsidP="00D650A9">
      <w:pPr>
        <w:jc w:val="both"/>
        <w:rPr>
          <w:b/>
        </w:rPr>
      </w:pPr>
    </w:p>
    <w:p w:rsidR="007F0AAA" w:rsidRDefault="00F3622C" w:rsidP="00D650A9">
      <w:pPr>
        <w:pStyle w:val="Nadpis4"/>
        <w:jc w:val="both"/>
      </w:pPr>
      <w:r>
        <w:t>2</w:t>
      </w:r>
      <w:r w:rsidR="007F0AAA" w:rsidRPr="000E56D6">
        <w:t xml:space="preserve">. </w:t>
      </w:r>
      <w:r w:rsidR="007F0AAA">
        <w:t>1. V</w:t>
      </w:r>
      <w:r w:rsidR="007F0AAA" w:rsidRPr="000E56D6">
        <w:t xml:space="preserve">znik </w:t>
      </w:r>
      <w:r w:rsidR="007F0AAA">
        <w:t>F</w:t>
      </w:r>
      <w:r w:rsidR="00A2688D">
        <w:t>N</w:t>
      </w:r>
    </w:p>
    <w:p w:rsidR="008E6AB0" w:rsidRDefault="00924B7D" w:rsidP="008E6AB0">
      <w:pPr>
        <w:pStyle w:val="Odstavecseseznamem"/>
        <w:ind w:left="0"/>
        <w:jc w:val="both"/>
      </w:pPr>
      <w:r>
        <w:t xml:space="preserve">Finanční nástroj </w:t>
      </w:r>
      <w:r w:rsidR="008E6AB0">
        <w:t xml:space="preserve">vznikne buď jako součást Dohody o financování pro vytvoření Fondu </w:t>
      </w:r>
      <w:r>
        <w:t>fondů, pokud bude jeho součástí</w:t>
      </w:r>
      <w:r w:rsidR="008E6AB0">
        <w:t xml:space="preserve">, nebo na základě samostatné Dohody o </w:t>
      </w:r>
      <w:r>
        <w:t xml:space="preserve">financování </w:t>
      </w:r>
      <w:r w:rsidR="008E6AB0">
        <w:t xml:space="preserve">vznikne na základě vzorové Dohody o financování.  </w:t>
      </w:r>
    </w:p>
    <w:p w:rsidR="008E6AB0" w:rsidRDefault="008E6AB0" w:rsidP="008E6AB0">
      <w:pPr>
        <w:pStyle w:val="Odstavecseseznamem"/>
        <w:ind w:left="0"/>
        <w:jc w:val="both"/>
      </w:pPr>
    </w:p>
    <w:p w:rsidR="008E6AB0" w:rsidRDefault="008E6AB0" w:rsidP="008E6AB0">
      <w:pPr>
        <w:pStyle w:val="Odstavecseseznamem"/>
        <w:ind w:left="0"/>
        <w:jc w:val="both"/>
      </w:pPr>
      <w:r>
        <w:t>V případě vzniku Finanční</w:t>
      </w:r>
      <w:r w:rsidR="00924B7D">
        <w:t>ho</w:t>
      </w:r>
      <w:r>
        <w:t xml:space="preserve"> nástroje v rámci Fondu fondů, tj. pokud bude Příjemce plnit úl</w:t>
      </w:r>
      <w:r w:rsidR="0009333D">
        <w:t>o</w:t>
      </w:r>
      <w:r>
        <w:t>hu správce pro Fond fondů</w:t>
      </w:r>
      <w:r w:rsidR="00924B7D">
        <w:t xml:space="preserve"> i Finanční nástroj současně, </w:t>
      </w:r>
      <w:r>
        <w:t xml:space="preserve">budou podmínky fungování jednotlivých  Finančních nástrojů zahrnuty pro účely její přehlednosti jako zvláštní části této dohody ve formě </w:t>
      </w:r>
      <w:r w:rsidR="0009333D">
        <w:t xml:space="preserve">jejích </w:t>
      </w:r>
      <w:r>
        <w:t xml:space="preserve">příloh. Příslušný vzor </w:t>
      </w:r>
      <w:r w:rsidR="0009333D">
        <w:t>D</w:t>
      </w:r>
      <w:r>
        <w:t xml:space="preserve">ohody </w:t>
      </w:r>
      <w:r w:rsidR="0009333D">
        <w:t xml:space="preserve">o financování </w:t>
      </w:r>
      <w:r>
        <w:t>bude vypracován s využitím dostupných metodických doporučení</w:t>
      </w:r>
      <w:r w:rsidR="00924B7D">
        <w:t xml:space="preserve"> Evropské komise Ministerstvem </w:t>
      </w:r>
      <w:r>
        <w:t xml:space="preserve">pro místní rozvoj po předchozím projednání s MF, </w:t>
      </w:r>
      <w:r w:rsidR="00924B7D">
        <w:t xml:space="preserve">Řídícími orgány a ČMZRB a bude </w:t>
      </w:r>
      <w:r>
        <w:t xml:space="preserve">mít charakter metodického doporučení. Tento vzor bude využit při vypracování finální podoby konkrétní Dohody o financování mezi Řídícími orgány a Příjemcem pro potřeby jednotlivých Operačních programů. </w:t>
      </w:r>
    </w:p>
    <w:p w:rsidR="008E6AB0" w:rsidRDefault="008E6AB0" w:rsidP="008E6AB0">
      <w:pPr>
        <w:pStyle w:val="Odstavecseseznamem"/>
        <w:ind w:left="0"/>
        <w:jc w:val="both"/>
      </w:pPr>
    </w:p>
    <w:p w:rsidR="008E6AB0" w:rsidRDefault="0061319B" w:rsidP="008E6AB0">
      <w:pPr>
        <w:pStyle w:val="Odstavecseseznamem"/>
        <w:ind w:left="0"/>
        <w:jc w:val="both"/>
      </w:pPr>
      <w:r>
        <w:t>Obdobně bude postupováno v případě vzniku Finančního nástroje na základě samostatné dohody  uzavírané mezi Příjemcem jako správcem Fondu fondů a Finančním zprostředkovatelem  jako správcem Finančního nástroje</w:t>
      </w:r>
      <w:r w:rsidR="00DF78B5">
        <w:t>.</w:t>
      </w:r>
      <w:r w:rsidR="008E6AB0">
        <w:t xml:space="preserve"> </w:t>
      </w:r>
    </w:p>
    <w:p w:rsidR="008E6AB0" w:rsidRDefault="008E6AB0" w:rsidP="008E6AB0">
      <w:pPr>
        <w:pStyle w:val="Odstavecseseznamem"/>
        <w:ind w:left="0"/>
        <w:jc w:val="both"/>
      </w:pPr>
    </w:p>
    <w:p w:rsidR="00F30C0E" w:rsidRDefault="008E6AB0">
      <w:pPr>
        <w:pStyle w:val="Odstavecseseznamem"/>
        <w:ind w:left="0"/>
        <w:jc w:val="both"/>
      </w:pPr>
      <w:r>
        <w:t xml:space="preserve">Před uzavřením Dohody o financování ČMZRB jako správce Fondu fondů provedeno ověření toho, zda jsou naplněny </w:t>
      </w:r>
      <w:r w:rsidR="00317266">
        <w:t xml:space="preserve">příslušné </w:t>
      </w:r>
      <w:r>
        <w:t>podmínky stanovené článkem 7 Nařízení Komise (EU) č. 480/2014</w:t>
      </w:r>
      <w:r w:rsidR="00C51D4F">
        <w:t xml:space="preserve"> ze strany Finančního zprostředkovatele.</w:t>
      </w:r>
      <w:r>
        <w:t xml:space="preserve">      </w:t>
      </w:r>
    </w:p>
    <w:p w:rsidR="009A436E" w:rsidRDefault="009A436E" w:rsidP="00D650A9">
      <w:pPr>
        <w:jc w:val="both"/>
      </w:pPr>
    </w:p>
    <w:p w:rsidR="007F0AAA" w:rsidRDefault="00F3622C" w:rsidP="00D650A9">
      <w:pPr>
        <w:pStyle w:val="Nadpis4"/>
        <w:jc w:val="both"/>
      </w:pPr>
      <w:r>
        <w:t>2</w:t>
      </w:r>
      <w:r w:rsidR="007F0AAA">
        <w:t>. 2. Fungování</w:t>
      </w:r>
      <w:r w:rsidR="00DE4D5A">
        <w:t xml:space="preserve">  </w:t>
      </w:r>
      <w:r w:rsidR="007F0AAA">
        <w:t>F</w:t>
      </w:r>
      <w:r w:rsidR="00A2688D">
        <w:t>N</w:t>
      </w:r>
    </w:p>
    <w:p w:rsidR="00BC6504" w:rsidRPr="007371A2" w:rsidRDefault="00BC6504" w:rsidP="00D650A9">
      <w:pPr>
        <w:jc w:val="both"/>
        <w:rPr>
          <w:i/>
        </w:rPr>
      </w:pPr>
      <w:r w:rsidRPr="007371A2">
        <w:rPr>
          <w:i/>
        </w:rPr>
        <w:t>a) Činnost</w:t>
      </w:r>
      <w:r w:rsidR="00025B51">
        <w:rPr>
          <w:i/>
        </w:rPr>
        <w:t>i</w:t>
      </w:r>
      <w:r w:rsidRPr="007371A2">
        <w:rPr>
          <w:i/>
        </w:rPr>
        <w:t xml:space="preserve"> vykonávané při správě </w:t>
      </w:r>
      <w:r>
        <w:rPr>
          <w:i/>
        </w:rPr>
        <w:t>Finančního nástroje</w:t>
      </w:r>
    </w:p>
    <w:p w:rsidR="00BC6504" w:rsidRDefault="005C1151" w:rsidP="00D650A9">
      <w:pPr>
        <w:jc w:val="both"/>
      </w:pPr>
      <w:r>
        <w:t>viz příloha č. 6</w:t>
      </w:r>
    </w:p>
    <w:p w:rsidR="002C4201" w:rsidRDefault="002C4201" w:rsidP="00D650A9">
      <w:pPr>
        <w:jc w:val="both"/>
        <w:rPr>
          <w:i/>
        </w:rPr>
      </w:pPr>
    </w:p>
    <w:p w:rsidR="007F0AAA" w:rsidRPr="001D2742" w:rsidRDefault="001B5C92" w:rsidP="00D650A9">
      <w:pPr>
        <w:jc w:val="both"/>
        <w:rPr>
          <w:i/>
        </w:rPr>
      </w:pPr>
      <w:r w:rsidRPr="001B5C92">
        <w:rPr>
          <w:i/>
        </w:rPr>
        <w:t>b) Procesní schéma a nastavení finančních toků – předpokládané základní schéma podle typů Finančního nástroje</w:t>
      </w:r>
    </w:p>
    <w:p w:rsidR="005C1151" w:rsidRPr="00420F17" w:rsidRDefault="005C1151" w:rsidP="00D650A9">
      <w:pPr>
        <w:jc w:val="both"/>
        <w:rPr>
          <w:i/>
        </w:rPr>
      </w:pPr>
      <w:r w:rsidRPr="00420F17">
        <w:rPr>
          <w:i/>
        </w:rPr>
        <w:t xml:space="preserve">ba) Úvěrový </w:t>
      </w:r>
      <w:r w:rsidR="00991ED4">
        <w:rPr>
          <w:i/>
        </w:rPr>
        <w:t>fond</w:t>
      </w:r>
    </w:p>
    <w:p w:rsidR="002F66FB" w:rsidRDefault="00025B51" w:rsidP="002F66FB">
      <w:pPr>
        <w:jc w:val="both"/>
      </w:pPr>
      <w:r>
        <w:t xml:space="preserve">Po uzavření dohody </w:t>
      </w:r>
      <w:r w:rsidR="002F66FB">
        <w:t>o financován</w:t>
      </w:r>
      <w:r>
        <w:t>í</w:t>
      </w:r>
      <w:r w:rsidR="002F66FB">
        <w:t xml:space="preserve"> předloží ČMZRB prostřednictvím MS2014+ žádost o platbu, na jejímž základě bude proveden vklad první tranše prostředků do Fondu fondů a z něho dále vloženy prostředky do Finančního nástroje.  </w:t>
      </w:r>
    </w:p>
    <w:p w:rsidR="002F66FB" w:rsidRDefault="002F66FB" w:rsidP="002F66FB">
      <w:pPr>
        <w:jc w:val="both"/>
      </w:pPr>
      <w:r>
        <w:t>Před uvolněním první tranše prostředků pro Finanční</w:t>
      </w:r>
      <w:r w:rsidR="00025B51">
        <w:t xml:space="preserve"> nástroj vyhodnotí Řídící orgán, zda ČMZRB</w:t>
      </w:r>
      <w:r>
        <w:t xml:space="preserve">, splňuje </w:t>
      </w:r>
      <w:r w:rsidR="00317266">
        <w:t xml:space="preserve">příslušné </w:t>
      </w:r>
      <w:r>
        <w:t xml:space="preserve">podmínky čl. 7 Nařízení Komise č. 480/2014, v případě Finančních zprostředkovatelů tuto činnost zajistí ČMZRB. </w:t>
      </w:r>
    </w:p>
    <w:p w:rsidR="00C64CE2" w:rsidRDefault="00C64CE2" w:rsidP="002F66FB">
      <w:pPr>
        <w:jc w:val="both"/>
      </w:pPr>
      <w:r>
        <w:t>Po vyhlášení výzvy k podávání žádostí budou Finanční zprostředkovatelé</w:t>
      </w:r>
      <w:r w:rsidR="00025B51">
        <w:t xml:space="preserve"> používat prostředky vkladu do </w:t>
      </w:r>
      <w:r>
        <w:t>Finančního nástroje k poskytování úvěru, které budou ve stanoveném podílu spolufinancovat dalšími prostředky. Finanční zprostředkovatelé budou zabezpečovat veške</w:t>
      </w:r>
      <w:r w:rsidR="00025B51">
        <w:t>rý kontakt s Konečnými příjemci</w:t>
      </w:r>
      <w:r>
        <w:t>, vlastně splácání úvěrů a rozdělování splátek ve stanoveném poměru mezi Finanční</w:t>
      </w:r>
      <w:r w:rsidR="00025B51">
        <w:t>m</w:t>
      </w:r>
      <w:r>
        <w:t xml:space="preserve">  </w:t>
      </w:r>
      <w:r w:rsidR="002D6028">
        <w:t xml:space="preserve"> </w:t>
      </w:r>
      <w:r>
        <w:t>nástro</w:t>
      </w:r>
      <w:r w:rsidR="00025B51">
        <w:t>jem</w:t>
      </w:r>
      <w:r>
        <w:t xml:space="preserve"> a Fond</w:t>
      </w:r>
      <w:r w:rsidR="00025B51">
        <w:t>em</w:t>
      </w:r>
      <w:r>
        <w:t xml:space="preserve"> fondů a převod splátek do Fondu fondů od 1.</w:t>
      </w:r>
      <w:r w:rsidR="00025B51">
        <w:t xml:space="preserve"> 1. 2024</w:t>
      </w:r>
      <w:r>
        <w:t>, pokud tak stanoví dohoda o financování.</w:t>
      </w:r>
    </w:p>
    <w:p w:rsidR="002F66FB" w:rsidRDefault="002F66FB" w:rsidP="002F66FB">
      <w:pPr>
        <w:jc w:val="both"/>
      </w:pPr>
      <w:r>
        <w:t>Po vyčerpání stanoveného podílu první tranše vložené do Fina</w:t>
      </w:r>
      <w:r w:rsidR="00317266">
        <w:t>n</w:t>
      </w:r>
      <w:r>
        <w:t>čního nástroje vyhodnotí ČMZRB na základě žádosti Finančního zprostředkovatele o doplnění prostředků Finančního nástroje opodstatněnost dalšího vkladu do Finančního nástroje. Obdobně bude postupováno i při dalším navyšování vkladu. Před poskytnutí</w:t>
      </w:r>
      <w:r w:rsidR="00025B51">
        <w:t>m druhého a následujících vkladů</w:t>
      </w:r>
      <w:r w:rsidR="002D6028">
        <w:t xml:space="preserve"> Finančnímu zprostředkovateli </w:t>
      </w:r>
      <w:r>
        <w:t>bu</w:t>
      </w:r>
      <w:r w:rsidR="002D6028">
        <w:t xml:space="preserve">dou Finanční zprostředkovatelé </w:t>
      </w:r>
      <w:r>
        <w:t>povinni doložit vyčerpání minimálně 60 –</w:t>
      </w:r>
      <w:r w:rsidR="002D6028">
        <w:t xml:space="preserve"> 80 % vkladu </w:t>
      </w:r>
      <w:r>
        <w:t xml:space="preserve">čerpáním  úvěru k úhradě výdajů Konečných zprostředkovatelů (podle pořadí tranše). </w:t>
      </w:r>
    </w:p>
    <w:p w:rsidR="002F66FB" w:rsidRDefault="005F6BED" w:rsidP="002F66FB">
      <w:pPr>
        <w:jc w:val="both"/>
      </w:pPr>
      <w:r>
        <w:t>Z</w:t>
      </w:r>
      <w:r w:rsidR="00025B51">
        <w:t xml:space="preserve"> vkladu</w:t>
      </w:r>
      <w:r w:rsidR="002F66FB">
        <w:t>, který Finanční zprostředkovatel nebude využívat v poskytnutých úvěrech bude platit úrok,  který bude navyšovat vklad do Finančního nástroje.</w:t>
      </w:r>
    </w:p>
    <w:p w:rsidR="002F66FB" w:rsidRDefault="002F66FB" w:rsidP="002F66FB">
      <w:pPr>
        <w:jc w:val="both"/>
      </w:pPr>
      <w:r>
        <w:t>Finančnímu zprostředkovateli bude k úhradě nákladu za správu Finanč</w:t>
      </w:r>
      <w:r w:rsidR="005F6BED">
        <w:t>ního nástroje hrazen poplatek za</w:t>
      </w:r>
      <w:r>
        <w:t xml:space="preserve"> správu do výše limitů stanovených Nařízením Komise č. 480/2014.                                </w:t>
      </w:r>
    </w:p>
    <w:p w:rsidR="002F66FB" w:rsidRDefault="002F66FB" w:rsidP="002F66FB">
      <w:pPr>
        <w:jc w:val="both"/>
      </w:pPr>
      <w:r w:rsidRPr="007F55AD">
        <w:t>Finanční toky Úvěrov</w:t>
      </w:r>
      <w:r>
        <w:t>ého</w:t>
      </w:r>
      <w:r w:rsidRPr="007F55AD">
        <w:t xml:space="preserve"> </w:t>
      </w:r>
      <w:r w:rsidR="00A64A50">
        <w:t>f</w:t>
      </w:r>
      <w:r w:rsidRPr="007F55AD">
        <w:t>ondu bud</w:t>
      </w:r>
      <w:r>
        <w:t>o</w:t>
      </w:r>
      <w:r w:rsidRPr="007F55AD">
        <w:t>u probíhat podle těchto zásad</w:t>
      </w:r>
      <w:r>
        <w:t>, a to vždy odděleně pro jednotlivé programy podpory</w:t>
      </w:r>
      <w:r w:rsidRPr="007F55AD">
        <w:t xml:space="preserve">: </w:t>
      </w:r>
    </w:p>
    <w:p w:rsidR="00F30C0E" w:rsidRDefault="00025B51">
      <w:pPr>
        <w:pStyle w:val="Odstavecseseznamem"/>
        <w:numPr>
          <w:ilvl w:val="0"/>
          <w:numId w:val="35"/>
        </w:numPr>
        <w:jc w:val="both"/>
      </w:pPr>
      <w:r>
        <w:t xml:space="preserve">Prostředky z Fondu fondů budou převáděny </w:t>
      </w:r>
      <w:r w:rsidR="00991ED4">
        <w:t xml:space="preserve">na účet PZ. </w:t>
      </w:r>
      <w:r w:rsidR="00F82A71">
        <w:t xml:space="preserve"> </w:t>
      </w:r>
    </w:p>
    <w:p w:rsidR="00F30C0E" w:rsidRDefault="00F82A71">
      <w:pPr>
        <w:pStyle w:val="Odstavecseseznamem"/>
        <w:numPr>
          <w:ilvl w:val="0"/>
          <w:numId w:val="35"/>
        </w:numPr>
        <w:jc w:val="both"/>
      </w:pPr>
      <w:r>
        <w:t>Po uzavření smlouvy o úvěru bude Fina</w:t>
      </w:r>
      <w:r w:rsidR="00A1540C">
        <w:t xml:space="preserve">nční zprostředkovatel převádět </w:t>
      </w:r>
      <w:r>
        <w:t>prostředky na neúročený úče</w:t>
      </w:r>
      <w:r w:rsidR="00A1540C">
        <w:t xml:space="preserve">t C, ze kterého bude prováděno </w:t>
      </w:r>
      <w:r>
        <w:t>spolufinancování jednotlivých čerpání poskytnutého úvěru k úhrad</w:t>
      </w:r>
      <w:r w:rsidR="00A1540C">
        <w:t>ě</w:t>
      </w:r>
      <w:r>
        <w:t xml:space="preserve"> faktur předložených Konečným příjemcem. Nedočerpané částky úvěrů budou z účtu C vraceny na účet PZ.</w:t>
      </w:r>
    </w:p>
    <w:p w:rsidR="00F30C0E" w:rsidRDefault="00F82A71">
      <w:pPr>
        <w:pStyle w:val="Odstavecseseznamem"/>
        <w:numPr>
          <w:ilvl w:val="0"/>
          <w:numId w:val="35"/>
        </w:numPr>
        <w:jc w:val="both"/>
      </w:pPr>
      <w:r>
        <w:t xml:space="preserve">Finanční zprostředkovatel zabezpečí rozdělení splátek úvěrů </w:t>
      </w:r>
      <w:r w:rsidR="00C423CE">
        <w:t>a</w:t>
      </w:r>
      <w:r>
        <w:t xml:space="preserve"> jejich příslušenství v poměru podílu spolufinan</w:t>
      </w:r>
      <w:r w:rsidR="005F6BED">
        <w:t xml:space="preserve">cování poskytnutého z Úvěrového fondu na </w:t>
      </w:r>
      <w:r>
        <w:t>celkovém čerpání úvěru.</w:t>
      </w:r>
    </w:p>
    <w:p w:rsidR="00F30C0E" w:rsidRDefault="001D2742">
      <w:pPr>
        <w:pStyle w:val="Odstavecseseznamem"/>
        <w:numPr>
          <w:ilvl w:val="0"/>
          <w:numId w:val="36"/>
        </w:numPr>
        <w:jc w:val="both"/>
      </w:pPr>
      <w:r>
        <w:t xml:space="preserve">Úrok z vkladu na účtu PZ budou Finanční zprostředkovatelé převádět na Účet úroků </w:t>
      </w:r>
      <w:r w:rsidR="005F6BED">
        <w:t>z vkladů do Finančního nástroje</w:t>
      </w:r>
      <w:r>
        <w:t xml:space="preserve"> (YFZ/4300). </w:t>
      </w:r>
    </w:p>
    <w:p w:rsidR="00F30C0E" w:rsidRDefault="001D2742">
      <w:pPr>
        <w:pStyle w:val="Odstavecseseznamem"/>
        <w:numPr>
          <w:ilvl w:val="0"/>
          <w:numId w:val="36"/>
        </w:numPr>
        <w:jc w:val="both"/>
      </w:pPr>
      <w:r>
        <w:t>Uhrazené splátky jistiny úvěru poskytnuté z prostředků Finanč</w:t>
      </w:r>
      <w:r w:rsidR="00A1540C">
        <w:t xml:space="preserve">ního nástroje budou vedeny na Účtu </w:t>
      </w:r>
      <w:r>
        <w:t>s</w:t>
      </w:r>
      <w:r w:rsidR="00A1540C">
        <w:t xml:space="preserve">plátek jistiny úvěru SJ, úroky </w:t>
      </w:r>
      <w:r>
        <w:t>z úvěru na Účtu splátek úroků z úvěru -  SU</w:t>
      </w:r>
      <w:r w:rsidR="00A1540C">
        <w:t>.</w:t>
      </w:r>
    </w:p>
    <w:p w:rsidR="00F30C0E" w:rsidRDefault="001D2742">
      <w:pPr>
        <w:pStyle w:val="Odstavecseseznamem"/>
        <w:numPr>
          <w:ilvl w:val="0"/>
          <w:numId w:val="36"/>
        </w:numPr>
        <w:jc w:val="both"/>
      </w:pPr>
      <w:r>
        <w:t>Uhrazené splátky úroků z prodlení z úvěrů poskytnutých Konečným příjemcům ze</w:t>
      </w:r>
      <w:r w:rsidR="00C423CE">
        <w:t xml:space="preserve"> </w:t>
      </w:r>
      <w:r>
        <w:t>zdrojů  vkladu do FN budou převáděny na Účet splátek úroků  z prodlení od konečných příjemců (SP/4300).</w:t>
      </w:r>
    </w:p>
    <w:p w:rsidR="00F30C0E" w:rsidRDefault="001D2742">
      <w:pPr>
        <w:pStyle w:val="Odstavecseseznamem"/>
        <w:numPr>
          <w:ilvl w:val="0"/>
          <w:numId w:val="36"/>
        </w:numPr>
        <w:jc w:val="both"/>
      </w:pPr>
      <w:r>
        <w:t>Uhrazené sankce za porušení podmínek programu (smluvní pokuty) budou Finančními zprostředkovateli převáděny na účet SX/4300.</w:t>
      </w:r>
    </w:p>
    <w:p w:rsidR="00F30C0E" w:rsidRDefault="001D2742">
      <w:pPr>
        <w:pStyle w:val="Odstavecseseznamem"/>
        <w:numPr>
          <w:ilvl w:val="0"/>
          <w:numId w:val="36"/>
        </w:numPr>
        <w:jc w:val="both"/>
      </w:pPr>
      <w:r>
        <w:t>Uhrazené splátky úroků z úv</w:t>
      </w:r>
      <w:r w:rsidR="00A1540C">
        <w:t xml:space="preserve">ěru, úroků z prodlení a sankce </w:t>
      </w:r>
      <w:r>
        <w:t>budou převáděny na příslušné účty Fondu fondů, na kterých budou evidovány prostředky vracené d</w:t>
      </w:r>
      <w:r w:rsidR="00A1540C">
        <w:t xml:space="preserve">o Fondu fondů. Splátky jistiny </w:t>
      </w:r>
      <w:r>
        <w:t>úvěrů budou opětovně využívány pro poskytování</w:t>
      </w:r>
      <w:r w:rsidR="00A1540C">
        <w:t xml:space="preserve"> nových úvěrů, případně ve fázi </w:t>
      </w:r>
      <w:r>
        <w:t xml:space="preserve">uzavírání Finančního nástroje na příslušný účet Fondu fondů. Před provedením těchto </w:t>
      </w:r>
      <w:r w:rsidR="00A1540C">
        <w:t>převodů</w:t>
      </w:r>
      <w:r>
        <w:t xml:space="preserve"> bude Finanční zprostředkovatel oprávněn inkasovat poplatek za správu Finančního nástroje.</w:t>
      </w:r>
    </w:p>
    <w:p w:rsidR="00A1540C" w:rsidRDefault="00A1540C" w:rsidP="00991ED4">
      <w:pPr>
        <w:pStyle w:val="Odstavecseseznamem"/>
        <w:ind w:left="0"/>
      </w:pPr>
    </w:p>
    <w:p w:rsidR="00991ED4" w:rsidRDefault="00991ED4" w:rsidP="00991ED4">
      <w:pPr>
        <w:pStyle w:val="Odstavecseseznamem"/>
        <w:ind w:left="0"/>
      </w:pPr>
      <w:r w:rsidRPr="00281A5B">
        <w:t>Úvěr</w:t>
      </w:r>
      <w:r>
        <w:t>o</w:t>
      </w:r>
      <w:r w:rsidRPr="00281A5B">
        <w:t>vý fond bude</w:t>
      </w:r>
      <w:r>
        <w:t xml:space="preserve"> tvořen těmito účty:</w:t>
      </w:r>
    </w:p>
    <w:tbl>
      <w:tblPr>
        <w:tblStyle w:val="Mkatabulky"/>
        <w:tblW w:w="0" w:type="auto"/>
        <w:tblLook w:val="04A0"/>
      </w:tblPr>
      <w:tblGrid>
        <w:gridCol w:w="4786"/>
        <w:gridCol w:w="2552"/>
      </w:tblGrid>
      <w:tr w:rsidR="001D2742" w:rsidTr="00991ED4">
        <w:tc>
          <w:tcPr>
            <w:tcW w:w="4786" w:type="dxa"/>
          </w:tcPr>
          <w:p w:rsidR="001D2742" w:rsidRDefault="001D2742" w:rsidP="00991ED4">
            <w:pPr>
              <w:pStyle w:val="Odstavecseseznamem"/>
              <w:ind w:left="0"/>
            </w:pPr>
            <w:r w:rsidRPr="00142A68">
              <w:t>Název účtu</w:t>
            </w:r>
          </w:p>
        </w:tc>
        <w:tc>
          <w:tcPr>
            <w:tcW w:w="2552" w:type="dxa"/>
          </w:tcPr>
          <w:p w:rsidR="001D2742" w:rsidRDefault="001D2742" w:rsidP="00991ED4">
            <w:pPr>
              <w:pStyle w:val="Odstavecseseznamem"/>
              <w:ind w:left="0"/>
            </w:pPr>
            <w:r w:rsidRPr="00142A68">
              <w:t>Označení účtu</w:t>
            </w:r>
          </w:p>
        </w:tc>
      </w:tr>
      <w:tr w:rsidR="001D2742" w:rsidTr="00991ED4">
        <w:tc>
          <w:tcPr>
            <w:tcW w:w="4786" w:type="dxa"/>
          </w:tcPr>
          <w:p w:rsidR="00F30C0E" w:rsidRDefault="00A1540C">
            <w:pPr>
              <w:pStyle w:val="Odstavecseseznamem"/>
              <w:ind w:left="0"/>
              <w:rPr>
                <w:rFonts w:eastAsiaTheme="minorHAnsi"/>
                <w:lang w:eastAsia="en-US"/>
              </w:rPr>
            </w:pPr>
            <w:r>
              <w:t xml:space="preserve">Účet vkladu do Úvěrového </w:t>
            </w:r>
            <w:r w:rsidR="001D2742" w:rsidRPr="00142A68">
              <w:t>fondu</w:t>
            </w:r>
            <w:r w:rsidR="001D2742">
              <w:t xml:space="preserve"> </w:t>
            </w:r>
          </w:p>
        </w:tc>
        <w:tc>
          <w:tcPr>
            <w:tcW w:w="2552" w:type="dxa"/>
          </w:tcPr>
          <w:p w:rsidR="00F30C0E" w:rsidRDefault="001D2742" w:rsidP="002C4201">
            <w:pPr>
              <w:pStyle w:val="Odstavecseseznamem"/>
              <w:ind w:left="0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eastAsia="en-US"/>
              </w:rPr>
            </w:pPr>
            <w:r>
              <w:t>PZ</w:t>
            </w:r>
          </w:p>
        </w:tc>
      </w:tr>
      <w:tr w:rsidR="00C64CE2" w:rsidTr="00991ED4">
        <w:tc>
          <w:tcPr>
            <w:tcW w:w="4786" w:type="dxa"/>
          </w:tcPr>
          <w:p w:rsidR="00C64CE2" w:rsidRPr="00142A68" w:rsidRDefault="00C64CE2" w:rsidP="001D2742">
            <w:pPr>
              <w:pStyle w:val="Odstavecseseznamem"/>
              <w:ind w:left="0"/>
            </w:pPr>
            <w:r>
              <w:t>Účet odměn</w:t>
            </w:r>
          </w:p>
        </w:tc>
        <w:tc>
          <w:tcPr>
            <w:tcW w:w="2552" w:type="dxa"/>
          </w:tcPr>
          <w:p w:rsidR="00C64CE2" w:rsidRDefault="00C64CE2" w:rsidP="002C4201">
            <w:pPr>
              <w:pStyle w:val="Odstavecseseznamem"/>
              <w:ind w:left="0"/>
            </w:pPr>
            <w:r>
              <w:t>P</w:t>
            </w:r>
          </w:p>
        </w:tc>
      </w:tr>
      <w:tr w:rsidR="001D2742" w:rsidTr="00991ED4">
        <w:tc>
          <w:tcPr>
            <w:tcW w:w="4786" w:type="dxa"/>
          </w:tcPr>
          <w:p w:rsidR="00F30C0E" w:rsidRDefault="001D2742">
            <w:pPr>
              <w:pStyle w:val="Odstavecseseznamem"/>
              <w:ind w:left="0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eastAsia="en-US"/>
              </w:rPr>
            </w:pPr>
            <w:r w:rsidRPr="00142A68">
              <w:t xml:space="preserve">Čerpací účet poskytnutých úvěrů </w:t>
            </w:r>
          </w:p>
        </w:tc>
        <w:tc>
          <w:tcPr>
            <w:tcW w:w="2552" w:type="dxa"/>
          </w:tcPr>
          <w:p w:rsidR="00F30C0E" w:rsidRDefault="001D2742" w:rsidP="002C4201">
            <w:pPr>
              <w:pStyle w:val="Odstavecseseznamem"/>
              <w:ind w:left="0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eastAsia="en-US"/>
              </w:rPr>
            </w:pPr>
            <w:r>
              <w:t>C</w:t>
            </w:r>
          </w:p>
        </w:tc>
      </w:tr>
      <w:tr w:rsidR="001D2742" w:rsidTr="00991ED4">
        <w:tc>
          <w:tcPr>
            <w:tcW w:w="4786" w:type="dxa"/>
          </w:tcPr>
          <w:p w:rsidR="00F30C0E" w:rsidRDefault="001D2742" w:rsidP="002C4201">
            <w:pPr>
              <w:pStyle w:val="Odstavecseseznamem"/>
              <w:ind w:left="0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eastAsia="en-US"/>
              </w:rPr>
            </w:pPr>
            <w:r>
              <w:t xml:space="preserve">Účet úroků z vkladu </w:t>
            </w:r>
            <w:r w:rsidR="002C4201">
              <w:t xml:space="preserve">Finančního nástroje  </w:t>
            </w:r>
          </w:p>
        </w:tc>
        <w:tc>
          <w:tcPr>
            <w:tcW w:w="2552" w:type="dxa"/>
          </w:tcPr>
          <w:p w:rsidR="00F30C0E" w:rsidRDefault="001D2742" w:rsidP="00A1540C">
            <w:pPr>
              <w:pStyle w:val="Odstavecseseznamem"/>
              <w:ind w:left="0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eastAsia="en-US"/>
              </w:rPr>
            </w:pPr>
            <w:r>
              <w:t>YFZ/4300</w:t>
            </w:r>
          </w:p>
        </w:tc>
      </w:tr>
      <w:tr w:rsidR="001D2742" w:rsidTr="00991ED4">
        <w:tc>
          <w:tcPr>
            <w:tcW w:w="4786" w:type="dxa"/>
          </w:tcPr>
          <w:p w:rsidR="00F30C0E" w:rsidRDefault="001D2742">
            <w:pPr>
              <w:pStyle w:val="Odstavecseseznamem"/>
              <w:ind w:left="0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eastAsia="en-US"/>
              </w:rPr>
            </w:pPr>
            <w:r>
              <w:t>Účet splátek jistiny úvěru</w:t>
            </w:r>
          </w:p>
        </w:tc>
        <w:tc>
          <w:tcPr>
            <w:tcW w:w="2552" w:type="dxa"/>
          </w:tcPr>
          <w:p w:rsidR="00F30C0E" w:rsidRDefault="001D2742">
            <w:pPr>
              <w:pStyle w:val="Odstavecseseznamem"/>
              <w:ind w:left="0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eastAsia="en-US"/>
              </w:rPr>
            </w:pPr>
            <w:r>
              <w:t>SJ/4300</w:t>
            </w:r>
          </w:p>
        </w:tc>
      </w:tr>
      <w:tr w:rsidR="001D2742" w:rsidTr="00991ED4">
        <w:tc>
          <w:tcPr>
            <w:tcW w:w="4786" w:type="dxa"/>
          </w:tcPr>
          <w:p w:rsidR="00F30C0E" w:rsidRDefault="001D2742">
            <w:pPr>
              <w:pStyle w:val="Odstavecseseznamem"/>
              <w:ind w:left="0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eastAsia="en-US"/>
              </w:rPr>
            </w:pPr>
            <w:r>
              <w:t xml:space="preserve">Účet splátek úroků </w:t>
            </w:r>
          </w:p>
        </w:tc>
        <w:tc>
          <w:tcPr>
            <w:tcW w:w="2552" w:type="dxa"/>
          </w:tcPr>
          <w:p w:rsidR="00F30C0E" w:rsidRDefault="001D2742">
            <w:pPr>
              <w:pStyle w:val="Odstavecseseznamem"/>
              <w:ind w:left="0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eastAsia="en-US"/>
              </w:rPr>
            </w:pPr>
            <w:r>
              <w:t>SU/4300</w:t>
            </w:r>
          </w:p>
        </w:tc>
      </w:tr>
      <w:tr w:rsidR="001D2742" w:rsidTr="00991ED4">
        <w:tc>
          <w:tcPr>
            <w:tcW w:w="4786" w:type="dxa"/>
          </w:tcPr>
          <w:p w:rsidR="00F30C0E" w:rsidRDefault="001D2742">
            <w:pPr>
              <w:pStyle w:val="Odstavecseseznamem"/>
              <w:ind w:left="0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eastAsia="en-US"/>
              </w:rPr>
            </w:pPr>
            <w:r>
              <w:t xml:space="preserve">Účet splátek úroků z prodlení </w:t>
            </w:r>
          </w:p>
        </w:tc>
        <w:tc>
          <w:tcPr>
            <w:tcW w:w="2552" w:type="dxa"/>
          </w:tcPr>
          <w:p w:rsidR="00F30C0E" w:rsidRDefault="001D2742">
            <w:pPr>
              <w:pStyle w:val="Odstavecseseznamem"/>
              <w:ind w:left="0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eastAsia="en-US"/>
              </w:rPr>
            </w:pPr>
            <w:r>
              <w:t>SP/4300</w:t>
            </w:r>
          </w:p>
        </w:tc>
      </w:tr>
      <w:tr w:rsidR="001D2742" w:rsidTr="00991ED4">
        <w:tc>
          <w:tcPr>
            <w:tcW w:w="4786" w:type="dxa"/>
          </w:tcPr>
          <w:p w:rsidR="00F30C0E" w:rsidRDefault="001D2742">
            <w:pPr>
              <w:pStyle w:val="Odstavecseseznamem"/>
              <w:ind w:left="0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eastAsia="en-US"/>
              </w:rPr>
            </w:pPr>
            <w:r>
              <w:t xml:space="preserve">Účet splátek sankcí   </w:t>
            </w:r>
          </w:p>
        </w:tc>
        <w:tc>
          <w:tcPr>
            <w:tcW w:w="2552" w:type="dxa"/>
          </w:tcPr>
          <w:p w:rsidR="00F30C0E" w:rsidRDefault="001D2742">
            <w:pPr>
              <w:pStyle w:val="Odstavecseseznamem"/>
              <w:ind w:left="0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52"/>
                <w:szCs w:val="52"/>
                <w:lang w:eastAsia="en-US"/>
              </w:rPr>
            </w:pPr>
            <w:r>
              <w:t>SX/4300</w:t>
            </w:r>
          </w:p>
        </w:tc>
      </w:tr>
    </w:tbl>
    <w:p w:rsidR="005C1151" w:rsidRDefault="005C1151" w:rsidP="00D650A9">
      <w:pPr>
        <w:jc w:val="both"/>
      </w:pPr>
    </w:p>
    <w:p w:rsidR="001D2742" w:rsidRDefault="001D2742" w:rsidP="00D650A9">
      <w:pPr>
        <w:jc w:val="both"/>
      </w:pPr>
      <w:r>
        <w:t xml:space="preserve">Schéma  finančních toků  viz bod  G.III. 1.2. da) </w:t>
      </w:r>
    </w:p>
    <w:p w:rsidR="00C64CE2" w:rsidRDefault="00C64CE2" w:rsidP="00D650A9">
      <w:pPr>
        <w:jc w:val="both"/>
        <w:rPr>
          <w:i/>
        </w:rPr>
      </w:pPr>
    </w:p>
    <w:p w:rsidR="005C1151" w:rsidRPr="001D2742" w:rsidRDefault="001B5C92" w:rsidP="00D650A9">
      <w:pPr>
        <w:jc w:val="both"/>
        <w:rPr>
          <w:i/>
        </w:rPr>
      </w:pPr>
      <w:r w:rsidRPr="001B5C92">
        <w:rPr>
          <w:i/>
        </w:rPr>
        <w:t xml:space="preserve">bb) Záruční fond </w:t>
      </w:r>
    </w:p>
    <w:p w:rsidR="00C64CE2" w:rsidRDefault="00C64CE2" w:rsidP="00C64CE2">
      <w:pPr>
        <w:jc w:val="both"/>
      </w:pPr>
      <w:r>
        <w:t>Po uzavření dohody o financován</w:t>
      </w:r>
      <w:r w:rsidR="00A1540C">
        <w:t>í</w:t>
      </w:r>
      <w:r>
        <w:t xml:space="preserve"> předloží ČMZRB prostřednictvím MS2014+ žádost o platbu, na jejímž základě bude proveden vklad první tranše prostředků do Fondu fondů a z něho dále vloženy prostředky do Finančního nástroje.  </w:t>
      </w:r>
    </w:p>
    <w:p w:rsidR="00C64CE2" w:rsidRDefault="00C64CE2" w:rsidP="00C64CE2">
      <w:pPr>
        <w:jc w:val="both"/>
      </w:pPr>
      <w:r>
        <w:t>Před uvolněním první tranše prostředků pro Finanční nástroj vyhodnotí Řídící orgán</w:t>
      </w:r>
      <w:r w:rsidR="00A1540C">
        <w:t>, zda ČMZRB</w:t>
      </w:r>
      <w:r>
        <w:t xml:space="preserve">, splňuje příslušné podmínky čl. 7 Nařízení Komise č. 480/2014, v případě Finančních zprostředkovatelů tuto činnost zajistí ČMZRB. </w:t>
      </w:r>
    </w:p>
    <w:p w:rsidR="00C64CE2" w:rsidRDefault="00C64CE2" w:rsidP="00C64CE2">
      <w:pPr>
        <w:jc w:val="both"/>
      </w:pPr>
      <w:r>
        <w:t>Po vyhlášení výzvy k podávání žádostí budou Finanční zprostředkovatelé poskytovat úvěry</w:t>
      </w:r>
      <w:r w:rsidR="00F80FBC">
        <w:t>, jejic</w:t>
      </w:r>
      <w:r w:rsidR="00A1540C">
        <w:t xml:space="preserve">hž riziko bude </w:t>
      </w:r>
      <w:r w:rsidR="00F80FBC">
        <w:t>částečně kr</w:t>
      </w:r>
      <w:r w:rsidR="00A1540C">
        <w:t>yto prostředky Záručního fondu</w:t>
      </w:r>
      <w:r>
        <w:t>.</w:t>
      </w:r>
      <w:r w:rsidR="00F80FBC">
        <w:t xml:space="preserve"> </w:t>
      </w:r>
    </w:p>
    <w:p w:rsidR="00F80FBC" w:rsidRDefault="00F80FBC" w:rsidP="00F80FBC">
      <w:pPr>
        <w:jc w:val="both"/>
      </w:pPr>
      <w:r>
        <w:t>Po vyčerpání stanoveného podílu první tranše vložené do Finančního nástroje vyhodnotí ČMZRB na základě žádosti Finančního zprostředkovatele o doplnění prostředků Finančního nástroje opodstatněnost dalšího vkladu do Finančního nástroje. Obdobně bude postupováno i při dalším navyšování vkladu. Před poskytnutí</w:t>
      </w:r>
      <w:r w:rsidR="00A1540C">
        <w:t>m druhého a následujících vkladů</w:t>
      </w:r>
      <w:r w:rsidR="005F6BED">
        <w:t xml:space="preserve"> Finančnímu zprostředkovateli </w:t>
      </w:r>
      <w:r>
        <w:t>budou Finanční zprost</w:t>
      </w:r>
      <w:r w:rsidR="005F6BED">
        <w:t xml:space="preserve">ředkovatelé </w:t>
      </w:r>
      <w:r>
        <w:t>povinni doložit vyčerp</w:t>
      </w:r>
      <w:r w:rsidR="005F6BED">
        <w:t xml:space="preserve">ání minimálně 60 – 80 % vkladu </w:t>
      </w:r>
      <w:r>
        <w:t xml:space="preserve">čerpáním  </w:t>
      </w:r>
      <w:r w:rsidR="000E04D5">
        <w:t xml:space="preserve">zaručených </w:t>
      </w:r>
      <w:r>
        <w:t>úvěr</w:t>
      </w:r>
      <w:r w:rsidR="000E04D5">
        <w:t>ů</w:t>
      </w:r>
      <w:r>
        <w:t xml:space="preserve"> k úhradě výdajů Konečných zprostředkovatelů (podle pořadí tranše). </w:t>
      </w:r>
    </w:p>
    <w:p w:rsidR="00F80FBC" w:rsidRDefault="005F6BED" w:rsidP="00F80FBC">
      <w:pPr>
        <w:jc w:val="both"/>
      </w:pPr>
      <w:r>
        <w:t>Z</w:t>
      </w:r>
      <w:r w:rsidR="00F80FBC">
        <w:t xml:space="preserve"> vkladu, který F</w:t>
      </w:r>
      <w:r>
        <w:t xml:space="preserve">inanční zprostředkovatel nebude </w:t>
      </w:r>
      <w:r w:rsidR="00F80FBC">
        <w:t>využívat v poskytnutých úvěrech bude</w:t>
      </w:r>
      <w:r>
        <w:t xml:space="preserve"> </w:t>
      </w:r>
      <w:r w:rsidR="00F80FBC">
        <w:t>platit</w:t>
      </w:r>
      <w:r>
        <w:t xml:space="preserve"> úrok, </w:t>
      </w:r>
      <w:r w:rsidR="00F80FBC">
        <w:t>který bude navyšovat vklad do Finančního nástroje.</w:t>
      </w:r>
    </w:p>
    <w:p w:rsidR="00A64A50" w:rsidRDefault="00F80FBC" w:rsidP="00F80FBC">
      <w:pPr>
        <w:jc w:val="both"/>
      </w:pPr>
      <w:r>
        <w:t>Finančnímu zprostř</w:t>
      </w:r>
      <w:r w:rsidR="00A1540C">
        <w:t>edkovateli bude k úhradě nákladů</w:t>
      </w:r>
      <w:r>
        <w:t xml:space="preserve"> za správu Finanč</w:t>
      </w:r>
      <w:r w:rsidR="005F6BED">
        <w:t>ního nástroje hrazen poplatek za</w:t>
      </w:r>
      <w:r>
        <w:t xml:space="preserve"> správu do výše limitů stanovených Nařízením Komise č. 480/2014.  </w:t>
      </w:r>
    </w:p>
    <w:p w:rsidR="00A64A50" w:rsidRDefault="00F80FBC" w:rsidP="00A64A50">
      <w:pPr>
        <w:jc w:val="both"/>
      </w:pPr>
      <w:r>
        <w:t xml:space="preserve"> </w:t>
      </w:r>
      <w:r w:rsidR="00A64A50" w:rsidRPr="007F55AD">
        <w:t xml:space="preserve">Finanční toky </w:t>
      </w:r>
      <w:r w:rsidR="00A64A50">
        <w:t xml:space="preserve">Záručního </w:t>
      </w:r>
      <w:r w:rsidR="00A64A50" w:rsidRPr="007F55AD">
        <w:t>fond</w:t>
      </w:r>
      <w:r w:rsidR="00A1540C">
        <w:t>u</w:t>
      </w:r>
      <w:r w:rsidR="00A64A50" w:rsidRPr="007F55AD">
        <w:t xml:space="preserve"> bud</w:t>
      </w:r>
      <w:r w:rsidR="00A64A50">
        <w:t>o</w:t>
      </w:r>
      <w:r w:rsidR="00A64A50" w:rsidRPr="007F55AD">
        <w:t>u probíhat podle těchto zásad</w:t>
      </w:r>
      <w:r w:rsidR="00A64A50">
        <w:t>, a to vždy odděleně pro jednotlivé programy podpory</w:t>
      </w:r>
      <w:r w:rsidR="00A64A50" w:rsidRPr="007F55AD">
        <w:t xml:space="preserve">: </w:t>
      </w:r>
    </w:p>
    <w:p w:rsidR="00F30C0E" w:rsidRDefault="00A1540C">
      <w:pPr>
        <w:pStyle w:val="Odstavecseseznamem"/>
        <w:numPr>
          <w:ilvl w:val="0"/>
          <w:numId w:val="38"/>
        </w:numPr>
        <w:jc w:val="both"/>
      </w:pPr>
      <w:r>
        <w:t>Prostředky</w:t>
      </w:r>
      <w:r w:rsidR="00E901D8">
        <w:t xml:space="preserve"> vkladu do</w:t>
      </w:r>
      <w:r>
        <w:t xml:space="preserve"> Záručního fondu z Fondu fondů </w:t>
      </w:r>
      <w:r w:rsidR="00E901D8">
        <w:t>určené na</w:t>
      </w:r>
      <w:r w:rsidR="000E04D5">
        <w:t xml:space="preserve"> </w:t>
      </w:r>
      <w:r>
        <w:t xml:space="preserve">Prostředky </w:t>
      </w:r>
      <w:r w:rsidR="00E901D8">
        <w:t>vkladu do</w:t>
      </w:r>
      <w:r>
        <w:t xml:space="preserve"> Záručního fondu z Fondu fondů </w:t>
      </w:r>
      <w:r w:rsidR="00E901D8">
        <w:t xml:space="preserve">určené </w:t>
      </w:r>
      <w:r>
        <w:t xml:space="preserve">na krytí rizik </w:t>
      </w:r>
      <w:r w:rsidR="000E04D5">
        <w:t xml:space="preserve">úvěrů </w:t>
      </w:r>
      <w:r w:rsidR="00E901D8">
        <w:t xml:space="preserve">poskytovaných Finančním zprostředkovatelem budou do data poskytnutí zaručeného úvěru vedeny na </w:t>
      </w:r>
      <w:r w:rsidR="000E04D5">
        <w:t>úč</w:t>
      </w:r>
      <w:r w:rsidR="00E901D8">
        <w:t>et</w:t>
      </w:r>
      <w:r w:rsidR="000E04D5">
        <w:t xml:space="preserve"> RG u Finančního zprostředkovatele</w:t>
      </w:r>
      <w:r w:rsidR="00E901D8">
        <w:t>.</w:t>
      </w:r>
      <w:r w:rsidR="000E04D5">
        <w:t xml:space="preserve"> Úč</w:t>
      </w:r>
      <w:r w:rsidR="00E901D8">
        <w:t>e</w:t>
      </w:r>
      <w:r w:rsidR="000E04D5">
        <w:t xml:space="preserve">t RG budou úročen a úrok </w:t>
      </w:r>
      <w:r>
        <w:t xml:space="preserve">bude Finanční zprostředkovatel </w:t>
      </w:r>
      <w:r w:rsidR="000E04D5">
        <w:t>převádět do Fondu fondů.</w:t>
      </w:r>
    </w:p>
    <w:p w:rsidR="00F30C0E" w:rsidRPr="002C4201" w:rsidRDefault="00A1540C">
      <w:pPr>
        <w:pStyle w:val="Odstavecseseznamem"/>
        <w:numPr>
          <w:ilvl w:val="0"/>
          <w:numId w:val="38"/>
        </w:numPr>
        <w:jc w:val="both"/>
      </w:pPr>
      <w:r w:rsidRPr="002C4201">
        <w:t xml:space="preserve">Prostředky </w:t>
      </w:r>
      <w:r w:rsidR="00E901D8" w:rsidRPr="002C4201">
        <w:t>vkladu d</w:t>
      </w:r>
      <w:r w:rsidRPr="002C4201">
        <w:t>o Záručního fondu z Fondu fondů</w:t>
      </w:r>
      <w:r w:rsidR="00E901D8" w:rsidRPr="002C4201">
        <w:t xml:space="preserve"> určené na úhradu poplatku za správu Finančního nástroje budou převáděny na účet P</w:t>
      </w:r>
      <w:r w:rsidR="00197912" w:rsidRPr="002C4201">
        <w:t>ZF</w:t>
      </w:r>
      <w:r w:rsidR="00E901D8" w:rsidRPr="002C4201">
        <w:t xml:space="preserve">. </w:t>
      </w:r>
    </w:p>
    <w:p w:rsidR="00F30C0E" w:rsidRPr="002C4201" w:rsidRDefault="000E04D5">
      <w:pPr>
        <w:pStyle w:val="Odstavecseseznamem"/>
        <w:numPr>
          <w:ilvl w:val="0"/>
          <w:numId w:val="38"/>
        </w:numPr>
        <w:jc w:val="both"/>
      </w:pPr>
      <w:r w:rsidRPr="002C4201">
        <w:t xml:space="preserve"> Po provedeném plnění ze záruky bude Finanční zprostředkova</w:t>
      </w:r>
      <w:r w:rsidR="00E50B05" w:rsidRPr="002C4201">
        <w:t xml:space="preserve">tel </w:t>
      </w:r>
      <w:r w:rsidR="00A1540C" w:rsidRPr="002C4201">
        <w:t>převádět prostředky z účtu</w:t>
      </w:r>
      <w:r w:rsidRPr="002C4201">
        <w:t xml:space="preserve"> RG </w:t>
      </w:r>
      <w:r w:rsidR="00E50B05" w:rsidRPr="002C4201">
        <w:t xml:space="preserve">na neúročený účet RGL, kde budou vedeny pro účely </w:t>
      </w:r>
      <w:r w:rsidRPr="002C4201">
        <w:t>krytí konečných zt</w:t>
      </w:r>
      <w:r w:rsidR="00E50B05" w:rsidRPr="002C4201">
        <w:t>rát z vymáhaných úvěrů (</w:t>
      </w:r>
      <w:r w:rsidRPr="002C4201">
        <w:t>zde již pro dané portfolio nebudou rozlišovány podle programů</w:t>
      </w:r>
      <w:r w:rsidR="00E50B05" w:rsidRPr="002C4201">
        <w:t>)</w:t>
      </w:r>
      <w:r w:rsidRPr="002C4201">
        <w:t>, portfolia však budou sdružovat pouze programy stejné prioritní osoby operačního programu</w:t>
      </w:r>
      <w:r w:rsidR="00E50B05" w:rsidRPr="002C4201">
        <w:t>.</w:t>
      </w:r>
    </w:p>
    <w:p w:rsidR="00F30C0E" w:rsidRPr="002C4201" w:rsidRDefault="00E50B05">
      <w:pPr>
        <w:pStyle w:val="Odstavecseseznamem"/>
        <w:numPr>
          <w:ilvl w:val="0"/>
          <w:numId w:val="38"/>
        </w:numPr>
        <w:jc w:val="both"/>
      </w:pPr>
      <w:r w:rsidRPr="002C4201">
        <w:t xml:space="preserve">O podíl Fondu fondů </w:t>
      </w:r>
      <w:r w:rsidR="000E04D5" w:rsidRPr="002C4201">
        <w:t>na výtěžku ze zpeněžení zajištění zaručovaného úvěru</w:t>
      </w:r>
      <w:r w:rsidRPr="002C4201">
        <w:t>,</w:t>
      </w:r>
      <w:r w:rsidR="00197912" w:rsidRPr="002C4201">
        <w:t xml:space="preserve"> který</w:t>
      </w:r>
      <w:r w:rsidRPr="002C4201">
        <w:t>m dojde k</w:t>
      </w:r>
      <w:r w:rsidR="00197912" w:rsidRPr="002C4201">
        <w:t xml:space="preserve"> úhradě provedeného plnění ze záruky, </w:t>
      </w:r>
      <w:r w:rsidRPr="002C4201">
        <w:t>bude Finanční zprostředkovatel</w:t>
      </w:r>
      <w:r w:rsidR="00197912" w:rsidRPr="002C4201">
        <w:t xml:space="preserve">, </w:t>
      </w:r>
      <w:r w:rsidR="000E04D5" w:rsidRPr="002C4201">
        <w:t xml:space="preserve">povinen snížit zůstatek na účtu RGL  a převést z tohoto účtu prostředky na účet Fondu fondů označený VZ </w:t>
      </w:r>
      <w:r w:rsidRPr="002C4201">
        <w:t xml:space="preserve">   (</w:t>
      </w:r>
      <w:r w:rsidR="000E04D5" w:rsidRPr="002C4201">
        <w:t>po předchozí úhradě poplatku za správu), přičemž jako variabilní symbol uvede označení programu podpory, ve kterém byl zaručený úvěr poskytnut.</w:t>
      </w:r>
      <w:r w:rsidR="00E901D8" w:rsidRPr="002C4201">
        <w:t xml:space="preserve"> Od 1.2024 bude Finanční zp</w:t>
      </w:r>
      <w:r w:rsidRPr="002C4201">
        <w:t>rostředkovatel</w:t>
      </w:r>
      <w:r w:rsidR="002C4201" w:rsidRPr="002C4201">
        <w:t xml:space="preserve"> oprávněn </w:t>
      </w:r>
      <w:r w:rsidRPr="002C4201">
        <w:t xml:space="preserve">před provedením </w:t>
      </w:r>
      <w:r w:rsidR="00E901D8" w:rsidRPr="002C4201">
        <w:t>tohoto převodu sníži</w:t>
      </w:r>
      <w:r w:rsidRPr="002C4201">
        <w:t>t jeho výši o splatný poplatek</w:t>
      </w:r>
      <w:r w:rsidR="000E04D5" w:rsidRPr="002C4201">
        <w:t xml:space="preserve"> </w:t>
      </w:r>
      <w:r w:rsidR="00E901D8" w:rsidRPr="002C4201">
        <w:t>za správu Finančního nástroje.</w:t>
      </w:r>
    </w:p>
    <w:p w:rsidR="00F30C0E" w:rsidRDefault="000E04D5">
      <w:pPr>
        <w:pStyle w:val="Odstavecseseznamem"/>
        <w:numPr>
          <w:ilvl w:val="0"/>
          <w:numId w:val="38"/>
        </w:numPr>
        <w:jc w:val="both"/>
      </w:pPr>
      <w:r w:rsidRPr="002C4201">
        <w:t>Po ukončení poskytování nových záruk a splacení všech zaručených úvěrů, resp. provedení plnění u příslušného portfolia záruk, budou nepoužité prostředky z účtů RG převedeny na Účet  VZ Fondu fondů a z něho na účet náležející Řídící</w:t>
      </w:r>
      <w:r>
        <w:t xml:space="preserve">mu orgánu označený F/4300 nacházející s již mimo Fond fondů.     </w:t>
      </w:r>
      <w:r w:rsidR="00F80FBC">
        <w:t xml:space="preserve">   </w:t>
      </w:r>
    </w:p>
    <w:p w:rsidR="00F30C0E" w:rsidRDefault="00F30C0E">
      <w:pPr>
        <w:pStyle w:val="Odstavecseseznamem"/>
      </w:pPr>
    </w:p>
    <w:p w:rsidR="00F30C0E" w:rsidRDefault="00C67798">
      <w:pPr>
        <w:pStyle w:val="Odstavecseseznamem"/>
        <w:ind w:left="0"/>
      </w:pPr>
      <w:r>
        <w:t xml:space="preserve">Záruční </w:t>
      </w:r>
      <w:r w:rsidR="00A25AAF" w:rsidRPr="00281A5B">
        <w:t>fond bude</w:t>
      </w:r>
      <w:r w:rsidR="00A25AAF">
        <w:t xml:space="preserve"> tvořen těmito účty:</w:t>
      </w:r>
    </w:p>
    <w:tbl>
      <w:tblPr>
        <w:tblStyle w:val="Mkatabulky"/>
        <w:tblW w:w="0" w:type="auto"/>
        <w:tblLook w:val="04A0"/>
      </w:tblPr>
      <w:tblGrid>
        <w:gridCol w:w="7196"/>
        <w:gridCol w:w="1984"/>
      </w:tblGrid>
      <w:tr w:rsidR="00197912" w:rsidTr="00197912">
        <w:tc>
          <w:tcPr>
            <w:tcW w:w="7196" w:type="dxa"/>
          </w:tcPr>
          <w:p w:rsidR="00197912" w:rsidRPr="00C67798" w:rsidRDefault="00197912" w:rsidP="00C67798">
            <w:pPr>
              <w:pStyle w:val="Odstavecseseznamem"/>
              <w:spacing w:after="200" w:line="276" w:lineRule="auto"/>
              <w:ind w:left="0"/>
            </w:pPr>
            <w:r>
              <w:t>Název účtu</w:t>
            </w:r>
          </w:p>
        </w:tc>
        <w:tc>
          <w:tcPr>
            <w:tcW w:w="1984" w:type="dxa"/>
          </w:tcPr>
          <w:p w:rsidR="00197912" w:rsidRDefault="00197912" w:rsidP="00C67798">
            <w:pPr>
              <w:pStyle w:val="Odstavecseseznamem"/>
              <w:ind w:left="0"/>
            </w:pPr>
            <w:r>
              <w:t xml:space="preserve">Označení účtu </w:t>
            </w:r>
          </w:p>
        </w:tc>
      </w:tr>
      <w:tr w:rsidR="00197912" w:rsidTr="00197912">
        <w:tc>
          <w:tcPr>
            <w:tcW w:w="7196" w:type="dxa"/>
          </w:tcPr>
          <w:p w:rsidR="00F30C0E" w:rsidRPr="00E50B05" w:rsidRDefault="008D32F5">
            <w:pPr>
              <w:pStyle w:val="Odstavecseseznamem"/>
              <w:ind w:left="0"/>
              <w:rPr>
                <w:rFonts w:eastAsiaTheme="minorHAnsi"/>
                <w:lang w:eastAsia="en-US"/>
              </w:rPr>
            </w:pPr>
            <w:r w:rsidRPr="00E50B05">
              <w:rPr>
                <w:rFonts w:eastAsiaTheme="minorHAnsi"/>
                <w:lang w:eastAsia="en-US"/>
              </w:rPr>
              <w:t xml:space="preserve">Účet </w:t>
            </w:r>
            <w:r w:rsidR="00197912" w:rsidRPr="00E50B05">
              <w:rPr>
                <w:rFonts w:eastAsiaTheme="minorHAnsi"/>
                <w:lang w:eastAsia="en-US"/>
              </w:rPr>
              <w:t xml:space="preserve">vkladu do Záručního fondu pro krytí rizik </w:t>
            </w:r>
          </w:p>
        </w:tc>
        <w:tc>
          <w:tcPr>
            <w:tcW w:w="1984" w:type="dxa"/>
          </w:tcPr>
          <w:p w:rsidR="00F30C0E" w:rsidRPr="00E50B05" w:rsidRDefault="00197912" w:rsidP="00E50B05">
            <w:pPr>
              <w:pStyle w:val="Nadpis4"/>
              <w:outlineLvl w:val="3"/>
              <w:rPr>
                <w:b w:val="0"/>
                <w:color w:val="auto"/>
              </w:rPr>
            </w:pPr>
            <w:r w:rsidRPr="00E50B05">
              <w:rPr>
                <w:b w:val="0"/>
                <w:color w:val="auto"/>
              </w:rPr>
              <w:t>RG</w:t>
            </w:r>
            <w:r w:rsidR="008D32F5" w:rsidRPr="00E50B05">
              <w:rPr>
                <w:b w:val="0"/>
                <w:color w:val="auto"/>
              </w:rPr>
              <w:t>/4300</w:t>
            </w:r>
          </w:p>
        </w:tc>
      </w:tr>
      <w:tr w:rsidR="00197912" w:rsidTr="00197912">
        <w:tc>
          <w:tcPr>
            <w:tcW w:w="7196" w:type="dxa"/>
          </w:tcPr>
          <w:p w:rsidR="00197912" w:rsidRPr="00E50B05" w:rsidRDefault="00197912" w:rsidP="00C67798">
            <w:pPr>
              <w:pStyle w:val="Nadpis4"/>
              <w:spacing w:line="276" w:lineRule="auto"/>
              <w:outlineLvl w:val="3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color w:val="auto"/>
                <w:lang w:eastAsia="en-US"/>
              </w:rPr>
            </w:pPr>
            <w:r w:rsidRPr="00E50B05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color w:val="auto"/>
                <w:lang w:eastAsia="en-US"/>
              </w:rPr>
              <w:t>Účet vkladu</w:t>
            </w:r>
            <w:r w:rsidR="00E50B05" w:rsidRPr="00E50B05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color w:val="auto"/>
                <w:lang w:eastAsia="en-US"/>
              </w:rPr>
              <w:t xml:space="preserve"> do Záručního fondu pro úhradu </w:t>
            </w:r>
            <w:r w:rsidRPr="00E50B05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color w:val="auto"/>
                <w:lang w:eastAsia="en-US"/>
              </w:rPr>
              <w:t>poplatku za správ</w:t>
            </w:r>
            <w:r w:rsidR="00A67146" w:rsidRPr="00E50B05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color w:val="auto"/>
                <w:lang w:eastAsia="en-US"/>
              </w:rPr>
              <w:t>u</w:t>
            </w:r>
            <w:r w:rsidRPr="00E50B05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color w:val="auto"/>
                <w:lang w:eastAsia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97912" w:rsidRDefault="00197912" w:rsidP="002C4201">
            <w:pPr>
              <w:pStyle w:val="Nadpis4"/>
              <w:spacing w:line="276" w:lineRule="auto"/>
              <w:outlineLvl w:val="3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P/4300</w:t>
            </w:r>
          </w:p>
        </w:tc>
      </w:tr>
      <w:tr w:rsidR="00197912" w:rsidTr="00197912">
        <w:tc>
          <w:tcPr>
            <w:tcW w:w="7196" w:type="dxa"/>
          </w:tcPr>
          <w:p w:rsidR="00F30C0E" w:rsidRPr="00E50B05" w:rsidRDefault="001B5C92">
            <w:pPr>
              <w:pStyle w:val="Nadpis4"/>
              <w:outlineLvl w:val="3"/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color w:val="auto"/>
                <w:lang w:eastAsia="en-US"/>
              </w:rPr>
            </w:pPr>
            <w:r w:rsidRPr="00E50B05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color w:val="auto"/>
                <w:lang w:eastAsia="en-US"/>
              </w:rPr>
              <w:t xml:space="preserve">Účet plnění ze záruk </w:t>
            </w:r>
            <w:r w:rsidR="00197912" w:rsidRPr="00E50B05">
              <w:rPr>
                <w:rFonts w:asciiTheme="minorHAnsi" w:eastAsiaTheme="minorHAnsi" w:hAnsiTheme="minorHAnsi" w:cstheme="minorBidi"/>
                <w:b w:val="0"/>
                <w:bCs w:val="0"/>
                <w:i w:val="0"/>
                <w:iCs w:val="0"/>
                <w:color w:val="auto"/>
                <w:lang w:eastAsia="en-US"/>
              </w:rPr>
              <w:t xml:space="preserve">Záručního fondu </w:t>
            </w:r>
          </w:p>
        </w:tc>
        <w:tc>
          <w:tcPr>
            <w:tcW w:w="1984" w:type="dxa"/>
            <w:vAlign w:val="center"/>
          </w:tcPr>
          <w:p w:rsidR="00197912" w:rsidRPr="00C67798" w:rsidRDefault="00197912" w:rsidP="00C67798">
            <w:pPr>
              <w:pStyle w:val="Nadpis4"/>
              <w:spacing w:line="276" w:lineRule="auto"/>
              <w:outlineLvl w:val="3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RGL</w:t>
            </w:r>
            <w:r w:rsidR="001B5C92" w:rsidRPr="001B5C92">
              <w:rPr>
                <w:b w:val="0"/>
                <w:color w:val="auto"/>
              </w:rPr>
              <w:t>/4300</w:t>
            </w:r>
          </w:p>
        </w:tc>
      </w:tr>
    </w:tbl>
    <w:p w:rsidR="00A25AAF" w:rsidRDefault="00A25AAF" w:rsidP="00D650A9">
      <w:pPr>
        <w:jc w:val="both"/>
      </w:pPr>
    </w:p>
    <w:p w:rsidR="00A67146" w:rsidRPr="00A25AAF" w:rsidRDefault="00A67146" w:rsidP="00D650A9">
      <w:pPr>
        <w:jc w:val="both"/>
      </w:pPr>
      <w:r>
        <w:t>Schéma  finančních toků  viz bod  G.III. 1.2. db).</w:t>
      </w:r>
    </w:p>
    <w:p w:rsidR="00A67146" w:rsidRDefault="00A67146" w:rsidP="003C2F9C">
      <w:pPr>
        <w:jc w:val="both"/>
        <w:rPr>
          <w:i/>
        </w:rPr>
      </w:pPr>
    </w:p>
    <w:p w:rsidR="003C2F9C" w:rsidRPr="00442746" w:rsidRDefault="009E6EB3" w:rsidP="003C2F9C">
      <w:pPr>
        <w:jc w:val="both"/>
        <w:rPr>
          <w:i/>
        </w:rPr>
      </w:pPr>
      <w:r>
        <w:rPr>
          <w:i/>
        </w:rPr>
        <w:t>c</w:t>
      </w:r>
      <w:r w:rsidR="003C2F9C" w:rsidRPr="00742982">
        <w:rPr>
          <w:i/>
        </w:rPr>
        <w:t xml:space="preserve">) Vypracování vnitřních předpisů pro správu </w:t>
      </w:r>
      <w:r w:rsidR="003C2F9C">
        <w:rPr>
          <w:i/>
        </w:rPr>
        <w:t>F</w:t>
      </w:r>
      <w:r>
        <w:rPr>
          <w:i/>
        </w:rPr>
        <w:t xml:space="preserve">inančního nástroje </w:t>
      </w:r>
    </w:p>
    <w:p w:rsidR="003C2F9C" w:rsidRDefault="005D0D61" w:rsidP="003C2F9C">
      <w:pPr>
        <w:jc w:val="both"/>
      </w:pPr>
      <w:r>
        <w:t>Finanční zprostředkovatel bude povinen ve formě jednoho či více vnitřních předpisů stanovit postupy a povinnosti zaměstnanců pro tyto obl</w:t>
      </w:r>
      <w:r w:rsidR="00E50B05">
        <w:t>asti správy Finančních nástrojů</w:t>
      </w:r>
      <w:r w:rsidR="003C2F9C">
        <w:t>:</w:t>
      </w:r>
    </w:p>
    <w:p w:rsidR="003C2F9C" w:rsidRDefault="003C2F9C" w:rsidP="003C2F9C">
      <w:pPr>
        <w:pStyle w:val="Odstavecseseznamem"/>
        <w:numPr>
          <w:ilvl w:val="0"/>
          <w:numId w:val="7"/>
        </w:numPr>
        <w:jc w:val="both"/>
      </w:pPr>
      <w:r>
        <w:t xml:space="preserve">monitoringu </w:t>
      </w:r>
      <w:r w:rsidR="005D0D61">
        <w:t xml:space="preserve">činnosti Finančního nástroje </w:t>
      </w:r>
      <w:r>
        <w:t>a reportingu</w:t>
      </w:r>
      <w:r w:rsidR="00B57928">
        <w:t>,</w:t>
      </w:r>
    </w:p>
    <w:p w:rsidR="003C2F9C" w:rsidRDefault="005D0D61" w:rsidP="003C2F9C">
      <w:pPr>
        <w:pStyle w:val="Odstavecseseznamem"/>
        <w:numPr>
          <w:ilvl w:val="0"/>
          <w:numId w:val="7"/>
        </w:numPr>
        <w:jc w:val="both"/>
      </w:pPr>
      <w:r>
        <w:t>poskytování úvěrů spolufinancovaných z prostředků Fin</w:t>
      </w:r>
      <w:r w:rsidR="003A3029">
        <w:t>a</w:t>
      </w:r>
      <w:r>
        <w:t>nč</w:t>
      </w:r>
      <w:r w:rsidR="003A3029">
        <w:t>n</w:t>
      </w:r>
      <w:r>
        <w:t>ího nás</w:t>
      </w:r>
      <w:r w:rsidR="00A67146">
        <w:t>t</w:t>
      </w:r>
      <w:r>
        <w:t>roje či zaruče</w:t>
      </w:r>
      <w:r w:rsidR="003A3029">
        <w:t>n</w:t>
      </w:r>
      <w:r>
        <w:t>ých Finančním nástroje</w:t>
      </w:r>
      <w:r w:rsidR="00E50B05">
        <w:t>m</w:t>
      </w:r>
      <w:r w:rsidR="00B57928">
        <w:t xml:space="preserve">, či provádění investic do Konečných příjemců,  </w:t>
      </w:r>
    </w:p>
    <w:p w:rsidR="003C2F9C" w:rsidRDefault="003C2F9C" w:rsidP="003C2F9C">
      <w:pPr>
        <w:pStyle w:val="Odstavecseseznamem"/>
        <w:numPr>
          <w:ilvl w:val="0"/>
          <w:numId w:val="7"/>
        </w:numPr>
        <w:jc w:val="both"/>
      </w:pPr>
      <w:r>
        <w:t>účt</w:t>
      </w:r>
      <w:r w:rsidR="005D0D61">
        <w:t>ování o operacích s prostředky Finančního nástroje</w:t>
      </w:r>
      <w:r w:rsidR="00E50B05">
        <w:t>,</w:t>
      </w:r>
      <w:r>
        <w:t xml:space="preserve"> </w:t>
      </w:r>
    </w:p>
    <w:p w:rsidR="003C2F9C" w:rsidRDefault="003C2F9C" w:rsidP="003C2F9C">
      <w:pPr>
        <w:pStyle w:val="Odstavecseseznamem"/>
        <w:numPr>
          <w:ilvl w:val="0"/>
          <w:numId w:val="7"/>
        </w:numPr>
        <w:jc w:val="both"/>
      </w:pPr>
      <w:r>
        <w:t xml:space="preserve">provádění kontrol vzorku projektů u konečných příjemců   </w:t>
      </w:r>
    </w:p>
    <w:p w:rsidR="003C2F9C" w:rsidRDefault="005D0D61" w:rsidP="003C2F9C">
      <w:pPr>
        <w:pStyle w:val="Odstavecseseznamem"/>
        <w:numPr>
          <w:ilvl w:val="0"/>
          <w:numId w:val="7"/>
        </w:numPr>
        <w:jc w:val="both"/>
      </w:pPr>
      <w:r>
        <w:t xml:space="preserve">provádění interního </w:t>
      </w:r>
      <w:r w:rsidR="003C2F9C">
        <w:t>auditu</w:t>
      </w:r>
      <w:r>
        <w:t xml:space="preserve"> Finančního nástroje</w:t>
      </w:r>
      <w:r w:rsidR="00E50B05">
        <w:t>.</w:t>
      </w:r>
      <w:r>
        <w:t xml:space="preserve">  </w:t>
      </w:r>
      <w:r w:rsidR="003C2F9C">
        <w:t xml:space="preserve">           </w:t>
      </w:r>
    </w:p>
    <w:p w:rsidR="00A67146" w:rsidRDefault="00A67146" w:rsidP="003C2F9C">
      <w:pPr>
        <w:jc w:val="both"/>
        <w:rPr>
          <w:i/>
        </w:rPr>
      </w:pPr>
    </w:p>
    <w:p w:rsidR="003C2F9C" w:rsidRPr="00E24DFD" w:rsidRDefault="003A3029" w:rsidP="003C2F9C">
      <w:pPr>
        <w:jc w:val="both"/>
        <w:rPr>
          <w:i/>
        </w:rPr>
      </w:pPr>
      <w:r>
        <w:rPr>
          <w:i/>
        </w:rPr>
        <w:t xml:space="preserve">d) </w:t>
      </w:r>
      <w:r w:rsidR="003C2F9C" w:rsidRPr="00742982">
        <w:rPr>
          <w:i/>
        </w:rPr>
        <w:t xml:space="preserve"> Příprava informačního systému (účetní a neúčetní informace</w:t>
      </w:r>
      <w:r w:rsidR="00E50B05">
        <w:rPr>
          <w:i/>
        </w:rPr>
        <w:t>)</w:t>
      </w:r>
      <w:r w:rsidR="003C2F9C" w:rsidRPr="00742982">
        <w:rPr>
          <w:i/>
        </w:rPr>
        <w:t xml:space="preserve"> </w:t>
      </w:r>
    </w:p>
    <w:p w:rsidR="003C2F9C" w:rsidRDefault="003C2F9C" w:rsidP="003C2F9C">
      <w:pPr>
        <w:jc w:val="both"/>
      </w:pPr>
      <w:r>
        <w:t>Fungování F</w:t>
      </w:r>
      <w:r w:rsidR="00E50B05">
        <w:t>inančního nástroje vyžaduje, aby Finanční zprostředkovatel</w:t>
      </w:r>
      <w:r w:rsidR="00A67146">
        <w:t xml:space="preserve"> </w:t>
      </w:r>
      <w:r w:rsidR="00E50B05">
        <w:t xml:space="preserve">při jeho správě zpracovával a předával </w:t>
      </w:r>
      <w:r w:rsidR="0022680B">
        <w:t>správci Fondu fondů data</w:t>
      </w:r>
      <w:r w:rsidR="00E50B05">
        <w:t xml:space="preserve"> </w:t>
      </w:r>
      <w:r>
        <w:t xml:space="preserve">o jednotlivých Finančních nástrojích i jednotlivých Konečných příjemcích a jejich projektech.  </w:t>
      </w:r>
    </w:p>
    <w:p w:rsidR="003C2F9C" w:rsidRDefault="00E50B05" w:rsidP="003C2F9C">
      <w:pPr>
        <w:jc w:val="both"/>
      </w:pPr>
      <w:r>
        <w:t>Ta</w:t>
      </w:r>
      <w:r w:rsidR="005F6BED">
        <w:t xml:space="preserve">to data </w:t>
      </w:r>
      <w:r w:rsidR="003C2F9C">
        <w:t>budou využívána ve třech hlavních směrech:</w:t>
      </w:r>
    </w:p>
    <w:p w:rsidR="003C2F9C" w:rsidRDefault="003C2F9C" w:rsidP="003C2F9C">
      <w:pPr>
        <w:pStyle w:val="Odstavecseseznamem"/>
        <w:numPr>
          <w:ilvl w:val="0"/>
          <w:numId w:val="14"/>
        </w:numPr>
        <w:jc w:val="both"/>
      </w:pPr>
      <w:r>
        <w:t>Operativní a strategické řízení Fondu fondů</w:t>
      </w:r>
      <w:r w:rsidR="00E50B05">
        <w:t>.</w:t>
      </w:r>
      <w:r>
        <w:t xml:space="preserve"> </w:t>
      </w:r>
    </w:p>
    <w:p w:rsidR="003C2F9C" w:rsidRDefault="0022680B" w:rsidP="003C2F9C">
      <w:pPr>
        <w:pStyle w:val="Odstavecseseznamem"/>
        <w:ind w:left="360"/>
        <w:jc w:val="both"/>
      </w:pPr>
      <w:r>
        <w:t>Ke zpracován</w:t>
      </w:r>
      <w:r w:rsidR="00E50B05">
        <w:t xml:space="preserve">í čtvrtletních a ročních zpráv </w:t>
      </w:r>
      <w:r w:rsidR="003C2F9C">
        <w:t>pro Řídící orgán.</w:t>
      </w:r>
    </w:p>
    <w:p w:rsidR="003C2F9C" w:rsidRDefault="0022680B" w:rsidP="003C2F9C">
      <w:pPr>
        <w:pStyle w:val="Odstavecseseznamem"/>
        <w:numPr>
          <w:ilvl w:val="0"/>
          <w:numId w:val="14"/>
        </w:numPr>
        <w:jc w:val="both"/>
      </w:pPr>
      <w:r>
        <w:t>Pro v</w:t>
      </w:r>
      <w:r w:rsidR="003C2F9C">
        <w:t>kládání a přenos dat do MS2014+ v rozsahu stanoveném Metodickým pokynem pro monitorování implementace evropských strukturálních a investičních fondů v České republice v programovém období 2014 – 2020.</w:t>
      </w:r>
    </w:p>
    <w:p w:rsidR="003C2F9C" w:rsidRDefault="00E50B05" w:rsidP="003C2F9C">
      <w:pPr>
        <w:pStyle w:val="Odstavecseseznamem"/>
        <w:ind w:left="360"/>
        <w:jc w:val="both"/>
      </w:pPr>
      <w:r>
        <w:t>Rozsah dat je daný</w:t>
      </w:r>
      <w:r w:rsidR="003C2F9C">
        <w:t xml:space="preserve"> metodickým pokynem MMR</w:t>
      </w:r>
    </w:p>
    <w:p w:rsidR="003C2F9C" w:rsidRDefault="003C2F9C" w:rsidP="003C2F9C">
      <w:pPr>
        <w:pStyle w:val="Odstavecseseznamem"/>
        <w:numPr>
          <w:ilvl w:val="0"/>
          <w:numId w:val="14"/>
        </w:numPr>
        <w:jc w:val="both"/>
      </w:pPr>
      <w:r>
        <w:t xml:space="preserve">Reporting pro potřeby Řídícího orgánu v rozsahu stanoveném v Dohodě o financování     </w:t>
      </w:r>
    </w:p>
    <w:p w:rsidR="003C2F9C" w:rsidRDefault="003C2F9C" w:rsidP="003C2F9C">
      <w:pPr>
        <w:pStyle w:val="Odstavecseseznamem"/>
        <w:ind w:left="360"/>
        <w:jc w:val="both"/>
      </w:pPr>
      <w:r>
        <w:t xml:space="preserve">Tyto reporty budou pokrývat jak vývoj realizace jednotlivých programů podpory, resp. výzev, tak i využívání prostředků v jednotlivých Nástrojích.     </w:t>
      </w:r>
    </w:p>
    <w:p w:rsidR="0022680B" w:rsidRDefault="0022680B" w:rsidP="00D650A9">
      <w:pPr>
        <w:jc w:val="both"/>
        <w:rPr>
          <w:i/>
        </w:rPr>
      </w:pPr>
    </w:p>
    <w:p w:rsidR="007F0AAA" w:rsidRPr="0022680B" w:rsidRDefault="001B5C92" w:rsidP="00D650A9">
      <w:pPr>
        <w:jc w:val="both"/>
        <w:rPr>
          <w:i/>
        </w:rPr>
      </w:pPr>
      <w:r w:rsidRPr="001B5C92">
        <w:rPr>
          <w:i/>
        </w:rPr>
        <w:t>e) Nastavení k</w:t>
      </w:r>
      <w:r w:rsidR="00E50B05">
        <w:rPr>
          <w:i/>
        </w:rPr>
        <w:t>ontrolního a auditního systému správce Finančního nástroje</w:t>
      </w:r>
      <w:r w:rsidRPr="001B5C92">
        <w:rPr>
          <w:i/>
        </w:rPr>
        <w:t xml:space="preserve"> </w:t>
      </w:r>
    </w:p>
    <w:p w:rsidR="00311141" w:rsidRDefault="00D00DCE" w:rsidP="00D00DCE">
      <w:pPr>
        <w:jc w:val="both"/>
      </w:pPr>
      <w:r w:rsidRPr="00D62541">
        <w:t>Audit činnosti F</w:t>
      </w:r>
      <w:r>
        <w:t>inančního nástroje, bud</w:t>
      </w:r>
      <w:r w:rsidR="00E50B05">
        <w:t>e</w:t>
      </w:r>
      <w:r>
        <w:t xml:space="preserve"> k</w:t>
      </w:r>
      <w:r w:rsidR="00E50B05">
        <w:t xml:space="preserve">romě externích auditů, či </w:t>
      </w:r>
      <w:r w:rsidRPr="00D62541">
        <w:t>prováděn</w:t>
      </w:r>
      <w:r>
        <w:t>ého</w:t>
      </w:r>
      <w:r w:rsidRPr="00D62541">
        <w:t xml:space="preserve"> útvarem vnitřního</w:t>
      </w:r>
      <w:r>
        <w:t xml:space="preserve"> </w:t>
      </w:r>
      <w:r w:rsidR="00E50B05">
        <w:t xml:space="preserve">auditu ČMZRB zabezpečován též </w:t>
      </w:r>
      <w:r>
        <w:t xml:space="preserve">útvarem vnitřního </w:t>
      </w:r>
      <w:r w:rsidRPr="00D62541">
        <w:t>auditu</w:t>
      </w:r>
      <w:r w:rsidR="00311141">
        <w:t xml:space="preserve"> Finančního zprostředkovatele.</w:t>
      </w:r>
    </w:p>
    <w:p w:rsidR="00D00DCE" w:rsidRPr="006B7682" w:rsidRDefault="00311141" w:rsidP="00D00DCE">
      <w:pPr>
        <w:jc w:val="both"/>
      </w:pPr>
      <w:r>
        <w:t xml:space="preserve">Finanční zprostředkovatel bude provádět kontroly na místě u Konečných příjemců podle zásad </w:t>
      </w:r>
      <w:r w:rsidR="00D00DCE">
        <w:t xml:space="preserve">       </w:t>
      </w:r>
      <w:r>
        <w:t>stanovených v Dohodě o financování, případně p</w:t>
      </w:r>
      <w:r w:rsidR="00E50B05">
        <w:t>odle pokynů správce Fondu fondů</w:t>
      </w:r>
      <w:r>
        <w:t xml:space="preserve">, podrobněji viz G.III.1.2.lb)  </w:t>
      </w:r>
    </w:p>
    <w:p w:rsidR="0022680B" w:rsidRDefault="0022680B" w:rsidP="00D650A9">
      <w:pPr>
        <w:jc w:val="both"/>
      </w:pPr>
    </w:p>
    <w:p w:rsidR="00A2688D" w:rsidRPr="00311141" w:rsidRDefault="00311141" w:rsidP="00D650A9">
      <w:pPr>
        <w:jc w:val="both"/>
        <w:rPr>
          <w:i/>
        </w:rPr>
      </w:pPr>
      <w:r>
        <w:rPr>
          <w:i/>
        </w:rPr>
        <w:t>f</w:t>
      </w:r>
      <w:r w:rsidR="001B5C92" w:rsidRPr="001B5C92">
        <w:rPr>
          <w:i/>
        </w:rPr>
        <w:t xml:space="preserve">) Způsob zabezpečení účasti soukromých zdrojů k financování projektů </w:t>
      </w:r>
    </w:p>
    <w:p w:rsidR="00975E79" w:rsidRDefault="00975E79" w:rsidP="00975E79">
      <w:pPr>
        <w:jc w:val="both"/>
      </w:pPr>
      <w:r>
        <w:t>V případě úvěrového nástroje bude spoluúčast soukromých prostředků řešena stanovením fixního podílu soukromých prostředků v každém čerpá</w:t>
      </w:r>
      <w:r w:rsidR="00E50B05">
        <w:t xml:space="preserve">ní úvěru Konečnému příjemci. </w:t>
      </w:r>
      <w:r>
        <w:t xml:space="preserve">Obdobným způsobem bude řešen rizikový kapitál.    </w:t>
      </w:r>
    </w:p>
    <w:p w:rsidR="00975E79" w:rsidRDefault="00975E79" w:rsidP="00975E79">
      <w:pPr>
        <w:jc w:val="both"/>
      </w:pPr>
      <w:r>
        <w:t>U záručního nástroje bude možné veškeré prostředky zaručeného bankovního úvěru považovat za soukromé spolufinancování, které bude zabezpečováno na úrovni projektu.</w:t>
      </w:r>
    </w:p>
    <w:p w:rsidR="003D2AEB" w:rsidRDefault="003D2AEB" w:rsidP="00D650A9">
      <w:pPr>
        <w:jc w:val="both"/>
        <w:rPr>
          <w:i/>
        </w:rPr>
      </w:pPr>
    </w:p>
    <w:p w:rsidR="00CE1E1A" w:rsidRPr="00311141" w:rsidRDefault="001B5C92" w:rsidP="00D650A9">
      <w:pPr>
        <w:jc w:val="both"/>
        <w:rPr>
          <w:i/>
        </w:rPr>
      </w:pPr>
      <w:r w:rsidRPr="001B5C92">
        <w:rPr>
          <w:i/>
        </w:rPr>
        <w:t>g) Odměňování správce F</w:t>
      </w:r>
      <w:r w:rsidR="007269F2">
        <w:rPr>
          <w:i/>
        </w:rPr>
        <w:t>inančního nástroje</w:t>
      </w:r>
    </w:p>
    <w:p w:rsidR="007269F2" w:rsidRPr="007269F2" w:rsidRDefault="001B5C92" w:rsidP="007269F2">
      <w:pPr>
        <w:jc w:val="both"/>
        <w:rPr>
          <w:i/>
        </w:rPr>
      </w:pPr>
      <w:r w:rsidRPr="001B5C92">
        <w:rPr>
          <w:i/>
        </w:rPr>
        <w:t xml:space="preserve"> Záruky</w:t>
      </w:r>
    </w:p>
    <w:p w:rsidR="007269F2" w:rsidRDefault="007269F2" w:rsidP="007269F2">
      <w:pPr>
        <w:jc w:val="both"/>
      </w:pPr>
      <w:r>
        <w:t>Poplatky za správu budou hrazeny čtvrtletně, zpětně za předchozí čtvrtletí. Odměny budou do 31.</w:t>
      </w:r>
      <w:r w:rsidR="00FF0D25">
        <w:t xml:space="preserve"> </w:t>
      </w:r>
      <w:r>
        <w:t>12. 2023 hrazeny jako způsobilý výdaj Záručního fondu E 20</w:t>
      </w:r>
      <w:r w:rsidR="00FF0D25">
        <w:t>15</w:t>
      </w:r>
      <w:r>
        <w:t>, a to buď z prostředků převedených do  Záruční</w:t>
      </w:r>
      <w:r w:rsidR="00FF0D25">
        <w:t>ho</w:t>
      </w:r>
      <w:r>
        <w:t xml:space="preserve"> fondu </w:t>
      </w:r>
      <w:r w:rsidR="00215F81">
        <w:t>n</w:t>
      </w:r>
      <w:r>
        <w:t>ebo z naběhlých úroků z účtů.  Od 1.</w:t>
      </w:r>
      <w:r w:rsidR="00FF0D25">
        <w:t xml:space="preserve"> </w:t>
      </w:r>
      <w:r>
        <w:t xml:space="preserve">1. 2024 bude odměna vždy pouze ve výši vrácených prostředků </w:t>
      </w:r>
      <w:r w:rsidR="00FF0D25">
        <w:t>do</w:t>
      </w:r>
      <w:r w:rsidR="003D2AEB">
        <w:t xml:space="preserve"> </w:t>
      </w:r>
      <w:r w:rsidR="00FF0D25">
        <w:t xml:space="preserve">záručního fondu maximálně však </w:t>
      </w:r>
      <w:r>
        <w:t xml:space="preserve">do výše kumulativního zůstatku splatných odměn ke konci čtvrtletí.       </w:t>
      </w:r>
    </w:p>
    <w:p w:rsidR="007269F2" w:rsidRDefault="007269F2" w:rsidP="007269F2">
      <w:pPr>
        <w:jc w:val="both"/>
      </w:pPr>
      <w:r>
        <w:t xml:space="preserve"> a) Základní složka poplatku za správu </w:t>
      </w:r>
    </w:p>
    <w:p w:rsidR="007269F2" w:rsidRDefault="00FF0D25" w:rsidP="007269F2">
      <w:pPr>
        <w:jc w:val="both"/>
      </w:pPr>
      <w:r>
        <w:t>až 0,5 % p. a. z kumulativní výše prostředků převedených do záručního fondu do data</w:t>
      </w:r>
      <w:r w:rsidR="00215F81">
        <w:t xml:space="preserve"> ukončení operačního programu (</w:t>
      </w:r>
      <w:r w:rsidR="007269F2">
        <w:t>31.</w:t>
      </w:r>
      <w:r>
        <w:t xml:space="preserve"> </w:t>
      </w:r>
      <w:r w:rsidR="007269F2">
        <w:t>12. 2023)</w:t>
      </w:r>
    </w:p>
    <w:p w:rsidR="00317739" w:rsidRDefault="007269F2">
      <w:pPr>
        <w:jc w:val="both"/>
      </w:pPr>
      <w:r>
        <w:t xml:space="preserve">b) Výsledková složka poplatku za správu bude ze 4 složek kalkulovaných podle následujících </w:t>
      </w:r>
      <w:r w:rsidR="00F60E62">
        <w:t xml:space="preserve">výkonnostních kritérií </w:t>
      </w:r>
      <w:r>
        <w:t>(celkový limit je 1,5 % p. a.)</w:t>
      </w:r>
      <w:r w:rsidR="00F60E62">
        <w:t>:</w:t>
      </w:r>
    </w:p>
    <w:p w:rsidR="00F30C0E" w:rsidRDefault="00F60E62">
      <w:pPr>
        <w:pStyle w:val="Odstavecseseznamem"/>
        <w:numPr>
          <w:ilvl w:val="0"/>
          <w:numId w:val="45"/>
        </w:numPr>
        <w:jc w:val="both"/>
      </w:pPr>
      <w:r w:rsidRPr="00F60E62">
        <w:t xml:space="preserve">výplata příspěvků poskytnutých z programu ESI fondů; </w:t>
      </w:r>
    </w:p>
    <w:p w:rsidR="00F30C0E" w:rsidRDefault="00F60E62">
      <w:pPr>
        <w:pStyle w:val="Odstavecseseznamem"/>
        <w:numPr>
          <w:ilvl w:val="0"/>
          <w:numId w:val="45"/>
        </w:numPr>
        <w:jc w:val="both"/>
      </w:pPr>
      <w:r w:rsidRPr="00F60E62">
        <w:t xml:space="preserve">prostředky získané zpět z investic nebo z uvolněných prostředků vyčleněných na smlouvy o zárukách; </w:t>
      </w:r>
    </w:p>
    <w:p w:rsidR="00F30C0E" w:rsidRDefault="00F60E62">
      <w:pPr>
        <w:pStyle w:val="Odstavecseseznamem"/>
        <w:numPr>
          <w:ilvl w:val="0"/>
          <w:numId w:val="45"/>
        </w:numPr>
        <w:jc w:val="both"/>
      </w:pPr>
      <w:r w:rsidRPr="00F60E62">
        <w:t>kvalita opatření doprovázejících investici před investičním rozhodnutím maximalizovat její dopad a po něm</w:t>
      </w:r>
      <w:r w:rsidR="000D6CAC">
        <w:t>;</w:t>
      </w:r>
      <w:r w:rsidRPr="00F60E62">
        <w:t xml:space="preserve"> </w:t>
      </w:r>
    </w:p>
    <w:p w:rsidR="00F30C0E" w:rsidRDefault="00F60E62">
      <w:pPr>
        <w:pStyle w:val="Odstavecseseznamem"/>
        <w:numPr>
          <w:ilvl w:val="0"/>
          <w:numId w:val="45"/>
        </w:numPr>
        <w:jc w:val="both"/>
      </w:pPr>
      <w:r w:rsidRPr="00F60E62">
        <w:t>přínos finančního nástroje k cílům a výstupům programu.</w:t>
      </w:r>
    </w:p>
    <w:p w:rsidR="007269F2" w:rsidRDefault="007269F2" w:rsidP="007269F2">
      <w:pPr>
        <w:jc w:val="both"/>
      </w:pPr>
    </w:p>
    <w:p w:rsidR="007269F2" w:rsidRPr="007269F2" w:rsidRDefault="001B5C92" w:rsidP="007269F2">
      <w:pPr>
        <w:jc w:val="both"/>
        <w:rPr>
          <w:i/>
        </w:rPr>
      </w:pPr>
      <w:r w:rsidRPr="001B5C92">
        <w:rPr>
          <w:i/>
        </w:rPr>
        <w:t>Úvěry</w:t>
      </w:r>
    </w:p>
    <w:p w:rsidR="007269F2" w:rsidRDefault="007269F2" w:rsidP="007269F2">
      <w:pPr>
        <w:jc w:val="both"/>
      </w:pPr>
      <w:r>
        <w:t>Poplatky za správu budou hrazeny čtvrtletně, zpětně za předchozí čtvrtletí. Odměny budou do 31.</w:t>
      </w:r>
      <w:r w:rsidR="000D6CAC">
        <w:t xml:space="preserve"> </w:t>
      </w:r>
      <w:r>
        <w:t>12. 2023 hrazeny jako způ</w:t>
      </w:r>
      <w:r w:rsidR="00215F81">
        <w:t xml:space="preserve">sobilý výdaj </w:t>
      </w:r>
      <w:r w:rsidR="003D2AEB">
        <w:t>ú</w:t>
      </w:r>
      <w:r w:rsidR="000D6CAC">
        <w:t>věrového fondu</w:t>
      </w:r>
      <w:r>
        <w:t xml:space="preserve">, a to buď z prostředků převedených do  </w:t>
      </w:r>
      <w:r w:rsidR="00F60E62">
        <w:t xml:space="preserve">úvěrového </w:t>
      </w:r>
      <w:r>
        <w:t xml:space="preserve">fondu </w:t>
      </w:r>
      <w:r w:rsidR="000D6CAC">
        <w:t xml:space="preserve"> </w:t>
      </w:r>
      <w:r w:rsidR="00215F81">
        <w:t xml:space="preserve">nebo z naběhlých úroků z účtů. </w:t>
      </w:r>
      <w:r>
        <w:t>Od 1.</w:t>
      </w:r>
      <w:r w:rsidR="000D6CAC">
        <w:t xml:space="preserve"> </w:t>
      </w:r>
      <w:r>
        <w:t>1. 202</w:t>
      </w:r>
      <w:r w:rsidR="00F60E62">
        <w:t>4</w:t>
      </w:r>
      <w:r>
        <w:t xml:space="preserve"> bude odměna hrazena</w:t>
      </w:r>
      <w:r w:rsidR="003D2AEB">
        <w:t xml:space="preserve"> z  prostředků </w:t>
      </w:r>
      <w:r w:rsidR="000D6CAC">
        <w:t xml:space="preserve"> vrácených</w:t>
      </w:r>
      <w:r>
        <w:t xml:space="preserve"> </w:t>
      </w:r>
      <w:r w:rsidR="003D2AEB">
        <w:t xml:space="preserve">do </w:t>
      </w:r>
      <w:r>
        <w:t>Úvěrového fondu</w:t>
      </w:r>
      <w:r w:rsidR="00215F81">
        <w:t xml:space="preserve"> maximálně však</w:t>
      </w:r>
      <w:r w:rsidR="003D2AEB">
        <w:t xml:space="preserve"> do výše kumulativního zůstatku splatných odměn ke konci čtvrtletí.      </w:t>
      </w:r>
      <w:r>
        <w:t xml:space="preserve">      </w:t>
      </w:r>
    </w:p>
    <w:p w:rsidR="007269F2" w:rsidRDefault="007269F2" w:rsidP="007269F2">
      <w:pPr>
        <w:jc w:val="both"/>
      </w:pPr>
      <w:r>
        <w:t>a) Zákl</w:t>
      </w:r>
      <w:r w:rsidR="000D6CAC">
        <w:t xml:space="preserve">adní složka poplatku za správu </w:t>
      </w:r>
    </w:p>
    <w:p w:rsidR="007269F2" w:rsidRDefault="00F60E62" w:rsidP="007269F2">
      <w:pPr>
        <w:jc w:val="both"/>
      </w:pPr>
      <w:r>
        <w:t xml:space="preserve">až </w:t>
      </w:r>
      <w:r w:rsidR="000D6CAC">
        <w:t xml:space="preserve">0,5 % p. a. z kumulativní </w:t>
      </w:r>
      <w:r w:rsidR="007269F2">
        <w:t>v</w:t>
      </w:r>
      <w:r w:rsidR="000D6CAC">
        <w:t xml:space="preserve">ýše prostředků převedených do </w:t>
      </w:r>
      <w:r>
        <w:t>ú</w:t>
      </w:r>
      <w:r w:rsidR="007269F2">
        <w:t xml:space="preserve">věrového fondu do data </w:t>
      </w:r>
      <w:r>
        <w:t xml:space="preserve">ukončení </w:t>
      </w:r>
      <w:r w:rsidR="000D6CAC">
        <w:t>operačního programu (</w:t>
      </w:r>
      <w:r w:rsidR="007269F2">
        <w:t>31.</w:t>
      </w:r>
      <w:r w:rsidR="000D6CAC">
        <w:t xml:space="preserve"> </w:t>
      </w:r>
      <w:r w:rsidR="007269F2">
        <w:t>12. 2023)</w:t>
      </w:r>
      <w:r w:rsidR="000D6CAC">
        <w:t>.</w:t>
      </w:r>
    </w:p>
    <w:p w:rsidR="007269F2" w:rsidRDefault="007269F2" w:rsidP="007269F2">
      <w:pPr>
        <w:jc w:val="both"/>
      </w:pPr>
      <w:r>
        <w:t xml:space="preserve">b) Výsledková složka poplatku za správu bude ze 4 složek kalkulovaných </w:t>
      </w:r>
      <w:r w:rsidR="00F60E62">
        <w:t xml:space="preserve">podle následujících výkonnostních kritérií </w:t>
      </w:r>
      <w:r>
        <w:t>(celkový limit je 1,0 % p.a.):</w:t>
      </w:r>
    </w:p>
    <w:p w:rsidR="00F30C0E" w:rsidRDefault="003D2AEB">
      <w:pPr>
        <w:pStyle w:val="Odstavecseseznamem"/>
        <w:numPr>
          <w:ilvl w:val="0"/>
          <w:numId w:val="44"/>
        </w:numPr>
        <w:jc w:val="both"/>
      </w:pPr>
      <w:r w:rsidRPr="00F60E62">
        <w:t xml:space="preserve">výplata příspěvků poskytnutých z programu ESI fondů; </w:t>
      </w:r>
    </w:p>
    <w:p w:rsidR="00F30C0E" w:rsidRDefault="003D2AEB">
      <w:pPr>
        <w:pStyle w:val="Odstavecseseznamem"/>
        <w:numPr>
          <w:ilvl w:val="0"/>
          <w:numId w:val="44"/>
        </w:numPr>
        <w:jc w:val="both"/>
      </w:pPr>
      <w:r w:rsidRPr="00F60E62">
        <w:t xml:space="preserve">prostředky získané zpět z investic nebo z uvolněných prostředků vyčleněných na smlouvy o zárukách; </w:t>
      </w:r>
    </w:p>
    <w:p w:rsidR="00F30C0E" w:rsidRDefault="003D2AEB">
      <w:pPr>
        <w:pStyle w:val="Odstavecseseznamem"/>
        <w:numPr>
          <w:ilvl w:val="0"/>
          <w:numId w:val="44"/>
        </w:numPr>
        <w:jc w:val="both"/>
      </w:pPr>
      <w:r w:rsidRPr="00F60E62">
        <w:t>kvalita opatření doprovázejících investici před investičním rozhodnutím maximalizovat její dopad a po něm</w:t>
      </w:r>
      <w:r w:rsidR="000D6CAC">
        <w:t>;</w:t>
      </w:r>
      <w:r w:rsidRPr="00F60E62">
        <w:t xml:space="preserve"> </w:t>
      </w:r>
    </w:p>
    <w:p w:rsidR="00F30C0E" w:rsidRDefault="003D2AEB">
      <w:pPr>
        <w:pStyle w:val="Odstavecseseznamem"/>
        <w:numPr>
          <w:ilvl w:val="0"/>
          <w:numId w:val="44"/>
        </w:numPr>
        <w:jc w:val="both"/>
      </w:pPr>
      <w:r w:rsidRPr="00F60E62">
        <w:t>přínos finančního nástroje k cílům a výstupům programu.</w:t>
      </w:r>
    </w:p>
    <w:p w:rsidR="0022680B" w:rsidRDefault="0022680B" w:rsidP="00D650A9">
      <w:pPr>
        <w:jc w:val="both"/>
      </w:pPr>
    </w:p>
    <w:p w:rsidR="00F3622C" w:rsidRPr="00731F8B" w:rsidRDefault="00731F8B" w:rsidP="00D650A9">
      <w:pPr>
        <w:jc w:val="both"/>
        <w:rPr>
          <w:i/>
        </w:rPr>
      </w:pPr>
      <w:r>
        <w:rPr>
          <w:i/>
        </w:rPr>
        <w:t>h</w:t>
      </w:r>
      <w:r w:rsidR="001B5C92" w:rsidRPr="001B5C92">
        <w:rPr>
          <w:i/>
        </w:rPr>
        <w:t xml:space="preserve">) Publicita </w:t>
      </w:r>
    </w:p>
    <w:p w:rsidR="00975E79" w:rsidRDefault="00975E79" w:rsidP="00975E79">
      <w:pPr>
        <w:jc w:val="both"/>
      </w:pPr>
      <w:r>
        <w:t xml:space="preserve">Správce Finančního nástroje bude povinen uskutečňovat tato opatření. </w:t>
      </w:r>
    </w:p>
    <w:p w:rsidR="00975E79" w:rsidRDefault="00975E79" w:rsidP="00975E79">
      <w:pPr>
        <w:pStyle w:val="Odstavecseseznamem"/>
        <w:numPr>
          <w:ilvl w:val="0"/>
          <w:numId w:val="15"/>
        </w:numPr>
        <w:jc w:val="both"/>
      </w:pPr>
      <w:r w:rsidRPr="00D62541">
        <w:t>pub</w:t>
      </w:r>
      <w:r w:rsidR="000D6CAC">
        <w:t xml:space="preserve">likovat na web stránce </w:t>
      </w:r>
      <w:r w:rsidRPr="00D62541">
        <w:t>výzvy k předkládání žádostí</w:t>
      </w:r>
      <w:r>
        <w:t>,</w:t>
      </w:r>
      <w:r w:rsidRPr="00D62541">
        <w:t xml:space="preserve"> pokyny pro žadatele o podporu a pokynu pro publicitu podpory pro příjemce podpory,</w:t>
      </w:r>
      <w:r>
        <w:t xml:space="preserve">  </w:t>
      </w:r>
    </w:p>
    <w:p w:rsidR="00975E79" w:rsidRDefault="00975E79" w:rsidP="00975E79">
      <w:pPr>
        <w:pStyle w:val="Odstavecseseznamem"/>
        <w:numPr>
          <w:ilvl w:val="0"/>
          <w:numId w:val="15"/>
        </w:numPr>
        <w:jc w:val="both"/>
      </w:pPr>
      <w:r>
        <w:t xml:space="preserve">zabezpečovat </w:t>
      </w:r>
      <w:r w:rsidRPr="00D62541">
        <w:t>provoz informační linky a adresy pro</w:t>
      </w:r>
      <w:r w:rsidR="000D6CAC">
        <w:t xml:space="preserve"> e-</w:t>
      </w:r>
      <w:r w:rsidRPr="00D62541">
        <w:t xml:space="preserve">mailové dotazy pro žadatele o podporu, </w:t>
      </w:r>
    </w:p>
    <w:p w:rsidR="00975E79" w:rsidRDefault="00975E79" w:rsidP="00975E79">
      <w:pPr>
        <w:pStyle w:val="Odstavecseseznamem"/>
        <w:numPr>
          <w:ilvl w:val="0"/>
          <w:numId w:val="15"/>
        </w:numPr>
        <w:jc w:val="both"/>
      </w:pPr>
      <w:r w:rsidRPr="00D62541">
        <w:t>předáv</w:t>
      </w:r>
      <w:r w:rsidR="007711D2">
        <w:t>a</w:t>
      </w:r>
      <w:r>
        <w:t>t</w:t>
      </w:r>
      <w:r w:rsidRPr="00D62541">
        <w:t xml:space="preserve"> údaj</w:t>
      </w:r>
      <w:r>
        <w:t>e</w:t>
      </w:r>
      <w:r w:rsidRPr="00D62541">
        <w:t xml:space="preserve"> o poskytnutých podporách </w:t>
      </w:r>
      <w:r>
        <w:t xml:space="preserve">správci Fondu fondů </w:t>
      </w:r>
      <w:r w:rsidR="000D6CAC">
        <w:t>k</w:t>
      </w:r>
      <w:r w:rsidRPr="00D62541">
        <w:t xml:space="preserve">e zveřejnění, </w:t>
      </w:r>
    </w:p>
    <w:p w:rsidR="00975E79" w:rsidRDefault="00975E79" w:rsidP="00975E79">
      <w:pPr>
        <w:pStyle w:val="Odstavecseseznamem"/>
        <w:numPr>
          <w:ilvl w:val="0"/>
          <w:numId w:val="15"/>
        </w:numPr>
        <w:jc w:val="both"/>
      </w:pPr>
      <w:r>
        <w:t>zařadit do smluv s Konečnými příjemci</w:t>
      </w:r>
      <w:r w:rsidR="00EE21F3">
        <w:t xml:space="preserve"> </w:t>
      </w:r>
      <w:r w:rsidR="007711D2" w:rsidRPr="007711D2">
        <w:t>uvádění odkazu na podporu poskytnutou z prostředků EU</w:t>
      </w:r>
      <w:r w:rsidR="000D6CAC">
        <w:t>,</w:t>
      </w:r>
      <w:r w:rsidR="007711D2" w:rsidRPr="007711D2">
        <w:t xml:space="preserve"> </w:t>
      </w:r>
    </w:p>
    <w:p w:rsidR="00975E79" w:rsidRDefault="00975E79" w:rsidP="00975E79">
      <w:pPr>
        <w:pStyle w:val="Odstavecseseznamem"/>
        <w:numPr>
          <w:ilvl w:val="0"/>
          <w:numId w:val="15"/>
        </w:numPr>
        <w:jc w:val="both"/>
      </w:pPr>
      <w:r w:rsidRPr="00D62541">
        <w:t>provádět kontrolu dodržování opatření a pravidel publicity u</w:t>
      </w:r>
      <w:r w:rsidR="000D6CAC">
        <w:t xml:space="preserve"> Konečných příjemců.</w:t>
      </w:r>
      <w:r>
        <w:t xml:space="preserve"> </w:t>
      </w:r>
    </w:p>
    <w:p w:rsidR="007711D2" w:rsidRDefault="007711D2" w:rsidP="00975E79">
      <w:pPr>
        <w:jc w:val="both"/>
        <w:rPr>
          <w:i/>
        </w:rPr>
      </w:pPr>
    </w:p>
    <w:p w:rsidR="00975E79" w:rsidRPr="00CA2D46" w:rsidRDefault="00975E79" w:rsidP="00975E79">
      <w:pPr>
        <w:jc w:val="both"/>
        <w:rPr>
          <w:i/>
        </w:rPr>
      </w:pPr>
      <w:r>
        <w:rPr>
          <w:i/>
        </w:rPr>
        <w:t>i</w:t>
      </w:r>
      <w:r w:rsidRPr="00D62541">
        <w:rPr>
          <w:i/>
        </w:rPr>
        <w:t>)</w:t>
      </w:r>
      <w:r>
        <w:rPr>
          <w:i/>
        </w:rPr>
        <w:t xml:space="preserve">  </w:t>
      </w:r>
      <w:r w:rsidRPr="00D62541">
        <w:rPr>
          <w:i/>
        </w:rPr>
        <w:t>Archivace</w:t>
      </w:r>
      <w:r w:rsidR="000D6CAC">
        <w:rPr>
          <w:i/>
        </w:rPr>
        <w:t xml:space="preserve"> </w:t>
      </w:r>
      <w:r w:rsidRPr="00D62541">
        <w:rPr>
          <w:i/>
        </w:rPr>
        <w:t xml:space="preserve">dokumentů </w:t>
      </w:r>
    </w:p>
    <w:p w:rsidR="00975E79" w:rsidRPr="006B7682" w:rsidRDefault="00975E79" w:rsidP="00975E79">
      <w:pPr>
        <w:jc w:val="both"/>
      </w:pPr>
      <w:r w:rsidRPr="00D62541">
        <w:t>Správce</w:t>
      </w:r>
      <w:r w:rsidR="004668FE">
        <w:t xml:space="preserve"> Finančního nástroj</w:t>
      </w:r>
      <w:r w:rsidR="000D6CAC">
        <w:t>e</w:t>
      </w:r>
      <w:r w:rsidR="004668FE">
        <w:t xml:space="preserve"> </w:t>
      </w:r>
      <w:r w:rsidRPr="00D62541">
        <w:t xml:space="preserve">bude </w:t>
      </w:r>
      <w:r>
        <w:t xml:space="preserve">zabezpečovat </w:t>
      </w:r>
      <w:r w:rsidRPr="00D62541">
        <w:t xml:space="preserve">archivování informací a dokumentů po dobu </w:t>
      </w:r>
      <w:r>
        <w:t xml:space="preserve">stanovenou v Dohodě o financování.  </w:t>
      </w:r>
      <w:r w:rsidRPr="00D62541">
        <w:t>Předběžně lze uvažovat s datem 31.</w:t>
      </w:r>
      <w:r w:rsidR="000D6CAC">
        <w:t xml:space="preserve"> </w:t>
      </w:r>
      <w:r w:rsidRPr="00D62541">
        <w:t>12. 20</w:t>
      </w:r>
      <w:r>
        <w:t>33</w:t>
      </w:r>
      <w:r w:rsidRPr="00D62541">
        <w:t>.</w:t>
      </w:r>
      <w:r>
        <w:t xml:space="preserve">   </w:t>
      </w:r>
      <w:r w:rsidRPr="00D62541">
        <w:t xml:space="preserve">Jedná se o tyto dokumenty: </w:t>
      </w:r>
    </w:p>
    <w:p w:rsidR="00F30C0E" w:rsidRPr="002C4201" w:rsidRDefault="00736B0C">
      <w:pPr>
        <w:pStyle w:val="Odstavecseseznamem"/>
        <w:numPr>
          <w:ilvl w:val="1"/>
          <w:numId w:val="46"/>
        </w:numPr>
        <w:jc w:val="both"/>
      </w:pPr>
      <w:r w:rsidRPr="002C4201">
        <w:t>dokumenty o zřízení finančního nástroje;</w:t>
      </w:r>
    </w:p>
    <w:p w:rsidR="00F30C0E" w:rsidRPr="002C4201" w:rsidRDefault="00736B0C">
      <w:pPr>
        <w:pStyle w:val="Odstavecseseznamem"/>
        <w:numPr>
          <w:ilvl w:val="1"/>
          <w:numId w:val="46"/>
        </w:numPr>
        <w:jc w:val="both"/>
      </w:pPr>
      <w:r w:rsidRPr="002C4201">
        <w:t>dokumenty uvádějící výši příspěvku na finanční nástroj z každého programu a v rámci každé prioritní osy, výdaje způsobilé v rámci programů</w:t>
      </w:r>
      <w:r w:rsidR="002C4201" w:rsidRPr="002C4201">
        <w:t>,</w:t>
      </w:r>
      <w:r w:rsidRPr="002C4201">
        <w:t xml:space="preserve"> úrok</w:t>
      </w:r>
      <w:r w:rsidR="002C4201" w:rsidRPr="002C4201">
        <w:t>y</w:t>
      </w:r>
      <w:r w:rsidRPr="002C4201">
        <w:t xml:space="preserve"> a další výnos</w:t>
      </w:r>
      <w:r w:rsidR="002C4201" w:rsidRPr="002C4201">
        <w:t>y</w:t>
      </w:r>
      <w:r w:rsidRPr="002C4201">
        <w:t xml:space="preserve"> vytvářené podporou z ESI fondů a použití prostředků připadajících na podporu z ESI fondů v souladu s články 43 a 44 nařízení (EU) č. 1303/2013</w:t>
      </w:r>
      <w:r w:rsidR="000D6CAC" w:rsidRPr="002C4201">
        <w:t>;</w:t>
      </w:r>
    </w:p>
    <w:p w:rsidR="00F30C0E" w:rsidRDefault="00736B0C">
      <w:pPr>
        <w:pStyle w:val="Odstavecseseznamem"/>
        <w:numPr>
          <w:ilvl w:val="1"/>
          <w:numId w:val="46"/>
        </w:numPr>
        <w:jc w:val="both"/>
      </w:pPr>
      <w:r>
        <w:t>dokumenty o fungování finančního nástroje, včetně dokumentů týkajících se monitorování, podávání zpráv a ověřování;</w:t>
      </w:r>
    </w:p>
    <w:p w:rsidR="00F30C0E" w:rsidRDefault="00736B0C">
      <w:pPr>
        <w:pStyle w:val="Odstavecseseznamem"/>
        <w:numPr>
          <w:ilvl w:val="1"/>
          <w:numId w:val="46"/>
        </w:numPr>
        <w:jc w:val="both"/>
      </w:pPr>
      <w:r>
        <w:t>dokumenty dokládající soulad s články 43, 44 a 45 nařízení (EU) č. 1303/2013;</w:t>
      </w:r>
    </w:p>
    <w:p w:rsidR="00F30C0E" w:rsidRDefault="00736B0C">
      <w:pPr>
        <w:pStyle w:val="Odstavecseseznamem"/>
        <w:numPr>
          <w:ilvl w:val="1"/>
          <w:numId w:val="46"/>
        </w:numPr>
        <w:jc w:val="both"/>
      </w:pPr>
      <w:r>
        <w:t>dokumenty týkající se ukončení příspěvků z programů a ukončení finančního nástroje;</w:t>
      </w:r>
    </w:p>
    <w:p w:rsidR="00F30C0E" w:rsidRDefault="00736B0C">
      <w:pPr>
        <w:pStyle w:val="Odstavecseseznamem"/>
        <w:numPr>
          <w:ilvl w:val="1"/>
          <w:numId w:val="46"/>
        </w:numPr>
        <w:jc w:val="both"/>
      </w:pPr>
      <w:r>
        <w:t>dokumenty o nákladech a poplatcích spojených s řízením;</w:t>
      </w:r>
    </w:p>
    <w:p w:rsidR="00F30C0E" w:rsidRDefault="00736B0C">
      <w:pPr>
        <w:pStyle w:val="Odstavecseseznamem"/>
        <w:numPr>
          <w:ilvl w:val="1"/>
          <w:numId w:val="46"/>
        </w:numPr>
        <w:jc w:val="both"/>
      </w:pPr>
      <w:r>
        <w:t>formuláře žádostí nebo rovnocenné doklady předložené konečnými příjemci spolu s podklady, včetně podnikatelských plánů a případně předchozích ročních účetních závěrek;</w:t>
      </w:r>
    </w:p>
    <w:p w:rsidR="00F30C0E" w:rsidRDefault="00736B0C">
      <w:pPr>
        <w:pStyle w:val="Odstavecseseznamem"/>
        <w:numPr>
          <w:ilvl w:val="1"/>
          <w:numId w:val="46"/>
        </w:numPr>
        <w:jc w:val="both"/>
      </w:pPr>
      <w:r>
        <w:t>kontrolní seznamy a zprávy od subjektů provádějících finanční nástroj, jsou-li k dispozici;</w:t>
      </w:r>
    </w:p>
    <w:p w:rsidR="00F30C0E" w:rsidRDefault="00736B0C">
      <w:pPr>
        <w:pStyle w:val="Odstavecseseznamem"/>
        <w:numPr>
          <w:ilvl w:val="1"/>
          <w:numId w:val="46"/>
        </w:numPr>
        <w:jc w:val="both"/>
      </w:pPr>
      <w:r>
        <w:t>prohlášení učiněná v souvislosti s podporou de minimis, je-li to na místě;</w:t>
      </w:r>
    </w:p>
    <w:p w:rsidR="00F30C0E" w:rsidRDefault="00736B0C">
      <w:pPr>
        <w:pStyle w:val="Odstavecseseznamem"/>
        <w:numPr>
          <w:ilvl w:val="1"/>
          <w:numId w:val="46"/>
        </w:numPr>
        <w:jc w:val="both"/>
      </w:pPr>
      <w:r>
        <w:t>dohody podepsané v souvislosti s podporou poskytnutou prostřednictvím finančního nástroje, zahrnující kapitál, půjčky, záruky nebo jiné formy investic poskytnutých konečným příjemcům;</w:t>
      </w:r>
    </w:p>
    <w:p w:rsidR="00F30C0E" w:rsidRDefault="00736B0C">
      <w:pPr>
        <w:pStyle w:val="Odstavecseseznamem"/>
        <w:numPr>
          <w:ilvl w:val="1"/>
          <w:numId w:val="46"/>
        </w:numPr>
        <w:jc w:val="both"/>
      </w:pPr>
      <w:r>
        <w:t>důkazy o tom, že podpora poskytnutá prostřednictvím finančního nástroje byla použita k zamýšlenému účelu;</w:t>
      </w:r>
    </w:p>
    <w:p w:rsidR="00F30C0E" w:rsidRDefault="00736B0C">
      <w:pPr>
        <w:pStyle w:val="Odstavecseseznamem"/>
        <w:numPr>
          <w:ilvl w:val="1"/>
          <w:numId w:val="46"/>
        </w:numPr>
        <w:jc w:val="both"/>
      </w:pPr>
      <w:r>
        <w:t>záznamy o finančních tocích mezi správcem Fondu fondů a finančním nástrojem a v rámci finančního nástroje na všech úrovních až ke konečným příjemcům a v případě záruk důkaz, že příslušné půjčky byly vyplaceny;</w:t>
      </w:r>
    </w:p>
    <w:p w:rsidR="00F30C0E" w:rsidRDefault="00736B0C">
      <w:pPr>
        <w:pStyle w:val="Odstavecseseznamem"/>
        <w:numPr>
          <w:ilvl w:val="1"/>
          <w:numId w:val="46"/>
        </w:numPr>
        <w:jc w:val="both"/>
      </w:pPr>
      <w:r>
        <w:t>oddělené záznamy nebo účetní kódy pro příspěvek z programu vyplacený nebo záruku vyčleněnou finančním nástrojem ve prospěch konečného příjemce.</w:t>
      </w:r>
    </w:p>
    <w:p w:rsidR="000E528E" w:rsidRPr="006B7682" w:rsidRDefault="000E528E" w:rsidP="000E528E">
      <w:pPr>
        <w:jc w:val="both"/>
        <w:rPr>
          <w:i/>
        </w:rPr>
      </w:pPr>
      <w:r>
        <w:rPr>
          <w:i/>
        </w:rPr>
        <w:t>j</w:t>
      </w:r>
      <w:r w:rsidRPr="00D62541">
        <w:rPr>
          <w:i/>
        </w:rPr>
        <w:t>)</w:t>
      </w:r>
      <w:r w:rsidR="000D6CAC">
        <w:rPr>
          <w:i/>
        </w:rPr>
        <w:t xml:space="preserve">  Opětovné </w:t>
      </w:r>
      <w:r w:rsidRPr="00D62541">
        <w:rPr>
          <w:i/>
        </w:rPr>
        <w:t xml:space="preserve">využití prostředků vrácených do </w:t>
      </w:r>
      <w:r>
        <w:rPr>
          <w:i/>
        </w:rPr>
        <w:t>Fina</w:t>
      </w:r>
      <w:r w:rsidR="000D6CAC">
        <w:rPr>
          <w:i/>
        </w:rPr>
        <w:t>n</w:t>
      </w:r>
      <w:r>
        <w:rPr>
          <w:i/>
        </w:rPr>
        <w:t xml:space="preserve">čního nástroje </w:t>
      </w:r>
      <w:r w:rsidRPr="00D62541">
        <w:rPr>
          <w:i/>
        </w:rPr>
        <w:t>a ukončování činnosti F</w:t>
      </w:r>
      <w:r>
        <w:rPr>
          <w:i/>
        </w:rPr>
        <w:t>ondu fondů</w:t>
      </w:r>
    </w:p>
    <w:p w:rsidR="000E528E" w:rsidRPr="006B7682" w:rsidRDefault="000E528E" w:rsidP="000E528E">
      <w:pPr>
        <w:jc w:val="both"/>
      </w:pPr>
      <w:r w:rsidRPr="00D62541">
        <w:t>Využití prostředků vracených od Finanční</w:t>
      </w:r>
      <w:r w:rsidR="000D6CAC">
        <w:t>ho nástroje (</w:t>
      </w:r>
      <w:r>
        <w:t>splátek úvěrů a jejich příslušenství, vymožené plnění ze záruk, výnosu z prodeje investic fondů rizikového kapitálu atd</w:t>
      </w:r>
      <w:r w:rsidR="00215F81">
        <w:t>.</w:t>
      </w:r>
      <w:r>
        <w:t>)</w:t>
      </w:r>
      <w:r w:rsidR="00215F81">
        <w:t>,</w:t>
      </w:r>
      <w:r>
        <w:t xml:space="preserve"> bude používán buď v rámci Finančního nástroje </w:t>
      </w:r>
      <w:r w:rsidR="000D6CAC">
        <w:t xml:space="preserve"> </w:t>
      </w:r>
      <w:r>
        <w:t>neb</w:t>
      </w:r>
      <w:r w:rsidR="000D6CAC">
        <w:t>o bude převáděn do Fondu fondů</w:t>
      </w:r>
      <w:r>
        <w:t>, podrobněji viz  bod G.III. 1.2. d)</w:t>
      </w:r>
      <w:r w:rsidR="000D6CAC">
        <w:t>.</w:t>
      </w:r>
      <w:r>
        <w:t xml:space="preserve"> </w:t>
      </w:r>
    </w:p>
    <w:p w:rsidR="000E528E" w:rsidRPr="006B7682" w:rsidRDefault="000E528E" w:rsidP="000E528E">
      <w:pPr>
        <w:jc w:val="both"/>
      </w:pPr>
      <w:r w:rsidRPr="00D62541">
        <w:t>Správa F</w:t>
      </w:r>
      <w:r>
        <w:t>inančního nástroje</w:t>
      </w:r>
      <w:r w:rsidRPr="00D62541">
        <w:t xml:space="preserve"> bude ukončena poté, co:</w:t>
      </w:r>
    </w:p>
    <w:p w:rsidR="000E528E" w:rsidRPr="006B7682" w:rsidRDefault="000E528E" w:rsidP="000E528E">
      <w:pPr>
        <w:jc w:val="both"/>
      </w:pPr>
      <w:r w:rsidRPr="00D62541">
        <w:t>a) budou uzavřeny všechny účty F</w:t>
      </w:r>
      <w:r>
        <w:t>inančního nástroje</w:t>
      </w:r>
      <w:r w:rsidR="004F149B">
        <w:t xml:space="preserve"> </w:t>
      </w:r>
      <w:r w:rsidRPr="00D62541">
        <w:t>a případné zůstatky na těchto účtech převedeny na účet</w:t>
      </w:r>
      <w:r w:rsidR="000D6CAC">
        <w:t xml:space="preserve"> Fondu fondů </w:t>
      </w:r>
      <w:r>
        <w:t xml:space="preserve">uvedený </w:t>
      </w:r>
      <w:r w:rsidRPr="00D62541">
        <w:t xml:space="preserve">v </w:t>
      </w:r>
      <w:r>
        <w:t>D</w:t>
      </w:r>
      <w:r w:rsidRPr="00D62541">
        <w:t>ohodě o financování</w:t>
      </w:r>
      <w:r w:rsidR="000D6CAC">
        <w:t>,</w:t>
      </w:r>
      <w:r>
        <w:t xml:space="preserve"> </w:t>
      </w:r>
    </w:p>
    <w:p w:rsidR="000E528E" w:rsidRPr="006B7682" w:rsidRDefault="000E528E" w:rsidP="000E528E">
      <w:pPr>
        <w:jc w:val="both"/>
      </w:pPr>
      <w:r w:rsidRPr="00D62541">
        <w:t>b) účty F</w:t>
      </w:r>
      <w:r>
        <w:t>inančního nástroje</w:t>
      </w:r>
      <w:r w:rsidRPr="00D62541">
        <w:t xml:space="preserve"> budou uzavřeny poté, co</w:t>
      </w:r>
      <w:r>
        <w:t>:</w:t>
      </w:r>
      <w:r w:rsidRPr="00D62541">
        <w:t xml:space="preserve"> </w:t>
      </w:r>
    </w:p>
    <w:p w:rsidR="000E528E" w:rsidRPr="006B7682" w:rsidRDefault="000E528E" w:rsidP="000E528E">
      <w:pPr>
        <w:jc w:val="both"/>
      </w:pPr>
      <w:r w:rsidRPr="00D62541">
        <w:t>- správce F</w:t>
      </w:r>
      <w:r w:rsidR="004F149B">
        <w:t>inančního nástroje</w:t>
      </w:r>
      <w:r w:rsidRPr="00D62541">
        <w:t xml:space="preserve"> vyvede z účetnictví rozvahové pohledávky za </w:t>
      </w:r>
      <w:r w:rsidR="004F149B">
        <w:t>Konečnými příjemci</w:t>
      </w:r>
      <w:r w:rsidR="000D6CAC">
        <w:t xml:space="preserve">, </w:t>
      </w:r>
      <w:r w:rsidR="004F149B">
        <w:t xml:space="preserve"> </w:t>
      </w:r>
      <w:r w:rsidRPr="00D62541">
        <w:t xml:space="preserve"> vzniklé z poskytnutých úvěrů poté, co byly uhrazeny nebo byly pro nedobytnost odepsány (při použití obvyklých účetních postupů správce F</w:t>
      </w:r>
      <w:r w:rsidR="004F149B">
        <w:t>inančního nástroje</w:t>
      </w:r>
      <w:r w:rsidR="000D6CAC">
        <w:t>),</w:t>
      </w:r>
    </w:p>
    <w:p w:rsidR="000E528E" w:rsidRPr="006B7682" w:rsidRDefault="000E528E" w:rsidP="000E528E">
      <w:pPr>
        <w:jc w:val="both"/>
      </w:pPr>
      <w:r w:rsidRPr="00D62541">
        <w:t xml:space="preserve">- budou provedeny všechny splatné úhrady poplatku za správu, </w:t>
      </w:r>
    </w:p>
    <w:p w:rsidR="000E528E" w:rsidRPr="006B7682" w:rsidRDefault="000E528E" w:rsidP="000E528E">
      <w:pPr>
        <w:jc w:val="both"/>
      </w:pPr>
      <w:r w:rsidRPr="00D62541">
        <w:t xml:space="preserve">- </w:t>
      </w:r>
      <w:r>
        <w:t>F</w:t>
      </w:r>
      <w:r w:rsidRPr="00D62541">
        <w:t xml:space="preserve">inanční zprostředkovatelé vyvedou z účetnictví podrozvahové pohledávky za konečnými uživateli </w:t>
      </w:r>
      <w:r>
        <w:t>z uplatněných sankcí za porušení podmínek programu</w:t>
      </w:r>
      <w:r w:rsidRPr="00D62541">
        <w:t xml:space="preserve"> poté, co byly uhrazeny </w:t>
      </w:r>
      <w:r>
        <w:t>K</w:t>
      </w:r>
      <w:r w:rsidRPr="00D62541">
        <w:t xml:space="preserve">onečnými </w:t>
      </w:r>
      <w:r>
        <w:t xml:space="preserve">příjemci </w:t>
      </w:r>
      <w:r w:rsidRPr="00D62541">
        <w:t>nebo výtěžkem z vymáhání pohledávek či jejich prodejem nebo byly odepsány pro nedobytnost (při použití obvyklých účetních postupů Finančních zprostředkovatelů)</w:t>
      </w:r>
      <w:r w:rsidR="004F149B">
        <w:t>.</w:t>
      </w:r>
    </w:p>
    <w:p w:rsidR="00F3622C" w:rsidRDefault="00F3622C" w:rsidP="00D650A9">
      <w:pPr>
        <w:jc w:val="both"/>
        <w:rPr>
          <w:u w:val="single"/>
        </w:rPr>
      </w:pPr>
    </w:p>
    <w:p w:rsidR="00692BCD" w:rsidRPr="00DD79EA" w:rsidRDefault="00322294" w:rsidP="009754EB">
      <w:pPr>
        <w:pStyle w:val="Nadpis2"/>
        <w:numPr>
          <w:ilvl w:val="0"/>
          <w:numId w:val="21"/>
        </w:numPr>
        <w:jc w:val="both"/>
      </w:pPr>
      <w:bookmarkStart w:id="19" w:name="_Toc419730439"/>
      <w:r>
        <w:t xml:space="preserve">IV. </w:t>
      </w:r>
      <w:r w:rsidR="00D62541" w:rsidRPr="00D62541">
        <w:t xml:space="preserve">Rozsah aplikace </w:t>
      </w:r>
      <w:bookmarkEnd w:id="19"/>
      <w:r w:rsidR="00FD5FEB">
        <w:t xml:space="preserve">Fondu fondů </w:t>
      </w:r>
    </w:p>
    <w:p w:rsidR="009E6EB3" w:rsidRDefault="00692BCD">
      <w:pPr>
        <w:jc w:val="both"/>
      </w:pPr>
      <w:r w:rsidRPr="00692BCD">
        <w:t>Minimální a maximální varianta</w:t>
      </w:r>
      <w:r w:rsidR="00DE4D5A">
        <w:t xml:space="preserve"> </w:t>
      </w:r>
      <w:r w:rsidR="00CA795E">
        <w:t>zdrojů a jejich rozložení mezi</w:t>
      </w:r>
      <w:r w:rsidR="00DE4D5A">
        <w:t xml:space="preserve">  </w:t>
      </w:r>
      <w:r w:rsidR="00CA795E">
        <w:t xml:space="preserve">operační programy </w:t>
      </w:r>
      <w:r w:rsidR="00975E79">
        <w:t xml:space="preserve">– </w:t>
      </w:r>
      <w:r w:rsidR="001B5C92" w:rsidRPr="001B5C92">
        <w:rPr>
          <w:highlight w:val="yellow"/>
        </w:rPr>
        <w:t>bude doplněno</w:t>
      </w:r>
      <w:r w:rsidR="00215F81">
        <w:rPr>
          <w:highlight w:val="yellow"/>
        </w:rPr>
        <w:t xml:space="preserve"> po konzultaci</w:t>
      </w:r>
      <w:r w:rsidR="00975E79">
        <w:rPr>
          <w:highlight w:val="yellow"/>
        </w:rPr>
        <w:t xml:space="preserve"> s Řídícími orgány</w:t>
      </w:r>
      <w:r w:rsidR="001B5C92" w:rsidRPr="001B5C92">
        <w:rPr>
          <w:highlight w:val="yellow"/>
        </w:rPr>
        <w:t xml:space="preserve"> </w:t>
      </w:r>
    </w:p>
    <w:p w:rsidR="009E6EB3" w:rsidRDefault="009E6EB3">
      <w:pPr>
        <w:jc w:val="both"/>
      </w:pPr>
    </w:p>
    <w:p w:rsidR="009E6EB3" w:rsidRDefault="009E6EB3">
      <w:pPr>
        <w:jc w:val="both"/>
      </w:pPr>
    </w:p>
    <w:p w:rsidR="000C7719" w:rsidRPr="00F6392A" w:rsidRDefault="000C7719" w:rsidP="00D650A9">
      <w:pPr>
        <w:jc w:val="both"/>
      </w:pPr>
    </w:p>
    <w:p w:rsidR="00692BCD" w:rsidRPr="008C2BDA" w:rsidRDefault="00D62541" w:rsidP="009754EB">
      <w:pPr>
        <w:pStyle w:val="Nadpis2"/>
        <w:numPr>
          <w:ilvl w:val="0"/>
          <w:numId w:val="23"/>
        </w:numPr>
        <w:jc w:val="both"/>
      </w:pPr>
      <w:bookmarkStart w:id="20" w:name="_Toc419730441"/>
      <w:r w:rsidRPr="00D62541">
        <w:t>VI.</w:t>
      </w:r>
      <w:r w:rsidR="00DE4D5A">
        <w:t xml:space="preserve">  </w:t>
      </w:r>
      <w:r w:rsidRPr="00D62541">
        <w:t xml:space="preserve">Opatření k zabezpečení připravenosti ČMZRB na správu </w:t>
      </w:r>
      <w:bookmarkEnd w:id="20"/>
      <w:r w:rsidR="007A4FD2">
        <w:t xml:space="preserve">Fondu fondů </w:t>
      </w:r>
    </w:p>
    <w:p w:rsidR="00E4631E" w:rsidRDefault="00E4631E" w:rsidP="00D650A9">
      <w:pPr>
        <w:jc w:val="both"/>
      </w:pPr>
      <w:bookmarkStart w:id="21" w:name="_Toc419730442"/>
    </w:p>
    <w:bookmarkEnd w:id="21"/>
    <w:p w:rsidR="00333F60" w:rsidRDefault="001B5C92" w:rsidP="00D650A9">
      <w:pPr>
        <w:jc w:val="both"/>
      </w:pPr>
      <w:r w:rsidRPr="001B5C92">
        <w:rPr>
          <w:u w:val="single"/>
        </w:rPr>
        <w:t xml:space="preserve">1.  Kapitál </w:t>
      </w:r>
    </w:p>
    <w:p w:rsidR="00361C57" w:rsidRDefault="00333F60" w:rsidP="00D650A9">
      <w:pPr>
        <w:jc w:val="both"/>
      </w:pPr>
      <w:r>
        <w:t>Kapitálová přiměřenost</w:t>
      </w:r>
      <w:r w:rsidR="00DE4D5A">
        <w:t xml:space="preserve"> </w:t>
      </w:r>
      <w:r>
        <w:t>banky se pohybuje okolo 17 %, což je nad minimálním požadavkem stanoveným regulátorem, který činí 10,5 %. S výjimkou nárůstu nároku na vázání kapitálu pro oblast operačního rizika další nároky na vázanost kapitálu banky nebudou vznikat. V souvislosti s výkonem správy fondů, nebude ČMZRB jako správce Fondu fondů podstupovat úvěrové riziko. Dopady z nedobytných pohledávek</w:t>
      </w:r>
      <w:r w:rsidR="006A4BF9">
        <w:t xml:space="preserve"> </w:t>
      </w:r>
      <w:r>
        <w:t xml:space="preserve">v jednotlivých Finančních nástrojích budou promítány </w:t>
      </w:r>
      <w:r w:rsidR="00AC6AC3">
        <w:t>závazkům hodnoty jednotlivých finančních nástrojů na účet FF ve vlastnictví Ř</w:t>
      </w:r>
      <w:r w:rsidR="006A4BF9">
        <w:t>ídícího orgánu</w:t>
      </w:r>
      <w:r w:rsidR="00AC6AC3">
        <w:t>.</w:t>
      </w:r>
      <w:r w:rsidR="00DE4D5A">
        <w:t xml:space="preserve">       </w:t>
      </w:r>
    </w:p>
    <w:p w:rsidR="00B57928" w:rsidRDefault="00B57928" w:rsidP="00D650A9">
      <w:pPr>
        <w:jc w:val="both"/>
        <w:rPr>
          <w:u w:val="single"/>
        </w:rPr>
      </w:pPr>
    </w:p>
    <w:p w:rsidR="0090348F" w:rsidRPr="00EB63B6" w:rsidRDefault="001B5C92" w:rsidP="00D650A9">
      <w:pPr>
        <w:jc w:val="both"/>
        <w:rPr>
          <w:u w:val="single"/>
        </w:rPr>
      </w:pPr>
      <w:r w:rsidRPr="001B5C92">
        <w:rPr>
          <w:u w:val="single"/>
        </w:rPr>
        <w:t xml:space="preserve">2. Informační systém </w:t>
      </w:r>
    </w:p>
    <w:p w:rsidR="00EB63B6" w:rsidRDefault="00EB63B6" w:rsidP="00EB63B6">
      <w:pPr>
        <w:jc w:val="both"/>
      </w:pPr>
      <w:r>
        <w:t xml:space="preserve">ČMZRB disponuje specializovaným a dlouhodobě rozvíjeným informačním subsystémem, který dovoluje plnění informačních povinností spojených se správou veřejných prostředků a provádění specializovaných analýz pro partnery banky. Díky tomu je ČMZRB schopna </w:t>
      </w:r>
      <w:r w:rsidR="006A4BF9">
        <w:t xml:space="preserve">na </w:t>
      </w:r>
      <w:r>
        <w:t xml:space="preserve">základě požadavků vyplývajících ze smluv uzavřených s různými zadavateli programů poskytovat v požadovaných termínech značné množství jak pravidelných zpráv, tak i ad hoc reportů a odpovědí na dotazy, včetně nezbytných doprovodných komentářů.  Jeho klíčovými součástmi jsou:  </w:t>
      </w:r>
    </w:p>
    <w:p w:rsidR="00F30C0E" w:rsidRDefault="001B5C92">
      <w:pPr>
        <w:pStyle w:val="Odstavecseseznamem"/>
        <w:ind w:left="360" w:hanging="360"/>
        <w:jc w:val="both"/>
      </w:pPr>
      <w:r w:rsidRPr="001B5C92">
        <w:rPr>
          <w:i/>
        </w:rPr>
        <w:t>a) Bankovní účetní systém</w:t>
      </w:r>
      <w:r w:rsidR="00EB63B6">
        <w:t xml:space="preserve"> </w:t>
      </w:r>
      <w:r w:rsidRPr="001B5C92">
        <w:rPr>
          <w:i/>
        </w:rPr>
        <w:t>IBIS</w:t>
      </w:r>
    </w:p>
    <w:p w:rsidR="00F30C0E" w:rsidRDefault="00EB63B6">
      <w:pPr>
        <w:pStyle w:val="Odstavecseseznamem"/>
        <w:ind w:left="0"/>
        <w:jc w:val="both"/>
      </w:pPr>
      <w:r>
        <w:t>Bankovní účetní systém prošel v roce 2012 zásadní modernizací a navýšením kapacity z hlediska počtu klientů. Zároveň je tento systém připraven společně s dalšími navazujícími informačními subsystémy na práci v dvojí měně.</w:t>
      </w:r>
    </w:p>
    <w:p w:rsidR="00F30C0E" w:rsidRDefault="00BD3AF3">
      <w:pPr>
        <w:pStyle w:val="Odstavecseseznamem"/>
        <w:ind w:left="0"/>
        <w:jc w:val="both"/>
      </w:pPr>
      <w:r>
        <w:t>Pro účely správy Fondu fond</w:t>
      </w:r>
      <w:r w:rsidR="006A4BF9">
        <w:t>ů nejsou nutné systémové úpravy</w:t>
      </w:r>
      <w:r>
        <w:t>, pouze běžné založení účtů a vypracování účetní metodiky</w:t>
      </w:r>
      <w:r w:rsidR="006A4BF9">
        <w:t>.</w:t>
      </w:r>
      <w:r>
        <w:t xml:space="preserve">  </w:t>
      </w:r>
    </w:p>
    <w:p w:rsidR="00EB63B6" w:rsidRPr="002D5190" w:rsidRDefault="001B5C92" w:rsidP="00EB63B6">
      <w:pPr>
        <w:jc w:val="both"/>
        <w:rPr>
          <w:i/>
        </w:rPr>
      </w:pPr>
      <w:r w:rsidRPr="001B5C92">
        <w:rPr>
          <w:i/>
        </w:rPr>
        <w:t>b) Informační databáze obchodů Záruční banky</w:t>
      </w:r>
    </w:p>
    <w:p w:rsidR="00317739" w:rsidRDefault="00317739" w:rsidP="00EB63B6">
      <w:pPr>
        <w:jc w:val="both"/>
      </w:pPr>
      <w:r w:rsidRPr="00500B0F">
        <w:t xml:space="preserve">Informační databáze klientů a bankovních obchodů </w:t>
      </w:r>
      <w:r>
        <w:t>je multifunkční neúčetní informač</w:t>
      </w:r>
      <w:r w:rsidR="00B57928">
        <w:t>n</w:t>
      </w:r>
      <w:r>
        <w:t>í systém</w:t>
      </w:r>
      <w:r w:rsidR="00B57928">
        <w:t xml:space="preserve">, který zachycuje údaje o klientech a projektech od fáze podání žádostí. Jeho data jsou využívána </w:t>
      </w:r>
      <w:r w:rsidR="006A4BF9">
        <w:t>pro propočty, výběry</w:t>
      </w:r>
      <w:r w:rsidR="00B57928">
        <w:t>, tvorbu smluvní doku</w:t>
      </w:r>
      <w:r w:rsidR="006A4BF9">
        <w:t xml:space="preserve">mentace.  Umožňuje produkování </w:t>
      </w:r>
      <w:r w:rsidR="00B57928">
        <w:t xml:space="preserve">opakovatelných i ad hoc reportů.    </w:t>
      </w:r>
    </w:p>
    <w:p w:rsidR="002D5190" w:rsidRDefault="00BD3AF3" w:rsidP="00EB63B6">
      <w:pPr>
        <w:jc w:val="both"/>
      </w:pPr>
      <w:r>
        <w:t>Pr</w:t>
      </w:r>
      <w:r w:rsidR="002D5190">
        <w:t>o</w:t>
      </w:r>
      <w:r>
        <w:t>střednictvím tohoto systému bude prováděno zachycení a přenos údajů na</w:t>
      </w:r>
      <w:r w:rsidR="006A4BF9">
        <w:t xml:space="preserve"> úrovni jednotlivých Konečných příjemců </w:t>
      </w:r>
      <w:r>
        <w:t>předávaných Fin</w:t>
      </w:r>
      <w:r w:rsidR="002D5190">
        <w:t>an</w:t>
      </w:r>
      <w:r>
        <w:t>čními zpr</w:t>
      </w:r>
      <w:r w:rsidR="002D5190">
        <w:t>o</w:t>
      </w:r>
      <w:r>
        <w:t>stř</w:t>
      </w:r>
      <w:r w:rsidR="002D5190">
        <w:t>e</w:t>
      </w:r>
      <w:r>
        <w:t>dkovateli</w:t>
      </w:r>
      <w:r w:rsidR="002D5190">
        <w:t xml:space="preserve"> a z uvedeného systému budou data předávána do MS2014+.</w:t>
      </w:r>
    </w:p>
    <w:p w:rsidR="00BD3AF3" w:rsidRDefault="002D5190" w:rsidP="00EB63B6">
      <w:pPr>
        <w:jc w:val="both"/>
      </w:pPr>
      <w:r>
        <w:t>Bude potřebné provést silami útvaru IT banky programátorské práce obdobného charakteru</w:t>
      </w:r>
      <w:r w:rsidR="006A4BF9">
        <w:t xml:space="preserve"> </w:t>
      </w:r>
      <w:r>
        <w:t xml:space="preserve"> jako jsou bankou prováděny</w:t>
      </w:r>
      <w:r w:rsidR="00BD3AF3">
        <w:t xml:space="preserve"> </w:t>
      </w:r>
      <w:r>
        <w:t xml:space="preserve">při zavádění nových produktů a programů a zajistit načítání dat předávaných ve standardizovaném formátu bankami. </w:t>
      </w:r>
    </w:p>
    <w:p w:rsidR="002D5190" w:rsidRDefault="001B5C92" w:rsidP="00EB63B6">
      <w:pPr>
        <w:jc w:val="both"/>
      </w:pPr>
      <w:r w:rsidRPr="001B5C92">
        <w:rPr>
          <w:i/>
        </w:rPr>
        <w:t>c) Webová podatelna a Elektronická spisová služba (EZOP</w:t>
      </w:r>
      <w:r w:rsidR="002D5190">
        <w:t xml:space="preserve">) </w:t>
      </w:r>
    </w:p>
    <w:p w:rsidR="0061191D" w:rsidRDefault="0061191D" w:rsidP="00EB63B6">
      <w:pPr>
        <w:jc w:val="both"/>
      </w:pPr>
      <w:r>
        <w:t>Bez dalších úprav budou využity pro zabezpečený přenos dat v elektronické podobě od Finančních zprostředkovatelů a vytvoření auditní stopy komunikace s Finančními zprostředkovateli</w:t>
      </w:r>
      <w:r w:rsidR="006A4BF9">
        <w:t>.</w:t>
      </w:r>
    </w:p>
    <w:p w:rsidR="0061191D" w:rsidRPr="0061191D" w:rsidRDefault="001B5C92" w:rsidP="00EB63B6">
      <w:pPr>
        <w:jc w:val="both"/>
        <w:rPr>
          <w:i/>
        </w:rPr>
      </w:pPr>
      <w:r w:rsidRPr="001B5C92">
        <w:rPr>
          <w:i/>
        </w:rPr>
        <w:t>d) Aplikace SUP</w:t>
      </w:r>
    </w:p>
    <w:p w:rsidR="00EB63B6" w:rsidRDefault="00EB63B6" w:rsidP="00EB63B6">
      <w:pPr>
        <w:jc w:val="both"/>
      </w:pPr>
      <w:r>
        <w:t xml:space="preserve"> Informační subsystém podporující sjednocený úvěrový proces, tj. správu dokumentů v elektronické podobě a workflow elektronického oběhu těchto dokumentů, jejich zpracování a ukládání do elektronických složek klientů a elektronických složek obchodů.</w:t>
      </w:r>
      <w:r w:rsidR="0061191D">
        <w:t xml:space="preserve"> </w:t>
      </w:r>
      <w:r w:rsidR="00D95190">
        <w:t>Aplikace b</w:t>
      </w:r>
      <w:r w:rsidR="0061191D">
        <w:t>ud</w:t>
      </w:r>
      <w:r w:rsidR="00D95190">
        <w:t>e</w:t>
      </w:r>
      <w:r w:rsidR="0061191D">
        <w:t xml:space="preserve"> využit</w:t>
      </w:r>
      <w:r w:rsidR="006A4BF9">
        <w:t>a</w:t>
      </w:r>
      <w:r w:rsidR="0061191D">
        <w:t xml:space="preserve"> v případě</w:t>
      </w:r>
      <w:r w:rsidR="002355AB">
        <w:t>, že správce Fondu fondů bude současně spravovat Finanční nástroj.</w:t>
      </w:r>
    </w:p>
    <w:p w:rsidR="00EB63B6" w:rsidRDefault="00EB63B6" w:rsidP="00D650A9">
      <w:pPr>
        <w:jc w:val="both"/>
      </w:pPr>
    </w:p>
    <w:p w:rsidR="0090348F" w:rsidRPr="006E5747" w:rsidRDefault="001B5C92" w:rsidP="00D650A9">
      <w:pPr>
        <w:jc w:val="both"/>
        <w:rPr>
          <w:u w:val="single"/>
        </w:rPr>
      </w:pPr>
      <w:r w:rsidRPr="001B5C92">
        <w:rPr>
          <w:u w:val="single"/>
        </w:rPr>
        <w:t xml:space="preserve">3.  Organizace a lidské zdroje  </w:t>
      </w:r>
    </w:p>
    <w:p w:rsidR="006E5747" w:rsidRDefault="006E5747" w:rsidP="00D650A9">
      <w:pPr>
        <w:jc w:val="both"/>
      </w:pPr>
      <w:r w:rsidRPr="006E5747">
        <w:t xml:space="preserve">Výkonné řízení Fondu fondů bude zabezpečovat v ČMZRB </w:t>
      </w:r>
      <w:r w:rsidR="00D95190">
        <w:t xml:space="preserve">nově vytvořené </w:t>
      </w:r>
      <w:r w:rsidRPr="006E5747">
        <w:t>Oddělení/odbor fondu fondů (OFF), které bude součástí Úseku řízení obchodu. Tento útvar bude zabezpečovat činnost F</w:t>
      </w:r>
      <w:r>
        <w:t xml:space="preserve">ondu </w:t>
      </w:r>
      <w:r w:rsidRPr="006E5747">
        <w:t>s využitím podpory ekonomického úseku</w:t>
      </w:r>
      <w:r w:rsidR="007A4FD2">
        <w:t xml:space="preserve"> v oblasti souhrnných ekonomických údajů o činnosti Fondu fondů a jeho produktů pro MS2014+ a speciálních monitorovacích tabulek pro Řídící orgán o fungování Fondu fondů a realizaci jeho produktů</w:t>
      </w:r>
      <w:r w:rsidRPr="006E5747">
        <w:t>.</w:t>
      </w:r>
      <w:r w:rsidR="006A4BF9">
        <w:t xml:space="preserve"> V oblasti zpracování údajů </w:t>
      </w:r>
      <w:r w:rsidR="007A4FD2">
        <w:t xml:space="preserve"> neúčetní databáze IDOK pro účely monitorovacích výstupů pro Řídící orgán bude podporu činnosti útvaru Fondu fondů poskytován administrátor IDOK. </w:t>
      </w:r>
    </w:p>
    <w:p w:rsidR="006E5747" w:rsidRDefault="006E5747" w:rsidP="00D650A9">
      <w:pPr>
        <w:jc w:val="both"/>
      </w:pPr>
      <w:r w:rsidRPr="006E5747">
        <w:t xml:space="preserve">Předběžná struktura OFF pro zahajovací fázi činnosti: ředitel </w:t>
      </w:r>
      <w:r w:rsidR="006A4BF9">
        <w:t xml:space="preserve">útvaru fondu fondů, </w:t>
      </w:r>
      <w:r w:rsidRPr="006E5747">
        <w:t xml:space="preserve">administrátor </w:t>
      </w:r>
      <w:r>
        <w:t>Fondu fondů</w:t>
      </w:r>
      <w:r w:rsidR="00F3389D">
        <w:t>, supervizor kontroly</w:t>
      </w:r>
      <w:r w:rsidRPr="006E5747">
        <w:t xml:space="preserve"> na místě a kontroly u </w:t>
      </w:r>
      <w:r>
        <w:t>F</w:t>
      </w:r>
      <w:r w:rsidRPr="006E5747">
        <w:t>inančních zprostředkovatelů</w:t>
      </w:r>
      <w:r>
        <w:t>, právník administrativní podpory</w:t>
      </w:r>
      <w:r w:rsidRPr="006E5747">
        <w:t xml:space="preserve">. </w:t>
      </w:r>
      <w:r>
        <w:t xml:space="preserve">V závislosti na vývoji rozsahu agendy bude tento útvar personálně doplňován. V počáteční fázi bude personální obsazení řešeno v rámci stávajících zaměstnanců banky. </w:t>
      </w:r>
    </w:p>
    <w:p w:rsidR="006E5747" w:rsidRDefault="006E5747" w:rsidP="006E5747">
      <w:pPr>
        <w:jc w:val="both"/>
      </w:pPr>
      <w:r w:rsidRPr="006E5747">
        <w:t xml:space="preserve">Oddělení vývoje a metodiky Úseku strategie bude zabezpečovat průběžné metodické řízení a podporu Finančních zprostředkovatelů v otázkách dodržování platné legislativy pro oblast strukturálních fondů, veřejné podpory a podmínek operačních smluv. </w:t>
      </w:r>
      <w:r>
        <w:t xml:space="preserve">V počáteční fázi bude personální obsazení řešeno v rámci stávajících zaměstnanců banky. V závislosti na vývoji rozsahu agendy bude tento útvar personálně doplňován, minimálně o 1- 2 zaměstnance. </w:t>
      </w:r>
    </w:p>
    <w:p w:rsidR="006E5747" w:rsidRDefault="006E5747" w:rsidP="00D650A9">
      <w:pPr>
        <w:jc w:val="both"/>
      </w:pPr>
      <w:r>
        <w:t>IT podpo</w:t>
      </w:r>
      <w:r w:rsidR="00F3389D">
        <w:t>ra bude zabezpečována především</w:t>
      </w:r>
      <w:r>
        <w:t xml:space="preserve"> IT útvarem banky. K navýšení jeho kapacity bude zvýšen rozsah externích dodávek.    </w:t>
      </w:r>
    </w:p>
    <w:p w:rsidR="007A4FD2" w:rsidRDefault="007A4FD2" w:rsidP="00D650A9">
      <w:pPr>
        <w:jc w:val="both"/>
      </w:pPr>
      <w:r>
        <w:t>Právní podporu bude poskytovat právní útvar banky</w:t>
      </w:r>
      <w:r w:rsidR="00C76269">
        <w:t xml:space="preserve">, k navýšení jeho kapacity pro podporu fáze uzavírání Dohod o financování bude podle potřeby dočasně navýšeno využití spolupracujících advokátů.   </w:t>
      </w:r>
    </w:p>
    <w:p w:rsidR="00975E79" w:rsidRDefault="00975E79" w:rsidP="00D650A9">
      <w:pPr>
        <w:jc w:val="both"/>
      </w:pPr>
    </w:p>
    <w:p w:rsidR="0090348F" w:rsidRPr="006E5747" w:rsidRDefault="001B5C92" w:rsidP="00D650A9">
      <w:pPr>
        <w:jc w:val="both"/>
        <w:rPr>
          <w:u w:val="single"/>
        </w:rPr>
      </w:pPr>
      <w:r w:rsidRPr="001B5C92">
        <w:rPr>
          <w:u w:val="single"/>
        </w:rPr>
        <w:t xml:space="preserve">4.   Vypracování vnitřních předpisů pro správu Fondu fondů </w:t>
      </w:r>
    </w:p>
    <w:p w:rsidR="00101D80" w:rsidRDefault="00F3389D" w:rsidP="00D650A9">
      <w:pPr>
        <w:jc w:val="both"/>
      </w:pPr>
      <w:r>
        <w:t xml:space="preserve">Metodické </w:t>
      </w:r>
      <w:r w:rsidR="008624CF">
        <w:t>předpisy pro výkon činnosti při správě Fondu fondů budou vypracovány jednotlivými odbornými út</w:t>
      </w:r>
      <w:r>
        <w:t xml:space="preserve">vary ČMZRB v rozsahu uvedeném  </w:t>
      </w:r>
      <w:r w:rsidR="008624CF">
        <w:t xml:space="preserve">v bodě  </w:t>
      </w:r>
      <w:r w:rsidR="00975E79">
        <w:t xml:space="preserve">G.III. 1.2ea) </w:t>
      </w:r>
      <w:r w:rsidR="008624CF">
        <w:t>Studie</w:t>
      </w:r>
      <w:r w:rsidR="00975E79">
        <w:t>.</w:t>
      </w:r>
    </w:p>
    <w:p w:rsidR="00975E79" w:rsidRDefault="00975E79" w:rsidP="00D650A9">
      <w:pPr>
        <w:jc w:val="both"/>
        <w:rPr>
          <w:u w:val="single"/>
        </w:rPr>
      </w:pPr>
    </w:p>
    <w:p w:rsidR="0090348F" w:rsidRPr="00101D80" w:rsidRDefault="001B5C92" w:rsidP="00D650A9">
      <w:pPr>
        <w:jc w:val="both"/>
        <w:rPr>
          <w:u w:val="single"/>
        </w:rPr>
      </w:pPr>
      <w:r w:rsidRPr="001B5C92">
        <w:rPr>
          <w:u w:val="single"/>
        </w:rPr>
        <w:t xml:space="preserve">5.   Nastavení kontrolního a auditního systému, AML  </w:t>
      </w:r>
    </w:p>
    <w:p w:rsidR="00C76269" w:rsidRDefault="00C76269" w:rsidP="00C76269">
      <w:pPr>
        <w:jc w:val="both"/>
      </w:pPr>
      <w:r>
        <w:t>ČMZRB má ve své předpisové základně nast</w:t>
      </w:r>
      <w:r w:rsidR="00F3389D">
        <w:t>aveny procesní postupy – tzv. ří</w:t>
      </w:r>
      <w:r>
        <w:t>d</w:t>
      </w:r>
      <w:r w:rsidR="00D95190">
        <w:t>í</w:t>
      </w:r>
      <w:r>
        <w:t>cí a kontrolní systém ČMZRB, který je z hlediska trvalého zajištění účinnosti průběžně aktualizován (s ohledem na Vyhlášku č. 23/2014 Sb. o výkonu činnosti bank, spořitelních a úvěrních družstvech a obchodníků s cennými papíry, a taktéž v návaznosti na požadavky Compliance programu (tj. souboru opatření určených k minimalizaci trestně-právních rizik (ve smyslu zákona č. 418/2011 Sb. o trestní odpovědnosti právnických osob a řízení proti nim).</w:t>
      </w:r>
    </w:p>
    <w:p w:rsidR="00C76269" w:rsidRDefault="00C76269" w:rsidP="00C76269">
      <w:pPr>
        <w:jc w:val="both"/>
      </w:pPr>
      <w:r>
        <w:t xml:space="preserve">Řízení kontrolního systému (ŘKS) zahrnuje mj. tyto klíčové složky: </w:t>
      </w:r>
    </w:p>
    <w:p w:rsidR="00F30C0E" w:rsidRDefault="00C76269">
      <w:pPr>
        <w:pStyle w:val="Odstavecseseznamem"/>
        <w:numPr>
          <w:ilvl w:val="0"/>
          <w:numId w:val="3"/>
        </w:numPr>
        <w:jc w:val="both"/>
      </w:pPr>
      <w:r>
        <w:t>vnitřní kontrolní prostředí, jež se odvíjí od činnosti představenstva Banky, dozorčí rady, výboru pro audit</w:t>
      </w:r>
    </w:p>
    <w:p w:rsidR="00F30C0E" w:rsidRDefault="00C76269">
      <w:pPr>
        <w:pStyle w:val="Odstavecseseznamem"/>
        <w:numPr>
          <w:ilvl w:val="0"/>
          <w:numId w:val="3"/>
        </w:numPr>
        <w:jc w:val="both"/>
      </w:pPr>
      <w:r>
        <w:t>organizační uspořádání ve smyslu vymezení působnosti a rozhodovací pravomoci včetně vymezení neslučitelných funkcí či postupů z hlediska možného vzniku střetu zájmů</w:t>
      </w:r>
    </w:p>
    <w:p w:rsidR="00F30C0E" w:rsidRDefault="00C76269">
      <w:pPr>
        <w:pStyle w:val="Odstavecseseznamem"/>
        <w:numPr>
          <w:ilvl w:val="0"/>
          <w:numId w:val="3"/>
        </w:numPr>
        <w:jc w:val="both"/>
      </w:pPr>
      <w:r>
        <w:t>činnost týmu compliance (jmenované generálním ředitelem ČMZRB)</w:t>
      </w:r>
    </w:p>
    <w:p w:rsidR="00F30C0E" w:rsidRDefault="00C76269">
      <w:pPr>
        <w:pStyle w:val="Odstavecseseznamem"/>
        <w:numPr>
          <w:ilvl w:val="0"/>
          <w:numId w:val="3"/>
        </w:numPr>
        <w:jc w:val="both"/>
      </w:pPr>
      <w:r>
        <w:t>zpětná rekonstruovatelnost (vysledovatelnost) veškerých schvalovacích a rozhodovacích procesů včetně systému uchovávání informací, daných Spisovým a skartačním řádem</w:t>
      </w:r>
      <w:r w:rsidR="008A7B11">
        <w:t>.</w:t>
      </w:r>
    </w:p>
    <w:p w:rsidR="00C76269" w:rsidRDefault="00C76269" w:rsidP="00C76269">
      <w:pPr>
        <w:jc w:val="both"/>
      </w:pPr>
      <w:r>
        <w:t>Aktivní účast v procesu vnitřní kontroly je součástí všech pracovníků Banky. Kontrolní činnosti jsou součástí běžné, zpravidla každodenní činnosti Banky a zahrnují přiměřené kontrolní mechanizmy (vč. fyzické kontroly) pro jednotlivé procesy, uplatňované zejm. prostřednictvím provozní kontroly, kontroly po linii řízení, následné kontroly (vč. např. kontroly 4 očí).</w:t>
      </w:r>
    </w:p>
    <w:p w:rsidR="00C76269" w:rsidRDefault="00C76269" w:rsidP="00C76269">
      <w:pPr>
        <w:jc w:val="both"/>
      </w:pPr>
      <w:r>
        <w:t>Za průběžné sledování a vyhodnocování funkčnosti ŘKS odpovídají vedoucí útvarů (úseků, odborů, poboček) Samostatnému oddělení vnitřního auditu (SOVA).</w:t>
      </w:r>
    </w:p>
    <w:p w:rsidR="00594ECC" w:rsidRDefault="00C76269" w:rsidP="00C76269">
      <w:pPr>
        <w:jc w:val="both"/>
      </w:pPr>
      <w:r>
        <w:t>Činnost</w:t>
      </w:r>
      <w:r w:rsidR="008A7B11">
        <w:t>i</w:t>
      </w:r>
      <w:r>
        <w:t xml:space="preserve"> </w:t>
      </w:r>
      <w:r w:rsidR="00594ECC">
        <w:t>Fondu f</w:t>
      </w:r>
      <w:r>
        <w:t xml:space="preserve">ondů </w:t>
      </w:r>
      <w:r w:rsidR="00594ECC">
        <w:t>budou realizovány v rámci všeobecně uplatňovaného řídícího a kontrolního sy</w:t>
      </w:r>
      <w:r w:rsidR="008A7B11">
        <w:t>s</w:t>
      </w:r>
      <w:r w:rsidR="00594ECC">
        <w:t xml:space="preserve">tému banky. </w:t>
      </w:r>
    </w:p>
    <w:p w:rsidR="008624CF" w:rsidRDefault="00594ECC" w:rsidP="008624CF">
      <w:pPr>
        <w:jc w:val="both"/>
      </w:pPr>
      <w:r>
        <w:t xml:space="preserve">Zabezpečení požadavků </w:t>
      </w:r>
      <w:r w:rsidR="008624CF">
        <w:t>vyplývajících za zákona č. 253/2008 Sb., o některých opatřeních proti legalizaci výnosů z trestné činnosti a financování terorismu, ve znění pozdějších předpisů, a dalších souvisejících předpisů bude provedeno v rámci postupů stanovených již ex</w:t>
      </w:r>
      <w:r w:rsidR="008A7B11">
        <w:t>istujícími vnitřními předpisy Č</w:t>
      </w:r>
      <w:r w:rsidR="008624CF">
        <w:t>MZRB</w:t>
      </w:r>
      <w:r w:rsidR="008A7B11">
        <w:t>.</w:t>
      </w:r>
      <w:r w:rsidR="008624CF">
        <w:t xml:space="preserve"> </w:t>
      </w:r>
    </w:p>
    <w:p w:rsidR="00F30C0E" w:rsidRDefault="00F30C0E">
      <w:pPr>
        <w:pStyle w:val="Nadpis2"/>
        <w:ind w:left="720" w:hanging="436"/>
        <w:jc w:val="both"/>
      </w:pPr>
    </w:p>
    <w:p w:rsidR="00F30C0E" w:rsidRDefault="008A7B11">
      <w:pPr>
        <w:pStyle w:val="Nadpis2"/>
        <w:ind w:left="720" w:hanging="436"/>
        <w:jc w:val="both"/>
        <w:rPr>
          <w:b w:val="0"/>
        </w:rPr>
      </w:pPr>
      <w:r>
        <w:t>G</w:t>
      </w:r>
      <w:r w:rsidR="001B5C92" w:rsidRPr="001B5C92">
        <w:t>. VII.</w:t>
      </w:r>
      <w:r w:rsidR="00DE4D5A">
        <w:rPr>
          <w:b w:val="0"/>
        </w:rPr>
        <w:t xml:space="preserve">  </w:t>
      </w:r>
      <w:r w:rsidR="001B5C92" w:rsidRPr="001B5C92">
        <w:t xml:space="preserve">Časové vymezení přípravy implementace </w:t>
      </w:r>
    </w:p>
    <w:p w:rsidR="00692BCD" w:rsidRDefault="002C7C9E" w:rsidP="00D650A9">
      <w:pPr>
        <w:jc w:val="both"/>
      </w:pPr>
      <w:r>
        <w:t>Harmonogram</w:t>
      </w:r>
      <w:r w:rsidR="008A7B11">
        <w:t xml:space="preserve"> kroků ode dne D (</w:t>
      </w:r>
      <w:r>
        <w:t>rozhodnutí vlády</w:t>
      </w:r>
      <w:r w:rsidR="001B5C92" w:rsidRPr="001B5C92">
        <w:rPr>
          <w:highlight w:val="yellow"/>
        </w:rPr>
        <w:t>)- bude dopracováno</w:t>
      </w:r>
      <w:r w:rsidR="006967C4">
        <w:t xml:space="preserve"> </w:t>
      </w:r>
    </w:p>
    <w:p w:rsidR="002C7C9E" w:rsidRDefault="002C7C9E" w:rsidP="00D650A9">
      <w:pPr>
        <w:jc w:val="both"/>
      </w:pPr>
    </w:p>
    <w:p w:rsidR="00F30C0E" w:rsidRDefault="001B5C92">
      <w:pPr>
        <w:pStyle w:val="Nadpis2"/>
        <w:ind w:left="360"/>
        <w:jc w:val="both"/>
      </w:pPr>
      <w:r w:rsidRPr="001B5C92">
        <w:t xml:space="preserve">G. VIII. Finanční náročnost </w:t>
      </w:r>
    </w:p>
    <w:p w:rsidR="00943BD7" w:rsidRDefault="00943BD7" w:rsidP="00D650A9">
      <w:pPr>
        <w:jc w:val="both"/>
      </w:pPr>
      <w:r>
        <w:t xml:space="preserve">Realizace centralizované správy finančních nástrojů nevyžaduje zvláštní výdaje z rozpočtových kapitol  </w:t>
      </w:r>
      <w:r w:rsidR="00385964">
        <w:t xml:space="preserve">    </w:t>
      </w:r>
      <w:r>
        <w:t>Řídících orgánů operačních programů. Počáteční investic</w:t>
      </w:r>
      <w:r w:rsidR="008A7B11">
        <w:t xml:space="preserve">e a průběžné náklady spojené se správou Fondu fondů či </w:t>
      </w:r>
      <w:r>
        <w:t>Finančních nástrojů bud</w:t>
      </w:r>
      <w:r w:rsidR="008A7B11">
        <w:t>ou pokryty z poplatku za správu</w:t>
      </w:r>
      <w:r>
        <w:t>, který bude hrazen jako způsobilý výdaj z vkladu prostředků vložených do Fondu fondů či Finančního nástroje.</w:t>
      </w:r>
    </w:p>
    <w:p w:rsidR="00943BD7" w:rsidRDefault="00943BD7" w:rsidP="00D650A9">
      <w:pPr>
        <w:jc w:val="both"/>
      </w:pPr>
      <w:r>
        <w:t>V případě správy Fondu fondů prováděné ČMZRB:</w:t>
      </w:r>
    </w:p>
    <w:p w:rsidR="00F30C0E" w:rsidRDefault="00943BD7">
      <w:pPr>
        <w:pStyle w:val="Odstavecseseznamem"/>
        <w:numPr>
          <w:ilvl w:val="0"/>
          <w:numId w:val="42"/>
        </w:numPr>
        <w:jc w:val="both"/>
      </w:pPr>
      <w:r>
        <w:t>není nutná investice do budov</w:t>
      </w:r>
      <w:r w:rsidR="00EE625E">
        <w:t>,</w:t>
      </w:r>
    </w:p>
    <w:p w:rsidR="00F30C0E" w:rsidRDefault="00EE625E">
      <w:pPr>
        <w:pStyle w:val="Odstavecseseznamem"/>
        <w:numPr>
          <w:ilvl w:val="0"/>
          <w:numId w:val="42"/>
        </w:numPr>
        <w:jc w:val="both"/>
      </w:pPr>
      <w:r>
        <w:t xml:space="preserve"> není nutná investice</w:t>
      </w:r>
      <w:r w:rsidR="00B222A9">
        <w:t xml:space="preserve"> do hardware nad rámec výdajů prováděn</w:t>
      </w:r>
      <w:r w:rsidR="008A7B11">
        <w:t xml:space="preserve">ých bankou v rámci jeho obnovy </w:t>
      </w:r>
      <w:r w:rsidR="00B222A9">
        <w:t>a rozvoje</w:t>
      </w:r>
      <w:r w:rsidR="008A7B11">
        <w:t>,</w:t>
      </w:r>
    </w:p>
    <w:p w:rsidR="00F30C0E" w:rsidRDefault="00943BD7">
      <w:pPr>
        <w:pStyle w:val="Odstavecseseznamem"/>
        <w:numPr>
          <w:ilvl w:val="0"/>
          <w:numId w:val="42"/>
        </w:numPr>
        <w:jc w:val="both"/>
      </w:pPr>
      <w:r>
        <w:t>není nutná investice do účetního systému nad rámec jejich běžného rozvoje prováděného bankou.</w:t>
      </w:r>
    </w:p>
    <w:p w:rsidR="00EE625E" w:rsidRDefault="00EE625E" w:rsidP="00D650A9">
      <w:pPr>
        <w:jc w:val="both"/>
      </w:pPr>
      <w:r>
        <w:t>Hlavní počáteční výdaje budou spojeny</w:t>
      </w:r>
      <w:r w:rsidR="008A7B11">
        <w:t xml:space="preserve"> s</w:t>
      </w:r>
      <w:r>
        <w:t>:</w:t>
      </w:r>
    </w:p>
    <w:p w:rsidR="00F30C0E" w:rsidRDefault="00EE625E">
      <w:pPr>
        <w:pStyle w:val="Odstavecseseznamem"/>
        <w:numPr>
          <w:ilvl w:val="0"/>
          <w:numId w:val="43"/>
        </w:numPr>
        <w:jc w:val="both"/>
      </w:pPr>
      <w:r>
        <w:t xml:space="preserve">přípravou informačního systému pro potřeby produkování speciálních informací vyžadovaných jednotlivými </w:t>
      </w:r>
      <w:r w:rsidR="00D95190">
        <w:t xml:space="preserve">Řídícími </w:t>
      </w:r>
      <w:r>
        <w:t>orgány nad rámec standardně vyžadovaných informací pro naplnění požadavků vyplývajících z předpisů EU,</w:t>
      </w:r>
    </w:p>
    <w:p w:rsidR="00F30C0E" w:rsidRDefault="00EE625E">
      <w:pPr>
        <w:pStyle w:val="Odstavecseseznamem"/>
        <w:numPr>
          <w:ilvl w:val="0"/>
          <w:numId w:val="43"/>
        </w:numPr>
        <w:jc w:val="both"/>
      </w:pPr>
      <w:r>
        <w:t>přípravou neúčetního informačního systému banky na zpracování informací o jednotlivých konečných uživatelích a jejich projektech</w:t>
      </w:r>
      <w:r w:rsidR="00D95190">
        <w:t xml:space="preserve"> předávaných Finančními zprostředkovateli </w:t>
      </w:r>
      <w:r>
        <w:t xml:space="preserve">a následného čtvrtletního </w:t>
      </w:r>
      <w:r w:rsidR="008A7B11">
        <w:t>přenosu těchto údajů do MS2014+</w:t>
      </w:r>
      <w:r>
        <w:t>,</w:t>
      </w:r>
    </w:p>
    <w:p w:rsidR="00F30C0E" w:rsidRDefault="00EE625E">
      <w:pPr>
        <w:pStyle w:val="Odstavecseseznamem"/>
        <w:numPr>
          <w:ilvl w:val="0"/>
          <w:numId w:val="43"/>
        </w:numPr>
        <w:jc w:val="both"/>
      </w:pPr>
      <w:r>
        <w:t xml:space="preserve">přípravou </w:t>
      </w:r>
      <w:r w:rsidR="00B222A9">
        <w:t>v</w:t>
      </w:r>
      <w:r w:rsidR="00502FE2">
        <w:t>nitřních předpisů pro správu produktů Fondu fondů a dalš</w:t>
      </w:r>
      <w:r w:rsidR="008A7B11">
        <w:t xml:space="preserve">í související činnosti spojené </w:t>
      </w:r>
      <w:r w:rsidR="00502FE2">
        <w:t>se správou Fondu fondů.</w:t>
      </w:r>
    </w:p>
    <w:p w:rsidR="00502FE2" w:rsidRDefault="00502FE2" w:rsidP="00D650A9">
      <w:pPr>
        <w:jc w:val="both"/>
      </w:pPr>
      <w:r>
        <w:t>Vesměs se jedná o činnosti zabezpečované stávajícími zaměstnanci banky. V oblasti přípravy infor</w:t>
      </w:r>
      <w:r w:rsidR="008A7B11">
        <w:t xml:space="preserve">mačního systému nelze vyloučit </w:t>
      </w:r>
      <w:r>
        <w:t xml:space="preserve">i externí výdaje hrazené z rozpočtu banky. </w:t>
      </w:r>
    </w:p>
    <w:p w:rsidR="00385964" w:rsidRDefault="00EE625E" w:rsidP="00D650A9">
      <w:pPr>
        <w:jc w:val="both"/>
      </w:pPr>
      <w:r>
        <w:t xml:space="preserve">   </w:t>
      </w:r>
      <w:r w:rsidR="00943BD7">
        <w:t xml:space="preserve">          </w:t>
      </w:r>
    </w:p>
    <w:p w:rsidR="00F30C0E" w:rsidRDefault="00F41DC1">
      <w:pPr>
        <w:pStyle w:val="Nadpis2"/>
        <w:ind w:left="720" w:hanging="436"/>
        <w:jc w:val="both"/>
      </w:pPr>
      <w:r w:rsidRPr="00F41DC1">
        <w:t>G. I</w:t>
      </w:r>
      <w:r>
        <w:t>X</w:t>
      </w:r>
      <w:r w:rsidRPr="00F41DC1">
        <w:t xml:space="preserve">. </w:t>
      </w:r>
      <w:r w:rsidR="00A67146">
        <w:t xml:space="preserve">Efekty centralizované správy Nástrojů </w:t>
      </w:r>
    </w:p>
    <w:p w:rsidR="00F30C0E" w:rsidRDefault="00502FE2" w:rsidP="008A7B11">
      <w:pPr>
        <w:jc w:val="both"/>
      </w:pPr>
      <w:r>
        <w:t xml:space="preserve">Centralizovaná správa Nástrojů v dané výchozí situaci. tj. </w:t>
      </w:r>
    </w:p>
    <w:p w:rsidR="00F30C0E" w:rsidRDefault="00502FE2" w:rsidP="008A7B11">
      <w:pPr>
        <w:pStyle w:val="Odstavecseseznamem"/>
        <w:numPr>
          <w:ilvl w:val="0"/>
          <w:numId w:val="3"/>
        </w:numPr>
        <w:jc w:val="both"/>
      </w:pPr>
      <w:r>
        <w:t>využití a rozvoj technické a personální kapacity ČMZRB</w:t>
      </w:r>
      <w:r w:rsidR="00D95190">
        <w:t>,</w:t>
      </w:r>
      <w:r>
        <w:t xml:space="preserve"> </w:t>
      </w:r>
    </w:p>
    <w:p w:rsidR="00F30C0E" w:rsidRDefault="00F0226C" w:rsidP="008A7B11">
      <w:pPr>
        <w:pStyle w:val="Odstavecseseznamem"/>
        <w:numPr>
          <w:ilvl w:val="0"/>
          <w:numId w:val="3"/>
        </w:numPr>
        <w:jc w:val="both"/>
      </w:pPr>
      <w:r>
        <w:t>správy 40</w:t>
      </w:r>
      <w:r w:rsidR="008A7B11">
        <w:t xml:space="preserve"> </w:t>
      </w:r>
      <w:r>
        <w:t>-</w:t>
      </w:r>
      <w:r w:rsidR="008A7B11">
        <w:t xml:space="preserve"> </w:t>
      </w:r>
      <w:r>
        <w:t xml:space="preserve">45 mld. Kč vložených postupně v průběhu programovacího období  </w:t>
      </w:r>
    </w:p>
    <w:p w:rsidR="00F30C0E" w:rsidRDefault="00502FE2" w:rsidP="008A7B11">
      <w:pPr>
        <w:pStyle w:val="Odstavecseseznamem"/>
        <w:ind w:left="0"/>
        <w:jc w:val="both"/>
      </w:pPr>
      <w:r>
        <w:t xml:space="preserve">je schopna </w:t>
      </w:r>
      <w:r w:rsidR="00F0226C">
        <w:t>v porovnání s decentralizovaným řešením založeným na existenci 3</w:t>
      </w:r>
      <w:r w:rsidR="008A7B11">
        <w:t xml:space="preserve"> </w:t>
      </w:r>
      <w:r w:rsidR="00F0226C">
        <w:t>- 4 správců a samostatně vytvářených systém</w:t>
      </w:r>
      <w:r w:rsidR="008A7B11">
        <w:t xml:space="preserve">ů správy Nástrojů </w:t>
      </w:r>
      <w:r>
        <w:t>přinést</w:t>
      </w:r>
      <w:r w:rsidR="00F0226C">
        <w:t>:</w:t>
      </w:r>
    </w:p>
    <w:p w:rsidR="00F30C0E" w:rsidRDefault="00F30C0E" w:rsidP="008A7B11">
      <w:pPr>
        <w:pStyle w:val="Odstavecseseznamem"/>
        <w:ind w:left="0"/>
        <w:jc w:val="both"/>
      </w:pPr>
    </w:p>
    <w:p w:rsidR="00F30C0E" w:rsidRDefault="00F0226C" w:rsidP="008A7B11">
      <w:pPr>
        <w:pStyle w:val="Odstavecseseznamem"/>
        <w:ind w:left="0"/>
        <w:jc w:val="both"/>
      </w:pPr>
      <w:r>
        <w:t>a) úspory na jednorázových nákladech spojených s vytvářením funkčně obdobných systém</w:t>
      </w:r>
      <w:r w:rsidR="00D95190">
        <w:t>ů,</w:t>
      </w:r>
      <w:r>
        <w:t xml:space="preserve"> jaké v případě decentralizovaného řešení vytvoří ČMZRB a se kterými může i případný kontrolní </w:t>
      </w:r>
      <w:r w:rsidR="00BD0BA6">
        <w:t>orgán  o</w:t>
      </w:r>
      <w:r w:rsidR="008A7B11">
        <w:t xml:space="preserve">statní  systémy srovnávat;  výše těchto výdajů </w:t>
      </w:r>
      <w:r w:rsidR="00BD0BA6">
        <w:t xml:space="preserve">bude záviset na výchozím vybavení příslušného  správce nástroje </w:t>
      </w:r>
      <w:r w:rsidR="008624CF">
        <w:t xml:space="preserve"> a počtu a složitosti paralelně fungujících správců Nástrojů a může činit   </w:t>
      </w:r>
      <w:r w:rsidR="00D95190">
        <w:t xml:space="preserve">v souhrnu </w:t>
      </w:r>
      <w:r w:rsidR="00BD0BA6">
        <w:t>20</w:t>
      </w:r>
      <w:r w:rsidR="00D95190">
        <w:t xml:space="preserve"> </w:t>
      </w:r>
      <w:r w:rsidR="000C7719">
        <w:t>- 40</w:t>
      </w:r>
      <w:r w:rsidR="00BD0BA6">
        <w:t xml:space="preserve"> mil. Kč,</w:t>
      </w:r>
    </w:p>
    <w:p w:rsidR="00F30C0E" w:rsidRDefault="00F30C0E" w:rsidP="008A7B11">
      <w:pPr>
        <w:pStyle w:val="Odstavecseseznamem"/>
        <w:ind w:left="0"/>
        <w:jc w:val="both"/>
      </w:pPr>
    </w:p>
    <w:p w:rsidR="00F30C0E" w:rsidRDefault="00BD0BA6" w:rsidP="008A7B11">
      <w:pPr>
        <w:pStyle w:val="Odstavecseseznamem"/>
        <w:ind w:left="0"/>
        <w:jc w:val="both"/>
      </w:pPr>
      <w:r>
        <w:t>b) úspory na průběžných provozních výdajích spočívajících se sdílení</w:t>
      </w:r>
      <w:r w:rsidR="008A7B11">
        <w:t>m</w:t>
      </w:r>
      <w:r>
        <w:t xml:space="preserve"> stejných podpůrných systémů v oblasti </w:t>
      </w:r>
      <w:r w:rsidR="00857E51">
        <w:t>IT</w:t>
      </w:r>
      <w:r>
        <w:t xml:space="preserve"> podpory, správy aktiv a pasiv, personalistiky, pr</w:t>
      </w:r>
      <w:r w:rsidR="008A7B11">
        <w:t>ávní služby, vymáhání pohledávek, marketingu, vývoje produktů</w:t>
      </w:r>
      <w:r>
        <w:t xml:space="preserve">, metodiky produktů v rozsahu </w:t>
      </w:r>
      <w:r w:rsidR="000C7719">
        <w:t xml:space="preserve">20 – 30 </w:t>
      </w:r>
      <w:r>
        <w:t xml:space="preserve">mil. Kč ročně,            </w:t>
      </w:r>
    </w:p>
    <w:p w:rsidR="00F30C0E" w:rsidRDefault="00BD0BA6" w:rsidP="008A7B11">
      <w:pPr>
        <w:pStyle w:val="Odstavecseseznamem"/>
        <w:ind w:left="0"/>
        <w:jc w:val="both"/>
      </w:pPr>
      <w:r>
        <w:t xml:space="preserve">   </w:t>
      </w:r>
    </w:p>
    <w:p w:rsidR="00F30C0E" w:rsidRDefault="000C7719" w:rsidP="008A7B11">
      <w:pPr>
        <w:pStyle w:val="Odstavecseseznamem"/>
        <w:ind w:left="0"/>
        <w:jc w:val="both"/>
      </w:pPr>
      <w:r>
        <w:t>c) snížit rizik</w:t>
      </w:r>
      <w:r w:rsidR="008A7B11">
        <w:t>o</w:t>
      </w:r>
      <w:r>
        <w:t xml:space="preserve"> finanční korekce v důsledku možných chyb v nastavení a fungování finančních nástrojů, přičemž i případná 1</w:t>
      </w:r>
      <w:r w:rsidR="008A7B11">
        <w:t xml:space="preserve"> </w:t>
      </w:r>
      <w:r>
        <w:t>% korekce představuje částku v rozsahu až 500 mil. Kč</w:t>
      </w:r>
      <w:r w:rsidR="005368FA">
        <w:t>,</w:t>
      </w:r>
    </w:p>
    <w:p w:rsidR="005368FA" w:rsidRDefault="005368FA" w:rsidP="008A7B11">
      <w:pPr>
        <w:pStyle w:val="Odstavecseseznamem"/>
        <w:ind w:left="0"/>
        <w:jc w:val="both"/>
      </w:pPr>
    </w:p>
    <w:p w:rsidR="005368FA" w:rsidRDefault="005368FA" w:rsidP="008A7B11">
      <w:pPr>
        <w:pStyle w:val="Odstavecseseznamem"/>
        <w:ind w:left="0"/>
        <w:jc w:val="both"/>
      </w:pPr>
      <w:r>
        <w:t>d) efektivnější zhodnocení prostředků spravovaných Fondem fondů na účtech ČMZRB v porovnání s jejich vedením na účtech u ČNB ( roční rozdíl ve výnosech cca</w:t>
      </w:r>
      <w:r w:rsidR="001652C1">
        <w:t xml:space="preserve"> </w:t>
      </w:r>
      <w:r w:rsidR="00B75122">
        <w:t>2</w:t>
      </w:r>
      <w:r>
        <w:t>až</w:t>
      </w:r>
      <w:r w:rsidR="00B75122">
        <w:t xml:space="preserve"> 5</w:t>
      </w:r>
      <w:r>
        <w:t>mil. Kč</w:t>
      </w:r>
      <w:r w:rsidR="00B75122">
        <w:t xml:space="preserve"> </w:t>
      </w:r>
      <w:r w:rsidR="00B75122" w:rsidRPr="00B75122">
        <w:t xml:space="preserve">ročně </w:t>
      </w:r>
      <w:r w:rsidRPr="00B75122">
        <w:t xml:space="preserve"> </w:t>
      </w:r>
      <w:r w:rsidR="00126DCF" w:rsidRPr="00126DCF">
        <w:t>(</w:t>
      </w:r>
      <w:r w:rsidR="00B75122">
        <w:t>v závislosti na průměrném zůstatku úročených prostředků na účtech Fondu fondů a vývoji na finančních trzích</w:t>
      </w:r>
      <w:r w:rsidR="00126DCF" w:rsidRPr="00126DCF">
        <w:t>).</w:t>
      </w:r>
      <w:r>
        <w:t xml:space="preserve">   </w:t>
      </w:r>
    </w:p>
    <w:p w:rsidR="00F30C0E" w:rsidRDefault="00F30C0E">
      <w:pPr>
        <w:pStyle w:val="Nadpis2"/>
        <w:ind w:left="720" w:hanging="436"/>
        <w:jc w:val="both"/>
      </w:pPr>
    </w:p>
    <w:p w:rsidR="00F30C0E" w:rsidRDefault="00FE2B64">
      <w:pPr>
        <w:pStyle w:val="Nadpis2"/>
        <w:ind w:left="720" w:hanging="436"/>
        <w:jc w:val="both"/>
        <w:rPr>
          <w:b w:val="0"/>
        </w:rPr>
      </w:pPr>
      <w:r>
        <w:t>G. X. Rizika provedení centralizované správy</w:t>
      </w:r>
    </w:p>
    <w:p w:rsidR="006F0D94" w:rsidRDefault="006F0D94" w:rsidP="00D650A9">
      <w:pPr>
        <w:jc w:val="both"/>
      </w:pPr>
      <w:r>
        <w:t>Provedení centralizované správy Nástrojů je spojeno s těmito riziky</w:t>
      </w:r>
      <w:r w:rsidR="00630E7A">
        <w:t>, které ovlivňují zejména klíčovou otázku , t</w:t>
      </w:r>
      <w:r w:rsidR="00903226">
        <w:t>j</w:t>
      </w:r>
      <w:r w:rsidR="00630E7A">
        <w:t xml:space="preserve">. rychlost  vzniku a zahájení činnosti Nástrojů </w:t>
      </w:r>
    </w:p>
    <w:p w:rsidR="006F0D94" w:rsidRDefault="006F0D94" w:rsidP="00D650A9">
      <w:pPr>
        <w:jc w:val="both"/>
      </w:pPr>
      <w:r>
        <w:t xml:space="preserve">1. Všeobecná rizika spojená s jakýmkoliv řešením vzniku </w:t>
      </w:r>
      <w:r w:rsidR="00630E7A">
        <w:t xml:space="preserve">a </w:t>
      </w:r>
      <w:r>
        <w:t xml:space="preserve">provádění správy Nástrojů  </w:t>
      </w:r>
    </w:p>
    <w:p w:rsidR="00FE2B64" w:rsidRDefault="006F0D94" w:rsidP="00D650A9">
      <w:pPr>
        <w:jc w:val="both"/>
      </w:pPr>
      <w:r>
        <w:t xml:space="preserve">a) Pozdní schválení navržené novely zákona č. 218/2014 </w:t>
      </w:r>
    </w:p>
    <w:p w:rsidR="006F0D94" w:rsidRDefault="006F0D94" w:rsidP="00D650A9">
      <w:pPr>
        <w:jc w:val="both"/>
      </w:pPr>
    </w:p>
    <w:p w:rsidR="006F0D94" w:rsidRDefault="006F0D94" w:rsidP="00D650A9">
      <w:pPr>
        <w:jc w:val="both"/>
      </w:pPr>
      <w:r>
        <w:t xml:space="preserve">b) Pozdní vydání doprovodných metodických vysvětlení ze strany Komise  </w:t>
      </w:r>
    </w:p>
    <w:p w:rsidR="006F0D94" w:rsidRDefault="006F0D94" w:rsidP="00D650A9">
      <w:pPr>
        <w:jc w:val="both"/>
      </w:pPr>
    </w:p>
    <w:p w:rsidR="006F0D94" w:rsidRDefault="006F0D94" w:rsidP="00D650A9">
      <w:pPr>
        <w:jc w:val="both"/>
      </w:pPr>
      <w:r>
        <w:t xml:space="preserve">c) Pozdní vydání </w:t>
      </w:r>
      <w:r w:rsidR="00903226">
        <w:t xml:space="preserve">metodického doporučení/pokynů k řešení  nesrovnalostí u Nástrojů </w:t>
      </w:r>
    </w:p>
    <w:p w:rsidR="00903226" w:rsidRDefault="00903226" w:rsidP="00D650A9">
      <w:pPr>
        <w:jc w:val="both"/>
      </w:pPr>
    </w:p>
    <w:p w:rsidR="006F0D94" w:rsidRDefault="006F0D94" w:rsidP="00D650A9">
      <w:pPr>
        <w:jc w:val="both"/>
      </w:pPr>
      <w:r>
        <w:t>d) Technické metodické nejasnosti spojené  s</w:t>
      </w:r>
      <w:r w:rsidR="00903226">
        <w:t> </w:t>
      </w:r>
      <w:r>
        <w:t>přípravou</w:t>
      </w:r>
      <w:r w:rsidR="00903226">
        <w:t xml:space="preserve"> a přenosem </w:t>
      </w:r>
      <w:r>
        <w:t xml:space="preserve"> dat </w:t>
      </w:r>
      <w:r w:rsidR="00903226">
        <w:t>do MS2014+</w:t>
      </w:r>
    </w:p>
    <w:p w:rsidR="00903226" w:rsidRDefault="006F0D94" w:rsidP="00630E7A">
      <w:pPr>
        <w:jc w:val="both"/>
      </w:pPr>
      <w:r>
        <w:t xml:space="preserve"> </w:t>
      </w:r>
    </w:p>
    <w:p w:rsidR="00630E7A" w:rsidRDefault="00630E7A" w:rsidP="00630E7A">
      <w:pPr>
        <w:jc w:val="both"/>
      </w:pPr>
      <w:r>
        <w:t xml:space="preserve">e) Zpoždění v přípravě metodické a technické přípravě na správu Finančních nástrojů u Finančních zprostředkovatelů </w:t>
      </w:r>
      <w:r w:rsidR="00903226">
        <w:t>–</w:t>
      </w:r>
      <w:r>
        <w:t xml:space="preserve"> bank</w:t>
      </w:r>
      <w:r w:rsidR="00903226">
        <w:t>.</w:t>
      </w:r>
    </w:p>
    <w:p w:rsidR="00903226" w:rsidRDefault="00903226" w:rsidP="00630E7A">
      <w:pPr>
        <w:jc w:val="both"/>
      </w:pPr>
    </w:p>
    <w:p w:rsidR="00903226" w:rsidRDefault="00903226" w:rsidP="00630E7A">
      <w:pPr>
        <w:jc w:val="both"/>
      </w:pPr>
      <w:r>
        <w:t xml:space="preserve">f) Zpoždění v úplnosti definování podmínek Výzev a dalších požadavků Řídích orgánů </w:t>
      </w:r>
    </w:p>
    <w:p w:rsidR="006F0D94" w:rsidRDefault="006F0D94" w:rsidP="00D650A9">
      <w:pPr>
        <w:jc w:val="both"/>
      </w:pPr>
    </w:p>
    <w:p w:rsidR="006F0D94" w:rsidRDefault="006F0D94" w:rsidP="00D650A9">
      <w:pPr>
        <w:jc w:val="both"/>
      </w:pPr>
    </w:p>
    <w:p w:rsidR="00903226" w:rsidRDefault="006F0D94" w:rsidP="00D650A9">
      <w:pPr>
        <w:jc w:val="both"/>
      </w:pPr>
      <w:r>
        <w:t>2. Specifická rizika spojená s centralizovanou správou, tj. ČMZRB jako jediným správcem Fondu fondů pro všechny Řídící orgány)</w:t>
      </w:r>
    </w:p>
    <w:p w:rsidR="006F0D94" w:rsidRDefault="00903226" w:rsidP="00D650A9">
      <w:pPr>
        <w:jc w:val="both"/>
      </w:pPr>
      <w:r>
        <w:t xml:space="preserve">a) </w:t>
      </w:r>
      <w:r w:rsidR="006F0D94">
        <w:t xml:space="preserve"> </w:t>
      </w:r>
      <w:r w:rsidR="00630E7A">
        <w:t>Nedostatek personální kapacity  pro současnou přípravu všech nástrojů pro všechny Řídící orgány</w:t>
      </w:r>
    </w:p>
    <w:p w:rsidR="00630E7A" w:rsidRDefault="00630E7A" w:rsidP="00D650A9">
      <w:pPr>
        <w:jc w:val="both"/>
      </w:pPr>
    </w:p>
    <w:p w:rsidR="006F0D94" w:rsidRPr="005368FA" w:rsidRDefault="00903226" w:rsidP="00D650A9">
      <w:pPr>
        <w:jc w:val="both"/>
      </w:pPr>
      <w:r>
        <w:t xml:space="preserve">b) požadavek na kombinace dotace (národní )  a finančního nástroje u stejného projektu </w:t>
      </w:r>
    </w:p>
    <w:p w:rsidR="00FE2B64" w:rsidRDefault="006F0D94" w:rsidP="00D650A9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6F0D94" w:rsidRPr="00903226" w:rsidRDefault="00126DCF" w:rsidP="00D650A9">
      <w:pPr>
        <w:jc w:val="both"/>
      </w:pPr>
      <w:r w:rsidRPr="00126DCF">
        <w:rPr>
          <w:highlight w:val="yellow"/>
        </w:rPr>
        <w:t>Bude doplněno, včetně způsobu řešení či snížení rizik</w:t>
      </w:r>
      <w:r w:rsidR="00903226">
        <w:t xml:space="preserve"> </w:t>
      </w:r>
    </w:p>
    <w:p w:rsidR="00FE2B64" w:rsidRDefault="00FE2B64" w:rsidP="00D650A9">
      <w:pPr>
        <w:jc w:val="both"/>
        <w:rPr>
          <w:b/>
          <w:u w:val="single"/>
        </w:rPr>
      </w:pPr>
    </w:p>
    <w:p w:rsidR="00FE2B64" w:rsidRDefault="00FE2B64" w:rsidP="00D650A9">
      <w:pPr>
        <w:jc w:val="both"/>
        <w:rPr>
          <w:b/>
          <w:u w:val="single"/>
        </w:rPr>
      </w:pPr>
    </w:p>
    <w:p w:rsidR="00CE1E1A" w:rsidRDefault="00CE1E1A" w:rsidP="00D650A9">
      <w:pPr>
        <w:jc w:val="both"/>
        <w:rPr>
          <w:b/>
          <w:u w:val="single"/>
        </w:rPr>
      </w:pPr>
      <w:r>
        <w:rPr>
          <w:b/>
          <w:u w:val="single"/>
        </w:rPr>
        <w:t>Příloh</w:t>
      </w:r>
      <w:r w:rsidR="00361C57">
        <w:rPr>
          <w:b/>
          <w:u w:val="single"/>
        </w:rPr>
        <w:t>y</w:t>
      </w:r>
      <w:r>
        <w:rPr>
          <w:b/>
          <w:u w:val="single"/>
        </w:rPr>
        <w:t xml:space="preserve"> </w:t>
      </w:r>
    </w:p>
    <w:p w:rsidR="00AA0E08" w:rsidRDefault="00480357" w:rsidP="00D650A9">
      <w:pPr>
        <w:jc w:val="both"/>
        <w:rPr>
          <w:color w:val="FF0000"/>
          <w:highlight w:val="green"/>
        </w:rPr>
      </w:pPr>
      <w:r>
        <w:t xml:space="preserve">1. </w:t>
      </w:r>
      <w:r w:rsidR="00072514" w:rsidRPr="002C7C9E">
        <w:t>Výstupy z ex-ante analýz</w:t>
      </w:r>
      <w:r w:rsidR="00632570">
        <w:t xml:space="preserve"> </w:t>
      </w:r>
      <w:r w:rsidR="00DE4D5A">
        <w:t xml:space="preserve">    </w:t>
      </w:r>
    </w:p>
    <w:p w:rsidR="00480357" w:rsidRDefault="00480357" w:rsidP="00D650A9">
      <w:pPr>
        <w:spacing w:after="120"/>
        <w:jc w:val="both"/>
      </w:pPr>
      <w:r>
        <w:t xml:space="preserve">2. Použité zkratky </w:t>
      </w:r>
      <w:r w:rsidR="00385964" w:rsidRPr="00D62541">
        <w:rPr>
          <w:highlight w:val="yellow"/>
        </w:rPr>
        <w:t>(bude dopracováno)</w:t>
      </w:r>
    </w:p>
    <w:p w:rsidR="00480357" w:rsidRDefault="00480357" w:rsidP="00D650A9">
      <w:pPr>
        <w:spacing w:after="120"/>
        <w:jc w:val="both"/>
      </w:pPr>
      <w:r>
        <w:t>3.</w:t>
      </w:r>
      <w:r w:rsidR="00DE4D5A">
        <w:t xml:space="preserve"> </w:t>
      </w:r>
      <w:r w:rsidR="0082103A" w:rsidRPr="0082103A">
        <w:t>Obecně závazné právní předpisy a metodiky pro implementaci finančních nástrojů v programovacím období 2014 – 2020</w:t>
      </w:r>
      <w:r>
        <w:t xml:space="preserve"> </w:t>
      </w:r>
    </w:p>
    <w:p w:rsidR="007B45C3" w:rsidRDefault="00726FBF">
      <w:r>
        <w:t xml:space="preserve">4. Návrh </w:t>
      </w:r>
      <w:r w:rsidR="006522BB" w:rsidRPr="006522BB">
        <w:t>novelizace zákona č. 218/2000 Sb., rozpočtová pravidla</w:t>
      </w:r>
      <w:r w:rsidR="00AD7B30">
        <w:t xml:space="preserve"> </w:t>
      </w:r>
    </w:p>
    <w:p w:rsidR="008F456B" w:rsidRDefault="00D63A43" w:rsidP="00D650A9">
      <w:pPr>
        <w:spacing w:after="120"/>
        <w:jc w:val="both"/>
      </w:pPr>
      <w:r>
        <w:t>5</w:t>
      </w:r>
      <w:r w:rsidR="008F456B">
        <w:t xml:space="preserve">. Činnosti při správě </w:t>
      </w:r>
      <w:r w:rsidR="006D6426">
        <w:t>N</w:t>
      </w:r>
      <w:r w:rsidR="008F456B">
        <w:t xml:space="preserve">ástrojů </w:t>
      </w:r>
    </w:p>
    <w:p w:rsidR="00A67146" w:rsidRDefault="00087FC7" w:rsidP="007030F6">
      <w:pPr>
        <w:spacing w:after="120"/>
        <w:jc w:val="both"/>
      </w:pPr>
      <w:r>
        <w:t>6</w:t>
      </w:r>
      <w:r w:rsidR="001B5C92" w:rsidRPr="001B5C92">
        <w:t xml:space="preserve">. </w:t>
      </w:r>
      <w:r w:rsidR="001971BF">
        <w:t>Naplnění požadavků čl. 18 Směrnice 2004/18/EC</w:t>
      </w:r>
    </w:p>
    <w:p w:rsidR="002E5E4E" w:rsidRDefault="002E5E4E" w:rsidP="007030F6">
      <w:pPr>
        <w:spacing w:after="120"/>
        <w:jc w:val="both"/>
      </w:pPr>
      <w:r>
        <w:t xml:space="preserve">7. </w:t>
      </w:r>
      <w:r w:rsidR="009F6DBB" w:rsidRPr="009F6DBB">
        <w:t xml:space="preserve">Popis vzorových modelů jednotlivých </w:t>
      </w:r>
      <w:r w:rsidR="000D3630" w:rsidRPr="000D3630">
        <w:t xml:space="preserve">nástrojů sdílení rizik prostřednictvím </w:t>
      </w:r>
      <w:r w:rsidR="009F6DBB" w:rsidRPr="009F6DBB">
        <w:t>Fondu fondů</w:t>
      </w:r>
    </w:p>
    <w:p w:rsidR="009F6DBB" w:rsidRPr="007030F6" w:rsidRDefault="009F6DBB" w:rsidP="007030F6">
      <w:pPr>
        <w:spacing w:after="120"/>
        <w:jc w:val="both"/>
        <w:rPr>
          <w:color w:val="FF0000"/>
        </w:rPr>
      </w:pPr>
      <w:r>
        <w:t xml:space="preserve">8. </w:t>
      </w:r>
      <w:r w:rsidR="00D01E44" w:rsidRPr="00D01E44">
        <w:t xml:space="preserve">Typové produkty Fondu fondů  </w:t>
      </w:r>
    </w:p>
    <w:sectPr w:rsidR="009F6DBB" w:rsidRPr="007030F6" w:rsidSect="00A103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7" w:author="Lubomír Rajdl" w:date="2015-06-04T10:30:00Z" w:initials="LR">
    <w:p w:rsidR="006F0D94" w:rsidRDefault="006F0D94" w:rsidP="003C433B">
      <w:pPr>
        <w:jc w:val="both"/>
      </w:pPr>
      <w:r>
        <w:rPr>
          <w:rStyle w:val="Odkaznakoment"/>
        </w:rPr>
        <w:annotationRef/>
      </w:r>
      <w:r>
        <w:t xml:space="preserve">Bude upřesněno na základě stanoviska metodiky účetnictví MF ČR). </w:t>
      </w:r>
    </w:p>
    <w:p w:rsidR="006F0D94" w:rsidRDefault="006F0D94">
      <w:pPr>
        <w:pStyle w:val="Textkomente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35" w:rsidRDefault="00345035" w:rsidP="00B2058B">
      <w:pPr>
        <w:spacing w:after="0" w:line="240" w:lineRule="auto"/>
      </w:pPr>
      <w:r>
        <w:separator/>
      </w:r>
    </w:p>
  </w:endnote>
  <w:endnote w:type="continuationSeparator" w:id="0">
    <w:p w:rsidR="00345035" w:rsidRDefault="00345035" w:rsidP="00B2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8034"/>
      <w:docPartObj>
        <w:docPartGallery w:val="Page Numbers (Bottom of Page)"/>
        <w:docPartUnique/>
      </w:docPartObj>
    </w:sdtPr>
    <w:sdtContent>
      <w:p w:rsidR="006F0D94" w:rsidRDefault="007B45C3">
        <w:pPr>
          <w:pStyle w:val="Zpat"/>
          <w:jc w:val="center"/>
        </w:pPr>
        <w:fldSimple w:instr=" PAGE   \* MERGEFORMAT ">
          <w:r w:rsidR="00804E91">
            <w:rPr>
              <w:noProof/>
            </w:rPr>
            <w:t>24</w:t>
          </w:r>
        </w:fldSimple>
      </w:p>
    </w:sdtContent>
  </w:sdt>
  <w:p w:rsidR="006F0D94" w:rsidRDefault="006F0D9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35" w:rsidRDefault="00345035" w:rsidP="00B2058B">
      <w:pPr>
        <w:spacing w:after="0" w:line="240" w:lineRule="auto"/>
      </w:pPr>
      <w:r>
        <w:separator/>
      </w:r>
    </w:p>
  </w:footnote>
  <w:footnote w:type="continuationSeparator" w:id="0">
    <w:p w:rsidR="00345035" w:rsidRDefault="00345035" w:rsidP="00B2058B">
      <w:pPr>
        <w:spacing w:after="0" w:line="240" w:lineRule="auto"/>
      </w:pPr>
      <w:r>
        <w:continuationSeparator/>
      </w:r>
    </w:p>
  </w:footnote>
  <w:footnote w:id="1">
    <w:p w:rsidR="006F0D94" w:rsidRDefault="006F0D94">
      <w:pPr>
        <w:pStyle w:val="Textpoznpodarou"/>
      </w:pPr>
      <w:r>
        <w:rPr>
          <w:rStyle w:val="Znakapoznpodarou"/>
        </w:rPr>
        <w:footnoteRef/>
      </w:r>
      <w:r>
        <w:t xml:space="preserve"> Tato připomínka byla již Ministerstvem průmyslu a obchodu uplatněna.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8CB"/>
    <w:multiLevelType w:val="hybridMultilevel"/>
    <w:tmpl w:val="8EA00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4C26"/>
    <w:multiLevelType w:val="hybridMultilevel"/>
    <w:tmpl w:val="128CCD5A"/>
    <w:lvl w:ilvl="0" w:tplc="0B7C0BC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5F4"/>
    <w:multiLevelType w:val="hybridMultilevel"/>
    <w:tmpl w:val="D28A86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D1D4C"/>
    <w:multiLevelType w:val="hybridMultilevel"/>
    <w:tmpl w:val="D2382D00"/>
    <w:lvl w:ilvl="0" w:tplc="65F02B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64B88"/>
    <w:multiLevelType w:val="hybridMultilevel"/>
    <w:tmpl w:val="E848C560"/>
    <w:lvl w:ilvl="0" w:tplc="0C3A70B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57E6B"/>
    <w:multiLevelType w:val="hybridMultilevel"/>
    <w:tmpl w:val="6B3095D8"/>
    <w:lvl w:ilvl="0" w:tplc="79B0D76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B67B1"/>
    <w:multiLevelType w:val="hybridMultilevel"/>
    <w:tmpl w:val="61FC953C"/>
    <w:lvl w:ilvl="0" w:tplc="4830D00E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8380F"/>
    <w:multiLevelType w:val="hybridMultilevel"/>
    <w:tmpl w:val="BB009EA2"/>
    <w:lvl w:ilvl="0" w:tplc="DEF28C2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E2CF3"/>
    <w:multiLevelType w:val="hybridMultilevel"/>
    <w:tmpl w:val="444A31F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05FA6"/>
    <w:multiLevelType w:val="hybridMultilevel"/>
    <w:tmpl w:val="6136CFC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D26E0"/>
    <w:multiLevelType w:val="hybridMultilevel"/>
    <w:tmpl w:val="4192CD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25EB7"/>
    <w:multiLevelType w:val="hybridMultilevel"/>
    <w:tmpl w:val="CED2DE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76A1A"/>
    <w:multiLevelType w:val="hybridMultilevel"/>
    <w:tmpl w:val="48880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65117"/>
    <w:multiLevelType w:val="hybridMultilevel"/>
    <w:tmpl w:val="4BF43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C727EC"/>
    <w:multiLevelType w:val="hybridMultilevel"/>
    <w:tmpl w:val="8490E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05D7C"/>
    <w:multiLevelType w:val="hybridMultilevel"/>
    <w:tmpl w:val="5D1436AA"/>
    <w:lvl w:ilvl="0" w:tplc="BA0024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3F3597"/>
    <w:multiLevelType w:val="hybridMultilevel"/>
    <w:tmpl w:val="62805B8C"/>
    <w:lvl w:ilvl="0" w:tplc="703A00C8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63A3D"/>
    <w:multiLevelType w:val="hybridMultilevel"/>
    <w:tmpl w:val="FC4A3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B7523"/>
    <w:multiLevelType w:val="hybridMultilevel"/>
    <w:tmpl w:val="3F6ECA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03EF5"/>
    <w:multiLevelType w:val="hybridMultilevel"/>
    <w:tmpl w:val="D77E8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C71E11"/>
    <w:multiLevelType w:val="hybridMultilevel"/>
    <w:tmpl w:val="3D0097AA"/>
    <w:lvl w:ilvl="0" w:tplc="8864EBEC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F17A7"/>
    <w:multiLevelType w:val="hybridMultilevel"/>
    <w:tmpl w:val="220C72E4"/>
    <w:lvl w:ilvl="0" w:tplc="BDE6A92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36B44B04"/>
    <w:multiLevelType w:val="hybridMultilevel"/>
    <w:tmpl w:val="D8608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D12A2"/>
    <w:multiLevelType w:val="hybridMultilevel"/>
    <w:tmpl w:val="EEDE4E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A5F87"/>
    <w:multiLevelType w:val="hybridMultilevel"/>
    <w:tmpl w:val="1F161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C2D42"/>
    <w:multiLevelType w:val="hybridMultilevel"/>
    <w:tmpl w:val="FE78D742"/>
    <w:lvl w:ilvl="0" w:tplc="3B2C53B4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F032D"/>
    <w:multiLevelType w:val="hybridMultilevel"/>
    <w:tmpl w:val="356CF728"/>
    <w:lvl w:ilvl="0" w:tplc="00CE162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86FCF"/>
    <w:multiLevelType w:val="hybridMultilevel"/>
    <w:tmpl w:val="5C9E760E"/>
    <w:lvl w:ilvl="0" w:tplc="57387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6D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8E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A4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A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89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06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C4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52C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5351664"/>
    <w:multiLevelType w:val="hybridMultilevel"/>
    <w:tmpl w:val="692AE4E4"/>
    <w:lvl w:ilvl="0" w:tplc="E28A663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D44FC"/>
    <w:multiLevelType w:val="hybridMultilevel"/>
    <w:tmpl w:val="658ADDE0"/>
    <w:lvl w:ilvl="0" w:tplc="86F29C9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938C1"/>
    <w:multiLevelType w:val="hybridMultilevel"/>
    <w:tmpl w:val="13B80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B2D46"/>
    <w:multiLevelType w:val="hybridMultilevel"/>
    <w:tmpl w:val="0E7E5A2E"/>
    <w:lvl w:ilvl="0" w:tplc="38DEF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8D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CB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29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87A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CF8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00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CE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EA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64A86"/>
    <w:multiLevelType w:val="hybridMultilevel"/>
    <w:tmpl w:val="8EA00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E72B8"/>
    <w:multiLevelType w:val="hybridMultilevel"/>
    <w:tmpl w:val="E6749BBC"/>
    <w:lvl w:ilvl="0" w:tplc="03146C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8440F2"/>
    <w:multiLevelType w:val="hybridMultilevel"/>
    <w:tmpl w:val="663C8652"/>
    <w:lvl w:ilvl="0" w:tplc="D548CF98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F8E0A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12D3A"/>
    <w:multiLevelType w:val="hybridMultilevel"/>
    <w:tmpl w:val="90B854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C5461C"/>
    <w:multiLevelType w:val="hybridMultilevel"/>
    <w:tmpl w:val="C358AB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EB8044A"/>
    <w:multiLevelType w:val="hybridMultilevel"/>
    <w:tmpl w:val="5D7CFC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3619CD"/>
    <w:multiLevelType w:val="hybridMultilevel"/>
    <w:tmpl w:val="1060B3FA"/>
    <w:lvl w:ilvl="0" w:tplc="2FE81DE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92BB3"/>
    <w:multiLevelType w:val="hybridMultilevel"/>
    <w:tmpl w:val="63A635E0"/>
    <w:lvl w:ilvl="0" w:tplc="8C1459DC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91991"/>
    <w:multiLevelType w:val="hybridMultilevel"/>
    <w:tmpl w:val="F0C2EAEE"/>
    <w:lvl w:ilvl="0" w:tplc="1FAC79CA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15B8F"/>
    <w:multiLevelType w:val="hybridMultilevel"/>
    <w:tmpl w:val="A4829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2D39AB"/>
    <w:multiLevelType w:val="hybridMultilevel"/>
    <w:tmpl w:val="459CF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D6299"/>
    <w:multiLevelType w:val="hybridMultilevel"/>
    <w:tmpl w:val="C720A6F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F46FF"/>
    <w:multiLevelType w:val="hybridMultilevel"/>
    <w:tmpl w:val="BF3287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F7332F"/>
    <w:multiLevelType w:val="hybridMultilevel"/>
    <w:tmpl w:val="B29A4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57356E"/>
    <w:multiLevelType w:val="hybridMultilevel"/>
    <w:tmpl w:val="F2B847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EF1D4A"/>
    <w:multiLevelType w:val="hybridMultilevel"/>
    <w:tmpl w:val="88661C7A"/>
    <w:lvl w:ilvl="0" w:tplc="357ADDE4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D3F33"/>
    <w:multiLevelType w:val="hybridMultilevel"/>
    <w:tmpl w:val="38965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26"/>
  </w:num>
  <w:num w:numId="4">
    <w:abstractNumId w:val="22"/>
  </w:num>
  <w:num w:numId="5">
    <w:abstractNumId w:val="32"/>
  </w:num>
  <w:num w:numId="6">
    <w:abstractNumId w:val="8"/>
  </w:num>
  <w:num w:numId="7">
    <w:abstractNumId w:val="36"/>
  </w:num>
  <w:num w:numId="8">
    <w:abstractNumId w:val="41"/>
  </w:num>
  <w:num w:numId="9">
    <w:abstractNumId w:val="45"/>
  </w:num>
  <w:num w:numId="10">
    <w:abstractNumId w:val="15"/>
  </w:num>
  <w:num w:numId="11">
    <w:abstractNumId w:val="27"/>
  </w:num>
  <w:num w:numId="12">
    <w:abstractNumId w:val="24"/>
  </w:num>
  <w:num w:numId="13">
    <w:abstractNumId w:val="17"/>
  </w:num>
  <w:num w:numId="14">
    <w:abstractNumId w:val="44"/>
  </w:num>
  <w:num w:numId="15">
    <w:abstractNumId w:val="13"/>
  </w:num>
  <w:num w:numId="16">
    <w:abstractNumId w:val="9"/>
  </w:num>
  <w:num w:numId="17">
    <w:abstractNumId w:val="12"/>
  </w:num>
  <w:num w:numId="18">
    <w:abstractNumId w:val="34"/>
  </w:num>
  <w:num w:numId="19">
    <w:abstractNumId w:val="47"/>
  </w:num>
  <w:num w:numId="20">
    <w:abstractNumId w:val="40"/>
  </w:num>
  <w:num w:numId="21">
    <w:abstractNumId w:val="20"/>
  </w:num>
  <w:num w:numId="22">
    <w:abstractNumId w:val="6"/>
  </w:num>
  <w:num w:numId="23">
    <w:abstractNumId w:val="16"/>
  </w:num>
  <w:num w:numId="24">
    <w:abstractNumId w:val="25"/>
  </w:num>
  <w:num w:numId="25">
    <w:abstractNumId w:val="39"/>
  </w:num>
  <w:num w:numId="26">
    <w:abstractNumId w:val="4"/>
  </w:num>
  <w:num w:numId="27">
    <w:abstractNumId w:val="38"/>
  </w:num>
  <w:num w:numId="28">
    <w:abstractNumId w:val="28"/>
  </w:num>
  <w:num w:numId="29">
    <w:abstractNumId w:val="1"/>
  </w:num>
  <w:num w:numId="30">
    <w:abstractNumId w:val="7"/>
  </w:num>
  <w:num w:numId="31">
    <w:abstractNumId w:val="5"/>
  </w:num>
  <w:num w:numId="32">
    <w:abstractNumId w:val="29"/>
  </w:num>
  <w:num w:numId="33">
    <w:abstractNumId w:val="31"/>
  </w:num>
  <w:num w:numId="34">
    <w:abstractNumId w:val="0"/>
  </w:num>
  <w:num w:numId="35">
    <w:abstractNumId w:val="46"/>
  </w:num>
  <w:num w:numId="36">
    <w:abstractNumId w:val="10"/>
  </w:num>
  <w:num w:numId="37">
    <w:abstractNumId w:val="14"/>
  </w:num>
  <w:num w:numId="38">
    <w:abstractNumId w:val="2"/>
  </w:num>
  <w:num w:numId="39">
    <w:abstractNumId w:val="18"/>
  </w:num>
  <w:num w:numId="40">
    <w:abstractNumId w:val="37"/>
  </w:num>
  <w:num w:numId="41">
    <w:abstractNumId w:val="23"/>
  </w:num>
  <w:num w:numId="42">
    <w:abstractNumId w:val="11"/>
  </w:num>
  <w:num w:numId="43">
    <w:abstractNumId w:val="43"/>
  </w:num>
  <w:num w:numId="44">
    <w:abstractNumId w:val="30"/>
  </w:num>
  <w:num w:numId="45">
    <w:abstractNumId w:val="19"/>
  </w:num>
  <w:num w:numId="46">
    <w:abstractNumId w:val="35"/>
  </w:num>
  <w:num w:numId="47">
    <w:abstractNumId w:val="48"/>
  </w:num>
  <w:num w:numId="48">
    <w:abstractNumId w:val="42"/>
  </w:num>
  <w:num w:numId="49">
    <w:abstractNumId w:val="2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514"/>
    <w:rsid w:val="000028B5"/>
    <w:rsid w:val="000044C1"/>
    <w:rsid w:val="00012553"/>
    <w:rsid w:val="00015A0C"/>
    <w:rsid w:val="00016592"/>
    <w:rsid w:val="000215AE"/>
    <w:rsid w:val="00022E04"/>
    <w:rsid w:val="00023FFD"/>
    <w:rsid w:val="0002469E"/>
    <w:rsid w:val="00025B51"/>
    <w:rsid w:val="0003437B"/>
    <w:rsid w:val="00035BD4"/>
    <w:rsid w:val="00040F6C"/>
    <w:rsid w:val="000419FF"/>
    <w:rsid w:val="00041BB3"/>
    <w:rsid w:val="000548E5"/>
    <w:rsid w:val="00061F19"/>
    <w:rsid w:val="00064F6E"/>
    <w:rsid w:val="00065AAD"/>
    <w:rsid w:val="00067F01"/>
    <w:rsid w:val="00072514"/>
    <w:rsid w:val="0007341B"/>
    <w:rsid w:val="00077EF5"/>
    <w:rsid w:val="000846EF"/>
    <w:rsid w:val="0008704B"/>
    <w:rsid w:val="00087FC7"/>
    <w:rsid w:val="00091B13"/>
    <w:rsid w:val="00092F51"/>
    <w:rsid w:val="0009333D"/>
    <w:rsid w:val="000934DB"/>
    <w:rsid w:val="000A400D"/>
    <w:rsid w:val="000A697B"/>
    <w:rsid w:val="000B4167"/>
    <w:rsid w:val="000B5A97"/>
    <w:rsid w:val="000B5DC8"/>
    <w:rsid w:val="000B6731"/>
    <w:rsid w:val="000B7DFE"/>
    <w:rsid w:val="000C0EA3"/>
    <w:rsid w:val="000C7719"/>
    <w:rsid w:val="000D0A4F"/>
    <w:rsid w:val="000D3630"/>
    <w:rsid w:val="000D466C"/>
    <w:rsid w:val="000D6CAC"/>
    <w:rsid w:val="000D714D"/>
    <w:rsid w:val="000E04D5"/>
    <w:rsid w:val="000E49FB"/>
    <w:rsid w:val="000E4CD6"/>
    <w:rsid w:val="000E528E"/>
    <w:rsid w:val="000E56D6"/>
    <w:rsid w:val="000E6A62"/>
    <w:rsid w:val="000E7D4F"/>
    <w:rsid w:val="000F379A"/>
    <w:rsid w:val="00101D80"/>
    <w:rsid w:val="00105AB9"/>
    <w:rsid w:val="001206EC"/>
    <w:rsid w:val="001261BB"/>
    <w:rsid w:val="00126DCF"/>
    <w:rsid w:val="00135F0C"/>
    <w:rsid w:val="00142DED"/>
    <w:rsid w:val="0014655D"/>
    <w:rsid w:val="001465A8"/>
    <w:rsid w:val="001468E7"/>
    <w:rsid w:val="00150F94"/>
    <w:rsid w:val="0015236E"/>
    <w:rsid w:val="00156AEE"/>
    <w:rsid w:val="00160FEB"/>
    <w:rsid w:val="001652C1"/>
    <w:rsid w:val="00174ADF"/>
    <w:rsid w:val="00182D50"/>
    <w:rsid w:val="001971BF"/>
    <w:rsid w:val="00197912"/>
    <w:rsid w:val="001A1FF3"/>
    <w:rsid w:val="001A3624"/>
    <w:rsid w:val="001A4CF5"/>
    <w:rsid w:val="001B021C"/>
    <w:rsid w:val="001B5C92"/>
    <w:rsid w:val="001C10D2"/>
    <w:rsid w:val="001C1E4A"/>
    <w:rsid w:val="001C773F"/>
    <w:rsid w:val="001D0F42"/>
    <w:rsid w:val="001D1BA9"/>
    <w:rsid w:val="001D1BD2"/>
    <w:rsid w:val="001D2742"/>
    <w:rsid w:val="001E4ADC"/>
    <w:rsid w:val="002016C0"/>
    <w:rsid w:val="00204561"/>
    <w:rsid w:val="002116A1"/>
    <w:rsid w:val="00215325"/>
    <w:rsid w:val="00215F81"/>
    <w:rsid w:val="00222762"/>
    <w:rsid w:val="0022680B"/>
    <w:rsid w:val="00226EA6"/>
    <w:rsid w:val="002355AB"/>
    <w:rsid w:val="00235CFC"/>
    <w:rsid w:val="002532C8"/>
    <w:rsid w:val="002544DE"/>
    <w:rsid w:val="002634F4"/>
    <w:rsid w:val="00265516"/>
    <w:rsid w:val="002718F3"/>
    <w:rsid w:val="00276423"/>
    <w:rsid w:val="00282901"/>
    <w:rsid w:val="00287FC0"/>
    <w:rsid w:val="00291FEF"/>
    <w:rsid w:val="002957B8"/>
    <w:rsid w:val="00296DAB"/>
    <w:rsid w:val="00297852"/>
    <w:rsid w:val="002A5D1A"/>
    <w:rsid w:val="002A68A6"/>
    <w:rsid w:val="002B5BDA"/>
    <w:rsid w:val="002C0715"/>
    <w:rsid w:val="002C4201"/>
    <w:rsid w:val="002C551C"/>
    <w:rsid w:val="002C766A"/>
    <w:rsid w:val="002C7C9E"/>
    <w:rsid w:val="002D0426"/>
    <w:rsid w:val="002D5190"/>
    <w:rsid w:val="002D6028"/>
    <w:rsid w:val="002E5E4E"/>
    <w:rsid w:val="002E6946"/>
    <w:rsid w:val="002F66FB"/>
    <w:rsid w:val="00301B40"/>
    <w:rsid w:val="00306070"/>
    <w:rsid w:val="003105A2"/>
    <w:rsid w:val="00311141"/>
    <w:rsid w:val="00317266"/>
    <w:rsid w:val="00317739"/>
    <w:rsid w:val="003214F7"/>
    <w:rsid w:val="00322294"/>
    <w:rsid w:val="00322355"/>
    <w:rsid w:val="0032280F"/>
    <w:rsid w:val="0032758F"/>
    <w:rsid w:val="00331C12"/>
    <w:rsid w:val="00333F60"/>
    <w:rsid w:val="003361F3"/>
    <w:rsid w:val="00341A82"/>
    <w:rsid w:val="00345035"/>
    <w:rsid w:val="00361C57"/>
    <w:rsid w:val="00362BDC"/>
    <w:rsid w:val="003710A9"/>
    <w:rsid w:val="003724F0"/>
    <w:rsid w:val="0037464E"/>
    <w:rsid w:val="00375472"/>
    <w:rsid w:val="00376532"/>
    <w:rsid w:val="003803BA"/>
    <w:rsid w:val="00381687"/>
    <w:rsid w:val="00383D06"/>
    <w:rsid w:val="00385964"/>
    <w:rsid w:val="00392A49"/>
    <w:rsid w:val="00397466"/>
    <w:rsid w:val="003977CC"/>
    <w:rsid w:val="003A3029"/>
    <w:rsid w:val="003A3E2C"/>
    <w:rsid w:val="003A45E5"/>
    <w:rsid w:val="003B0168"/>
    <w:rsid w:val="003B5F62"/>
    <w:rsid w:val="003B6A82"/>
    <w:rsid w:val="003C0D8C"/>
    <w:rsid w:val="003C2F9C"/>
    <w:rsid w:val="003C433B"/>
    <w:rsid w:val="003D060C"/>
    <w:rsid w:val="003D09A1"/>
    <w:rsid w:val="003D1623"/>
    <w:rsid w:val="003D2AEB"/>
    <w:rsid w:val="003D3B30"/>
    <w:rsid w:val="003D4B90"/>
    <w:rsid w:val="003D6656"/>
    <w:rsid w:val="003E6C1D"/>
    <w:rsid w:val="003F29E4"/>
    <w:rsid w:val="003F40E9"/>
    <w:rsid w:val="00413858"/>
    <w:rsid w:val="00415B03"/>
    <w:rsid w:val="0041753F"/>
    <w:rsid w:val="00417722"/>
    <w:rsid w:val="00420F17"/>
    <w:rsid w:val="004358D6"/>
    <w:rsid w:val="00442746"/>
    <w:rsid w:val="004435F4"/>
    <w:rsid w:val="00443CF4"/>
    <w:rsid w:val="0045020F"/>
    <w:rsid w:val="004538D1"/>
    <w:rsid w:val="0046145F"/>
    <w:rsid w:val="00462ED1"/>
    <w:rsid w:val="00465480"/>
    <w:rsid w:val="004668FE"/>
    <w:rsid w:val="00474A50"/>
    <w:rsid w:val="00476EBD"/>
    <w:rsid w:val="00480357"/>
    <w:rsid w:val="00485025"/>
    <w:rsid w:val="004854AF"/>
    <w:rsid w:val="00485D20"/>
    <w:rsid w:val="00487E5B"/>
    <w:rsid w:val="004902C9"/>
    <w:rsid w:val="00496080"/>
    <w:rsid w:val="004A035C"/>
    <w:rsid w:val="004A71AC"/>
    <w:rsid w:val="004B0C32"/>
    <w:rsid w:val="004B6259"/>
    <w:rsid w:val="004C0967"/>
    <w:rsid w:val="004C0DC9"/>
    <w:rsid w:val="004C4022"/>
    <w:rsid w:val="004E1066"/>
    <w:rsid w:val="004E4C45"/>
    <w:rsid w:val="004E6B33"/>
    <w:rsid w:val="004F149B"/>
    <w:rsid w:val="004F3B7A"/>
    <w:rsid w:val="004F64D9"/>
    <w:rsid w:val="004F7952"/>
    <w:rsid w:val="00502FE2"/>
    <w:rsid w:val="005052C7"/>
    <w:rsid w:val="00510399"/>
    <w:rsid w:val="00533B95"/>
    <w:rsid w:val="005368FA"/>
    <w:rsid w:val="00552591"/>
    <w:rsid w:val="00561982"/>
    <w:rsid w:val="00567571"/>
    <w:rsid w:val="0057105E"/>
    <w:rsid w:val="00572366"/>
    <w:rsid w:val="0058552F"/>
    <w:rsid w:val="0059061B"/>
    <w:rsid w:val="005908D6"/>
    <w:rsid w:val="005909E4"/>
    <w:rsid w:val="00593116"/>
    <w:rsid w:val="005947F3"/>
    <w:rsid w:val="00594ECC"/>
    <w:rsid w:val="005958B7"/>
    <w:rsid w:val="00597061"/>
    <w:rsid w:val="005A7ADA"/>
    <w:rsid w:val="005B2BC8"/>
    <w:rsid w:val="005B3B69"/>
    <w:rsid w:val="005C1151"/>
    <w:rsid w:val="005C3424"/>
    <w:rsid w:val="005C7EFD"/>
    <w:rsid w:val="005D07FD"/>
    <w:rsid w:val="005D0D61"/>
    <w:rsid w:val="005D5477"/>
    <w:rsid w:val="005E01BD"/>
    <w:rsid w:val="005E2BBF"/>
    <w:rsid w:val="005F0346"/>
    <w:rsid w:val="005F6BED"/>
    <w:rsid w:val="006035AE"/>
    <w:rsid w:val="00607D92"/>
    <w:rsid w:val="006114EF"/>
    <w:rsid w:val="0061191D"/>
    <w:rsid w:val="0061319B"/>
    <w:rsid w:val="00620F5E"/>
    <w:rsid w:val="006219C0"/>
    <w:rsid w:val="006221E0"/>
    <w:rsid w:val="00623B7A"/>
    <w:rsid w:val="006272C8"/>
    <w:rsid w:val="0063076D"/>
    <w:rsid w:val="00630A1F"/>
    <w:rsid w:val="00630E7A"/>
    <w:rsid w:val="00632570"/>
    <w:rsid w:val="006341D8"/>
    <w:rsid w:val="00644388"/>
    <w:rsid w:val="00647BAF"/>
    <w:rsid w:val="00650E5C"/>
    <w:rsid w:val="006522BB"/>
    <w:rsid w:val="00652F02"/>
    <w:rsid w:val="00654BD3"/>
    <w:rsid w:val="006562D7"/>
    <w:rsid w:val="0065658D"/>
    <w:rsid w:val="006673DD"/>
    <w:rsid w:val="00667B75"/>
    <w:rsid w:val="00673CD2"/>
    <w:rsid w:val="00674017"/>
    <w:rsid w:val="00674E53"/>
    <w:rsid w:val="0068248C"/>
    <w:rsid w:val="00687204"/>
    <w:rsid w:val="00691DFD"/>
    <w:rsid w:val="00692969"/>
    <w:rsid w:val="00692BCD"/>
    <w:rsid w:val="006967C4"/>
    <w:rsid w:val="00697973"/>
    <w:rsid w:val="006A17C5"/>
    <w:rsid w:val="006A389E"/>
    <w:rsid w:val="006A4BF9"/>
    <w:rsid w:val="006A68BC"/>
    <w:rsid w:val="006B203F"/>
    <w:rsid w:val="006B2B6E"/>
    <w:rsid w:val="006B2C92"/>
    <w:rsid w:val="006B6753"/>
    <w:rsid w:val="006B7682"/>
    <w:rsid w:val="006C360E"/>
    <w:rsid w:val="006C3CA1"/>
    <w:rsid w:val="006D1FDE"/>
    <w:rsid w:val="006D6426"/>
    <w:rsid w:val="006E1824"/>
    <w:rsid w:val="006E363D"/>
    <w:rsid w:val="006E3960"/>
    <w:rsid w:val="006E53FF"/>
    <w:rsid w:val="006E5747"/>
    <w:rsid w:val="006F0D94"/>
    <w:rsid w:val="006F78A1"/>
    <w:rsid w:val="00702EEC"/>
    <w:rsid w:val="007030F6"/>
    <w:rsid w:val="00705E41"/>
    <w:rsid w:val="00711A7B"/>
    <w:rsid w:val="00716D79"/>
    <w:rsid w:val="00722B29"/>
    <w:rsid w:val="00724147"/>
    <w:rsid w:val="007269F2"/>
    <w:rsid w:val="00726ED6"/>
    <w:rsid w:val="00726FBF"/>
    <w:rsid w:val="007309F6"/>
    <w:rsid w:val="00731F8B"/>
    <w:rsid w:val="00733F31"/>
    <w:rsid w:val="007348D7"/>
    <w:rsid w:val="00735FD8"/>
    <w:rsid w:val="00736B0C"/>
    <w:rsid w:val="007371A2"/>
    <w:rsid w:val="007371CF"/>
    <w:rsid w:val="00742982"/>
    <w:rsid w:val="007429E5"/>
    <w:rsid w:val="007460D0"/>
    <w:rsid w:val="00756497"/>
    <w:rsid w:val="00756C48"/>
    <w:rsid w:val="00756C85"/>
    <w:rsid w:val="00763F9C"/>
    <w:rsid w:val="00765668"/>
    <w:rsid w:val="00767773"/>
    <w:rsid w:val="007707F5"/>
    <w:rsid w:val="007711D2"/>
    <w:rsid w:val="00775F41"/>
    <w:rsid w:val="00777127"/>
    <w:rsid w:val="00777825"/>
    <w:rsid w:val="00781222"/>
    <w:rsid w:val="007944E2"/>
    <w:rsid w:val="007954E7"/>
    <w:rsid w:val="007A4FD2"/>
    <w:rsid w:val="007B45C3"/>
    <w:rsid w:val="007B4C0A"/>
    <w:rsid w:val="007C0C48"/>
    <w:rsid w:val="007C1BE5"/>
    <w:rsid w:val="007C2CBD"/>
    <w:rsid w:val="007C7B17"/>
    <w:rsid w:val="007D0867"/>
    <w:rsid w:val="007D32C1"/>
    <w:rsid w:val="007D6404"/>
    <w:rsid w:val="007E46BE"/>
    <w:rsid w:val="007F0AAA"/>
    <w:rsid w:val="007F2401"/>
    <w:rsid w:val="007F2928"/>
    <w:rsid w:val="007F3409"/>
    <w:rsid w:val="007F534B"/>
    <w:rsid w:val="007F55AD"/>
    <w:rsid w:val="00803FA2"/>
    <w:rsid w:val="00804E91"/>
    <w:rsid w:val="00806E66"/>
    <w:rsid w:val="0082103A"/>
    <w:rsid w:val="008217AB"/>
    <w:rsid w:val="0083580E"/>
    <w:rsid w:val="008367E6"/>
    <w:rsid w:val="008379C6"/>
    <w:rsid w:val="008428E1"/>
    <w:rsid w:val="00851B21"/>
    <w:rsid w:val="008530AD"/>
    <w:rsid w:val="00855405"/>
    <w:rsid w:val="00855A8E"/>
    <w:rsid w:val="00857E51"/>
    <w:rsid w:val="00862017"/>
    <w:rsid w:val="008624CF"/>
    <w:rsid w:val="00863D91"/>
    <w:rsid w:val="00865E8C"/>
    <w:rsid w:val="008733D7"/>
    <w:rsid w:val="00873F79"/>
    <w:rsid w:val="00886994"/>
    <w:rsid w:val="00891072"/>
    <w:rsid w:val="008910EE"/>
    <w:rsid w:val="008943E0"/>
    <w:rsid w:val="00894DA4"/>
    <w:rsid w:val="00896A2C"/>
    <w:rsid w:val="00896F12"/>
    <w:rsid w:val="008977C5"/>
    <w:rsid w:val="008A7B11"/>
    <w:rsid w:val="008B7E0C"/>
    <w:rsid w:val="008C2BDA"/>
    <w:rsid w:val="008C5603"/>
    <w:rsid w:val="008C6D7E"/>
    <w:rsid w:val="008C7C3F"/>
    <w:rsid w:val="008D32F5"/>
    <w:rsid w:val="008D3753"/>
    <w:rsid w:val="008D52CB"/>
    <w:rsid w:val="008D58B2"/>
    <w:rsid w:val="008E6504"/>
    <w:rsid w:val="008E6AB0"/>
    <w:rsid w:val="008F1019"/>
    <w:rsid w:val="008F26AB"/>
    <w:rsid w:val="008F307D"/>
    <w:rsid w:val="008F3EBB"/>
    <w:rsid w:val="008F42E0"/>
    <w:rsid w:val="008F456B"/>
    <w:rsid w:val="00903226"/>
    <w:rsid w:val="0090348F"/>
    <w:rsid w:val="00912E10"/>
    <w:rsid w:val="00913115"/>
    <w:rsid w:val="009154AE"/>
    <w:rsid w:val="00915ABC"/>
    <w:rsid w:val="00921456"/>
    <w:rsid w:val="009238AD"/>
    <w:rsid w:val="00923E0D"/>
    <w:rsid w:val="00924B7D"/>
    <w:rsid w:val="00924DBB"/>
    <w:rsid w:val="00941EA0"/>
    <w:rsid w:val="00942060"/>
    <w:rsid w:val="00943BD7"/>
    <w:rsid w:val="00944D67"/>
    <w:rsid w:val="0094796E"/>
    <w:rsid w:val="00952EFF"/>
    <w:rsid w:val="00953D05"/>
    <w:rsid w:val="00967A35"/>
    <w:rsid w:val="009754EB"/>
    <w:rsid w:val="00975E79"/>
    <w:rsid w:val="009831C6"/>
    <w:rsid w:val="00991ED4"/>
    <w:rsid w:val="009949C1"/>
    <w:rsid w:val="00995748"/>
    <w:rsid w:val="0099709C"/>
    <w:rsid w:val="009A436E"/>
    <w:rsid w:val="009A4D05"/>
    <w:rsid w:val="009B37E7"/>
    <w:rsid w:val="009B5B9A"/>
    <w:rsid w:val="009C07FD"/>
    <w:rsid w:val="009C5862"/>
    <w:rsid w:val="009C68B3"/>
    <w:rsid w:val="009C735E"/>
    <w:rsid w:val="009D0A96"/>
    <w:rsid w:val="009D49C9"/>
    <w:rsid w:val="009D7B49"/>
    <w:rsid w:val="009E25D4"/>
    <w:rsid w:val="009E6EB3"/>
    <w:rsid w:val="009E7680"/>
    <w:rsid w:val="009F0717"/>
    <w:rsid w:val="009F3F18"/>
    <w:rsid w:val="009F4AB3"/>
    <w:rsid w:val="009F6DBB"/>
    <w:rsid w:val="00A01806"/>
    <w:rsid w:val="00A069AD"/>
    <w:rsid w:val="00A1031E"/>
    <w:rsid w:val="00A144E4"/>
    <w:rsid w:val="00A1540C"/>
    <w:rsid w:val="00A20BA6"/>
    <w:rsid w:val="00A2199A"/>
    <w:rsid w:val="00A22096"/>
    <w:rsid w:val="00A25AAF"/>
    <w:rsid w:val="00A2688D"/>
    <w:rsid w:val="00A417CD"/>
    <w:rsid w:val="00A447D8"/>
    <w:rsid w:val="00A449C1"/>
    <w:rsid w:val="00A4643A"/>
    <w:rsid w:val="00A50E63"/>
    <w:rsid w:val="00A538AC"/>
    <w:rsid w:val="00A64A50"/>
    <w:rsid w:val="00A67146"/>
    <w:rsid w:val="00A823C3"/>
    <w:rsid w:val="00A83ECA"/>
    <w:rsid w:val="00A84DF9"/>
    <w:rsid w:val="00A9019B"/>
    <w:rsid w:val="00A90C15"/>
    <w:rsid w:val="00A92C4B"/>
    <w:rsid w:val="00AA0E08"/>
    <w:rsid w:val="00AA0F9C"/>
    <w:rsid w:val="00AA265D"/>
    <w:rsid w:val="00AA4DF9"/>
    <w:rsid w:val="00AB24D7"/>
    <w:rsid w:val="00AC6AC3"/>
    <w:rsid w:val="00AD373B"/>
    <w:rsid w:val="00AD6E8A"/>
    <w:rsid w:val="00AD7B30"/>
    <w:rsid w:val="00AE058C"/>
    <w:rsid w:val="00B10EE3"/>
    <w:rsid w:val="00B12160"/>
    <w:rsid w:val="00B12B68"/>
    <w:rsid w:val="00B148B1"/>
    <w:rsid w:val="00B2058B"/>
    <w:rsid w:val="00B222A9"/>
    <w:rsid w:val="00B250AF"/>
    <w:rsid w:val="00B35BA0"/>
    <w:rsid w:val="00B36675"/>
    <w:rsid w:val="00B411E5"/>
    <w:rsid w:val="00B44741"/>
    <w:rsid w:val="00B52710"/>
    <w:rsid w:val="00B53A46"/>
    <w:rsid w:val="00B55058"/>
    <w:rsid w:val="00B552AA"/>
    <w:rsid w:val="00B57928"/>
    <w:rsid w:val="00B57999"/>
    <w:rsid w:val="00B607B0"/>
    <w:rsid w:val="00B61895"/>
    <w:rsid w:val="00B61A62"/>
    <w:rsid w:val="00B61DD4"/>
    <w:rsid w:val="00B72B30"/>
    <w:rsid w:val="00B75122"/>
    <w:rsid w:val="00B7751D"/>
    <w:rsid w:val="00B93EA1"/>
    <w:rsid w:val="00B97603"/>
    <w:rsid w:val="00B97C7B"/>
    <w:rsid w:val="00BA0E5B"/>
    <w:rsid w:val="00BA2CB9"/>
    <w:rsid w:val="00BA41EF"/>
    <w:rsid w:val="00BA59C3"/>
    <w:rsid w:val="00BA75E3"/>
    <w:rsid w:val="00BB79B3"/>
    <w:rsid w:val="00BC4CE9"/>
    <w:rsid w:val="00BC5432"/>
    <w:rsid w:val="00BC6504"/>
    <w:rsid w:val="00BC6F27"/>
    <w:rsid w:val="00BC738E"/>
    <w:rsid w:val="00BD0BA6"/>
    <w:rsid w:val="00BD3AF3"/>
    <w:rsid w:val="00BE2564"/>
    <w:rsid w:val="00BF084F"/>
    <w:rsid w:val="00BF3DA3"/>
    <w:rsid w:val="00C04C98"/>
    <w:rsid w:val="00C119F2"/>
    <w:rsid w:val="00C15427"/>
    <w:rsid w:val="00C15E05"/>
    <w:rsid w:val="00C20FE6"/>
    <w:rsid w:val="00C26830"/>
    <w:rsid w:val="00C32DCC"/>
    <w:rsid w:val="00C423CE"/>
    <w:rsid w:val="00C42977"/>
    <w:rsid w:val="00C51D4F"/>
    <w:rsid w:val="00C53109"/>
    <w:rsid w:val="00C53BB8"/>
    <w:rsid w:val="00C64CE2"/>
    <w:rsid w:val="00C65746"/>
    <w:rsid w:val="00C67798"/>
    <w:rsid w:val="00C76269"/>
    <w:rsid w:val="00C767ED"/>
    <w:rsid w:val="00C85A0D"/>
    <w:rsid w:val="00C87443"/>
    <w:rsid w:val="00C97361"/>
    <w:rsid w:val="00CA2D46"/>
    <w:rsid w:val="00CA4195"/>
    <w:rsid w:val="00CA4F5D"/>
    <w:rsid w:val="00CA795E"/>
    <w:rsid w:val="00CB2E41"/>
    <w:rsid w:val="00CB46AF"/>
    <w:rsid w:val="00CB74BF"/>
    <w:rsid w:val="00CD2AF4"/>
    <w:rsid w:val="00CD3146"/>
    <w:rsid w:val="00CD4EBE"/>
    <w:rsid w:val="00CD5E7E"/>
    <w:rsid w:val="00CD60E2"/>
    <w:rsid w:val="00CE1E1A"/>
    <w:rsid w:val="00CE4664"/>
    <w:rsid w:val="00CE543A"/>
    <w:rsid w:val="00CE5AA4"/>
    <w:rsid w:val="00CF09CD"/>
    <w:rsid w:val="00CF2F41"/>
    <w:rsid w:val="00CF79FD"/>
    <w:rsid w:val="00D00DCE"/>
    <w:rsid w:val="00D01E44"/>
    <w:rsid w:val="00D05BA3"/>
    <w:rsid w:val="00D06951"/>
    <w:rsid w:val="00D11CFB"/>
    <w:rsid w:val="00D135F7"/>
    <w:rsid w:val="00D15237"/>
    <w:rsid w:val="00D173C9"/>
    <w:rsid w:val="00D2060C"/>
    <w:rsid w:val="00D20FE9"/>
    <w:rsid w:val="00D23CDD"/>
    <w:rsid w:val="00D30757"/>
    <w:rsid w:val="00D327E6"/>
    <w:rsid w:val="00D37333"/>
    <w:rsid w:val="00D45752"/>
    <w:rsid w:val="00D62541"/>
    <w:rsid w:val="00D63A43"/>
    <w:rsid w:val="00D650A9"/>
    <w:rsid w:val="00D74A9C"/>
    <w:rsid w:val="00D77E27"/>
    <w:rsid w:val="00D873A1"/>
    <w:rsid w:val="00D95190"/>
    <w:rsid w:val="00D95D0B"/>
    <w:rsid w:val="00DA4B8B"/>
    <w:rsid w:val="00DA59C9"/>
    <w:rsid w:val="00DA7425"/>
    <w:rsid w:val="00DA7A8E"/>
    <w:rsid w:val="00DB57EE"/>
    <w:rsid w:val="00DB6836"/>
    <w:rsid w:val="00DC02D6"/>
    <w:rsid w:val="00DC33DC"/>
    <w:rsid w:val="00DC3559"/>
    <w:rsid w:val="00DC443E"/>
    <w:rsid w:val="00DC48E6"/>
    <w:rsid w:val="00DC50FF"/>
    <w:rsid w:val="00DC615B"/>
    <w:rsid w:val="00DD5AE6"/>
    <w:rsid w:val="00DD79EA"/>
    <w:rsid w:val="00DE3059"/>
    <w:rsid w:val="00DE4D5A"/>
    <w:rsid w:val="00DF1B5A"/>
    <w:rsid w:val="00DF1E59"/>
    <w:rsid w:val="00DF3E09"/>
    <w:rsid w:val="00DF69E1"/>
    <w:rsid w:val="00DF78B5"/>
    <w:rsid w:val="00E12A61"/>
    <w:rsid w:val="00E14168"/>
    <w:rsid w:val="00E21050"/>
    <w:rsid w:val="00E21090"/>
    <w:rsid w:val="00E24DFD"/>
    <w:rsid w:val="00E27AE7"/>
    <w:rsid w:val="00E32CF2"/>
    <w:rsid w:val="00E414AE"/>
    <w:rsid w:val="00E45F46"/>
    <w:rsid w:val="00E4631E"/>
    <w:rsid w:val="00E466ED"/>
    <w:rsid w:val="00E50B05"/>
    <w:rsid w:val="00E53789"/>
    <w:rsid w:val="00E548E8"/>
    <w:rsid w:val="00E55650"/>
    <w:rsid w:val="00E62CDA"/>
    <w:rsid w:val="00E67573"/>
    <w:rsid w:val="00E7031B"/>
    <w:rsid w:val="00E752D4"/>
    <w:rsid w:val="00E772A0"/>
    <w:rsid w:val="00E77A29"/>
    <w:rsid w:val="00E802CA"/>
    <w:rsid w:val="00E8471D"/>
    <w:rsid w:val="00E8691A"/>
    <w:rsid w:val="00E901D8"/>
    <w:rsid w:val="00E9184D"/>
    <w:rsid w:val="00E92E69"/>
    <w:rsid w:val="00E9438D"/>
    <w:rsid w:val="00E958E2"/>
    <w:rsid w:val="00E97B8C"/>
    <w:rsid w:val="00EA76DA"/>
    <w:rsid w:val="00EB27EF"/>
    <w:rsid w:val="00EB56C7"/>
    <w:rsid w:val="00EB610E"/>
    <w:rsid w:val="00EB63B6"/>
    <w:rsid w:val="00EC2856"/>
    <w:rsid w:val="00EC4F8B"/>
    <w:rsid w:val="00EC7188"/>
    <w:rsid w:val="00ED1142"/>
    <w:rsid w:val="00ED1424"/>
    <w:rsid w:val="00ED66BD"/>
    <w:rsid w:val="00ED69E7"/>
    <w:rsid w:val="00EE21F3"/>
    <w:rsid w:val="00EE24F2"/>
    <w:rsid w:val="00EE625E"/>
    <w:rsid w:val="00EF0FF6"/>
    <w:rsid w:val="00EF3953"/>
    <w:rsid w:val="00F0226C"/>
    <w:rsid w:val="00F11979"/>
    <w:rsid w:val="00F21777"/>
    <w:rsid w:val="00F24D79"/>
    <w:rsid w:val="00F30C0E"/>
    <w:rsid w:val="00F3123B"/>
    <w:rsid w:val="00F318AE"/>
    <w:rsid w:val="00F3389D"/>
    <w:rsid w:val="00F3565B"/>
    <w:rsid w:val="00F3622C"/>
    <w:rsid w:val="00F3663E"/>
    <w:rsid w:val="00F41DC1"/>
    <w:rsid w:val="00F42FA1"/>
    <w:rsid w:val="00F43779"/>
    <w:rsid w:val="00F46CE4"/>
    <w:rsid w:val="00F500B2"/>
    <w:rsid w:val="00F501BF"/>
    <w:rsid w:val="00F528EB"/>
    <w:rsid w:val="00F56760"/>
    <w:rsid w:val="00F60E62"/>
    <w:rsid w:val="00F6392A"/>
    <w:rsid w:val="00F64F54"/>
    <w:rsid w:val="00F65929"/>
    <w:rsid w:val="00F65BC4"/>
    <w:rsid w:val="00F66565"/>
    <w:rsid w:val="00F66B54"/>
    <w:rsid w:val="00F72B78"/>
    <w:rsid w:val="00F73E5E"/>
    <w:rsid w:val="00F80FBC"/>
    <w:rsid w:val="00F81682"/>
    <w:rsid w:val="00F82A71"/>
    <w:rsid w:val="00F9166D"/>
    <w:rsid w:val="00FB0E29"/>
    <w:rsid w:val="00FB3A6E"/>
    <w:rsid w:val="00FB551A"/>
    <w:rsid w:val="00FC6F7D"/>
    <w:rsid w:val="00FC7F9F"/>
    <w:rsid w:val="00FD5FEB"/>
    <w:rsid w:val="00FD6375"/>
    <w:rsid w:val="00FE2B64"/>
    <w:rsid w:val="00FF0D25"/>
    <w:rsid w:val="00FF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1" type="connector" idref="#_x0000_s1054"/>
        <o:r id="V:Rule42" type="connector" idref="#_x0000_s1040"/>
        <o:r id="V:Rule43" type="connector" idref="#_x0000_s1080"/>
        <o:r id="V:Rule44" type="connector" idref="#_x0000_s1071"/>
        <o:r id="V:Rule45" type="connector" idref="#_x0000_s1058"/>
        <o:r id="V:Rule46" type="connector" idref="#_x0000_s1039"/>
        <o:r id="V:Rule47" type="connector" idref="#_x0000_s1055"/>
        <o:r id="V:Rule48" type="connector" idref="#_x0000_s1061"/>
        <o:r id="V:Rule49" type="connector" idref="#_x0000_s1046"/>
        <o:r id="V:Rule50" type="connector" idref="#_x0000_s1082"/>
        <o:r id="V:Rule51" type="connector" idref="#_x0000_s1037"/>
        <o:r id="V:Rule52" type="connector" idref="#_x0000_s1078"/>
        <o:r id="V:Rule53" type="connector" idref="#_x0000_s1079"/>
        <o:r id="V:Rule54" type="connector" idref="#_x0000_s1091"/>
        <o:r id="V:Rule55" type="connector" idref="#_x0000_s1026"/>
        <o:r id="V:Rule56" type="connector" idref="#_x0000_s1060"/>
        <o:r id="V:Rule57" type="connector" idref="#_x0000_s1047"/>
        <o:r id="V:Rule58" type="connector" idref="#_x0000_s1052"/>
        <o:r id="V:Rule59" type="connector" idref="#_x0000_s1086"/>
        <o:r id="V:Rule60" type="connector" idref="#_x0000_s1048"/>
        <o:r id="V:Rule61" type="connector" idref="#_x0000_s1085"/>
        <o:r id="V:Rule62" type="connector" idref="#_x0000_s1064"/>
        <o:r id="V:Rule63" type="connector" idref="#_x0000_s1070"/>
        <o:r id="V:Rule64" type="connector" idref="#_x0000_s1042"/>
        <o:r id="V:Rule65" type="connector" idref="#_x0000_s1088"/>
        <o:r id="V:Rule66" type="connector" idref="#_x0000_s1069"/>
        <o:r id="V:Rule67" type="connector" idref="#_x0000_s1028"/>
        <o:r id="V:Rule68" type="connector" idref="#_x0000_s1041"/>
        <o:r id="V:Rule69" type="connector" idref="#_x0000_s1038"/>
        <o:r id="V:Rule70" type="connector" idref="#_x0000_s1073"/>
        <o:r id="V:Rule71" type="connector" idref="#_x0000_s1132"/>
        <o:r id="V:Rule72" type="connector" idref="#_x0000_s1068"/>
        <o:r id="V:Rule73" type="connector" idref="#_x0000_s1081"/>
        <o:r id="V:Rule74" type="connector" idref="#_x0000_s1087"/>
        <o:r id="V:Rule75" type="connector" idref="#_x0000_s1072"/>
        <o:r id="V:Rule76" type="connector" idref="#_x0000_s1067"/>
        <o:r id="V:Rule77" type="connector" idref="#_x0000_s1077"/>
        <o:r id="V:Rule78" type="connector" idref="#_x0000_s1059"/>
        <o:r id="V:Rule79" type="connector" idref="#_x0000_s1053"/>
        <o:r id="V:Rule8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58B"/>
  </w:style>
  <w:style w:type="paragraph" w:styleId="Nadpis1">
    <w:name w:val="heading 1"/>
    <w:basedOn w:val="Normln"/>
    <w:next w:val="Normln"/>
    <w:link w:val="Nadpis1Char"/>
    <w:uiPriority w:val="9"/>
    <w:qFormat/>
    <w:rsid w:val="00072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4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1B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215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2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aliases w:val="Odstavec cíl se seznamem,Odstavec se seznamem1,Nad,Odstavec se seznamem5"/>
    <w:basedOn w:val="Normln"/>
    <w:link w:val="OdstavecseseznamemChar"/>
    <w:uiPriority w:val="34"/>
    <w:qFormat/>
    <w:rsid w:val="00072514"/>
    <w:pPr>
      <w:ind w:left="720"/>
      <w:contextualSpacing/>
    </w:pPr>
  </w:style>
  <w:style w:type="character" w:customStyle="1" w:styleId="OdstavecseseznamemChar">
    <w:name w:val="Odstavec se seznamem Char"/>
    <w:aliases w:val="Odstavec cíl se seznamem Char,Odstavec se seznamem1 Char,Nad Char,Odstavec se seznamem5 Char"/>
    <w:basedOn w:val="Standardnpsmoodstavce"/>
    <w:link w:val="Odstavecseseznamem"/>
    <w:uiPriority w:val="34"/>
    <w:locked/>
    <w:rsid w:val="00072514"/>
  </w:style>
  <w:style w:type="paragraph" w:styleId="Nzev">
    <w:name w:val="Title"/>
    <w:basedOn w:val="Normln"/>
    <w:next w:val="Normln"/>
    <w:link w:val="NzevChar"/>
    <w:uiPriority w:val="10"/>
    <w:qFormat/>
    <w:rsid w:val="000725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725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725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725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BC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2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058B"/>
  </w:style>
  <w:style w:type="paragraph" w:styleId="Zpat">
    <w:name w:val="footer"/>
    <w:basedOn w:val="Normln"/>
    <w:link w:val="ZpatChar"/>
    <w:uiPriority w:val="99"/>
    <w:unhideWhenUsed/>
    <w:rsid w:val="00B2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58B"/>
  </w:style>
  <w:style w:type="character" w:styleId="Odkaznakoment">
    <w:name w:val="annotation reference"/>
    <w:basedOn w:val="Standardnpsmoodstavce"/>
    <w:uiPriority w:val="99"/>
    <w:semiHidden/>
    <w:unhideWhenUsed/>
    <w:rsid w:val="00480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3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3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357"/>
    <w:rPr>
      <w:b/>
      <w:bCs/>
    </w:rPr>
  </w:style>
  <w:style w:type="paragraph" w:styleId="Revize">
    <w:name w:val="Revision"/>
    <w:hidden/>
    <w:uiPriority w:val="99"/>
    <w:semiHidden/>
    <w:rsid w:val="00480357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40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40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400D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674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71CF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7371C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371C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7371CF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D1B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0215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bsah3">
    <w:name w:val="toc 3"/>
    <w:basedOn w:val="Normln"/>
    <w:next w:val="Normln"/>
    <w:autoRedefine/>
    <w:uiPriority w:val="39"/>
    <w:unhideWhenUsed/>
    <w:rsid w:val="00322294"/>
    <w:pPr>
      <w:spacing w:after="100"/>
      <w:ind w:left="440"/>
    </w:pPr>
  </w:style>
  <w:style w:type="table" w:styleId="Mkatabulky">
    <w:name w:val="Table Grid"/>
    <w:basedOn w:val="Normlntabulka"/>
    <w:uiPriority w:val="59"/>
    <w:rsid w:val="00991ED4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gif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D1CE0-F78C-4CCA-9285-CD150D03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13648</Words>
  <Characters>80530</Characters>
  <Application>Microsoft Office Word</Application>
  <DocSecurity>0</DocSecurity>
  <Lines>671</Lines>
  <Paragraphs>187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2</cp:revision>
  <cp:lastPrinted>2015-05-28T05:34:00Z</cp:lastPrinted>
  <dcterms:created xsi:type="dcterms:W3CDTF">2015-06-08T12:02:00Z</dcterms:created>
  <dcterms:modified xsi:type="dcterms:W3CDTF">2015-06-08T12:02:00Z</dcterms:modified>
</cp:coreProperties>
</file>