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9FE" w:rsidRPr="00600CF9" w:rsidRDefault="00600CF9" w:rsidP="00600CF9">
      <w:pPr>
        <w:spacing w:after="200"/>
        <w:ind w:left="0"/>
        <w:jc w:val="right"/>
        <w:rPr>
          <w:rFonts w:eastAsia="Times New Roman"/>
          <w:b/>
          <w:bCs/>
          <w:sz w:val="24"/>
          <w:szCs w:val="28"/>
        </w:rPr>
      </w:pPr>
      <w:r w:rsidRPr="00600CF9">
        <w:rPr>
          <w:rFonts w:eastAsia="Times New Roman"/>
          <w:b/>
          <w:bCs/>
          <w:sz w:val="24"/>
          <w:szCs w:val="28"/>
        </w:rPr>
        <w:t>III.</w:t>
      </w:r>
    </w:p>
    <w:p w:rsidR="005C29FE" w:rsidRDefault="005C29FE" w:rsidP="006B5380">
      <w:pPr>
        <w:spacing w:after="200"/>
        <w:ind w:left="0"/>
        <w:jc w:val="center"/>
        <w:rPr>
          <w:rFonts w:ascii="Cambria" w:eastAsia="Times New Roman" w:hAnsi="Cambria"/>
          <w:b/>
          <w:bCs/>
          <w:color w:val="365F91"/>
          <w:sz w:val="28"/>
          <w:szCs w:val="28"/>
        </w:rPr>
      </w:pPr>
    </w:p>
    <w:p w:rsidR="005C29FE" w:rsidRDefault="005C29FE" w:rsidP="006B5380">
      <w:pPr>
        <w:spacing w:after="200"/>
        <w:ind w:left="0"/>
        <w:jc w:val="center"/>
        <w:rPr>
          <w:rFonts w:ascii="Cambria" w:eastAsia="Times New Roman" w:hAnsi="Cambria"/>
          <w:b/>
          <w:bCs/>
          <w:color w:val="365F91"/>
          <w:sz w:val="28"/>
          <w:szCs w:val="28"/>
        </w:rPr>
      </w:pPr>
    </w:p>
    <w:p w:rsidR="005C29FE" w:rsidRDefault="005C29FE" w:rsidP="006B5380">
      <w:pPr>
        <w:spacing w:after="200"/>
        <w:ind w:left="0"/>
        <w:jc w:val="center"/>
        <w:rPr>
          <w:rFonts w:ascii="Cambria" w:eastAsia="Times New Roman" w:hAnsi="Cambria"/>
          <w:b/>
          <w:bCs/>
          <w:color w:val="365F91"/>
          <w:sz w:val="28"/>
          <w:szCs w:val="28"/>
        </w:rPr>
      </w:pPr>
    </w:p>
    <w:p w:rsidR="00C45286" w:rsidRDefault="00C45286" w:rsidP="006B5380">
      <w:pPr>
        <w:spacing w:after="200"/>
        <w:ind w:left="0"/>
        <w:jc w:val="center"/>
        <w:rPr>
          <w:rFonts w:ascii="Calibri" w:eastAsia="Times New Roman" w:hAnsi="Calibri"/>
          <w:b/>
          <w:bCs/>
          <w:color w:val="17365D"/>
          <w:sz w:val="32"/>
          <w:szCs w:val="32"/>
        </w:rPr>
      </w:pPr>
    </w:p>
    <w:p w:rsidR="00C45286" w:rsidRDefault="00C45286" w:rsidP="006B5380">
      <w:pPr>
        <w:spacing w:after="200"/>
        <w:ind w:left="0"/>
        <w:jc w:val="center"/>
        <w:rPr>
          <w:rFonts w:ascii="Calibri" w:eastAsia="Times New Roman" w:hAnsi="Calibri"/>
          <w:b/>
          <w:bCs/>
          <w:color w:val="17365D"/>
          <w:sz w:val="32"/>
          <w:szCs w:val="32"/>
        </w:rPr>
      </w:pPr>
    </w:p>
    <w:p w:rsidR="00C45286" w:rsidRDefault="00C45286" w:rsidP="006B5380">
      <w:pPr>
        <w:spacing w:after="200"/>
        <w:ind w:left="0"/>
        <w:jc w:val="center"/>
        <w:rPr>
          <w:rFonts w:ascii="Calibri" w:eastAsia="Times New Roman" w:hAnsi="Calibri"/>
          <w:b/>
          <w:bCs/>
          <w:color w:val="17365D"/>
          <w:sz w:val="32"/>
          <w:szCs w:val="32"/>
        </w:rPr>
      </w:pPr>
    </w:p>
    <w:p w:rsidR="00C45286" w:rsidRPr="003D4705" w:rsidRDefault="00C45286" w:rsidP="006B5380">
      <w:pPr>
        <w:spacing w:after="200"/>
        <w:ind w:left="0"/>
        <w:jc w:val="center"/>
        <w:rPr>
          <w:rFonts w:ascii="Calibri" w:eastAsia="Times New Roman" w:hAnsi="Calibri"/>
          <w:b/>
          <w:bCs/>
          <w:color w:val="17365D"/>
          <w:sz w:val="32"/>
          <w:szCs w:val="32"/>
        </w:rPr>
      </w:pPr>
    </w:p>
    <w:p w:rsidR="005C29FE" w:rsidRDefault="00FC0507" w:rsidP="00FC0507">
      <w:pPr>
        <w:spacing w:after="200"/>
        <w:ind w:left="0"/>
        <w:jc w:val="center"/>
        <w:rPr>
          <w:rFonts w:ascii="Cambria" w:eastAsia="Times New Roman" w:hAnsi="Cambria"/>
          <w:b/>
          <w:bCs/>
          <w:color w:val="365F91"/>
          <w:sz w:val="28"/>
          <w:szCs w:val="28"/>
        </w:rPr>
      </w:pPr>
      <w:r w:rsidRPr="00FC0507">
        <w:rPr>
          <w:rFonts w:ascii="Calibri" w:eastAsia="Times New Roman" w:hAnsi="Calibri"/>
          <w:b/>
          <w:bCs/>
          <w:color w:val="17365D"/>
          <w:sz w:val="40"/>
          <w:szCs w:val="40"/>
        </w:rPr>
        <w:t xml:space="preserve">Finanční nástroje jako forma zajištění financování projektů v </w:t>
      </w:r>
      <w:r w:rsidR="00787752">
        <w:rPr>
          <w:rFonts w:ascii="Calibri" w:eastAsia="Times New Roman" w:hAnsi="Calibri"/>
          <w:b/>
          <w:bCs/>
          <w:color w:val="17365D"/>
          <w:sz w:val="40"/>
          <w:szCs w:val="40"/>
        </w:rPr>
        <w:t>programové</w:t>
      </w:r>
      <w:r w:rsidRPr="00FC0507">
        <w:rPr>
          <w:rFonts w:ascii="Calibri" w:eastAsia="Times New Roman" w:hAnsi="Calibri"/>
          <w:b/>
          <w:bCs/>
          <w:color w:val="17365D"/>
          <w:sz w:val="40"/>
          <w:szCs w:val="40"/>
        </w:rPr>
        <w:t>m období 2014 – 2020</w:t>
      </w:r>
    </w:p>
    <w:p w:rsidR="005C29FE" w:rsidRDefault="005C29FE" w:rsidP="006B5380">
      <w:pPr>
        <w:spacing w:after="200"/>
        <w:ind w:left="0"/>
        <w:jc w:val="center"/>
        <w:rPr>
          <w:rFonts w:ascii="Cambria" w:eastAsia="Times New Roman" w:hAnsi="Cambria"/>
          <w:b/>
          <w:bCs/>
          <w:color w:val="365F91"/>
          <w:sz w:val="28"/>
          <w:szCs w:val="28"/>
        </w:rPr>
      </w:pPr>
    </w:p>
    <w:p w:rsidR="005C29FE" w:rsidRDefault="005C29FE" w:rsidP="006B5380">
      <w:pPr>
        <w:spacing w:after="200"/>
        <w:ind w:left="0"/>
        <w:jc w:val="center"/>
        <w:rPr>
          <w:rFonts w:ascii="Cambria" w:eastAsia="Times New Roman" w:hAnsi="Cambria"/>
          <w:b/>
          <w:bCs/>
          <w:color w:val="365F91"/>
          <w:sz w:val="28"/>
          <w:szCs w:val="28"/>
        </w:rPr>
      </w:pPr>
    </w:p>
    <w:p w:rsidR="005C29FE" w:rsidRDefault="005C29FE" w:rsidP="006B5380">
      <w:pPr>
        <w:spacing w:after="200"/>
        <w:ind w:left="0"/>
        <w:jc w:val="center"/>
        <w:rPr>
          <w:rFonts w:ascii="Cambria" w:eastAsia="Times New Roman" w:hAnsi="Cambria"/>
          <w:b/>
          <w:bCs/>
          <w:color w:val="365F91"/>
          <w:sz w:val="28"/>
          <w:szCs w:val="28"/>
        </w:rPr>
      </w:pPr>
    </w:p>
    <w:p w:rsidR="003D4705" w:rsidRPr="003D4705" w:rsidRDefault="003D4705" w:rsidP="006B5380">
      <w:pPr>
        <w:spacing w:after="200"/>
        <w:ind w:left="0"/>
        <w:jc w:val="center"/>
        <w:rPr>
          <w:rFonts w:ascii="Calibri" w:eastAsia="Times New Roman" w:hAnsi="Calibri"/>
          <w:b/>
          <w:bCs/>
          <w:color w:val="17365D"/>
          <w:sz w:val="28"/>
          <w:szCs w:val="28"/>
        </w:rPr>
      </w:pPr>
    </w:p>
    <w:p w:rsidR="006B5380" w:rsidRDefault="00CE41C8" w:rsidP="006B5380">
      <w:pPr>
        <w:spacing w:after="200"/>
        <w:ind w:left="0"/>
        <w:jc w:val="center"/>
        <w:rPr>
          <w:rFonts w:ascii="Calibri" w:eastAsia="Times New Roman" w:hAnsi="Calibri"/>
          <w:b/>
          <w:bCs/>
          <w:color w:val="17365D"/>
          <w:sz w:val="24"/>
          <w:szCs w:val="24"/>
        </w:rPr>
      </w:pPr>
      <w:r>
        <w:rPr>
          <w:rFonts w:ascii="Calibri" w:eastAsia="Times New Roman" w:hAnsi="Calibri"/>
          <w:b/>
          <w:bCs/>
          <w:color w:val="17365D"/>
          <w:sz w:val="24"/>
          <w:szCs w:val="24"/>
        </w:rPr>
        <w:t>Analýza</w:t>
      </w:r>
      <w:r w:rsidR="00FC0507">
        <w:rPr>
          <w:rFonts w:ascii="Calibri" w:eastAsia="Times New Roman" w:hAnsi="Calibri"/>
          <w:b/>
          <w:bCs/>
          <w:color w:val="17365D"/>
          <w:sz w:val="24"/>
          <w:szCs w:val="24"/>
        </w:rPr>
        <w:t xml:space="preserve"> p</w:t>
      </w:r>
      <w:r w:rsidR="006B5380" w:rsidRPr="00C02518">
        <w:rPr>
          <w:rFonts w:ascii="Calibri" w:eastAsia="Times New Roman" w:hAnsi="Calibri"/>
          <w:b/>
          <w:bCs/>
          <w:color w:val="17365D"/>
          <w:sz w:val="24"/>
          <w:szCs w:val="24"/>
        </w:rPr>
        <w:t xml:space="preserve">racovní skupiny Ministerstva financí ČR, Úřadu vlády ČR, </w:t>
      </w:r>
      <w:r w:rsidR="003D4705" w:rsidRPr="00C02518">
        <w:rPr>
          <w:rFonts w:ascii="Calibri" w:eastAsia="Times New Roman" w:hAnsi="Calibri"/>
          <w:b/>
          <w:bCs/>
          <w:color w:val="17365D"/>
          <w:sz w:val="24"/>
          <w:szCs w:val="24"/>
        </w:rPr>
        <w:br/>
      </w:r>
      <w:r w:rsidR="006B5380" w:rsidRPr="00C02518">
        <w:rPr>
          <w:rFonts w:ascii="Calibri" w:eastAsia="Times New Roman" w:hAnsi="Calibri"/>
          <w:b/>
          <w:bCs/>
          <w:color w:val="17365D"/>
          <w:sz w:val="24"/>
          <w:szCs w:val="24"/>
        </w:rPr>
        <w:t xml:space="preserve">Ministerstva pro místní rozvoj a Ministerstva průmyslu a obchodu </w:t>
      </w:r>
      <w:r w:rsidR="005C6C94" w:rsidRPr="00C02518">
        <w:rPr>
          <w:rFonts w:ascii="Calibri" w:eastAsia="Times New Roman" w:hAnsi="Calibri"/>
          <w:b/>
          <w:bCs/>
          <w:color w:val="17365D"/>
          <w:sz w:val="24"/>
          <w:szCs w:val="24"/>
        </w:rPr>
        <w:br/>
      </w:r>
      <w:r w:rsidR="003D4705" w:rsidRPr="00C02518">
        <w:rPr>
          <w:rFonts w:ascii="Calibri" w:eastAsia="Times New Roman" w:hAnsi="Calibri"/>
          <w:b/>
          <w:bCs/>
          <w:color w:val="17365D"/>
          <w:sz w:val="24"/>
          <w:szCs w:val="24"/>
        </w:rPr>
        <w:t>p</w:t>
      </w:r>
      <w:r w:rsidR="00EA6E3B">
        <w:rPr>
          <w:rFonts w:ascii="Calibri" w:eastAsia="Times New Roman" w:hAnsi="Calibri"/>
          <w:b/>
          <w:bCs/>
          <w:color w:val="17365D"/>
          <w:sz w:val="24"/>
          <w:szCs w:val="24"/>
        </w:rPr>
        <w:t>od gescí JUDr</w:t>
      </w:r>
      <w:r w:rsidR="006B5380" w:rsidRPr="00C02518">
        <w:rPr>
          <w:rFonts w:ascii="Calibri" w:eastAsia="Times New Roman" w:hAnsi="Calibri"/>
          <w:b/>
          <w:bCs/>
          <w:color w:val="17365D"/>
          <w:sz w:val="24"/>
          <w:szCs w:val="24"/>
        </w:rPr>
        <w:t>. Martina Prose,</w:t>
      </w:r>
      <w:r w:rsidR="00AA08FF" w:rsidRPr="00C02518">
        <w:rPr>
          <w:rFonts w:ascii="Calibri" w:eastAsia="Times New Roman" w:hAnsi="Calibri"/>
          <w:b/>
          <w:bCs/>
          <w:color w:val="17365D"/>
          <w:sz w:val="24"/>
          <w:szCs w:val="24"/>
        </w:rPr>
        <w:t xml:space="preserve"> Ph.D.</w:t>
      </w:r>
      <w:r w:rsidR="006B5380" w:rsidRPr="00C02518">
        <w:rPr>
          <w:rFonts w:ascii="Calibri" w:eastAsia="Times New Roman" w:hAnsi="Calibri"/>
          <w:b/>
          <w:bCs/>
          <w:color w:val="17365D"/>
          <w:sz w:val="24"/>
          <w:szCs w:val="24"/>
        </w:rPr>
        <w:t xml:space="preserve"> náměstka ministra financí</w:t>
      </w:r>
    </w:p>
    <w:p w:rsidR="00FC0507" w:rsidRDefault="00FC0507" w:rsidP="006B5380">
      <w:pPr>
        <w:spacing w:after="200"/>
        <w:ind w:left="0"/>
        <w:jc w:val="center"/>
        <w:rPr>
          <w:rFonts w:ascii="Calibri" w:eastAsia="Times New Roman" w:hAnsi="Calibri"/>
          <w:bCs/>
          <w:color w:val="17365D"/>
        </w:rPr>
      </w:pPr>
      <w:r w:rsidRPr="00CE41C8">
        <w:rPr>
          <w:rFonts w:ascii="Calibri" w:eastAsia="Times New Roman" w:hAnsi="Calibri"/>
          <w:bCs/>
          <w:color w:val="17365D"/>
        </w:rPr>
        <w:t>zpracoval Ing. Martin Hanzlík, LL.M.</w:t>
      </w:r>
    </w:p>
    <w:p w:rsidR="00EA6E3B" w:rsidRPr="00CE41C8" w:rsidRDefault="00F73BC1" w:rsidP="006B5380">
      <w:pPr>
        <w:spacing w:after="200"/>
        <w:ind w:left="0"/>
        <w:jc w:val="center"/>
        <w:rPr>
          <w:rFonts w:ascii="Calibri" w:eastAsia="Times New Roman" w:hAnsi="Calibri"/>
          <w:bCs/>
          <w:color w:val="17365D"/>
        </w:rPr>
      </w:pPr>
      <w:r>
        <w:rPr>
          <w:rFonts w:ascii="Calibri" w:eastAsia="Times New Roman" w:hAnsi="Calibri"/>
          <w:bCs/>
          <w:color w:val="17365D"/>
        </w:rPr>
        <w:t>leden 2015</w:t>
      </w:r>
    </w:p>
    <w:p w:rsidR="00640B60" w:rsidRDefault="00640B60">
      <w:pPr>
        <w:spacing w:after="200"/>
        <w:ind w:left="0"/>
        <w:jc w:val="left"/>
      </w:pPr>
    </w:p>
    <w:p w:rsidR="005C29FE" w:rsidRDefault="005C29FE">
      <w:pPr>
        <w:spacing w:after="200"/>
        <w:ind w:left="0"/>
        <w:jc w:val="left"/>
      </w:pPr>
    </w:p>
    <w:p w:rsidR="005C29FE" w:rsidRDefault="005C29FE">
      <w:pPr>
        <w:spacing w:after="200"/>
        <w:ind w:left="0"/>
        <w:jc w:val="left"/>
        <w:sectPr w:rsidR="005C29FE" w:rsidSect="000C0B4C">
          <w:footerReference w:type="default" r:id="rId10"/>
          <w:pgSz w:w="11906" w:h="16838"/>
          <w:pgMar w:top="1304" w:right="1418" w:bottom="1418" w:left="1304" w:header="709" w:footer="709" w:gutter="0"/>
          <w:cols w:space="708"/>
          <w:docGrid w:linePitch="360"/>
        </w:sectPr>
      </w:pPr>
    </w:p>
    <w:p w:rsidR="006B5380" w:rsidRDefault="006B5380" w:rsidP="00B54C37">
      <w:pPr>
        <w:pStyle w:val="Nadpisobsahu"/>
        <w:spacing w:before="0"/>
      </w:pPr>
      <w:r>
        <w:lastRenderedPageBreak/>
        <w:t>Obsah</w:t>
      </w:r>
    </w:p>
    <w:p w:rsidR="00815CF9" w:rsidRDefault="001A3B8A">
      <w:pPr>
        <w:pStyle w:val="Obsah1"/>
        <w:rPr>
          <w:rFonts w:asciiTheme="minorHAnsi" w:eastAsiaTheme="minorEastAsia" w:hAnsiTheme="minorHAnsi" w:cstheme="minorBidi"/>
          <w:noProof/>
          <w:lang w:eastAsia="cs-CZ"/>
        </w:rPr>
      </w:pPr>
      <w:r w:rsidRPr="00B70CF7">
        <w:rPr>
          <w:sz w:val="20"/>
          <w:szCs w:val="20"/>
        </w:rPr>
        <w:fldChar w:fldCharType="begin"/>
      </w:r>
      <w:r w:rsidR="006B5380" w:rsidRPr="00B70CF7">
        <w:rPr>
          <w:sz w:val="20"/>
          <w:szCs w:val="20"/>
        </w:rPr>
        <w:instrText xml:space="preserve"> TOC \o "1-3" \h \z \u </w:instrText>
      </w:r>
      <w:r w:rsidRPr="00B70CF7">
        <w:rPr>
          <w:sz w:val="20"/>
          <w:szCs w:val="20"/>
        </w:rPr>
        <w:fldChar w:fldCharType="separate"/>
      </w:r>
      <w:hyperlink w:anchor="_Toc410115429" w:history="1">
        <w:r w:rsidR="00815CF9" w:rsidRPr="00DA63F7">
          <w:rPr>
            <w:rStyle w:val="Hypertextovodkaz"/>
            <w:noProof/>
          </w:rPr>
          <w:t>1</w:t>
        </w:r>
        <w:r w:rsidR="00815CF9">
          <w:rPr>
            <w:rFonts w:asciiTheme="minorHAnsi" w:eastAsiaTheme="minorEastAsia" w:hAnsiTheme="minorHAnsi" w:cstheme="minorBidi"/>
            <w:noProof/>
            <w:lang w:eastAsia="cs-CZ"/>
          </w:rPr>
          <w:tab/>
        </w:r>
        <w:r w:rsidR="00815CF9" w:rsidRPr="00DA63F7">
          <w:rPr>
            <w:rStyle w:val="Hypertextovodkaz"/>
            <w:noProof/>
          </w:rPr>
          <w:t>Manažerské shrnutí</w:t>
        </w:r>
        <w:r w:rsidR="00815CF9">
          <w:rPr>
            <w:noProof/>
            <w:webHidden/>
          </w:rPr>
          <w:tab/>
        </w:r>
        <w:r w:rsidR="00815CF9">
          <w:rPr>
            <w:noProof/>
            <w:webHidden/>
          </w:rPr>
          <w:fldChar w:fldCharType="begin"/>
        </w:r>
        <w:r w:rsidR="00815CF9">
          <w:rPr>
            <w:noProof/>
            <w:webHidden/>
          </w:rPr>
          <w:instrText xml:space="preserve"> PAGEREF _Toc410115429 \h </w:instrText>
        </w:r>
        <w:r w:rsidR="00815CF9">
          <w:rPr>
            <w:noProof/>
            <w:webHidden/>
          </w:rPr>
        </w:r>
        <w:r w:rsidR="00815CF9">
          <w:rPr>
            <w:noProof/>
            <w:webHidden/>
          </w:rPr>
          <w:fldChar w:fldCharType="separate"/>
        </w:r>
        <w:r w:rsidR="006C5EA3">
          <w:rPr>
            <w:noProof/>
            <w:webHidden/>
          </w:rPr>
          <w:t>6</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0" w:history="1">
        <w:r w:rsidR="00815CF9" w:rsidRPr="00DA63F7">
          <w:rPr>
            <w:rStyle w:val="Hypertextovodkaz"/>
            <w:noProof/>
          </w:rPr>
          <w:t>1.1</w:t>
        </w:r>
        <w:r w:rsidR="00815CF9">
          <w:rPr>
            <w:rFonts w:asciiTheme="minorHAnsi" w:eastAsiaTheme="minorEastAsia" w:hAnsiTheme="minorHAnsi" w:cstheme="minorBidi"/>
            <w:noProof/>
            <w:lang w:eastAsia="cs-CZ"/>
          </w:rPr>
          <w:tab/>
        </w:r>
        <w:r w:rsidR="00815CF9" w:rsidRPr="00DA63F7">
          <w:rPr>
            <w:rStyle w:val="Hypertextovodkaz"/>
            <w:noProof/>
          </w:rPr>
          <w:t>Úvod</w:t>
        </w:r>
        <w:r w:rsidR="00815CF9">
          <w:rPr>
            <w:noProof/>
            <w:webHidden/>
          </w:rPr>
          <w:tab/>
        </w:r>
        <w:r w:rsidR="00815CF9">
          <w:rPr>
            <w:noProof/>
            <w:webHidden/>
          </w:rPr>
          <w:tab/>
        </w:r>
        <w:r w:rsidR="00815CF9">
          <w:rPr>
            <w:noProof/>
            <w:webHidden/>
          </w:rPr>
          <w:tab/>
        </w:r>
        <w:r w:rsidR="00815CF9">
          <w:rPr>
            <w:noProof/>
            <w:webHidden/>
          </w:rPr>
          <w:fldChar w:fldCharType="begin"/>
        </w:r>
        <w:r w:rsidR="00815CF9">
          <w:rPr>
            <w:noProof/>
            <w:webHidden/>
          </w:rPr>
          <w:instrText xml:space="preserve"> PAGEREF _Toc410115430 \h </w:instrText>
        </w:r>
        <w:r w:rsidR="00815CF9">
          <w:rPr>
            <w:noProof/>
            <w:webHidden/>
          </w:rPr>
        </w:r>
        <w:r w:rsidR="00815CF9">
          <w:rPr>
            <w:noProof/>
            <w:webHidden/>
          </w:rPr>
          <w:fldChar w:fldCharType="separate"/>
        </w:r>
        <w:r>
          <w:rPr>
            <w:noProof/>
            <w:webHidden/>
          </w:rPr>
          <w:t>6</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1" w:history="1">
        <w:r w:rsidR="00815CF9" w:rsidRPr="00DA63F7">
          <w:rPr>
            <w:rStyle w:val="Hypertextovodkaz"/>
            <w:noProof/>
          </w:rPr>
          <w:t>1.2</w:t>
        </w:r>
        <w:r w:rsidR="00815CF9">
          <w:rPr>
            <w:rFonts w:asciiTheme="minorHAnsi" w:eastAsiaTheme="minorEastAsia" w:hAnsiTheme="minorHAnsi" w:cstheme="minorBidi"/>
            <w:noProof/>
            <w:lang w:eastAsia="cs-CZ"/>
          </w:rPr>
          <w:tab/>
        </w:r>
        <w:r w:rsidR="00815CF9" w:rsidRPr="00DA63F7">
          <w:rPr>
            <w:rStyle w:val="Hypertextovodkaz"/>
            <w:noProof/>
          </w:rPr>
          <w:t>Ekonomická východiska</w:t>
        </w:r>
        <w:r w:rsidR="00815CF9">
          <w:rPr>
            <w:noProof/>
            <w:webHidden/>
          </w:rPr>
          <w:tab/>
        </w:r>
        <w:r w:rsidR="00815CF9">
          <w:rPr>
            <w:noProof/>
            <w:webHidden/>
          </w:rPr>
          <w:fldChar w:fldCharType="begin"/>
        </w:r>
        <w:r w:rsidR="00815CF9">
          <w:rPr>
            <w:noProof/>
            <w:webHidden/>
          </w:rPr>
          <w:instrText xml:space="preserve"> PAGEREF _Toc410115431 \h </w:instrText>
        </w:r>
        <w:r w:rsidR="00815CF9">
          <w:rPr>
            <w:noProof/>
            <w:webHidden/>
          </w:rPr>
        </w:r>
        <w:r w:rsidR="00815CF9">
          <w:rPr>
            <w:noProof/>
            <w:webHidden/>
          </w:rPr>
          <w:fldChar w:fldCharType="separate"/>
        </w:r>
        <w:r>
          <w:rPr>
            <w:noProof/>
            <w:webHidden/>
          </w:rPr>
          <w:t>6</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2" w:history="1">
        <w:r w:rsidR="00815CF9" w:rsidRPr="00DA63F7">
          <w:rPr>
            <w:rStyle w:val="Hypertextovodkaz"/>
            <w:noProof/>
          </w:rPr>
          <w:t>1.3</w:t>
        </w:r>
        <w:r w:rsidR="00815CF9">
          <w:rPr>
            <w:rFonts w:asciiTheme="minorHAnsi" w:eastAsiaTheme="minorEastAsia" w:hAnsiTheme="minorHAnsi" w:cstheme="minorBidi"/>
            <w:noProof/>
            <w:lang w:eastAsia="cs-CZ"/>
          </w:rPr>
          <w:tab/>
        </w:r>
        <w:r w:rsidR="00815CF9" w:rsidRPr="00DA63F7">
          <w:rPr>
            <w:rStyle w:val="Hypertextovodkaz"/>
            <w:noProof/>
          </w:rPr>
          <w:t>Opatření Evropské komise</w:t>
        </w:r>
        <w:r w:rsidR="00815CF9">
          <w:rPr>
            <w:noProof/>
            <w:webHidden/>
          </w:rPr>
          <w:tab/>
        </w:r>
        <w:r w:rsidR="00815CF9">
          <w:rPr>
            <w:noProof/>
            <w:webHidden/>
          </w:rPr>
          <w:fldChar w:fldCharType="begin"/>
        </w:r>
        <w:r w:rsidR="00815CF9">
          <w:rPr>
            <w:noProof/>
            <w:webHidden/>
          </w:rPr>
          <w:instrText xml:space="preserve"> PAGEREF _Toc410115432 \h </w:instrText>
        </w:r>
        <w:r w:rsidR="00815CF9">
          <w:rPr>
            <w:noProof/>
            <w:webHidden/>
          </w:rPr>
        </w:r>
        <w:r w:rsidR="00815CF9">
          <w:rPr>
            <w:noProof/>
            <w:webHidden/>
          </w:rPr>
          <w:fldChar w:fldCharType="separate"/>
        </w:r>
        <w:r>
          <w:rPr>
            <w:noProof/>
            <w:webHidden/>
          </w:rPr>
          <w:t>8</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33" w:history="1">
        <w:r w:rsidR="00815CF9" w:rsidRPr="00DA63F7">
          <w:rPr>
            <w:rStyle w:val="Hypertextovodkaz"/>
            <w:noProof/>
          </w:rPr>
          <w:t>1.3.1</w:t>
        </w:r>
        <w:r w:rsidR="00815CF9">
          <w:rPr>
            <w:rFonts w:asciiTheme="minorHAnsi" w:eastAsiaTheme="minorEastAsia" w:hAnsiTheme="minorHAnsi" w:cstheme="minorBidi"/>
            <w:noProof/>
            <w:lang w:eastAsia="cs-CZ"/>
          </w:rPr>
          <w:tab/>
        </w:r>
        <w:r w:rsidR="00815CF9" w:rsidRPr="00DA63F7">
          <w:rPr>
            <w:rStyle w:val="Hypertextovodkaz"/>
            <w:noProof/>
          </w:rPr>
          <w:t>Opatření na úrovni rozpočtu EU</w:t>
        </w:r>
        <w:r w:rsidR="00815CF9">
          <w:rPr>
            <w:noProof/>
            <w:webHidden/>
          </w:rPr>
          <w:tab/>
        </w:r>
        <w:r w:rsidR="00815CF9">
          <w:rPr>
            <w:noProof/>
            <w:webHidden/>
          </w:rPr>
          <w:fldChar w:fldCharType="begin"/>
        </w:r>
        <w:r w:rsidR="00815CF9">
          <w:rPr>
            <w:noProof/>
            <w:webHidden/>
          </w:rPr>
          <w:instrText xml:space="preserve"> PAGEREF _Toc410115433 \h </w:instrText>
        </w:r>
        <w:r w:rsidR="00815CF9">
          <w:rPr>
            <w:noProof/>
            <w:webHidden/>
          </w:rPr>
        </w:r>
        <w:r w:rsidR="00815CF9">
          <w:rPr>
            <w:noProof/>
            <w:webHidden/>
          </w:rPr>
          <w:fldChar w:fldCharType="separate"/>
        </w:r>
        <w:r>
          <w:rPr>
            <w:noProof/>
            <w:webHidden/>
          </w:rPr>
          <w:t>8</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34" w:history="1">
        <w:r w:rsidR="00815CF9" w:rsidRPr="00DA63F7">
          <w:rPr>
            <w:rStyle w:val="Hypertextovodkaz"/>
            <w:noProof/>
          </w:rPr>
          <w:t>1.3.2</w:t>
        </w:r>
        <w:r w:rsidR="00815CF9">
          <w:rPr>
            <w:rFonts w:asciiTheme="minorHAnsi" w:eastAsiaTheme="minorEastAsia" w:hAnsiTheme="minorHAnsi" w:cstheme="minorBidi"/>
            <w:noProof/>
            <w:lang w:eastAsia="cs-CZ"/>
          </w:rPr>
          <w:tab/>
        </w:r>
        <w:r w:rsidR="00815CF9" w:rsidRPr="00DA63F7">
          <w:rPr>
            <w:rStyle w:val="Hypertextovodkaz"/>
            <w:noProof/>
          </w:rPr>
          <w:t>Task Force – Junckerův investiční plán</w:t>
        </w:r>
        <w:r w:rsidR="00815CF9">
          <w:rPr>
            <w:noProof/>
            <w:webHidden/>
          </w:rPr>
          <w:tab/>
        </w:r>
        <w:r w:rsidR="00815CF9">
          <w:rPr>
            <w:noProof/>
            <w:webHidden/>
          </w:rPr>
          <w:fldChar w:fldCharType="begin"/>
        </w:r>
        <w:r w:rsidR="00815CF9">
          <w:rPr>
            <w:noProof/>
            <w:webHidden/>
          </w:rPr>
          <w:instrText xml:space="preserve"> PAGEREF _Toc410115434 \h </w:instrText>
        </w:r>
        <w:r w:rsidR="00815CF9">
          <w:rPr>
            <w:noProof/>
            <w:webHidden/>
          </w:rPr>
        </w:r>
        <w:r w:rsidR="00815CF9">
          <w:rPr>
            <w:noProof/>
            <w:webHidden/>
          </w:rPr>
          <w:fldChar w:fldCharType="separate"/>
        </w:r>
        <w:r>
          <w:rPr>
            <w:noProof/>
            <w:webHidden/>
          </w:rPr>
          <w:t>8</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35" w:history="1">
        <w:r w:rsidR="00815CF9" w:rsidRPr="00DA63F7">
          <w:rPr>
            <w:rStyle w:val="Hypertextovodkaz"/>
            <w:noProof/>
          </w:rPr>
          <w:t>1.3.3</w:t>
        </w:r>
        <w:r w:rsidR="00815CF9">
          <w:rPr>
            <w:rFonts w:asciiTheme="minorHAnsi" w:eastAsiaTheme="minorEastAsia" w:hAnsiTheme="minorHAnsi" w:cstheme="minorBidi"/>
            <w:noProof/>
            <w:lang w:eastAsia="cs-CZ"/>
          </w:rPr>
          <w:tab/>
        </w:r>
        <w:r w:rsidR="00815CF9" w:rsidRPr="00DA63F7">
          <w:rPr>
            <w:rStyle w:val="Hypertextovodkaz"/>
            <w:noProof/>
          </w:rPr>
          <w:t>Opatření legislativního charakteru</w:t>
        </w:r>
        <w:r w:rsidR="00815CF9">
          <w:rPr>
            <w:noProof/>
            <w:webHidden/>
          </w:rPr>
          <w:tab/>
        </w:r>
        <w:r w:rsidR="00815CF9">
          <w:rPr>
            <w:noProof/>
            <w:webHidden/>
          </w:rPr>
          <w:fldChar w:fldCharType="begin"/>
        </w:r>
        <w:r w:rsidR="00815CF9">
          <w:rPr>
            <w:noProof/>
            <w:webHidden/>
          </w:rPr>
          <w:instrText xml:space="preserve"> PAGEREF _Toc410115435 \h </w:instrText>
        </w:r>
        <w:r w:rsidR="00815CF9">
          <w:rPr>
            <w:noProof/>
            <w:webHidden/>
          </w:rPr>
        </w:r>
        <w:r w:rsidR="00815CF9">
          <w:rPr>
            <w:noProof/>
            <w:webHidden/>
          </w:rPr>
          <w:fldChar w:fldCharType="separate"/>
        </w:r>
        <w:r>
          <w:rPr>
            <w:noProof/>
            <w:webHidden/>
          </w:rPr>
          <w:t>9</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6" w:history="1">
        <w:r w:rsidR="00815CF9" w:rsidRPr="00DA63F7">
          <w:rPr>
            <w:rStyle w:val="Hypertextovodkaz"/>
            <w:noProof/>
          </w:rPr>
          <w:t>1.4</w:t>
        </w:r>
        <w:r w:rsidR="00815CF9">
          <w:rPr>
            <w:rFonts w:asciiTheme="minorHAnsi" w:eastAsiaTheme="minorEastAsia" w:hAnsiTheme="minorHAnsi" w:cstheme="minorBidi"/>
            <w:noProof/>
            <w:lang w:eastAsia="cs-CZ"/>
          </w:rPr>
          <w:tab/>
        </w:r>
        <w:r w:rsidR="00815CF9" w:rsidRPr="00DA63F7">
          <w:rPr>
            <w:rStyle w:val="Hypertextovodkaz"/>
            <w:noProof/>
          </w:rPr>
          <w:t>Finanční nástroje - definice</w:t>
        </w:r>
        <w:r w:rsidR="00815CF9">
          <w:rPr>
            <w:noProof/>
            <w:webHidden/>
          </w:rPr>
          <w:tab/>
        </w:r>
        <w:r w:rsidR="00815CF9">
          <w:rPr>
            <w:noProof/>
            <w:webHidden/>
          </w:rPr>
          <w:fldChar w:fldCharType="begin"/>
        </w:r>
        <w:r w:rsidR="00815CF9">
          <w:rPr>
            <w:noProof/>
            <w:webHidden/>
          </w:rPr>
          <w:instrText xml:space="preserve"> PAGEREF _Toc410115436 \h </w:instrText>
        </w:r>
        <w:r w:rsidR="00815CF9">
          <w:rPr>
            <w:noProof/>
            <w:webHidden/>
          </w:rPr>
        </w:r>
        <w:r w:rsidR="00815CF9">
          <w:rPr>
            <w:noProof/>
            <w:webHidden/>
          </w:rPr>
          <w:fldChar w:fldCharType="separate"/>
        </w:r>
        <w:r>
          <w:rPr>
            <w:noProof/>
            <w:webHidden/>
          </w:rPr>
          <w:t>11</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7" w:history="1">
        <w:r w:rsidR="00815CF9" w:rsidRPr="00DA63F7">
          <w:rPr>
            <w:rStyle w:val="Hypertextovodkaz"/>
            <w:noProof/>
          </w:rPr>
          <w:t>1.5</w:t>
        </w:r>
        <w:r w:rsidR="00815CF9">
          <w:rPr>
            <w:rFonts w:asciiTheme="minorHAnsi" w:eastAsiaTheme="minorEastAsia" w:hAnsiTheme="minorHAnsi" w:cstheme="minorBidi"/>
            <w:noProof/>
            <w:lang w:eastAsia="cs-CZ"/>
          </w:rPr>
          <w:tab/>
        </w:r>
        <w:r w:rsidR="00815CF9" w:rsidRPr="00DA63F7">
          <w:rPr>
            <w:rStyle w:val="Hypertextovodkaz"/>
            <w:noProof/>
          </w:rPr>
          <w:t>Navrhovaná varianta</w:t>
        </w:r>
        <w:r w:rsidR="00815CF9">
          <w:rPr>
            <w:noProof/>
            <w:webHidden/>
          </w:rPr>
          <w:tab/>
        </w:r>
        <w:r w:rsidR="00815CF9">
          <w:rPr>
            <w:noProof/>
            <w:webHidden/>
          </w:rPr>
          <w:fldChar w:fldCharType="begin"/>
        </w:r>
        <w:r w:rsidR="00815CF9">
          <w:rPr>
            <w:noProof/>
            <w:webHidden/>
          </w:rPr>
          <w:instrText xml:space="preserve"> PAGEREF _Toc410115437 \h </w:instrText>
        </w:r>
        <w:r w:rsidR="00815CF9">
          <w:rPr>
            <w:noProof/>
            <w:webHidden/>
          </w:rPr>
        </w:r>
        <w:r w:rsidR="00815CF9">
          <w:rPr>
            <w:noProof/>
            <w:webHidden/>
          </w:rPr>
          <w:fldChar w:fldCharType="separate"/>
        </w:r>
        <w:r>
          <w:rPr>
            <w:noProof/>
            <w:webHidden/>
          </w:rPr>
          <w:t>13</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8" w:history="1">
        <w:r w:rsidR="00815CF9" w:rsidRPr="00DA63F7">
          <w:rPr>
            <w:rStyle w:val="Hypertextovodkaz"/>
            <w:noProof/>
          </w:rPr>
          <w:t>1.6</w:t>
        </w:r>
        <w:r w:rsidR="00815CF9">
          <w:rPr>
            <w:rFonts w:asciiTheme="minorHAnsi" w:eastAsiaTheme="minorEastAsia" w:hAnsiTheme="minorHAnsi" w:cstheme="minorBidi"/>
            <w:noProof/>
            <w:lang w:eastAsia="cs-CZ"/>
          </w:rPr>
          <w:tab/>
        </w:r>
        <w:r w:rsidR="00815CF9" w:rsidRPr="00DA63F7">
          <w:rPr>
            <w:rStyle w:val="Hypertextovodkaz"/>
            <w:noProof/>
          </w:rPr>
          <w:t>Další nutné kroky</w:t>
        </w:r>
        <w:r w:rsidR="00815CF9">
          <w:rPr>
            <w:noProof/>
            <w:webHidden/>
          </w:rPr>
          <w:tab/>
        </w:r>
        <w:r w:rsidR="00815CF9">
          <w:rPr>
            <w:noProof/>
            <w:webHidden/>
          </w:rPr>
          <w:fldChar w:fldCharType="begin"/>
        </w:r>
        <w:r w:rsidR="00815CF9">
          <w:rPr>
            <w:noProof/>
            <w:webHidden/>
          </w:rPr>
          <w:instrText xml:space="preserve"> PAGEREF _Toc410115438 \h </w:instrText>
        </w:r>
        <w:r w:rsidR="00815CF9">
          <w:rPr>
            <w:noProof/>
            <w:webHidden/>
          </w:rPr>
        </w:r>
        <w:r w:rsidR="00815CF9">
          <w:rPr>
            <w:noProof/>
            <w:webHidden/>
          </w:rPr>
          <w:fldChar w:fldCharType="separate"/>
        </w:r>
        <w:r>
          <w:rPr>
            <w:noProof/>
            <w:webHidden/>
          </w:rPr>
          <w:t>14</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39" w:history="1">
        <w:r w:rsidR="00815CF9" w:rsidRPr="00DA63F7">
          <w:rPr>
            <w:rStyle w:val="Hypertextovodkaz"/>
            <w:noProof/>
          </w:rPr>
          <w:t>1.7</w:t>
        </w:r>
        <w:r w:rsidR="00815CF9">
          <w:rPr>
            <w:rFonts w:asciiTheme="minorHAnsi" w:eastAsiaTheme="minorEastAsia" w:hAnsiTheme="minorHAnsi" w:cstheme="minorBidi"/>
            <w:noProof/>
            <w:lang w:eastAsia="cs-CZ"/>
          </w:rPr>
          <w:tab/>
        </w:r>
        <w:r w:rsidR="00815CF9" w:rsidRPr="00DA63F7">
          <w:rPr>
            <w:rStyle w:val="Hypertextovodkaz"/>
            <w:noProof/>
          </w:rPr>
          <w:t>Legislativní změny</w:t>
        </w:r>
        <w:r w:rsidR="00815CF9">
          <w:rPr>
            <w:noProof/>
            <w:webHidden/>
          </w:rPr>
          <w:tab/>
        </w:r>
        <w:r w:rsidR="00815CF9">
          <w:rPr>
            <w:noProof/>
            <w:webHidden/>
          </w:rPr>
          <w:fldChar w:fldCharType="begin"/>
        </w:r>
        <w:r w:rsidR="00815CF9">
          <w:rPr>
            <w:noProof/>
            <w:webHidden/>
          </w:rPr>
          <w:instrText xml:space="preserve"> PAGEREF _Toc410115439 \h </w:instrText>
        </w:r>
        <w:r w:rsidR="00815CF9">
          <w:rPr>
            <w:noProof/>
            <w:webHidden/>
          </w:rPr>
        </w:r>
        <w:r w:rsidR="00815CF9">
          <w:rPr>
            <w:noProof/>
            <w:webHidden/>
          </w:rPr>
          <w:fldChar w:fldCharType="separate"/>
        </w:r>
        <w:r>
          <w:rPr>
            <w:noProof/>
            <w:webHidden/>
          </w:rPr>
          <w:t>14</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40" w:history="1">
        <w:r w:rsidR="00815CF9" w:rsidRPr="00DA63F7">
          <w:rPr>
            <w:rStyle w:val="Hypertextovodkaz"/>
            <w:noProof/>
          </w:rPr>
          <w:t>1.8</w:t>
        </w:r>
        <w:r w:rsidR="00815CF9">
          <w:rPr>
            <w:rFonts w:asciiTheme="minorHAnsi" w:eastAsiaTheme="minorEastAsia" w:hAnsiTheme="minorHAnsi" w:cstheme="minorBidi"/>
            <w:noProof/>
            <w:lang w:eastAsia="cs-CZ"/>
          </w:rPr>
          <w:tab/>
        </w:r>
        <w:r w:rsidR="00815CF9" w:rsidRPr="00DA63F7">
          <w:rPr>
            <w:rStyle w:val="Hypertextovodkaz"/>
            <w:noProof/>
          </w:rPr>
          <w:t>Shrnutí</w:t>
        </w:r>
        <w:r w:rsidR="00815CF9">
          <w:rPr>
            <w:noProof/>
            <w:webHidden/>
          </w:rPr>
          <w:tab/>
        </w:r>
        <w:r w:rsidR="00815CF9">
          <w:rPr>
            <w:noProof/>
            <w:webHidden/>
          </w:rPr>
          <w:tab/>
        </w:r>
        <w:r w:rsidR="00815CF9">
          <w:rPr>
            <w:noProof/>
            <w:webHidden/>
          </w:rPr>
          <w:fldChar w:fldCharType="begin"/>
        </w:r>
        <w:r w:rsidR="00815CF9">
          <w:rPr>
            <w:noProof/>
            <w:webHidden/>
          </w:rPr>
          <w:instrText xml:space="preserve"> PAGEREF _Toc410115440 \h </w:instrText>
        </w:r>
        <w:r w:rsidR="00815CF9">
          <w:rPr>
            <w:noProof/>
            <w:webHidden/>
          </w:rPr>
        </w:r>
        <w:r w:rsidR="00815CF9">
          <w:rPr>
            <w:noProof/>
            <w:webHidden/>
          </w:rPr>
          <w:fldChar w:fldCharType="separate"/>
        </w:r>
        <w:r>
          <w:rPr>
            <w:noProof/>
            <w:webHidden/>
          </w:rPr>
          <w:t>15</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41" w:history="1">
        <w:r w:rsidR="00815CF9" w:rsidRPr="00DA63F7">
          <w:rPr>
            <w:rStyle w:val="Hypertextovodkaz"/>
            <w:noProof/>
          </w:rPr>
          <w:t>2</w:t>
        </w:r>
        <w:r w:rsidR="00815CF9">
          <w:rPr>
            <w:rFonts w:asciiTheme="minorHAnsi" w:eastAsiaTheme="minorEastAsia" w:hAnsiTheme="minorHAnsi" w:cstheme="minorBidi"/>
            <w:noProof/>
            <w:lang w:eastAsia="cs-CZ"/>
          </w:rPr>
          <w:tab/>
        </w:r>
        <w:r w:rsidR="00815CF9" w:rsidRPr="00DA63F7">
          <w:rPr>
            <w:rStyle w:val="Hypertextovodkaz"/>
            <w:noProof/>
          </w:rPr>
          <w:t>Iniciativy Evropské komise</w:t>
        </w:r>
        <w:r w:rsidR="00815CF9">
          <w:rPr>
            <w:noProof/>
            <w:webHidden/>
          </w:rPr>
          <w:tab/>
        </w:r>
        <w:r w:rsidR="00815CF9">
          <w:rPr>
            <w:noProof/>
            <w:webHidden/>
          </w:rPr>
          <w:fldChar w:fldCharType="begin"/>
        </w:r>
        <w:r w:rsidR="00815CF9">
          <w:rPr>
            <w:noProof/>
            <w:webHidden/>
          </w:rPr>
          <w:instrText xml:space="preserve"> PAGEREF _Toc410115441 \h </w:instrText>
        </w:r>
        <w:r w:rsidR="00815CF9">
          <w:rPr>
            <w:noProof/>
            <w:webHidden/>
          </w:rPr>
        </w:r>
        <w:r w:rsidR="00815CF9">
          <w:rPr>
            <w:noProof/>
            <w:webHidden/>
          </w:rPr>
          <w:fldChar w:fldCharType="separate"/>
        </w:r>
        <w:r>
          <w:rPr>
            <w:noProof/>
            <w:webHidden/>
          </w:rPr>
          <w:t>16</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42" w:history="1">
        <w:r w:rsidR="00815CF9" w:rsidRPr="00DA63F7">
          <w:rPr>
            <w:rStyle w:val="Hypertextovodkaz"/>
            <w:noProof/>
          </w:rPr>
          <w:t>2.1</w:t>
        </w:r>
        <w:r w:rsidR="00815CF9">
          <w:rPr>
            <w:rFonts w:asciiTheme="minorHAnsi" w:eastAsiaTheme="minorEastAsia" w:hAnsiTheme="minorHAnsi" w:cstheme="minorBidi"/>
            <w:noProof/>
            <w:lang w:eastAsia="cs-CZ"/>
          </w:rPr>
          <w:tab/>
        </w:r>
        <w:r w:rsidR="00815CF9" w:rsidRPr="00DA63F7">
          <w:rPr>
            <w:rStyle w:val="Hypertextovodkaz"/>
            <w:noProof/>
          </w:rPr>
          <w:t>Zelená kniha dlouhodobých investic a investiční fondy v EU</w:t>
        </w:r>
        <w:r w:rsidR="00815CF9">
          <w:rPr>
            <w:noProof/>
            <w:webHidden/>
          </w:rPr>
          <w:tab/>
        </w:r>
        <w:r w:rsidR="00815CF9">
          <w:rPr>
            <w:noProof/>
            <w:webHidden/>
          </w:rPr>
          <w:fldChar w:fldCharType="begin"/>
        </w:r>
        <w:r w:rsidR="00815CF9">
          <w:rPr>
            <w:noProof/>
            <w:webHidden/>
          </w:rPr>
          <w:instrText xml:space="preserve"> PAGEREF _Toc410115442 \h </w:instrText>
        </w:r>
        <w:r w:rsidR="00815CF9">
          <w:rPr>
            <w:noProof/>
            <w:webHidden/>
          </w:rPr>
        </w:r>
        <w:r w:rsidR="00815CF9">
          <w:rPr>
            <w:noProof/>
            <w:webHidden/>
          </w:rPr>
          <w:fldChar w:fldCharType="separate"/>
        </w:r>
        <w:r>
          <w:rPr>
            <w:noProof/>
            <w:webHidden/>
          </w:rPr>
          <w:t>16</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3" w:history="1">
        <w:r w:rsidR="00815CF9" w:rsidRPr="00DA63F7">
          <w:rPr>
            <w:rStyle w:val="Hypertextovodkaz"/>
            <w:noProof/>
          </w:rPr>
          <w:t>2.1.1</w:t>
        </w:r>
        <w:r w:rsidR="00815CF9">
          <w:rPr>
            <w:rFonts w:asciiTheme="minorHAnsi" w:eastAsiaTheme="minorEastAsia" w:hAnsiTheme="minorHAnsi" w:cstheme="minorBidi"/>
            <w:noProof/>
            <w:lang w:eastAsia="cs-CZ"/>
          </w:rPr>
          <w:tab/>
        </w:r>
        <w:r w:rsidR="00815CF9" w:rsidRPr="00DA63F7">
          <w:rPr>
            <w:rStyle w:val="Hypertextovodkaz"/>
            <w:noProof/>
          </w:rPr>
          <w:t>Zelená kniha</w:t>
        </w:r>
        <w:r w:rsidR="00815CF9">
          <w:rPr>
            <w:noProof/>
            <w:webHidden/>
          </w:rPr>
          <w:tab/>
        </w:r>
        <w:r w:rsidR="00815CF9">
          <w:rPr>
            <w:noProof/>
            <w:webHidden/>
          </w:rPr>
          <w:fldChar w:fldCharType="begin"/>
        </w:r>
        <w:r w:rsidR="00815CF9">
          <w:rPr>
            <w:noProof/>
            <w:webHidden/>
          </w:rPr>
          <w:instrText xml:space="preserve"> PAGEREF _Toc410115443 \h </w:instrText>
        </w:r>
        <w:r w:rsidR="00815CF9">
          <w:rPr>
            <w:noProof/>
            <w:webHidden/>
          </w:rPr>
        </w:r>
        <w:r w:rsidR="00815CF9">
          <w:rPr>
            <w:noProof/>
            <w:webHidden/>
          </w:rPr>
          <w:fldChar w:fldCharType="separate"/>
        </w:r>
        <w:r>
          <w:rPr>
            <w:noProof/>
            <w:webHidden/>
          </w:rPr>
          <w:t>16</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4" w:history="1">
        <w:r w:rsidR="00815CF9" w:rsidRPr="00DA63F7">
          <w:rPr>
            <w:rStyle w:val="Hypertextovodkaz"/>
            <w:noProof/>
          </w:rPr>
          <w:t>2.1.2</w:t>
        </w:r>
        <w:r w:rsidR="00815CF9">
          <w:rPr>
            <w:rFonts w:asciiTheme="minorHAnsi" w:eastAsiaTheme="minorEastAsia" w:hAnsiTheme="minorHAnsi" w:cstheme="minorBidi"/>
            <w:noProof/>
            <w:lang w:eastAsia="cs-CZ"/>
          </w:rPr>
          <w:tab/>
        </w:r>
        <w:r w:rsidR="00815CF9" w:rsidRPr="00DA63F7">
          <w:rPr>
            <w:rStyle w:val="Hypertextovodkaz"/>
            <w:noProof/>
          </w:rPr>
          <w:t>AIFMD</w:t>
        </w:r>
        <w:r w:rsidR="00815CF9">
          <w:rPr>
            <w:noProof/>
            <w:webHidden/>
          </w:rPr>
          <w:tab/>
        </w:r>
        <w:r w:rsidR="00815CF9">
          <w:rPr>
            <w:noProof/>
            <w:webHidden/>
          </w:rPr>
          <w:fldChar w:fldCharType="begin"/>
        </w:r>
        <w:r w:rsidR="00815CF9">
          <w:rPr>
            <w:noProof/>
            <w:webHidden/>
          </w:rPr>
          <w:instrText xml:space="preserve"> PAGEREF _Toc410115444 \h </w:instrText>
        </w:r>
        <w:r w:rsidR="00815CF9">
          <w:rPr>
            <w:noProof/>
            <w:webHidden/>
          </w:rPr>
        </w:r>
        <w:r w:rsidR="00815CF9">
          <w:rPr>
            <w:noProof/>
            <w:webHidden/>
          </w:rPr>
          <w:fldChar w:fldCharType="separate"/>
        </w:r>
        <w:r>
          <w:rPr>
            <w:noProof/>
            <w:webHidden/>
          </w:rPr>
          <w:t>16</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5" w:history="1">
        <w:r w:rsidR="00815CF9" w:rsidRPr="00DA63F7">
          <w:rPr>
            <w:rStyle w:val="Hypertextovodkaz"/>
            <w:noProof/>
          </w:rPr>
          <w:t>2.1.3</w:t>
        </w:r>
        <w:r w:rsidR="00815CF9">
          <w:rPr>
            <w:rFonts w:asciiTheme="minorHAnsi" w:eastAsiaTheme="minorEastAsia" w:hAnsiTheme="minorHAnsi" w:cstheme="minorBidi"/>
            <w:noProof/>
            <w:lang w:eastAsia="cs-CZ"/>
          </w:rPr>
          <w:tab/>
        </w:r>
        <w:r w:rsidR="00815CF9" w:rsidRPr="00DA63F7">
          <w:rPr>
            <w:rStyle w:val="Hypertextovodkaz"/>
            <w:noProof/>
          </w:rPr>
          <w:t>Využití investičních fondů jako nástrojů pro propojování kapitálu a investic</w:t>
        </w:r>
        <w:r w:rsidR="00815CF9">
          <w:rPr>
            <w:noProof/>
            <w:webHidden/>
          </w:rPr>
          <w:tab/>
        </w:r>
        <w:r w:rsidR="00815CF9">
          <w:rPr>
            <w:noProof/>
            <w:webHidden/>
          </w:rPr>
          <w:fldChar w:fldCharType="begin"/>
        </w:r>
        <w:r w:rsidR="00815CF9">
          <w:rPr>
            <w:noProof/>
            <w:webHidden/>
          </w:rPr>
          <w:instrText xml:space="preserve"> PAGEREF _Toc410115445 \h </w:instrText>
        </w:r>
        <w:r w:rsidR="00815CF9">
          <w:rPr>
            <w:noProof/>
            <w:webHidden/>
          </w:rPr>
        </w:r>
        <w:r w:rsidR="00815CF9">
          <w:rPr>
            <w:noProof/>
            <w:webHidden/>
          </w:rPr>
          <w:fldChar w:fldCharType="separate"/>
        </w:r>
        <w:r>
          <w:rPr>
            <w:noProof/>
            <w:webHidden/>
          </w:rPr>
          <w:t>17</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46" w:history="1">
        <w:r w:rsidR="00815CF9" w:rsidRPr="00DA63F7">
          <w:rPr>
            <w:rStyle w:val="Hypertextovodkaz"/>
            <w:noProof/>
          </w:rPr>
          <w:t>2.2</w:t>
        </w:r>
        <w:r w:rsidR="00815CF9">
          <w:rPr>
            <w:rFonts w:asciiTheme="minorHAnsi" w:eastAsiaTheme="minorEastAsia" w:hAnsiTheme="minorHAnsi" w:cstheme="minorBidi"/>
            <w:noProof/>
            <w:lang w:eastAsia="cs-CZ"/>
          </w:rPr>
          <w:tab/>
        </w:r>
        <w:r w:rsidR="00815CF9" w:rsidRPr="00DA63F7">
          <w:rPr>
            <w:rStyle w:val="Hypertextovodkaz"/>
            <w:noProof/>
          </w:rPr>
          <w:t>Inovativní finanční nástroje a jejich funkce</w:t>
        </w:r>
        <w:r w:rsidR="00815CF9">
          <w:rPr>
            <w:noProof/>
            <w:webHidden/>
          </w:rPr>
          <w:tab/>
        </w:r>
        <w:r w:rsidR="00815CF9">
          <w:rPr>
            <w:noProof/>
            <w:webHidden/>
          </w:rPr>
          <w:fldChar w:fldCharType="begin"/>
        </w:r>
        <w:r w:rsidR="00815CF9">
          <w:rPr>
            <w:noProof/>
            <w:webHidden/>
          </w:rPr>
          <w:instrText xml:space="preserve"> PAGEREF _Toc410115446 \h </w:instrText>
        </w:r>
        <w:r w:rsidR="00815CF9">
          <w:rPr>
            <w:noProof/>
            <w:webHidden/>
          </w:rPr>
        </w:r>
        <w:r w:rsidR="00815CF9">
          <w:rPr>
            <w:noProof/>
            <w:webHidden/>
          </w:rPr>
          <w:fldChar w:fldCharType="separate"/>
        </w:r>
        <w:r>
          <w:rPr>
            <w:noProof/>
            <w:webHidden/>
          </w:rPr>
          <w:t>17</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7" w:history="1">
        <w:r w:rsidR="00815CF9" w:rsidRPr="00DA63F7">
          <w:rPr>
            <w:rStyle w:val="Hypertextovodkaz"/>
            <w:noProof/>
          </w:rPr>
          <w:t>2.2.1</w:t>
        </w:r>
        <w:r w:rsidR="00815CF9">
          <w:rPr>
            <w:rFonts w:asciiTheme="minorHAnsi" w:eastAsiaTheme="minorEastAsia" w:hAnsiTheme="minorHAnsi" w:cstheme="minorBidi"/>
            <w:noProof/>
            <w:lang w:eastAsia="cs-CZ"/>
          </w:rPr>
          <w:tab/>
        </w:r>
        <w:r w:rsidR="00815CF9" w:rsidRPr="00DA63F7">
          <w:rPr>
            <w:rStyle w:val="Hypertextovodkaz"/>
            <w:noProof/>
          </w:rPr>
          <w:t>Makroekonomická východiska inovativních finančních nástrojů</w:t>
        </w:r>
        <w:r w:rsidR="00815CF9">
          <w:rPr>
            <w:noProof/>
            <w:webHidden/>
          </w:rPr>
          <w:tab/>
        </w:r>
        <w:r w:rsidR="00815CF9">
          <w:rPr>
            <w:noProof/>
            <w:webHidden/>
          </w:rPr>
          <w:fldChar w:fldCharType="begin"/>
        </w:r>
        <w:r w:rsidR="00815CF9">
          <w:rPr>
            <w:noProof/>
            <w:webHidden/>
          </w:rPr>
          <w:instrText xml:space="preserve"> PAGEREF _Toc410115447 \h </w:instrText>
        </w:r>
        <w:r w:rsidR="00815CF9">
          <w:rPr>
            <w:noProof/>
            <w:webHidden/>
          </w:rPr>
        </w:r>
        <w:r w:rsidR="00815CF9">
          <w:rPr>
            <w:noProof/>
            <w:webHidden/>
          </w:rPr>
          <w:fldChar w:fldCharType="separate"/>
        </w:r>
        <w:r>
          <w:rPr>
            <w:noProof/>
            <w:webHidden/>
          </w:rPr>
          <w:t>17</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8" w:history="1">
        <w:r w:rsidR="00815CF9" w:rsidRPr="00DA63F7">
          <w:rPr>
            <w:rStyle w:val="Hypertextovodkaz"/>
            <w:noProof/>
          </w:rPr>
          <w:t>2.2.2</w:t>
        </w:r>
        <w:r w:rsidR="00815CF9">
          <w:rPr>
            <w:rFonts w:asciiTheme="minorHAnsi" w:eastAsiaTheme="minorEastAsia" w:hAnsiTheme="minorHAnsi" w:cstheme="minorBidi"/>
            <w:noProof/>
            <w:lang w:eastAsia="cs-CZ"/>
          </w:rPr>
          <w:tab/>
        </w:r>
        <w:r w:rsidR="00815CF9" w:rsidRPr="00DA63F7">
          <w:rPr>
            <w:rStyle w:val="Hypertextovodkaz"/>
            <w:noProof/>
          </w:rPr>
          <w:t>Role finančních nástrojů v kohezní politice</w:t>
        </w:r>
        <w:r w:rsidR="00815CF9">
          <w:rPr>
            <w:noProof/>
            <w:webHidden/>
          </w:rPr>
          <w:tab/>
        </w:r>
        <w:r w:rsidR="00815CF9">
          <w:rPr>
            <w:noProof/>
            <w:webHidden/>
          </w:rPr>
          <w:fldChar w:fldCharType="begin"/>
        </w:r>
        <w:r w:rsidR="00815CF9">
          <w:rPr>
            <w:noProof/>
            <w:webHidden/>
          </w:rPr>
          <w:instrText xml:space="preserve"> PAGEREF _Toc410115448 \h </w:instrText>
        </w:r>
        <w:r w:rsidR="00815CF9">
          <w:rPr>
            <w:noProof/>
            <w:webHidden/>
          </w:rPr>
        </w:r>
        <w:r w:rsidR="00815CF9">
          <w:rPr>
            <w:noProof/>
            <w:webHidden/>
          </w:rPr>
          <w:fldChar w:fldCharType="separate"/>
        </w:r>
        <w:r>
          <w:rPr>
            <w:noProof/>
            <w:webHidden/>
          </w:rPr>
          <w:t>19</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49" w:history="1">
        <w:r w:rsidR="00815CF9" w:rsidRPr="00DA63F7">
          <w:rPr>
            <w:rStyle w:val="Hypertextovodkaz"/>
            <w:noProof/>
          </w:rPr>
          <w:t>2.2.3</w:t>
        </w:r>
        <w:r w:rsidR="00815CF9">
          <w:rPr>
            <w:rFonts w:asciiTheme="minorHAnsi" w:eastAsiaTheme="minorEastAsia" w:hAnsiTheme="minorHAnsi" w:cstheme="minorBidi"/>
            <w:noProof/>
            <w:lang w:eastAsia="cs-CZ"/>
          </w:rPr>
          <w:tab/>
        </w:r>
        <w:r w:rsidR="00815CF9" w:rsidRPr="00DA63F7">
          <w:rPr>
            <w:rStyle w:val="Hypertextovodkaz"/>
            <w:noProof/>
          </w:rPr>
          <w:t>Výhody finančních nástrojů</w:t>
        </w:r>
        <w:r w:rsidR="00815CF9">
          <w:rPr>
            <w:noProof/>
            <w:webHidden/>
          </w:rPr>
          <w:tab/>
        </w:r>
        <w:r w:rsidR="00815CF9">
          <w:rPr>
            <w:noProof/>
            <w:webHidden/>
          </w:rPr>
          <w:fldChar w:fldCharType="begin"/>
        </w:r>
        <w:r w:rsidR="00815CF9">
          <w:rPr>
            <w:noProof/>
            <w:webHidden/>
          </w:rPr>
          <w:instrText xml:space="preserve"> PAGEREF _Toc410115449 \h </w:instrText>
        </w:r>
        <w:r w:rsidR="00815CF9">
          <w:rPr>
            <w:noProof/>
            <w:webHidden/>
          </w:rPr>
        </w:r>
        <w:r w:rsidR="00815CF9">
          <w:rPr>
            <w:noProof/>
            <w:webHidden/>
          </w:rPr>
          <w:fldChar w:fldCharType="separate"/>
        </w:r>
        <w:r>
          <w:rPr>
            <w:noProof/>
            <w:webHidden/>
          </w:rPr>
          <w:t>21</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0" w:history="1">
        <w:r w:rsidR="00815CF9" w:rsidRPr="00DA63F7">
          <w:rPr>
            <w:rStyle w:val="Hypertextovodkaz"/>
            <w:noProof/>
          </w:rPr>
          <w:t>2.2.4</w:t>
        </w:r>
        <w:r w:rsidR="00815CF9">
          <w:rPr>
            <w:rFonts w:asciiTheme="minorHAnsi" w:eastAsiaTheme="minorEastAsia" w:hAnsiTheme="minorHAnsi" w:cstheme="minorBidi"/>
            <w:noProof/>
            <w:lang w:eastAsia="cs-CZ"/>
          </w:rPr>
          <w:tab/>
        </w:r>
        <w:r w:rsidR="00815CF9" w:rsidRPr="00DA63F7">
          <w:rPr>
            <w:rStyle w:val="Hypertextovodkaz"/>
            <w:noProof/>
          </w:rPr>
          <w:t>Zásadní změny pro roky 2014 – 2020</w:t>
        </w:r>
        <w:r w:rsidR="00815CF9">
          <w:rPr>
            <w:noProof/>
            <w:webHidden/>
          </w:rPr>
          <w:tab/>
        </w:r>
        <w:r w:rsidR="00815CF9">
          <w:rPr>
            <w:noProof/>
            <w:webHidden/>
          </w:rPr>
          <w:fldChar w:fldCharType="begin"/>
        </w:r>
        <w:r w:rsidR="00815CF9">
          <w:rPr>
            <w:noProof/>
            <w:webHidden/>
          </w:rPr>
          <w:instrText xml:space="preserve"> PAGEREF _Toc410115450 \h </w:instrText>
        </w:r>
        <w:r w:rsidR="00815CF9">
          <w:rPr>
            <w:noProof/>
            <w:webHidden/>
          </w:rPr>
        </w:r>
        <w:r w:rsidR="00815CF9">
          <w:rPr>
            <w:noProof/>
            <w:webHidden/>
          </w:rPr>
          <w:fldChar w:fldCharType="separate"/>
        </w:r>
        <w:r>
          <w:rPr>
            <w:noProof/>
            <w:webHidden/>
          </w:rPr>
          <w:t>30</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1" w:history="1">
        <w:r w:rsidR="00815CF9" w:rsidRPr="00DA63F7">
          <w:rPr>
            <w:rStyle w:val="Hypertextovodkaz"/>
            <w:noProof/>
          </w:rPr>
          <w:t>2.2.5</w:t>
        </w:r>
        <w:r w:rsidR="00815CF9">
          <w:rPr>
            <w:rFonts w:asciiTheme="minorHAnsi" w:eastAsiaTheme="minorEastAsia" w:hAnsiTheme="minorHAnsi" w:cstheme="minorBidi"/>
            <w:noProof/>
            <w:lang w:eastAsia="cs-CZ"/>
          </w:rPr>
          <w:tab/>
        </w:r>
        <w:r w:rsidR="00815CF9" w:rsidRPr="00DA63F7">
          <w:rPr>
            <w:rStyle w:val="Hypertextovodkaz"/>
            <w:noProof/>
          </w:rPr>
          <w:t>Typy (inovativních) finančních nástrojů</w:t>
        </w:r>
        <w:r w:rsidR="00815CF9">
          <w:rPr>
            <w:noProof/>
            <w:webHidden/>
          </w:rPr>
          <w:tab/>
        </w:r>
        <w:r w:rsidR="00815CF9">
          <w:rPr>
            <w:noProof/>
            <w:webHidden/>
          </w:rPr>
          <w:fldChar w:fldCharType="begin"/>
        </w:r>
        <w:r w:rsidR="00815CF9">
          <w:rPr>
            <w:noProof/>
            <w:webHidden/>
          </w:rPr>
          <w:instrText xml:space="preserve"> PAGEREF _Toc410115451 \h </w:instrText>
        </w:r>
        <w:r w:rsidR="00815CF9">
          <w:rPr>
            <w:noProof/>
            <w:webHidden/>
          </w:rPr>
        </w:r>
        <w:r w:rsidR="00815CF9">
          <w:rPr>
            <w:noProof/>
            <w:webHidden/>
          </w:rPr>
          <w:fldChar w:fldCharType="separate"/>
        </w:r>
        <w:r>
          <w:rPr>
            <w:noProof/>
            <w:webHidden/>
          </w:rPr>
          <w:t>33</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2" w:history="1">
        <w:r w:rsidR="00815CF9" w:rsidRPr="00DA63F7">
          <w:rPr>
            <w:rStyle w:val="Hypertextovodkaz"/>
            <w:noProof/>
          </w:rPr>
          <w:t>2.2.6</w:t>
        </w:r>
        <w:r w:rsidR="00815CF9">
          <w:rPr>
            <w:rFonts w:asciiTheme="minorHAnsi" w:eastAsiaTheme="minorEastAsia" w:hAnsiTheme="minorHAnsi" w:cstheme="minorBidi"/>
            <w:noProof/>
            <w:lang w:eastAsia="cs-CZ"/>
          </w:rPr>
          <w:tab/>
        </w:r>
        <w:r w:rsidR="00815CF9" w:rsidRPr="00DA63F7">
          <w:rPr>
            <w:rStyle w:val="Hypertextovodkaz"/>
            <w:noProof/>
          </w:rPr>
          <w:t>Evropské zkušenosti z let 2007 – 2013</w:t>
        </w:r>
        <w:r w:rsidR="00815CF9">
          <w:rPr>
            <w:noProof/>
            <w:webHidden/>
          </w:rPr>
          <w:tab/>
        </w:r>
        <w:r w:rsidR="00815CF9">
          <w:rPr>
            <w:noProof/>
            <w:webHidden/>
          </w:rPr>
          <w:fldChar w:fldCharType="begin"/>
        </w:r>
        <w:r w:rsidR="00815CF9">
          <w:rPr>
            <w:noProof/>
            <w:webHidden/>
          </w:rPr>
          <w:instrText xml:space="preserve"> PAGEREF _Toc410115452 \h </w:instrText>
        </w:r>
        <w:r w:rsidR="00815CF9">
          <w:rPr>
            <w:noProof/>
            <w:webHidden/>
          </w:rPr>
        </w:r>
        <w:r w:rsidR="00815CF9">
          <w:rPr>
            <w:noProof/>
            <w:webHidden/>
          </w:rPr>
          <w:fldChar w:fldCharType="separate"/>
        </w:r>
        <w:r>
          <w:rPr>
            <w:noProof/>
            <w:webHidden/>
          </w:rPr>
          <w:t>40</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53" w:history="1">
        <w:r w:rsidR="00815CF9" w:rsidRPr="00DA63F7">
          <w:rPr>
            <w:rStyle w:val="Hypertextovodkaz"/>
            <w:noProof/>
          </w:rPr>
          <w:t>2.3</w:t>
        </w:r>
        <w:r w:rsidR="00815CF9">
          <w:rPr>
            <w:rFonts w:asciiTheme="minorHAnsi" w:eastAsiaTheme="minorEastAsia" w:hAnsiTheme="minorHAnsi" w:cstheme="minorBidi"/>
            <w:noProof/>
            <w:lang w:eastAsia="cs-CZ"/>
          </w:rPr>
          <w:tab/>
        </w:r>
        <w:r w:rsidR="00815CF9" w:rsidRPr="00DA63F7">
          <w:rPr>
            <w:rStyle w:val="Hypertextovodkaz"/>
            <w:noProof/>
          </w:rPr>
          <w:t>Situace v ČR</w:t>
        </w:r>
        <w:r w:rsidR="00815CF9">
          <w:rPr>
            <w:noProof/>
            <w:webHidden/>
          </w:rPr>
          <w:tab/>
        </w:r>
        <w:r w:rsidR="00815CF9">
          <w:rPr>
            <w:noProof/>
            <w:webHidden/>
          </w:rPr>
          <w:fldChar w:fldCharType="begin"/>
        </w:r>
        <w:r w:rsidR="00815CF9">
          <w:rPr>
            <w:noProof/>
            <w:webHidden/>
          </w:rPr>
          <w:instrText xml:space="preserve"> PAGEREF _Toc410115453 \h </w:instrText>
        </w:r>
        <w:r w:rsidR="00815CF9">
          <w:rPr>
            <w:noProof/>
            <w:webHidden/>
          </w:rPr>
        </w:r>
        <w:r w:rsidR="00815CF9">
          <w:rPr>
            <w:noProof/>
            <w:webHidden/>
          </w:rPr>
          <w:fldChar w:fldCharType="separate"/>
        </w:r>
        <w:r>
          <w:rPr>
            <w:noProof/>
            <w:webHidden/>
          </w:rPr>
          <w:t>42</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4" w:history="1">
        <w:r w:rsidR="00815CF9" w:rsidRPr="00DA63F7">
          <w:rPr>
            <w:rStyle w:val="Hypertextovodkaz"/>
            <w:noProof/>
          </w:rPr>
          <w:t>2.3.1</w:t>
        </w:r>
        <w:r w:rsidR="00815CF9">
          <w:rPr>
            <w:rFonts w:asciiTheme="minorHAnsi" w:eastAsiaTheme="minorEastAsia" w:hAnsiTheme="minorHAnsi" w:cstheme="minorBidi"/>
            <w:noProof/>
            <w:lang w:eastAsia="cs-CZ"/>
          </w:rPr>
          <w:tab/>
        </w:r>
        <w:r w:rsidR="00815CF9" w:rsidRPr="00DA63F7">
          <w:rPr>
            <w:rStyle w:val="Hypertextovodkaz"/>
            <w:noProof/>
          </w:rPr>
          <w:t>Ekonomická situace v ČR a EU</w:t>
        </w:r>
        <w:r w:rsidR="00815CF9">
          <w:rPr>
            <w:noProof/>
            <w:webHidden/>
          </w:rPr>
          <w:tab/>
        </w:r>
        <w:r w:rsidR="00815CF9">
          <w:rPr>
            <w:noProof/>
            <w:webHidden/>
          </w:rPr>
          <w:fldChar w:fldCharType="begin"/>
        </w:r>
        <w:r w:rsidR="00815CF9">
          <w:rPr>
            <w:noProof/>
            <w:webHidden/>
          </w:rPr>
          <w:instrText xml:space="preserve"> PAGEREF _Toc410115454 \h </w:instrText>
        </w:r>
        <w:r w:rsidR="00815CF9">
          <w:rPr>
            <w:noProof/>
            <w:webHidden/>
          </w:rPr>
        </w:r>
        <w:r w:rsidR="00815CF9">
          <w:rPr>
            <w:noProof/>
            <w:webHidden/>
          </w:rPr>
          <w:fldChar w:fldCharType="separate"/>
        </w:r>
        <w:r>
          <w:rPr>
            <w:noProof/>
            <w:webHidden/>
          </w:rPr>
          <w:t>42</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5" w:history="1">
        <w:r w:rsidR="00815CF9" w:rsidRPr="00DA63F7">
          <w:rPr>
            <w:rStyle w:val="Hypertextovodkaz"/>
            <w:noProof/>
          </w:rPr>
          <w:t>2.3.2</w:t>
        </w:r>
        <w:r w:rsidR="00815CF9">
          <w:rPr>
            <w:rFonts w:asciiTheme="minorHAnsi" w:eastAsiaTheme="minorEastAsia" w:hAnsiTheme="minorHAnsi" w:cstheme="minorBidi"/>
            <w:noProof/>
            <w:lang w:eastAsia="cs-CZ"/>
          </w:rPr>
          <w:tab/>
        </w:r>
        <w:r w:rsidR="00815CF9" w:rsidRPr="00DA63F7">
          <w:rPr>
            <w:rStyle w:val="Hypertextovodkaz"/>
            <w:noProof/>
          </w:rPr>
          <w:t>Problémy v oblasti evropských dotací v ČR</w:t>
        </w:r>
        <w:r w:rsidR="00815CF9">
          <w:rPr>
            <w:noProof/>
            <w:webHidden/>
          </w:rPr>
          <w:tab/>
        </w:r>
        <w:r w:rsidR="00815CF9">
          <w:rPr>
            <w:noProof/>
            <w:webHidden/>
          </w:rPr>
          <w:fldChar w:fldCharType="begin"/>
        </w:r>
        <w:r w:rsidR="00815CF9">
          <w:rPr>
            <w:noProof/>
            <w:webHidden/>
          </w:rPr>
          <w:instrText xml:space="preserve"> PAGEREF _Toc410115455 \h </w:instrText>
        </w:r>
        <w:r w:rsidR="00815CF9">
          <w:rPr>
            <w:noProof/>
            <w:webHidden/>
          </w:rPr>
        </w:r>
        <w:r w:rsidR="00815CF9">
          <w:rPr>
            <w:noProof/>
            <w:webHidden/>
          </w:rPr>
          <w:fldChar w:fldCharType="separate"/>
        </w:r>
        <w:r>
          <w:rPr>
            <w:noProof/>
            <w:webHidden/>
          </w:rPr>
          <w:t>47</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6" w:history="1">
        <w:r w:rsidR="00815CF9" w:rsidRPr="00DA63F7">
          <w:rPr>
            <w:rStyle w:val="Hypertextovodkaz"/>
            <w:noProof/>
          </w:rPr>
          <w:t>2.3.3</w:t>
        </w:r>
        <w:r w:rsidR="00815CF9">
          <w:rPr>
            <w:rFonts w:asciiTheme="minorHAnsi" w:eastAsiaTheme="minorEastAsia" w:hAnsiTheme="minorHAnsi" w:cstheme="minorBidi"/>
            <w:noProof/>
            <w:lang w:eastAsia="cs-CZ"/>
          </w:rPr>
          <w:tab/>
        </w:r>
        <w:r w:rsidR="00815CF9" w:rsidRPr="00DA63F7">
          <w:rPr>
            <w:rStyle w:val="Hypertextovodkaz"/>
            <w:noProof/>
          </w:rPr>
          <w:t>Řízení investic v ČR</w:t>
        </w:r>
        <w:r w:rsidR="00815CF9">
          <w:rPr>
            <w:noProof/>
            <w:webHidden/>
          </w:rPr>
          <w:tab/>
        </w:r>
        <w:r w:rsidR="00815CF9">
          <w:rPr>
            <w:noProof/>
            <w:webHidden/>
          </w:rPr>
          <w:fldChar w:fldCharType="begin"/>
        </w:r>
        <w:r w:rsidR="00815CF9">
          <w:rPr>
            <w:noProof/>
            <w:webHidden/>
          </w:rPr>
          <w:instrText xml:space="preserve"> PAGEREF _Toc410115456 \h </w:instrText>
        </w:r>
        <w:r w:rsidR="00815CF9">
          <w:rPr>
            <w:noProof/>
            <w:webHidden/>
          </w:rPr>
        </w:r>
        <w:r w:rsidR="00815CF9">
          <w:rPr>
            <w:noProof/>
            <w:webHidden/>
          </w:rPr>
          <w:fldChar w:fldCharType="separate"/>
        </w:r>
        <w:r>
          <w:rPr>
            <w:noProof/>
            <w:webHidden/>
          </w:rPr>
          <w:t>49</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7" w:history="1">
        <w:r w:rsidR="00815CF9" w:rsidRPr="00DA63F7">
          <w:rPr>
            <w:rStyle w:val="Hypertextovodkaz"/>
            <w:noProof/>
          </w:rPr>
          <w:t>2.3.4</w:t>
        </w:r>
        <w:r w:rsidR="00815CF9">
          <w:rPr>
            <w:rFonts w:asciiTheme="minorHAnsi" w:eastAsiaTheme="minorEastAsia" w:hAnsiTheme="minorHAnsi" w:cstheme="minorBidi"/>
            <w:noProof/>
            <w:lang w:eastAsia="cs-CZ"/>
          </w:rPr>
          <w:tab/>
        </w:r>
        <w:r w:rsidR="00815CF9" w:rsidRPr="00DA63F7">
          <w:rPr>
            <w:rStyle w:val="Hypertextovodkaz"/>
            <w:noProof/>
          </w:rPr>
          <w:t>ESIF jako zdroj dlouhodobého kapitálu</w:t>
        </w:r>
        <w:r w:rsidR="00815CF9">
          <w:rPr>
            <w:noProof/>
            <w:webHidden/>
          </w:rPr>
          <w:tab/>
        </w:r>
        <w:r w:rsidR="00815CF9">
          <w:rPr>
            <w:noProof/>
            <w:webHidden/>
          </w:rPr>
          <w:fldChar w:fldCharType="begin"/>
        </w:r>
        <w:r w:rsidR="00815CF9">
          <w:rPr>
            <w:noProof/>
            <w:webHidden/>
          </w:rPr>
          <w:instrText xml:space="preserve"> PAGEREF _Toc410115457 \h </w:instrText>
        </w:r>
        <w:r w:rsidR="00815CF9">
          <w:rPr>
            <w:noProof/>
            <w:webHidden/>
          </w:rPr>
        </w:r>
        <w:r w:rsidR="00815CF9">
          <w:rPr>
            <w:noProof/>
            <w:webHidden/>
          </w:rPr>
          <w:fldChar w:fldCharType="separate"/>
        </w:r>
        <w:r>
          <w:rPr>
            <w:noProof/>
            <w:webHidden/>
          </w:rPr>
          <w:t>51</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8" w:history="1">
        <w:r w:rsidR="00815CF9" w:rsidRPr="00DA63F7">
          <w:rPr>
            <w:rStyle w:val="Hypertextovodkaz"/>
            <w:noProof/>
          </w:rPr>
          <w:t>2.3.5</w:t>
        </w:r>
        <w:r w:rsidR="00815CF9">
          <w:rPr>
            <w:rFonts w:asciiTheme="minorHAnsi" w:eastAsiaTheme="minorEastAsia" w:hAnsiTheme="minorHAnsi" w:cstheme="minorBidi"/>
            <w:noProof/>
            <w:lang w:eastAsia="cs-CZ"/>
          </w:rPr>
          <w:tab/>
        </w:r>
        <w:r w:rsidR="00815CF9" w:rsidRPr="00DA63F7">
          <w:rPr>
            <w:rStyle w:val="Hypertextovodkaz"/>
            <w:noProof/>
          </w:rPr>
          <w:t>Řešení problémů – IFN</w:t>
        </w:r>
        <w:r w:rsidR="00815CF9">
          <w:rPr>
            <w:noProof/>
            <w:webHidden/>
          </w:rPr>
          <w:tab/>
        </w:r>
        <w:r w:rsidR="00815CF9">
          <w:rPr>
            <w:noProof/>
            <w:webHidden/>
          </w:rPr>
          <w:fldChar w:fldCharType="begin"/>
        </w:r>
        <w:r w:rsidR="00815CF9">
          <w:rPr>
            <w:noProof/>
            <w:webHidden/>
          </w:rPr>
          <w:instrText xml:space="preserve"> PAGEREF _Toc410115458 \h </w:instrText>
        </w:r>
        <w:r w:rsidR="00815CF9">
          <w:rPr>
            <w:noProof/>
            <w:webHidden/>
          </w:rPr>
        </w:r>
        <w:r w:rsidR="00815CF9">
          <w:rPr>
            <w:noProof/>
            <w:webHidden/>
          </w:rPr>
          <w:fldChar w:fldCharType="separate"/>
        </w:r>
        <w:r>
          <w:rPr>
            <w:noProof/>
            <w:webHidden/>
          </w:rPr>
          <w:t>52</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59" w:history="1">
        <w:r w:rsidR="00815CF9" w:rsidRPr="00DA63F7">
          <w:rPr>
            <w:rStyle w:val="Hypertextovodkaz"/>
            <w:noProof/>
          </w:rPr>
          <w:t>2.3.6</w:t>
        </w:r>
        <w:r w:rsidR="00815CF9">
          <w:rPr>
            <w:rFonts w:asciiTheme="minorHAnsi" w:eastAsiaTheme="minorEastAsia" w:hAnsiTheme="minorHAnsi" w:cstheme="minorBidi"/>
            <w:noProof/>
            <w:lang w:eastAsia="cs-CZ"/>
          </w:rPr>
          <w:tab/>
        </w:r>
        <w:r w:rsidR="00815CF9" w:rsidRPr="00DA63F7">
          <w:rPr>
            <w:rStyle w:val="Hypertextovodkaz"/>
            <w:noProof/>
          </w:rPr>
          <w:t>Aspekty programového prohlášení vlády</w:t>
        </w:r>
        <w:r w:rsidR="00815CF9">
          <w:rPr>
            <w:noProof/>
            <w:webHidden/>
          </w:rPr>
          <w:tab/>
        </w:r>
        <w:r w:rsidR="00815CF9">
          <w:rPr>
            <w:noProof/>
            <w:webHidden/>
          </w:rPr>
          <w:fldChar w:fldCharType="begin"/>
        </w:r>
        <w:r w:rsidR="00815CF9">
          <w:rPr>
            <w:noProof/>
            <w:webHidden/>
          </w:rPr>
          <w:instrText xml:space="preserve"> PAGEREF _Toc410115459 \h </w:instrText>
        </w:r>
        <w:r w:rsidR="00815CF9">
          <w:rPr>
            <w:noProof/>
            <w:webHidden/>
          </w:rPr>
        </w:r>
        <w:r w:rsidR="00815CF9">
          <w:rPr>
            <w:noProof/>
            <w:webHidden/>
          </w:rPr>
          <w:fldChar w:fldCharType="separate"/>
        </w:r>
        <w:r>
          <w:rPr>
            <w:noProof/>
            <w:webHidden/>
          </w:rPr>
          <w:t>53</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0" w:history="1">
        <w:r w:rsidR="00815CF9" w:rsidRPr="00DA63F7">
          <w:rPr>
            <w:rStyle w:val="Hypertextovodkaz"/>
            <w:noProof/>
          </w:rPr>
          <w:t>2.3.7</w:t>
        </w:r>
        <w:r w:rsidR="00815CF9">
          <w:rPr>
            <w:rFonts w:asciiTheme="minorHAnsi" w:eastAsiaTheme="minorEastAsia" w:hAnsiTheme="minorHAnsi" w:cstheme="minorBidi"/>
            <w:noProof/>
            <w:lang w:eastAsia="cs-CZ"/>
          </w:rPr>
          <w:tab/>
        </w:r>
        <w:r w:rsidR="00815CF9" w:rsidRPr="00DA63F7">
          <w:rPr>
            <w:rStyle w:val="Hypertextovodkaz"/>
            <w:noProof/>
          </w:rPr>
          <w:t>Povinnost zpracování předběžného posouzení</w:t>
        </w:r>
        <w:r w:rsidR="00815CF9">
          <w:rPr>
            <w:noProof/>
            <w:webHidden/>
          </w:rPr>
          <w:tab/>
        </w:r>
        <w:r w:rsidR="00815CF9">
          <w:rPr>
            <w:noProof/>
            <w:webHidden/>
          </w:rPr>
          <w:fldChar w:fldCharType="begin"/>
        </w:r>
        <w:r w:rsidR="00815CF9">
          <w:rPr>
            <w:noProof/>
            <w:webHidden/>
          </w:rPr>
          <w:instrText xml:space="preserve"> PAGEREF _Toc410115460 \h </w:instrText>
        </w:r>
        <w:r w:rsidR="00815CF9">
          <w:rPr>
            <w:noProof/>
            <w:webHidden/>
          </w:rPr>
        </w:r>
        <w:r w:rsidR="00815CF9">
          <w:rPr>
            <w:noProof/>
            <w:webHidden/>
          </w:rPr>
          <w:fldChar w:fldCharType="separate"/>
        </w:r>
        <w:r>
          <w:rPr>
            <w:noProof/>
            <w:webHidden/>
          </w:rPr>
          <w:t>54</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61" w:history="1">
        <w:r w:rsidR="00815CF9" w:rsidRPr="00DA63F7">
          <w:rPr>
            <w:rStyle w:val="Hypertextovodkaz"/>
            <w:noProof/>
          </w:rPr>
          <w:t>3</w:t>
        </w:r>
        <w:r w:rsidR="00815CF9">
          <w:rPr>
            <w:rFonts w:asciiTheme="minorHAnsi" w:eastAsiaTheme="minorEastAsia" w:hAnsiTheme="minorHAnsi" w:cstheme="minorBidi"/>
            <w:noProof/>
            <w:lang w:eastAsia="cs-CZ"/>
          </w:rPr>
          <w:tab/>
        </w:r>
        <w:r w:rsidR="00815CF9" w:rsidRPr="00DA63F7">
          <w:rPr>
            <w:rStyle w:val="Hypertextovodkaz"/>
            <w:noProof/>
          </w:rPr>
          <w:t>Infrastruktura pro implementaci investičních a finančních nástrojů</w:t>
        </w:r>
        <w:r w:rsidR="00815CF9">
          <w:rPr>
            <w:noProof/>
            <w:webHidden/>
          </w:rPr>
          <w:tab/>
        </w:r>
        <w:r w:rsidR="00815CF9">
          <w:rPr>
            <w:noProof/>
            <w:webHidden/>
          </w:rPr>
          <w:fldChar w:fldCharType="begin"/>
        </w:r>
        <w:r w:rsidR="00815CF9">
          <w:rPr>
            <w:noProof/>
            <w:webHidden/>
          </w:rPr>
          <w:instrText xml:space="preserve"> PAGEREF _Toc410115461 \h </w:instrText>
        </w:r>
        <w:r w:rsidR="00815CF9">
          <w:rPr>
            <w:noProof/>
            <w:webHidden/>
          </w:rPr>
        </w:r>
        <w:r w:rsidR="00815CF9">
          <w:rPr>
            <w:noProof/>
            <w:webHidden/>
          </w:rPr>
          <w:fldChar w:fldCharType="separate"/>
        </w:r>
        <w:r>
          <w:rPr>
            <w:noProof/>
            <w:webHidden/>
          </w:rPr>
          <w:t>55</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62" w:history="1">
        <w:r w:rsidR="00815CF9" w:rsidRPr="00DA63F7">
          <w:rPr>
            <w:rStyle w:val="Hypertextovodkaz"/>
            <w:noProof/>
          </w:rPr>
          <w:t>3.1</w:t>
        </w:r>
        <w:r w:rsidR="00815CF9">
          <w:rPr>
            <w:rFonts w:asciiTheme="minorHAnsi" w:eastAsiaTheme="minorEastAsia" w:hAnsiTheme="minorHAnsi" w:cstheme="minorBidi"/>
            <w:noProof/>
            <w:lang w:eastAsia="cs-CZ"/>
          </w:rPr>
          <w:tab/>
        </w:r>
        <w:r w:rsidR="00815CF9" w:rsidRPr="00DA63F7">
          <w:rPr>
            <w:rStyle w:val="Hypertextovodkaz"/>
            <w:noProof/>
          </w:rPr>
          <w:t>Ob</w:t>
        </w:r>
        <w:r w:rsidR="00815CF9" w:rsidRPr="00DA63F7">
          <w:rPr>
            <w:rStyle w:val="Hypertextovodkaz"/>
            <w:noProof/>
            <w:spacing w:val="1"/>
          </w:rPr>
          <w:t>ec</w:t>
        </w:r>
        <w:r w:rsidR="00815CF9" w:rsidRPr="00DA63F7">
          <w:rPr>
            <w:rStyle w:val="Hypertextovodkaz"/>
            <w:noProof/>
          </w:rPr>
          <w:t>né</w:t>
        </w:r>
        <w:r w:rsidR="00815CF9" w:rsidRPr="00DA63F7">
          <w:rPr>
            <w:rStyle w:val="Hypertextovodkaz"/>
            <w:noProof/>
            <w:spacing w:val="2"/>
          </w:rPr>
          <w:t xml:space="preserve"> </w:t>
        </w:r>
        <w:r w:rsidR="00815CF9" w:rsidRPr="00DA63F7">
          <w:rPr>
            <w:rStyle w:val="Hypertextovodkaz"/>
            <w:noProof/>
          </w:rPr>
          <w:t>p</w:t>
        </w:r>
        <w:r w:rsidR="00815CF9" w:rsidRPr="00DA63F7">
          <w:rPr>
            <w:rStyle w:val="Hypertextovodkaz"/>
            <w:noProof/>
            <w:spacing w:val="-2"/>
          </w:rPr>
          <w:t>ř</w:t>
        </w:r>
        <w:r w:rsidR="00815CF9" w:rsidRPr="00DA63F7">
          <w:rPr>
            <w:rStyle w:val="Hypertextovodkaz"/>
            <w:noProof/>
            <w:spacing w:val="1"/>
          </w:rPr>
          <w:t>e</w:t>
        </w:r>
        <w:r w:rsidR="00815CF9" w:rsidRPr="00DA63F7">
          <w:rPr>
            <w:rStyle w:val="Hypertextovodkaz"/>
            <w:noProof/>
          </w:rPr>
          <w:t>dpokl</w:t>
        </w:r>
        <w:r w:rsidR="00815CF9" w:rsidRPr="00DA63F7">
          <w:rPr>
            <w:rStyle w:val="Hypertextovodkaz"/>
            <w:noProof/>
            <w:spacing w:val="1"/>
          </w:rPr>
          <w:t>a</w:t>
        </w:r>
        <w:r w:rsidR="00815CF9" w:rsidRPr="00DA63F7">
          <w:rPr>
            <w:rStyle w:val="Hypertextovodkaz"/>
            <w:noProof/>
          </w:rPr>
          <w:t>dy</w:t>
        </w:r>
        <w:r w:rsidR="00815CF9" w:rsidRPr="00DA63F7">
          <w:rPr>
            <w:rStyle w:val="Hypertextovodkaz"/>
            <w:noProof/>
            <w:spacing w:val="-4"/>
          </w:rPr>
          <w:t xml:space="preserve"> </w:t>
        </w:r>
        <w:r w:rsidR="00815CF9" w:rsidRPr="00DA63F7">
          <w:rPr>
            <w:rStyle w:val="Hypertextovodkaz"/>
            <w:noProof/>
          </w:rPr>
          <w:t>z</w:t>
        </w:r>
        <w:r w:rsidR="00815CF9" w:rsidRPr="00DA63F7">
          <w:rPr>
            <w:rStyle w:val="Hypertextovodkaz"/>
            <w:noProof/>
            <w:spacing w:val="1"/>
          </w:rPr>
          <w:t>a</w:t>
        </w:r>
        <w:r w:rsidR="00815CF9" w:rsidRPr="00DA63F7">
          <w:rPr>
            <w:rStyle w:val="Hypertextovodkaz"/>
            <w:noProof/>
          </w:rPr>
          <w:t>po</w:t>
        </w:r>
        <w:r w:rsidR="00815CF9" w:rsidRPr="00DA63F7">
          <w:rPr>
            <w:rStyle w:val="Hypertextovodkaz"/>
            <w:noProof/>
            <w:spacing w:val="-2"/>
          </w:rPr>
          <w:t>j</w:t>
        </w:r>
        <w:r w:rsidR="00815CF9" w:rsidRPr="00DA63F7">
          <w:rPr>
            <w:rStyle w:val="Hypertextovodkaz"/>
            <w:noProof/>
            <w:spacing w:val="1"/>
          </w:rPr>
          <w:t>e</w:t>
        </w:r>
        <w:r w:rsidR="00815CF9" w:rsidRPr="00DA63F7">
          <w:rPr>
            <w:rStyle w:val="Hypertextovodkaz"/>
            <w:noProof/>
          </w:rPr>
          <w:t xml:space="preserve">ní </w:t>
        </w:r>
        <w:r w:rsidR="00815CF9" w:rsidRPr="00DA63F7">
          <w:rPr>
            <w:rStyle w:val="Hypertextovodkaz"/>
            <w:noProof/>
            <w:spacing w:val="1"/>
          </w:rPr>
          <w:t>s</w:t>
        </w:r>
        <w:r w:rsidR="00815CF9" w:rsidRPr="00DA63F7">
          <w:rPr>
            <w:rStyle w:val="Hypertextovodkaz"/>
            <w:noProof/>
          </w:rPr>
          <w:t>ub</w:t>
        </w:r>
        <w:r w:rsidR="00815CF9" w:rsidRPr="00DA63F7">
          <w:rPr>
            <w:rStyle w:val="Hypertextovodkaz"/>
            <w:noProof/>
            <w:spacing w:val="-2"/>
          </w:rPr>
          <w:t>j</w:t>
        </w:r>
        <w:r w:rsidR="00815CF9" w:rsidRPr="00DA63F7">
          <w:rPr>
            <w:rStyle w:val="Hypertextovodkaz"/>
            <w:noProof/>
            <w:spacing w:val="1"/>
          </w:rPr>
          <w:t>ek</w:t>
        </w:r>
        <w:r w:rsidR="00815CF9" w:rsidRPr="00DA63F7">
          <w:rPr>
            <w:rStyle w:val="Hypertextovodkaz"/>
            <w:noProof/>
          </w:rPr>
          <w:t>tů</w:t>
        </w:r>
        <w:r w:rsidR="00815CF9" w:rsidRPr="00DA63F7">
          <w:rPr>
            <w:rStyle w:val="Hypertextovodkaz"/>
            <w:noProof/>
            <w:spacing w:val="-1"/>
          </w:rPr>
          <w:t xml:space="preserve"> </w:t>
        </w:r>
        <w:r w:rsidR="00815CF9" w:rsidRPr="00DA63F7">
          <w:rPr>
            <w:rStyle w:val="Hypertextovodkaz"/>
            <w:noProof/>
          </w:rPr>
          <w:t xml:space="preserve">do </w:t>
        </w:r>
        <w:r w:rsidR="00815CF9" w:rsidRPr="00DA63F7">
          <w:rPr>
            <w:rStyle w:val="Hypertextovodkaz"/>
            <w:noProof/>
            <w:spacing w:val="1"/>
          </w:rPr>
          <w:t>i</w:t>
        </w:r>
        <w:r w:rsidR="00815CF9" w:rsidRPr="00DA63F7">
          <w:rPr>
            <w:rStyle w:val="Hypertextovodkaz"/>
            <w:noProof/>
          </w:rPr>
          <w:t>mpl</w:t>
        </w:r>
        <w:r w:rsidR="00815CF9" w:rsidRPr="00DA63F7">
          <w:rPr>
            <w:rStyle w:val="Hypertextovodkaz"/>
            <w:noProof/>
            <w:spacing w:val="1"/>
          </w:rPr>
          <w:t>e</w:t>
        </w:r>
        <w:r w:rsidR="00815CF9" w:rsidRPr="00DA63F7">
          <w:rPr>
            <w:rStyle w:val="Hypertextovodkaz"/>
            <w:noProof/>
          </w:rPr>
          <w:t>m</w:t>
        </w:r>
        <w:r w:rsidR="00815CF9" w:rsidRPr="00DA63F7">
          <w:rPr>
            <w:rStyle w:val="Hypertextovodkaz"/>
            <w:noProof/>
            <w:spacing w:val="1"/>
          </w:rPr>
          <w:t>e</w:t>
        </w:r>
        <w:r w:rsidR="00815CF9" w:rsidRPr="00DA63F7">
          <w:rPr>
            <w:rStyle w:val="Hypertextovodkaz"/>
            <w:noProof/>
          </w:rPr>
          <w:t>n</w:t>
        </w:r>
        <w:r w:rsidR="00815CF9" w:rsidRPr="00DA63F7">
          <w:rPr>
            <w:rStyle w:val="Hypertextovodkaz"/>
            <w:noProof/>
            <w:spacing w:val="-1"/>
          </w:rPr>
          <w:t>ta</w:t>
        </w:r>
        <w:r w:rsidR="00815CF9" w:rsidRPr="00DA63F7">
          <w:rPr>
            <w:rStyle w:val="Hypertextovodkaz"/>
            <w:noProof/>
            <w:spacing w:val="1"/>
          </w:rPr>
          <w:t>č</w:t>
        </w:r>
        <w:r w:rsidR="00815CF9" w:rsidRPr="00DA63F7">
          <w:rPr>
            <w:rStyle w:val="Hypertextovodkaz"/>
            <w:noProof/>
          </w:rPr>
          <w:t xml:space="preserve">ní </w:t>
        </w:r>
        <w:r w:rsidR="00815CF9" w:rsidRPr="00DA63F7">
          <w:rPr>
            <w:rStyle w:val="Hypertextovodkaz"/>
            <w:noProof/>
            <w:spacing w:val="1"/>
          </w:rPr>
          <w:t>s</w:t>
        </w:r>
        <w:r w:rsidR="00815CF9" w:rsidRPr="00DA63F7">
          <w:rPr>
            <w:rStyle w:val="Hypertextovodkaz"/>
            <w:noProof/>
          </w:rPr>
          <w:t>truk</w:t>
        </w:r>
        <w:r w:rsidR="00815CF9" w:rsidRPr="00DA63F7">
          <w:rPr>
            <w:rStyle w:val="Hypertextovodkaz"/>
            <w:noProof/>
            <w:spacing w:val="-3"/>
          </w:rPr>
          <w:t>t</w:t>
        </w:r>
        <w:r w:rsidR="00815CF9" w:rsidRPr="00DA63F7">
          <w:rPr>
            <w:rStyle w:val="Hypertextovodkaz"/>
            <w:noProof/>
          </w:rPr>
          <w:t>u</w:t>
        </w:r>
        <w:r w:rsidR="00815CF9" w:rsidRPr="00DA63F7">
          <w:rPr>
            <w:rStyle w:val="Hypertextovodkaz"/>
            <w:noProof/>
            <w:spacing w:val="2"/>
          </w:rPr>
          <w:t>r</w:t>
        </w:r>
        <w:r w:rsidR="00815CF9" w:rsidRPr="00DA63F7">
          <w:rPr>
            <w:rStyle w:val="Hypertextovodkaz"/>
            <w:noProof/>
          </w:rPr>
          <w:t>y</w:t>
        </w:r>
        <w:r w:rsidR="00815CF9" w:rsidRPr="00DA63F7">
          <w:rPr>
            <w:rStyle w:val="Hypertextovodkaz"/>
            <w:noProof/>
            <w:spacing w:val="-6"/>
          </w:rPr>
          <w:t xml:space="preserve"> </w:t>
        </w:r>
        <w:r w:rsidR="00815CF9" w:rsidRPr="00DA63F7">
          <w:rPr>
            <w:rStyle w:val="Hypertextovodkaz"/>
            <w:noProof/>
            <w:spacing w:val="1"/>
          </w:rPr>
          <w:t>I</w:t>
        </w:r>
        <w:r w:rsidR="00815CF9" w:rsidRPr="00DA63F7">
          <w:rPr>
            <w:rStyle w:val="Hypertextovodkaz"/>
            <w:noProof/>
            <w:spacing w:val="2"/>
          </w:rPr>
          <w:t>F</w:t>
        </w:r>
        <w:r w:rsidR="00815CF9" w:rsidRPr="00DA63F7">
          <w:rPr>
            <w:rStyle w:val="Hypertextovodkaz"/>
            <w:noProof/>
          </w:rPr>
          <w:t>N</w:t>
        </w:r>
        <w:r w:rsidR="00815CF9">
          <w:rPr>
            <w:noProof/>
            <w:webHidden/>
          </w:rPr>
          <w:tab/>
        </w:r>
        <w:r w:rsidR="00815CF9">
          <w:rPr>
            <w:noProof/>
            <w:webHidden/>
          </w:rPr>
          <w:fldChar w:fldCharType="begin"/>
        </w:r>
        <w:r w:rsidR="00815CF9">
          <w:rPr>
            <w:noProof/>
            <w:webHidden/>
          </w:rPr>
          <w:instrText xml:space="preserve"> PAGEREF _Toc410115462 \h </w:instrText>
        </w:r>
        <w:r w:rsidR="00815CF9">
          <w:rPr>
            <w:noProof/>
            <w:webHidden/>
          </w:rPr>
        </w:r>
        <w:r w:rsidR="00815CF9">
          <w:rPr>
            <w:noProof/>
            <w:webHidden/>
          </w:rPr>
          <w:fldChar w:fldCharType="separate"/>
        </w:r>
        <w:r>
          <w:rPr>
            <w:noProof/>
            <w:webHidden/>
          </w:rPr>
          <w:t>55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3" w:history="1">
        <w:r w:rsidR="00815CF9" w:rsidRPr="00DA63F7">
          <w:rPr>
            <w:rStyle w:val="Hypertextovodkaz"/>
            <w:noProof/>
          </w:rPr>
          <w:t>3.1.1</w:t>
        </w:r>
        <w:r w:rsidR="00815CF9">
          <w:rPr>
            <w:rFonts w:asciiTheme="minorHAnsi" w:eastAsiaTheme="minorEastAsia" w:hAnsiTheme="minorHAnsi" w:cstheme="minorBidi"/>
            <w:noProof/>
            <w:lang w:eastAsia="cs-CZ"/>
          </w:rPr>
          <w:tab/>
        </w:r>
        <w:r w:rsidR="00815CF9" w:rsidRPr="00DA63F7">
          <w:rPr>
            <w:rStyle w:val="Hypertextovodkaz"/>
            <w:noProof/>
          </w:rPr>
          <w:t>Legisl</w:t>
        </w:r>
        <w:r w:rsidR="00815CF9" w:rsidRPr="00DA63F7">
          <w:rPr>
            <w:rStyle w:val="Hypertextovodkaz"/>
            <w:noProof/>
            <w:spacing w:val="-1"/>
          </w:rPr>
          <w:t>a</w:t>
        </w:r>
        <w:r w:rsidR="00815CF9" w:rsidRPr="00DA63F7">
          <w:rPr>
            <w:rStyle w:val="Hypertextovodkaz"/>
            <w:noProof/>
            <w:spacing w:val="1"/>
          </w:rPr>
          <w:t>t</w:t>
        </w:r>
        <w:r w:rsidR="00815CF9" w:rsidRPr="00DA63F7">
          <w:rPr>
            <w:rStyle w:val="Hypertextovodkaz"/>
            <w:noProof/>
          </w:rPr>
          <w:t>i</w:t>
        </w:r>
        <w:r w:rsidR="00815CF9" w:rsidRPr="00DA63F7">
          <w:rPr>
            <w:rStyle w:val="Hypertextovodkaz"/>
            <w:noProof/>
            <w:spacing w:val="2"/>
          </w:rPr>
          <w:t>v</w:t>
        </w:r>
        <w:r w:rsidR="00815CF9" w:rsidRPr="00DA63F7">
          <w:rPr>
            <w:rStyle w:val="Hypertextovodkaz"/>
            <w:noProof/>
          </w:rPr>
          <w:t>ní</w:t>
        </w:r>
        <w:r w:rsidR="00815CF9" w:rsidRPr="00DA63F7">
          <w:rPr>
            <w:rStyle w:val="Hypertextovodkaz"/>
            <w:noProof/>
            <w:spacing w:val="-11"/>
          </w:rPr>
          <w:t xml:space="preserve"> </w:t>
        </w:r>
        <w:r w:rsidR="00815CF9" w:rsidRPr="00DA63F7">
          <w:rPr>
            <w:rStyle w:val="Hypertextovodkaz"/>
            <w:noProof/>
          </w:rPr>
          <w:t>ú</w:t>
        </w:r>
        <w:r w:rsidR="00815CF9" w:rsidRPr="00DA63F7">
          <w:rPr>
            <w:rStyle w:val="Hypertextovodkaz"/>
            <w:noProof/>
            <w:spacing w:val="1"/>
          </w:rPr>
          <w:t>p</w:t>
        </w:r>
        <w:r w:rsidR="00815CF9" w:rsidRPr="00DA63F7">
          <w:rPr>
            <w:rStyle w:val="Hypertextovodkaz"/>
            <w:noProof/>
            <w:spacing w:val="-1"/>
          </w:rPr>
          <w:t>r</w:t>
        </w:r>
        <w:r w:rsidR="00815CF9" w:rsidRPr="00DA63F7">
          <w:rPr>
            <w:rStyle w:val="Hypertextovodkaz"/>
            <w:noProof/>
          </w:rPr>
          <w:t>a</w:t>
        </w:r>
        <w:r w:rsidR="00815CF9" w:rsidRPr="00DA63F7">
          <w:rPr>
            <w:rStyle w:val="Hypertextovodkaz"/>
            <w:noProof/>
            <w:spacing w:val="1"/>
          </w:rPr>
          <w:t>v</w:t>
        </w:r>
        <w:r w:rsidR="00815CF9" w:rsidRPr="00DA63F7">
          <w:rPr>
            <w:rStyle w:val="Hypertextovodkaz"/>
            <w:noProof/>
          </w:rPr>
          <w:t>a</w:t>
        </w:r>
        <w:r w:rsidR="00815CF9">
          <w:rPr>
            <w:noProof/>
            <w:webHidden/>
          </w:rPr>
          <w:tab/>
        </w:r>
        <w:r w:rsidR="00815CF9">
          <w:rPr>
            <w:noProof/>
            <w:webHidden/>
          </w:rPr>
          <w:fldChar w:fldCharType="begin"/>
        </w:r>
        <w:r w:rsidR="00815CF9">
          <w:rPr>
            <w:noProof/>
            <w:webHidden/>
          </w:rPr>
          <w:instrText xml:space="preserve"> PAGEREF _Toc410115463 \h </w:instrText>
        </w:r>
        <w:r w:rsidR="00815CF9">
          <w:rPr>
            <w:noProof/>
            <w:webHidden/>
          </w:rPr>
        </w:r>
        <w:r w:rsidR="00815CF9">
          <w:rPr>
            <w:noProof/>
            <w:webHidden/>
          </w:rPr>
          <w:fldChar w:fldCharType="separate"/>
        </w:r>
        <w:r>
          <w:rPr>
            <w:noProof/>
            <w:webHidden/>
          </w:rPr>
          <w:t>55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4" w:history="1">
        <w:r w:rsidR="00815CF9" w:rsidRPr="00DA63F7">
          <w:rPr>
            <w:rStyle w:val="Hypertextovodkaz"/>
            <w:noProof/>
          </w:rPr>
          <w:t>3.1.2</w:t>
        </w:r>
        <w:r w:rsidR="00815CF9">
          <w:rPr>
            <w:rFonts w:asciiTheme="minorHAnsi" w:eastAsiaTheme="minorEastAsia" w:hAnsiTheme="minorHAnsi" w:cstheme="minorBidi"/>
            <w:noProof/>
            <w:lang w:eastAsia="cs-CZ"/>
          </w:rPr>
          <w:tab/>
        </w:r>
        <w:r w:rsidR="00815CF9" w:rsidRPr="00DA63F7">
          <w:rPr>
            <w:rStyle w:val="Hypertextovodkaz"/>
            <w:noProof/>
          </w:rPr>
          <w:t>Zodpovědnost za implementaci IFN</w:t>
        </w:r>
        <w:r w:rsidR="00815CF9">
          <w:rPr>
            <w:noProof/>
            <w:webHidden/>
          </w:rPr>
          <w:tab/>
        </w:r>
        <w:r w:rsidR="00815CF9">
          <w:rPr>
            <w:noProof/>
            <w:webHidden/>
          </w:rPr>
          <w:fldChar w:fldCharType="begin"/>
        </w:r>
        <w:r w:rsidR="00815CF9">
          <w:rPr>
            <w:noProof/>
            <w:webHidden/>
          </w:rPr>
          <w:instrText xml:space="preserve"> PAGEREF _Toc410115464 \h </w:instrText>
        </w:r>
        <w:r w:rsidR="00815CF9">
          <w:rPr>
            <w:noProof/>
            <w:webHidden/>
          </w:rPr>
        </w:r>
        <w:r w:rsidR="00815CF9">
          <w:rPr>
            <w:noProof/>
            <w:webHidden/>
          </w:rPr>
          <w:fldChar w:fldCharType="separate"/>
        </w:r>
        <w:r>
          <w:rPr>
            <w:noProof/>
            <w:webHidden/>
          </w:rPr>
          <w:t>55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5" w:history="1">
        <w:r w:rsidR="00815CF9" w:rsidRPr="00DA63F7">
          <w:rPr>
            <w:rStyle w:val="Hypertextovodkaz"/>
            <w:noProof/>
          </w:rPr>
          <w:t>3.1.3</w:t>
        </w:r>
        <w:r w:rsidR="00815CF9">
          <w:rPr>
            <w:rFonts w:asciiTheme="minorHAnsi" w:eastAsiaTheme="minorEastAsia" w:hAnsiTheme="minorHAnsi" w:cstheme="minorBidi"/>
            <w:noProof/>
            <w:lang w:eastAsia="cs-CZ"/>
          </w:rPr>
          <w:tab/>
        </w:r>
        <w:r w:rsidR="00815CF9" w:rsidRPr="00DA63F7">
          <w:rPr>
            <w:rStyle w:val="Hypertextovodkaz"/>
            <w:noProof/>
          </w:rPr>
          <w:t>Dopady na státní rozpočet</w:t>
        </w:r>
        <w:r w:rsidR="00815CF9">
          <w:rPr>
            <w:noProof/>
            <w:webHidden/>
          </w:rPr>
          <w:tab/>
        </w:r>
        <w:r w:rsidR="00815CF9">
          <w:rPr>
            <w:noProof/>
            <w:webHidden/>
          </w:rPr>
          <w:fldChar w:fldCharType="begin"/>
        </w:r>
        <w:r w:rsidR="00815CF9">
          <w:rPr>
            <w:noProof/>
            <w:webHidden/>
          </w:rPr>
          <w:instrText xml:space="preserve"> PAGEREF _Toc410115465 \h </w:instrText>
        </w:r>
        <w:r w:rsidR="00815CF9">
          <w:rPr>
            <w:noProof/>
            <w:webHidden/>
          </w:rPr>
        </w:r>
        <w:r w:rsidR="00815CF9">
          <w:rPr>
            <w:noProof/>
            <w:webHidden/>
          </w:rPr>
          <w:fldChar w:fldCharType="separate"/>
        </w:r>
        <w:r>
          <w:rPr>
            <w:noProof/>
            <w:webHidden/>
          </w:rPr>
          <w:t>55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6" w:history="1">
        <w:r w:rsidR="00815CF9" w:rsidRPr="00DA63F7">
          <w:rPr>
            <w:rStyle w:val="Hypertextovodkaz"/>
            <w:noProof/>
          </w:rPr>
          <w:t>3.1.4</w:t>
        </w:r>
        <w:r w:rsidR="00815CF9">
          <w:rPr>
            <w:rFonts w:asciiTheme="minorHAnsi" w:eastAsiaTheme="minorEastAsia" w:hAnsiTheme="minorHAnsi" w:cstheme="minorBidi"/>
            <w:noProof/>
            <w:lang w:eastAsia="cs-CZ"/>
          </w:rPr>
          <w:tab/>
        </w:r>
        <w:r w:rsidR="00815CF9" w:rsidRPr="00DA63F7">
          <w:rPr>
            <w:rStyle w:val="Hypertextovodkaz"/>
            <w:noProof/>
          </w:rPr>
          <w:t>Vztah k státní pokladně</w:t>
        </w:r>
        <w:r w:rsidR="00815CF9">
          <w:rPr>
            <w:noProof/>
            <w:webHidden/>
          </w:rPr>
          <w:tab/>
        </w:r>
        <w:r w:rsidR="00815CF9">
          <w:rPr>
            <w:noProof/>
            <w:webHidden/>
          </w:rPr>
          <w:fldChar w:fldCharType="begin"/>
        </w:r>
        <w:r w:rsidR="00815CF9">
          <w:rPr>
            <w:noProof/>
            <w:webHidden/>
          </w:rPr>
          <w:instrText xml:space="preserve"> PAGEREF _Toc410115466 \h </w:instrText>
        </w:r>
        <w:r w:rsidR="00815CF9">
          <w:rPr>
            <w:noProof/>
            <w:webHidden/>
          </w:rPr>
        </w:r>
        <w:r w:rsidR="00815CF9">
          <w:rPr>
            <w:noProof/>
            <w:webHidden/>
          </w:rPr>
          <w:fldChar w:fldCharType="separate"/>
        </w:r>
        <w:r>
          <w:rPr>
            <w:noProof/>
            <w:webHidden/>
          </w:rPr>
          <w:t>56</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7" w:history="1">
        <w:r w:rsidR="00815CF9" w:rsidRPr="00DA63F7">
          <w:rPr>
            <w:rStyle w:val="Hypertextovodkaz"/>
            <w:noProof/>
          </w:rPr>
          <w:t>3.1.5</w:t>
        </w:r>
        <w:r w:rsidR="00815CF9">
          <w:rPr>
            <w:rFonts w:asciiTheme="minorHAnsi" w:eastAsiaTheme="minorEastAsia" w:hAnsiTheme="minorHAnsi" w:cstheme="minorBidi"/>
            <w:noProof/>
            <w:lang w:eastAsia="cs-CZ"/>
          </w:rPr>
          <w:tab/>
        </w:r>
        <w:r w:rsidR="00815CF9" w:rsidRPr="00DA63F7">
          <w:rPr>
            <w:rStyle w:val="Hypertextovodkaz"/>
            <w:noProof/>
          </w:rPr>
          <w:t>Právní subjektivita IFN</w:t>
        </w:r>
        <w:r w:rsidR="00815CF9">
          <w:rPr>
            <w:noProof/>
            <w:webHidden/>
          </w:rPr>
          <w:tab/>
        </w:r>
        <w:r w:rsidR="00815CF9">
          <w:rPr>
            <w:noProof/>
            <w:webHidden/>
          </w:rPr>
          <w:fldChar w:fldCharType="begin"/>
        </w:r>
        <w:r w:rsidR="00815CF9">
          <w:rPr>
            <w:noProof/>
            <w:webHidden/>
          </w:rPr>
          <w:instrText xml:space="preserve"> PAGEREF _Toc410115467 \h </w:instrText>
        </w:r>
        <w:r w:rsidR="00815CF9">
          <w:rPr>
            <w:noProof/>
            <w:webHidden/>
          </w:rPr>
        </w:r>
        <w:r w:rsidR="00815CF9">
          <w:rPr>
            <w:noProof/>
            <w:webHidden/>
          </w:rPr>
          <w:fldChar w:fldCharType="separate"/>
        </w:r>
        <w:r>
          <w:rPr>
            <w:noProof/>
            <w:webHidden/>
          </w:rPr>
          <w:t>56</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68" w:history="1">
        <w:r w:rsidR="00815CF9" w:rsidRPr="00DA63F7">
          <w:rPr>
            <w:rStyle w:val="Hypertextovodkaz"/>
            <w:noProof/>
          </w:rPr>
          <w:t>3.1.6</w:t>
        </w:r>
        <w:r w:rsidR="00815CF9">
          <w:rPr>
            <w:rFonts w:asciiTheme="minorHAnsi" w:eastAsiaTheme="minorEastAsia" w:hAnsiTheme="minorHAnsi" w:cstheme="minorBidi"/>
            <w:noProof/>
            <w:lang w:eastAsia="cs-CZ"/>
          </w:rPr>
          <w:tab/>
        </w:r>
        <w:r w:rsidR="00815CF9" w:rsidRPr="00DA63F7">
          <w:rPr>
            <w:rStyle w:val="Hypertextovodkaz"/>
            <w:noProof/>
          </w:rPr>
          <w:t>D</w:t>
        </w:r>
        <w:r w:rsidR="00815CF9" w:rsidRPr="00DA63F7">
          <w:rPr>
            <w:rStyle w:val="Hypertextovodkaz"/>
            <w:noProof/>
            <w:spacing w:val="1"/>
          </w:rPr>
          <w:t>o</w:t>
        </w:r>
        <w:r w:rsidR="00815CF9" w:rsidRPr="00DA63F7">
          <w:rPr>
            <w:rStyle w:val="Hypertextovodkaz"/>
            <w:noProof/>
          </w:rPr>
          <w:t>hoda</w:t>
        </w:r>
        <w:r w:rsidR="00815CF9" w:rsidRPr="00DA63F7">
          <w:rPr>
            <w:rStyle w:val="Hypertextovodkaz"/>
            <w:noProof/>
            <w:spacing w:val="-7"/>
          </w:rPr>
          <w:t xml:space="preserve"> </w:t>
        </w:r>
        <w:r w:rsidR="00815CF9" w:rsidRPr="00DA63F7">
          <w:rPr>
            <w:rStyle w:val="Hypertextovodkaz"/>
            <w:noProof/>
          </w:rPr>
          <w:t>o</w:t>
        </w:r>
        <w:r w:rsidR="00815CF9" w:rsidRPr="00DA63F7">
          <w:rPr>
            <w:rStyle w:val="Hypertextovodkaz"/>
            <w:noProof/>
            <w:spacing w:val="-1"/>
          </w:rPr>
          <w:t xml:space="preserve"> </w:t>
        </w:r>
        <w:r w:rsidR="00815CF9" w:rsidRPr="00DA63F7">
          <w:rPr>
            <w:rStyle w:val="Hypertextovodkaz"/>
            <w:noProof/>
            <w:spacing w:val="1"/>
          </w:rPr>
          <w:t>f</w:t>
        </w:r>
        <w:r w:rsidR="00815CF9" w:rsidRPr="00DA63F7">
          <w:rPr>
            <w:rStyle w:val="Hypertextovodkaz"/>
            <w:noProof/>
          </w:rPr>
          <w:t>ina</w:t>
        </w:r>
        <w:r w:rsidR="00815CF9" w:rsidRPr="00DA63F7">
          <w:rPr>
            <w:rStyle w:val="Hypertextovodkaz"/>
            <w:noProof/>
            <w:spacing w:val="1"/>
          </w:rPr>
          <w:t>n</w:t>
        </w:r>
        <w:r w:rsidR="00815CF9" w:rsidRPr="00DA63F7">
          <w:rPr>
            <w:rStyle w:val="Hypertextovodkaz"/>
            <w:noProof/>
          </w:rPr>
          <w:t>co</w:t>
        </w:r>
        <w:r w:rsidR="00815CF9" w:rsidRPr="00DA63F7">
          <w:rPr>
            <w:rStyle w:val="Hypertextovodkaz"/>
            <w:noProof/>
            <w:spacing w:val="2"/>
          </w:rPr>
          <w:t>v</w:t>
        </w:r>
        <w:r w:rsidR="00815CF9" w:rsidRPr="00DA63F7">
          <w:rPr>
            <w:rStyle w:val="Hypertextovodkaz"/>
            <w:noProof/>
          </w:rPr>
          <w:t>ání</w:t>
        </w:r>
        <w:r w:rsidR="00815CF9">
          <w:rPr>
            <w:noProof/>
            <w:webHidden/>
          </w:rPr>
          <w:tab/>
        </w:r>
        <w:r w:rsidR="00815CF9">
          <w:rPr>
            <w:noProof/>
            <w:webHidden/>
          </w:rPr>
          <w:fldChar w:fldCharType="begin"/>
        </w:r>
        <w:r w:rsidR="00815CF9">
          <w:rPr>
            <w:noProof/>
            <w:webHidden/>
          </w:rPr>
          <w:instrText xml:space="preserve"> PAGEREF _Toc410115468 \h </w:instrText>
        </w:r>
        <w:r w:rsidR="00815CF9">
          <w:rPr>
            <w:noProof/>
            <w:webHidden/>
          </w:rPr>
        </w:r>
        <w:r w:rsidR="00815CF9">
          <w:rPr>
            <w:noProof/>
            <w:webHidden/>
          </w:rPr>
          <w:fldChar w:fldCharType="separate"/>
        </w:r>
        <w:r>
          <w:rPr>
            <w:noProof/>
            <w:webHidden/>
          </w:rPr>
          <w:t>56</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69" w:history="1">
        <w:r w:rsidR="00815CF9" w:rsidRPr="00DA63F7">
          <w:rPr>
            <w:rStyle w:val="Hypertextovodkaz"/>
            <w:noProof/>
          </w:rPr>
          <w:t>3.2</w:t>
        </w:r>
        <w:r w:rsidR="00815CF9">
          <w:rPr>
            <w:rFonts w:asciiTheme="minorHAnsi" w:eastAsiaTheme="minorEastAsia" w:hAnsiTheme="minorHAnsi" w:cstheme="minorBidi"/>
            <w:noProof/>
            <w:lang w:eastAsia="cs-CZ"/>
          </w:rPr>
          <w:tab/>
        </w:r>
        <w:r w:rsidR="00815CF9" w:rsidRPr="00DA63F7">
          <w:rPr>
            <w:rStyle w:val="Hypertextovodkaz"/>
            <w:noProof/>
          </w:rPr>
          <w:t>Typy zapojených subjektů</w:t>
        </w:r>
        <w:r w:rsidR="00815CF9">
          <w:rPr>
            <w:noProof/>
            <w:webHidden/>
          </w:rPr>
          <w:tab/>
        </w:r>
        <w:r w:rsidR="00815CF9">
          <w:rPr>
            <w:noProof/>
            <w:webHidden/>
          </w:rPr>
          <w:fldChar w:fldCharType="begin"/>
        </w:r>
        <w:r w:rsidR="00815CF9">
          <w:rPr>
            <w:noProof/>
            <w:webHidden/>
          </w:rPr>
          <w:instrText xml:space="preserve"> PAGEREF _Toc410115469 \h </w:instrText>
        </w:r>
        <w:r w:rsidR="00815CF9">
          <w:rPr>
            <w:noProof/>
            <w:webHidden/>
          </w:rPr>
        </w:r>
        <w:r w:rsidR="00815CF9">
          <w:rPr>
            <w:noProof/>
            <w:webHidden/>
          </w:rPr>
          <w:fldChar w:fldCharType="separate"/>
        </w:r>
        <w:r>
          <w:rPr>
            <w:noProof/>
            <w:webHidden/>
          </w:rPr>
          <w:t>57</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70" w:history="1">
        <w:r w:rsidR="00815CF9" w:rsidRPr="00DA63F7">
          <w:rPr>
            <w:rStyle w:val="Hypertextovodkaz"/>
            <w:noProof/>
          </w:rPr>
          <w:t>3.2.1</w:t>
        </w:r>
        <w:r w:rsidR="00815CF9">
          <w:rPr>
            <w:rFonts w:asciiTheme="minorHAnsi" w:eastAsiaTheme="minorEastAsia" w:hAnsiTheme="minorHAnsi" w:cstheme="minorBidi"/>
            <w:noProof/>
            <w:lang w:eastAsia="cs-CZ"/>
          </w:rPr>
          <w:tab/>
        </w:r>
        <w:r w:rsidR="00815CF9" w:rsidRPr="00DA63F7">
          <w:rPr>
            <w:rStyle w:val="Hypertextovodkaz"/>
            <w:noProof/>
          </w:rPr>
          <w:t>Fond fondů</w:t>
        </w:r>
        <w:r w:rsidR="00815CF9">
          <w:rPr>
            <w:noProof/>
            <w:webHidden/>
          </w:rPr>
          <w:tab/>
        </w:r>
        <w:r w:rsidR="00815CF9">
          <w:rPr>
            <w:noProof/>
            <w:webHidden/>
          </w:rPr>
          <w:fldChar w:fldCharType="begin"/>
        </w:r>
        <w:r w:rsidR="00815CF9">
          <w:rPr>
            <w:noProof/>
            <w:webHidden/>
          </w:rPr>
          <w:instrText xml:space="preserve"> PAGEREF _Toc410115470 \h </w:instrText>
        </w:r>
        <w:r w:rsidR="00815CF9">
          <w:rPr>
            <w:noProof/>
            <w:webHidden/>
          </w:rPr>
        </w:r>
        <w:r w:rsidR="00815CF9">
          <w:rPr>
            <w:noProof/>
            <w:webHidden/>
          </w:rPr>
          <w:fldChar w:fldCharType="separate"/>
        </w:r>
        <w:r>
          <w:rPr>
            <w:noProof/>
            <w:webHidden/>
          </w:rPr>
          <w:t>57</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71" w:history="1">
        <w:r w:rsidR="00815CF9" w:rsidRPr="00DA63F7">
          <w:rPr>
            <w:rStyle w:val="Hypertextovodkaz"/>
            <w:noProof/>
          </w:rPr>
          <w:t>3.2.2</w:t>
        </w:r>
        <w:r w:rsidR="00815CF9">
          <w:rPr>
            <w:rFonts w:asciiTheme="minorHAnsi" w:eastAsiaTheme="minorEastAsia" w:hAnsiTheme="minorHAnsi" w:cstheme="minorBidi"/>
            <w:noProof/>
            <w:lang w:eastAsia="cs-CZ"/>
          </w:rPr>
          <w:tab/>
        </w:r>
        <w:r w:rsidR="00815CF9" w:rsidRPr="00DA63F7">
          <w:rPr>
            <w:rStyle w:val="Hypertextovodkaz"/>
            <w:noProof/>
          </w:rPr>
          <w:t>Finanční zprostředkovatelé</w:t>
        </w:r>
        <w:r w:rsidR="00815CF9">
          <w:rPr>
            <w:noProof/>
            <w:webHidden/>
          </w:rPr>
          <w:tab/>
        </w:r>
        <w:r w:rsidR="00815CF9">
          <w:rPr>
            <w:noProof/>
            <w:webHidden/>
          </w:rPr>
          <w:fldChar w:fldCharType="begin"/>
        </w:r>
        <w:r w:rsidR="00815CF9">
          <w:rPr>
            <w:noProof/>
            <w:webHidden/>
          </w:rPr>
          <w:instrText xml:space="preserve"> PAGEREF _Toc410115471 \h </w:instrText>
        </w:r>
        <w:r w:rsidR="00815CF9">
          <w:rPr>
            <w:noProof/>
            <w:webHidden/>
          </w:rPr>
        </w:r>
        <w:r w:rsidR="00815CF9">
          <w:rPr>
            <w:noProof/>
            <w:webHidden/>
          </w:rPr>
          <w:fldChar w:fldCharType="separate"/>
        </w:r>
        <w:r>
          <w:rPr>
            <w:noProof/>
            <w:webHidden/>
          </w:rPr>
          <w:t>58</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72" w:history="1">
        <w:r w:rsidR="00815CF9" w:rsidRPr="00DA63F7">
          <w:rPr>
            <w:rStyle w:val="Hypertextovodkaz"/>
            <w:noProof/>
          </w:rPr>
          <w:t>3.3</w:t>
        </w:r>
        <w:r w:rsidR="00815CF9">
          <w:rPr>
            <w:rFonts w:asciiTheme="minorHAnsi" w:eastAsiaTheme="minorEastAsia" w:hAnsiTheme="minorHAnsi" w:cstheme="minorBidi"/>
            <w:noProof/>
            <w:lang w:eastAsia="cs-CZ"/>
          </w:rPr>
          <w:tab/>
        </w:r>
        <w:r w:rsidR="00815CF9" w:rsidRPr="00DA63F7">
          <w:rPr>
            <w:rStyle w:val="Hypertextovodkaz"/>
            <w:noProof/>
          </w:rPr>
          <w:t>Možné varianty uspořádání implementace finančních nástrojů</w:t>
        </w:r>
        <w:r w:rsidR="00815CF9">
          <w:rPr>
            <w:noProof/>
            <w:webHidden/>
          </w:rPr>
          <w:tab/>
        </w:r>
        <w:r w:rsidR="00815CF9">
          <w:rPr>
            <w:noProof/>
            <w:webHidden/>
          </w:rPr>
          <w:fldChar w:fldCharType="begin"/>
        </w:r>
        <w:r w:rsidR="00815CF9">
          <w:rPr>
            <w:noProof/>
            <w:webHidden/>
          </w:rPr>
          <w:instrText xml:space="preserve"> PAGEREF _Toc410115472 \h </w:instrText>
        </w:r>
        <w:r w:rsidR="00815CF9">
          <w:rPr>
            <w:noProof/>
            <w:webHidden/>
          </w:rPr>
        </w:r>
        <w:r w:rsidR="00815CF9">
          <w:rPr>
            <w:noProof/>
            <w:webHidden/>
          </w:rPr>
          <w:fldChar w:fldCharType="separate"/>
        </w:r>
        <w:r>
          <w:rPr>
            <w:noProof/>
            <w:webHidden/>
          </w:rPr>
          <w:t>59</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73" w:history="1">
        <w:r w:rsidR="00815CF9" w:rsidRPr="00DA63F7">
          <w:rPr>
            <w:rStyle w:val="Hypertextovodkaz"/>
            <w:noProof/>
          </w:rPr>
          <w:t>3.3.1</w:t>
        </w:r>
        <w:r w:rsidR="00815CF9">
          <w:rPr>
            <w:rFonts w:asciiTheme="minorHAnsi" w:eastAsiaTheme="minorEastAsia" w:hAnsiTheme="minorHAnsi" w:cstheme="minorBidi"/>
            <w:noProof/>
            <w:lang w:eastAsia="cs-CZ"/>
          </w:rPr>
          <w:tab/>
        </w:r>
        <w:r w:rsidR="00815CF9" w:rsidRPr="00DA63F7">
          <w:rPr>
            <w:rStyle w:val="Hypertextovodkaz"/>
            <w:noProof/>
          </w:rPr>
          <w:t>Vklady do IFN zřízených na úrovni EU, spravované přímo nebo nepřímo EK</w:t>
        </w:r>
        <w:r w:rsidR="00815CF9">
          <w:rPr>
            <w:noProof/>
            <w:webHidden/>
          </w:rPr>
          <w:tab/>
        </w:r>
        <w:r w:rsidR="00815CF9">
          <w:rPr>
            <w:noProof/>
            <w:webHidden/>
          </w:rPr>
          <w:fldChar w:fldCharType="begin"/>
        </w:r>
        <w:r w:rsidR="00815CF9">
          <w:rPr>
            <w:noProof/>
            <w:webHidden/>
          </w:rPr>
          <w:instrText xml:space="preserve"> PAGEREF _Toc410115473 \h </w:instrText>
        </w:r>
        <w:r w:rsidR="00815CF9">
          <w:rPr>
            <w:noProof/>
            <w:webHidden/>
          </w:rPr>
        </w:r>
        <w:r w:rsidR="00815CF9">
          <w:rPr>
            <w:noProof/>
            <w:webHidden/>
          </w:rPr>
          <w:fldChar w:fldCharType="separate"/>
        </w:r>
        <w:r>
          <w:rPr>
            <w:noProof/>
            <w:webHidden/>
          </w:rPr>
          <w:t>59</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74" w:history="1">
        <w:r w:rsidR="00815CF9" w:rsidRPr="00DA63F7">
          <w:rPr>
            <w:rStyle w:val="Hypertextovodkaz"/>
            <w:noProof/>
          </w:rPr>
          <w:t>3.3.2</w:t>
        </w:r>
        <w:r w:rsidR="00815CF9">
          <w:rPr>
            <w:rFonts w:asciiTheme="minorHAnsi" w:eastAsiaTheme="minorEastAsia" w:hAnsiTheme="minorHAnsi" w:cstheme="minorBidi"/>
            <w:noProof/>
            <w:lang w:eastAsia="cs-CZ"/>
          </w:rPr>
          <w:tab/>
        </w:r>
        <w:r w:rsidR="00815CF9" w:rsidRPr="00DA63F7">
          <w:rPr>
            <w:rStyle w:val="Hypertextovodkaz"/>
            <w:noProof/>
          </w:rPr>
          <w:t>Investice do kapitálu stávajících nebo nově vytvořených právnických osob, které se věnují provádění IFI</w:t>
        </w:r>
        <w:r w:rsidR="00815CF9">
          <w:rPr>
            <w:noProof/>
            <w:webHidden/>
          </w:rPr>
          <w:tab/>
        </w:r>
        <w:r w:rsidR="00815CF9">
          <w:rPr>
            <w:noProof/>
            <w:webHidden/>
          </w:rPr>
          <w:fldChar w:fldCharType="begin"/>
        </w:r>
        <w:r w:rsidR="00815CF9">
          <w:rPr>
            <w:noProof/>
            <w:webHidden/>
          </w:rPr>
          <w:instrText xml:space="preserve"> PAGEREF _Toc410115474 \h </w:instrText>
        </w:r>
        <w:r w:rsidR="00815CF9">
          <w:rPr>
            <w:noProof/>
            <w:webHidden/>
          </w:rPr>
        </w:r>
        <w:r w:rsidR="00815CF9">
          <w:rPr>
            <w:noProof/>
            <w:webHidden/>
          </w:rPr>
          <w:fldChar w:fldCharType="separate"/>
        </w:r>
        <w:r>
          <w:rPr>
            <w:noProof/>
            <w:webHidden/>
          </w:rPr>
          <w:t>60</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75" w:history="1">
        <w:r w:rsidR="00815CF9" w:rsidRPr="00DA63F7">
          <w:rPr>
            <w:rStyle w:val="Hypertextovodkaz"/>
            <w:noProof/>
          </w:rPr>
          <w:t>3.3.3</w:t>
        </w:r>
        <w:r w:rsidR="00815CF9">
          <w:rPr>
            <w:rFonts w:asciiTheme="minorHAnsi" w:eastAsiaTheme="minorEastAsia" w:hAnsiTheme="minorHAnsi" w:cstheme="minorBidi"/>
            <w:noProof/>
            <w:lang w:eastAsia="cs-CZ"/>
          </w:rPr>
          <w:tab/>
        </w:r>
        <w:r w:rsidR="00815CF9" w:rsidRPr="00DA63F7">
          <w:rPr>
            <w:rStyle w:val="Hypertextovodkaz"/>
            <w:noProof/>
          </w:rPr>
          <w:t>Realizace prováděcích úkonů přímo řídícím orgánem</w:t>
        </w:r>
        <w:r w:rsidR="00815CF9">
          <w:rPr>
            <w:noProof/>
            <w:webHidden/>
          </w:rPr>
          <w:tab/>
        </w:r>
        <w:r w:rsidR="00815CF9">
          <w:rPr>
            <w:noProof/>
            <w:webHidden/>
          </w:rPr>
          <w:fldChar w:fldCharType="begin"/>
        </w:r>
        <w:r w:rsidR="00815CF9">
          <w:rPr>
            <w:noProof/>
            <w:webHidden/>
          </w:rPr>
          <w:instrText xml:space="preserve"> PAGEREF _Toc410115475 \h </w:instrText>
        </w:r>
        <w:r w:rsidR="00815CF9">
          <w:rPr>
            <w:noProof/>
            <w:webHidden/>
          </w:rPr>
        </w:r>
        <w:r w:rsidR="00815CF9">
          <w:rPr>
            <w:noProof/>
            <w:webHidden/>
          </w:rPr>
          <w:fldChar w:fldCharType="separate"/>
        </w:r>
        <w:r>
          <w:rPr>
            <w:noProof/>
            <w:webHidden/>
          </w:rPr>
          <w:t>60</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76" w:history="1">
        <w:r w:rsidR="00815CF9" w:rsidRPr="00DA63F7">
          <w:rPr>
            <w:rStyle w:val="Hypertextovodkaz"/>
            <w:noProof/>
          </w:rPr>
          <w:t>3.4</w:t>
        </w:r>
        <w:r w:rsidR="00815CF9">
          <w:rPr>
            <w:rFonts w:asciiTheme="minorHAnsi" w:eastAsiaTheme="minorEastAsia" w:hAnsiTheme="minorHAnsi" w:cstheme="minorBidi"/>
            <w:noProof/>
            <w:lang w:eastAsia="cs-CZ"/>
          </w:rPr>
          <w:tab/>
        </w:r>
        <w:r w:rsidR="00815CF9" w:rsidRPr="00DA63F7">
          <w:rPr>
            <w:rStyle w:val="Hypertextovodkaz"/>
            <w:noProof/>
          </w:rPr>
          <w:t>Svěření provádění úkonů jinému subjektu - varianty se správcem fondu nebo bez správce Fondu fondů</w:t>
        </w:r>
        <w:r w:rsidR="00815CF9">
          <w:rPr>
            <w:noProof/>
            <w:webHidden/>
          </w:rPr>
          <w:tab/>
        </w:r>
        <w:r w:rsidR="00815CF9">
          <w:rPr>
            <w:noProof/>
            <w:webHidden/>
          </w:rPr>
          <w:fldChar w:fldCharType="begin"/>
        </w:r>
        <w:r w:rsidR="00815CF9">
          <w:rPr>
            <w:noProof/>
            <w:webHidden/>
          </w:rPr>
          <w:instrText xml:space="preserve"> PAGEREF _Toc410115476 \h </w:instrText>
        </w:r>
        <w:r w:rsidR="00815CF9">
          <w:rPr>
            <w:noProof/>
            <w:webHidden/>
          </w:rPr>
        </w:r>
        <w:r w:rsidR="00815CF9">
          <w:rPr>
            <w:noProof/>
            <w:webHidden/>
          </w:rPr>
          <w:fldChar w:fldCharType="separate"/>
        </w:r>
        <w:r>
          <w:rPr>
            <w:noProof/>
            <w:webHidden/>
          </w:rPr>
          <w:t>61</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77" w:history="1">
        <w:r w:rsidR="00815CF9" w:rsidRPr="00DA63F7">
          <w:rPr>
            <w:rStyle w:val="Hypertextovodkaz"/>
            <w:noProof/>
          </w:rPr>
          <w:t>4</w:t>
        </w:r>
        <w:r w:rsidR="00815CF9">
          <w:rPr>
            <w:rFonts w:asciiTheme="minorHAnsi" w:eastAsiaTheme="minorEastAsia" w:hAnsiTheme="minorHAnsi" w:cstheme="minorBidi"/>
            <w:noProof/>
            <w:lang w:eastAsia="cs-CZ"/>
          </w:rPr>
          <w:tab/>
        </w:r>
        <w:r w:rsidR="00815CF9" w:rsidRPr="00DA63F7">
          <w:rPr>
            <w:rStyle w:val="Hypertextovodkaz"/>
            <w:noProof/>
          </w:rPr>
          <w:t>Centralizované a decentralizované řešení implementace IFN s FF</w:t>
        </w:r>
        <w:r w:rsidR="00815CF9">
          <w:rPr>
            <w:noProof/>
            <w:webHidden/>
          </w:rPr>
          <w:tab/>
        </w:r>
        <w:r w:rsidR="00815CF9">
          <w:rPr>
            <w:noProof/>
            <w:webHidden/>
          </w:rPr>
          <w:fldChar w:fldCharType="begin"/>
        </w:r>
        <w:r w:rsidR="00815CF9">
          <w:rPr>
            <w:noProof/>
            <w:webHidden/>
          </w:rPr>
          <w:instrText xml:space="preserve"> PAGEREF _Toc410115477 \h </w:instrText>
        </w:r>
        <w:r w:rsidR="00815CF9">
          <w:rPr>
            <w:noProof/>
            <w:webHidden/>
          </w:rPr>
        </w:r>
        <w:r w:rsidR="00815CF9">
          <w:rPr>
            <w:noProof/>
            <w:webHidden/>
          </w:rPr>
          <w:fldChar w:fldCharType="separate"/>
        </w:r>
        <w:r>
          <w:rPr>
            <w:noProof/>
            <w:webHidden/>
          </w:rPr>
          <w:t>63</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78" w:history="1">
        <w:r w:rsidR="00815CF9" w:rsidRPr="00DA63F7">
          <w:rPr>
            <w:rStyle w:val="Hypertextovodkaz"/>
            <w:noProof/>
          </w:rPr>
          <w:t>4.1</w:t>
        </w:r>
        <w:r w:rsidR="00815CF9">
          <w:rPr>
            <w:rFonts w:asciiTheme="minorHAnsi" w:eastAsiaTheme="minorEastAsia" w:hAnsiTheme="minorHAnsi" w:cstheme="minorBidi"/>
            <w:noProof/>
            <w:lang w:eastAsia="cs-CZ"/>
          </w:rPr>
          <w:tab/>
        </w:r>
        <w:r w:rsidR="00815CF9" w:rsidRPr="00DA63F7">
          <w:rPr>
            <w:rStyle w:val="Hypertextovodkaz"/>
            <w:noProof/>
          </w:rPr>
          <w:t>Decentralizovaná varianta</w:t>
        </w:r>
        <w:r w:rsidR="00815CF9">
          <w:rPr>
            <w:noProof/>
            <w:webHidden/>
          </w:rPr>
          <w:tab/>
        </w:r>
        <w:r w:rsidR="00815CF9">
          <w:rPr>
            <w:noProof/>
            <w:webHidden/>
          </w:rPr>
          <w:fldChar w:fldCharType="begin"/>
        </w:r>
        <w:r w:rsidR="00815CF9">
          <w:rPr>
            <w:noProof/>
            <w:webHidden/>
          </w:rPr>
          <w:instrText xml:space="preserve"> PAGEREF _Toc410115478 \h </w:instrText>
        </w:r>
        <w:r w:rsidR="00815CF9">
          <w:rPr>
            <w:noProof/>
            <w:webHidden/>
          </w:rPr>
        </w:r>
        <w:r w:rsidR="00815CF9">
          <w:rPr>
            <w:noProof/>
            <w:webHidden/>
          </w:rPr>
          <w:fldChar w:fldCharType="separate"/>
        </w:r>
        <w:r>
          <w:rPr>
            <w:noProof/>
            <w:webHidden/>
          </w:rPr>
          <w:t>63</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79" w:history="1">
        <w:r w:rsidR="00815CF9" w:rsidRPr="00DA63F7">
          <w:rPr>
            <w:rStyle w:val="Hypertextovodkaz"/>
            <w:noProof/>
          </w:rPr>
          <w:t>4.2</w:t>
        </w:r>
        <w:r w:rsidR="00815CF9">
          <w:rPr>
            <w:rFonts w:asciiTheme="minorHAnsi" w:eastAsiaTheme="minorEastAsia" w:hAnsiTheme="minorHAnsi" w:cstheme="minorBidi"/>
            <w:noProof/>
            <w:lang w:eastAsia="cs-CZ"/>
          </w:rPr>
          <w:tab/>
        </w:r>
        <w:r w:rsidR="00815CF9" w:rsidRPr="00DA63F7">
          <w:rPr>
            <w:rStyle w:val="Hypertextovodkaz"/>
            <w:noProof/>
          </w:rPr>
          <w:t>Centralizovaná varianta</w:t>
        </w:r>
        <w:r w:rsidR="00815CF9">
          <w:rPr>
            <w:noProof/>
            <w:webHidden/>
          </w:rPr>
          <w:tab/>
        </w:r>
        <w:r w:rsidR="00815CF9">
          <w:rPr>
            <w:noProof/>
            <w:webHidden/>
          </w:rPr>
          <w:fldChar w:fldCharType="begin"/>
        </w:r>
        <w:r w:rsidR="00815CF9">
          <w:rPr>
            <w:noProof/>
            <w:webHidden/>
          </w:rPr>
          <w:instrText xml:space="preserve"> PAGEREF _Toc410115479 \h </w:instrText>
        </w:r>
        <w:r w:rsidR="00815CF9">
          <w:rPr>
            <w:noProof/>
            <w:webHidden/>
          </w:rPr>
        </w:r>
        <w:r w:rsidR="00815CF9">
          <w:rPr>
            <w:noProof/>
            <w:webHidden/>
          </w:rPr>
          <w:fldChar w:fldCharType="separate"/>
        </w:r>
        <w:r>
          <w:rPr>
            <w:noProof/>
            <w:webHidden/>
          </w:rPr>
          <w:t>65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80" w:history="1">
        <w:r w:rsidR="00815CF9" w:rsidRPr="00DA63F7">
          <w:rPr>
            <w:rStyle w:val="Hypertextovodkaz"/>
            <w:noProof/>
          </w:rPr>
          <w:t>4.2.2</w:t>
        </w:r>
        <w:r w:rsidR="00815CF9">
          <w:rPr>
            <w:rFonts w:asciiTheme="minorHAnsi" w:eastAsiaTheme="minorEastAsia" w:hAnsiTheme="minorHAnsi" w:cstheme="minorBidi"/>
            <w:noProof/>
            <w:lang w:eastAsia="cs-CZ"/>
          </w:rPr>
          <w:tab/>
        </w:r>
        <w:r w:rsidR="00815CF9" w:rsidRPr="00DA63F7">
          <w:rPr>
            <w:rStyle w:val="Hypertextovodkaz"/>
            <w:noProof/>
          </w:rPr>
          <w:t>Centralizovaná varianta na národní úrovni</w:t>
        </w:r>
        <w:r w:rsidR="00815CF9">
          <w:rPr>
            <w:noProof/>
            <w:webHidden/>
          </w:rPr>
          <w:tab/>
        </w:r>
        <w:r w:rsidR="00815CF9">
          <w:rPr>
            <w:noProof/>
            <w:webHidden/>
          </w:rPr>
          <w:fldChar w:fldCharType="begin"/>
        </w:r>
        <w:r w:rsidR="00815CF9">
          <w:rPr>
            <w:noProof/>
            <w:webHidden/>
          </w:rPr>
          <w:instrText xml:space="preserve"> PAGEREF _Toc410115480 \h </w:instrText>
        </w:r>
        <w:r w:rsidR="00815CF9">
          <w:rPr>
            <w:noProof/>
            <w:webHidden/>
          </w:rPr>
        </w:r>
        <w:r w:rsidR="00815CF9">
          <w:rPr>
            <w:noProof/>
            <w:webHidden/>
          </w:rPr>
          <w:fldChar w:fldCharType="separate"/>
        </w:r>
        <w:r>
          <w:rPr>
            <w:noProof/>
            <w:webHidden/>
          </w:rPr>
          <w:t>68</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81" w:history="1">
        <w:r w:rsidR="00815CF9" w:rsidRPr="00DA63F7">
          <w:rPr>
            <w:rStyle w:val="Hypertextovodkaz"/>
            <w:noProof/>
          </w:rPr>
          <w:t>5</w:t>
        </w:r>
        <w:r w:rsidR="00815CF9">
          <w:rPr>
            <w:rFonts w:asciiTheme="minorHAnsi" w:eastAsiaTheme="minorEastAsia" w:hAnsiTheme="minorHAnsi" w:cstheme="minorBidi"/>
            <w:noProof/>
            <w:lang w:eastAsia="cs-CZ"/>
          </w:rPr>
          <w:tab/>
        </w:r>
        <w:r w:rsidR="00815CF9" w:rsidRPr="00DA63F7">
          <w:rPr>
            <w:rStyle w:val="Hypertextovodkaz"/>
            <w:noProof/>
          </w:rPr>
          <w:t>Požadovaná funkčnost modelu implementace IFN</w:t>
        </w:r>
        <w:r w:rsidR="00815CF9">
          <w:rPr>
            <w:noProof/>
            <w:webHidden/>
          </w:rPr>
          <w:tab/>
        </w:r>
        <w:r w:rsidR="00815CF9">
          <w:rPr>
            <w:noProof/>
            <w:webHidden/>
          </w:rPr>
          <w:fldChar w:fldCharType="begin"/>
        </w:r>
        <w:r w:rsidR="00815CF9">
          <w:rPr>
            <w:noProof/>
            <w:webHidden/>
          </w:rPr>
          <w:instrText xml:space="preserve"> PAGEREF _Toc410115481 \h </w:instrText>
        </w:r>
        <w:r w:rsidR="00815CF9">
          <w:rPr>
            <w:noProof/>
            <w:webHidden/>
          </w:rPr>
        </w:r>
        <w:r w:rsidR="00815CF9">
          <w:rPr>
            <w:noProof/>
            <w:webHidden/>
          </w:rPr>
          <w:fldChar w:fldCharType="separate"/>
        </w:r>
        <w:r>
          <w:rPr>
            <w:noProof/>
            <w:webHidden/>
          </w:rPr>
          <w:t>73</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82" w:history="1">
        <w:r w:rsidR="00815CF9" w:rsidRPr="00DA63F7">
          <w:rPr>
            <w:rStyle w:val="Hypertextovodkaz"/>
            <w:noProof/>
          </w:rPr>
          <w:t>5.1</w:t>
        </w:r>
        <w:r w:rsidR="00815CF9">
          <w:rPr>
            <w:rFonts w:asciiTheme="minorHAnsi" w:eastAsiaTheme="minorEastAsia" w:hAnsiTheme="minorHAnsi" w:cstheme="minorBidi"/>
            <w:noProof/>
            <w:lang w:eastAsia="cs-CZ"/>
          </w:rPr>
          <w:tab/>
        </w:r>
        <w:r w:rsidR="00815CF9" w:rsidRPr="00DA63F7">
          <w:rPr>
            <w:rStyle w:val="Hypertextovodkaz"/>
            <w:noProof/>
          </w:rPr>
          <w:t>Centralizované řešení se správcem Fondu fondů formou in house řešení</w:t>
        </w:r>
        <w:r w:rsidR="00815CF9">
          <w:rPr>
            <w:noProof/>
            <w:webHidden/>
          </w:rPr>
          <w:tab/>
        </w:r>
        <w:r w:rsidR="00815CF9">
          <w:rPr>
            <w:noProof/>
            <w:webHidden/>
          </w:rPr>
          <w:fldChar w:fldCharType="begin"/>
        </w:r>
        <w:r w:rsidR="00815CF9">
          <w:rPr>
            <w:noProof/>
            <w:webHidden/>
          </w:rPr>
          <w:instrText xml:space="preserve"> PAGEREF _Toc410115482 \h </w:instrText>
        </w:r>
        <w:r w:rsidR="00815CF9">
          <w:rPr>
            <w:noProof/>
            <w:webHidden/>
          </w:rPr>
        </w:r>
        <w:r w:rsidR="00815CF9">
          <w:rPr>
            <w:noProof/>
            <w:webHidden/>
          </w:rPr>
          <w:fldChar w:fldCharType="separate"/>
        </w:r>
        <w:r>
          <w:rPr>
            <w:noProof/>
            <w:webHidden/>
          </w:rPr>
          <w:t>73</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83" w:history="1">
        <w:r w:rsidR="00815CF9" w:rsidRPr="00DA63F7">
          <w:rPr>
            <w:rStyle w:val="Hypertextovodkaz"/>
            <w:noProof/>
          </w:rPr>
          <w:t>5.1.1</w:t>
        </w:r>
        <w:r w:rsidR="00815CF9">
          <w:rPr>
            <w:rFonts w:asciiTheme="minorHAnsi" w:eastAsiaTheme="minorEastAsia" w:hAnsiTheme="minorHAnsi" w:cstheme="minorBidi"/>
            <w:noProof/>
            <w:lang w:eastAsia="cs-CZ"/>
          </w:rPr>
          <w:tab/>
        </w:r>
        <w:r w:rsidR="00815CF9" w:rsidRPr="00DA63F7">
          <w:rPr>
            <w:rStyle w:val="Hypertextovodkaz"/>
            <w:noProof/>
          </w:rPr>
          <w:t>Popis funkce centralizovaného in house řešení</w:t>
        </w:r>
        <w:r w:rsidR="00815CF9">
          <w:rPr>
            <w:noProof/>
            <w:webHidden/>
          </w:rPr>
          <w:tab/>
        </w:r>
        <w:r w:rsidR="00815CF9">
          <w:rPr>
            <w:noProof/>
            <w:webHidden/>
          </w:rPr>
          <w:fldChar w:fldCharType="begin"/>
        </w:r>
        <w:r w:rsidR="00815CF9">
          <w:rPr>
            <w:noProof/>
            <w:webHidden/>
          </w:rPr>
          <w:instrText xml:space="preserve"> PAGEREF _Toc410115483 \h </w:instrText>
        </w:r>
        <w:r w:rsidR="00815CF9">
          <w:rPr>
            <w:noProof/>
            <w:webHidden/>
          </w:rPr>
        </w:r>
        <w:r w:rsidR="00815CF9">
          <w:rPr>
            <w:noProof/>
            <w:webHidden/>
          </w:rPr>
          <w:fldChar w:fldCharType="separate"/>
        </w:r>
        <w:r>
          <w:rPr>
            <w:noProof/>
            <w:webHidden/>
          </w:rPr>
          <w:t>73</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84" w:history="1">
        <w:r w:rsidR="00815CF9" w:rsidRPr="00DA63F7">
          <w:rPr>
            <w:rStyle w:val="Hypertextovodkaz"/>
            <w:noProof/>
          </w:rPr>
          <w:t>5.1.2</w:t>
        </w:r>
        <w:r w:rsidR="00815CF9">
          <w:rPr>
            <w:rFonts w:asciiTheme="minorHAnsi" w:eastAsiaTheme="minorEastAsia" w:hAnsiTheme="minorHAnsi" w:cstheme="minorBidi"/>
            <w:noProof/>
            <w:lang w:eastAsia="cs-CZ"/>
          </w:rPr>
          <w:tab/>
        </w:r>
        <w:r w:rsidR="00815CF9" w:rsidRPr="00DA63F7">
          <w:rPr>
            <w:rStyle w:val="Hypertextovodkaz"/>
            <w:noProof/>
          </w:rPr>
          <w:t>Výhody centralizovaného řešení prostřednictvím subjektu ve vlastnictví státu</w:t>
        </w:r>
        <w:r w:rsidR="00815CF9">
          <w:rPr>
            <w:noProof/>
            <w:webHidden/>
          </w:rPr>
          <w:tab/>
        </w:r>
        <w:r w:rsidR="00815CF9">
          <w:rPr>
            <w:noProof/>
            <w:webHidden/>
          </w:rPr>
          <w:fldChar w:fldCharType="begin"/>
        </w:r>
        <w:r w:rsidR="00815CF9">
          <w:rPr>
            <w:noProof/>
            <w:webHidden/>
          </w:rPr>
          <w:instrText xml:space="preserve"> PAGEREF _Toc410115484 \h </w:instrText>
        </w:r>
        <w:r w:rsidR="00815CF9">
          <w:rPr>
            <w:noProof/>
            <w:webHidden/>
          </w:rPr>
        </w:r>
        <w:r w:rsidR="00815CF9">
          <w:rPr>
            <w:noProof/>
            <w:webHidden/>
          </w:rPr>
          <w:fldChar w:fldCharType="separate"/>
        </w:r>
        <w:r>
          <w:rPr>
            <w:noProof/>
            <w:webHidden/>
          </w:rPr>
          <w:t>75</w:t>
        </w:r>
        <w:r w:rsidR="00815CF9">
          <w:rPr>
            <w:noProof/>
            <w:webHidden/>
          </w:rPr>
          <w:fldChar w:fldCharType="end"/>
        </w:r>
      </w:hyperlink>
    </w:p>
    <w:p w:rsidR="00815CF9" w:rsidRDefault="006C5EA3">
      <w:pPr>
        <w:pStyle w:val="Obsah3"/>
        <w:rPr>
          <w:rFonts w:asciiTheme="minorHAnsi" w:eastAsiaTheme="minorEastAsia" w:hAnsiTheme="minorHAnsi" w:cstheme="minorBidi"/>
          <w:noProof/>
          <w:lang w:eastAsia="cs-CZ"/>
        </w:rPr>
      </w:pPr>
      <w:hyperlink w:anchor="_Toc410115485" w:history="1">
        <w:r w:rsidR="00815CF9" w:rsidRPr="00DA63F7">
          <w:rPr>
            <w:rStyle w:val="Hypertextovodkaz"/>
            <w:noProof/>
          </w:rPr>
          <w:t>5.1.3</w:t>
        </w:r>
        <w:r w:rsidR="00815CF9">
          <w:rPr>
            <w:rFonts w:asciiTheme="minorHAnsi" w:eastAsiaTheme="minorEastAsia" w:hAnsiTheme="minorHAnsi" w:cstheme="minorBidi"/>
            <w:noProof/>
            <w:lang w:eastAsia="cs-CZ"/>
          </w:rPr>
          <w:tab/>
        </w:r>
        <w:r w:rsidR="00815CF9" w:rsidRPr="00DA63F7">
          <w:rPr>
            <w:rStyle w:val="Hypertextovodkaz"/>
            <w:noProof/>
          </w:rPr>
          <w:t>Zdroje externího kapitálu a vhodné finanční instituce pro vlastní implementaci</w:t>
        </w:r>
        <w:r w:rsidR="00815CF9">
          <w:rPr>
            <w:noProof/>
            <w:webHidden/>
          </w:rPr>
          <w:tab/>
        </w:r>
        <w:r w:rsidR="00815CF9">
          <w:rPr>
            <w:noProof/>
            <w:webHidden/>
          </w:rPr>
          <w:fldChar w:fldCharType="begin"/>
        </w:r>
        <w:r w:rsidR="00815CF9">
          <w:rPr>
            <w:noProof/>
            <w:webHidden/>
          </w:rPr>
          <w:instrText xml:space="preserve"> PAGEREF _Toc410115485 \h </w:instrText>
        </w:r>
        <w:r w:rsidR="00815CF9">
          <w:rPr>
            <w:noProof/>
            <w:webHidden/>
          </w:rPr>
        </w:r>
        <w:r w:rsidR="00815CF9">
          <w:rPr>
            <w:noProof/>
            <w:webHidden/>
          </w:rPr>
          <w:fldChar w:fldCharType="separate"/>
        </w:r>
        <w:r>
          <w:rPr>
            <w:noProof/>
            <w:webHidden/>
          </w:rPr>
          <w:t>76</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86" w:history="1">
        <w:r w:rsidR="00815CF9" w:rsidRPr="00DA63F7">
          <w:rPr>
            <w:rStyle w:val="Hypertextovodkaz"/>
            <w:noProof/>
          </w:rPr>
          <w:t>6</w:t>
        </w:r>
        <w:r w:rsidR="00815CF9">
          <w:rPr>
            <w:rFonts w:asciiTheme="minorHAnsi" w:eastAsiaTheme="minorEastAsia" w:hAnsiTheme="minorHAnsi" w:cstheme="minorBidi"/>
            <w:noProof/>
            <w:lang w:eastAsia="cs-CZ"/>
          </w:rPr>
          <w:tab/>
        </w:r>
        <w:r w:rsidR="00815CF9" w:rsidRPr="00DA63F7">
          <w:rPr>
            <w:rStyle w:val="Hypertextovodkaz"/>
            <w:noProof/>
          </w:rPr>
          <w:t>Doporučované řešení</w:t>
        </w:r>
        <w:r w:rsidR="00815CF9">
          <w:rPr>
            <w:noProof/>
            <w:webHidden/>
          </w:rPr>
          <w:tab/>
        </w:r>
        <w:r w:rsidR="00815CF9">
          <w:rPr>
            <w:noProof/>
            <w:webHidden/>
          </w:rPr>
          <w:fldChar w:fldCharType="begin"/>
        </w:r>
        <w:r w:rsidR="00815CF9">
          <w:rPr>
            <w:noProof/>
            <w:webHidden/>
          </w:rPr>
          <w:instrText xml:space="preserve"> PAGEREF _Toc410115486 \h </w:instrText>
        </w:r>
        <w:r w:rsidR="00815CF9">
          <w:rPr>
            <w:noProof/>
            <w:webHidden/>
          </w:rPr>
        </w:r>
        <w:r w:rsidR="00815CF9">
          <w:rPr>
            <w:noProof/>
            <w:webHidden/>
          </w:rPr>
          <w:fldChar w:fldCharType="separate"/>
        </w:r>
        <w:r>
          <w:rPr>
            <w:noProof/>
            <w:webHidden/>
          </w:rPr>
          <w:t>78</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87" w:history="1">
        <w:r w:rsidR="00815CF9" w:rsidRPr="00DA63F7">
          <w:rPr>
            <w:rStyle w:val="Hypertextovodkaz"/>
            <w:noProof/>
          </w:rPr>
          <w:t>6.1</w:t>
        </w:r>
        <w:r w:rsidR="00815CF9">
          <w:rPr>
            <w:rFonts w:asciiTheme="minorHAnsi" w:eastAsiaTheme="minorEastAsia" w:hAnsiTheme="minorHAnsi" w:cstheme="minorBidi"/>
            <w:noProof/>
            <w:lang w:eastAsia="cs-CZ"/>
          </w:rPr>
          <w:tab/>
        </w:r>
        <w:r w:rsidR="00815CF9" w:rsidRPr="00DA63F7">
          <w:rPr>
            <w:rStyle w:val="Hypertextovodkaz"/>
            <w:noProof/>
          </w:rPr>
          <w:t>Návrh řešení</w:t>
        </w:r>
        <w:r w:rsidR="00815CF9">
          <w:rPr>
            <w:noProof/>
            <w:webHidden/>
          </w:rPr>
          <w:tab/>
        </w:r>
        <w:r w:rsidR="00815CF9">
          <w:rPr>
            <w:noProof/>
            <w:webHidden/>
          </w:rPr>
          <w:fldChar w:fldCharType="begin"/>
        </w:r>
        <w:r w:rsidR="00815CF9">
          <w:rPr>
            <w:noProof/>
            <w:webHidden/>
          </w:rPr>
          <w:instrText xml:space="preserve"> PAGEREF _Toc410115487 \h </w:instrText>
        </w:r>
        <w:r w:rsidR="00815CF9">
          <w:rPr>
            <w:noProof/>
            <w:webHidden/>
          </w:rPr>
        </w:r>
        <w:r w:rsidR="00815CF9">
          <w:rPr>
            <w:noProof/>
            <w:webHidden/>
          </w:rPr>
          <w:fldChar w:fldCharType="separate"/>
        </w:r>
        <w:r>
          <w:rPr>
            <w:noProof/>
            <w:webHidden/>
          </w:rPr>
          <w:t>78</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88" w:history="1">
        <w:r w:rsidR="00815CF9" w:rsidRPr="00DA63F7">
          <w:rPr>
            <w:rStyle w:val="Hypertextovodkaz"/>
            <w:noProof/>
          </w:rPr>
          <w:t>6.2</w:t>
        </w:r>
        <w:r w:rsidR="00815CF9">
          <w:rPr>
            <w:rFonts w:asciiTheme="minorHAnsi" w:eastAsiaTheme="minorEastAsia" w:hAnsiTheme="minorHAnsi" w:cstheme="minorBidi"/>
            <w:noProof/>
            <w:lang w:eastAsia="cs-CZ"/>
          </w:rPr>
          <w:tab/>
        </w:r>
        <w:r w:rsidR="00815CF9" w:rsidRPr="00DA63F7">
          <w:rPr>
            <w:rStyle w:val="Hypertextovodkaz"/>
            <w:noProof/>
          </w:rPr>
          <w:t>Vztah řídících orgánů a Fondu fondů</w:t>
        </w:r>
        <w:r w:rsidR="00815CF9">
          <w:rPr>
            <w:noProof/>
            <w:webHidden/>
          </w:rPr>
          <w:tab/>
        </w:r>
        <w:r w:rsidR="00815CF9">
          <w:rPr>
            <w:noProof/>
            <w:webHidden/>
          </w:rPr>
          <w:fldChar w:fldCharType="begin"/>
        </w:r>
        <w:r w:rsidR="00815CF9">
          <w:rPr>
            <w:noProof/>
            <w:webHidden/>
          </w:rPr>
          <w:instrText xml:space="preserve"> PAGEREF _Toc410115488 \h </w:instrText>
        </w:r>
        <w:r w:rsidR="00815CF9">
          <w:rPr>
            <w:noProof/>
            <w:webHidden/>
          </w:rPr>
        </w:r>
        <w:r w:rsidR="00815CF9">
          <w:rPr>
            <w:noProof/>
            <w:webHidden/>
          </w:rPr>
          <w:fldChar w:fldCharType="separate"/>
        </w:r>
        <w:r>
          <w:rPr>
            <w:noProof/>
            <w:webHidden/>
          </w:rPr>
          <w:t>78</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89" w:history="1">
        <w:r w:rsidR="00815CF9" w:rsidRPr="00DA63F7">
          <w:rPr>
            <w:rStyle w:val="Hypertextovodkaz"/>
            <w:noProof/>
          </w:rPr>
          <w:t>6.3</w:t>
        </w:r>
        <w:r w:rsidR="00815CF9">
          <w:rPr>
            <w:rFonts w:asciiTheme="minorHAnsi" w:eastAsiaTheme="minorEastAsia" w:hAnsiTheme="minorHAnsi" w:cstheme="minorBidi"/>
            <w:noProof/>
            <w:lang w:eastAsia="cs-CZ"/>
          </w:rPr>
          <w:tab/>
        </w:r>
        <w:r w:rsidR="00815CF9" w:rsidRPr="00DA63F7">
          <w:rPr>
            <w:rStyle w:val="Hypertextovodkaz"/>
            <w:noProof/>
          </w:rPr>
          <w:t>Vztah státních fondů a jejich role</w:t>
        </w:r>
        <w:r w:rsidR="00815CF9">
          <w:rPr>
            <w:noProof/>
            <w:webHidden/>
          </w:rPr>
          <w:tab/>
        </w:r>
        <w:r w:rsidR="00815CF9">
          <w:rPr>
            <w:noProof/>
            <w:webHidden/>
          </w:rPr>
          <w:fldChar w:fldCharType="begin"/>
        </w:r>
        <w:r w:rsidR="00815CF9">
          <w:rPr>
            <w:noProof/>
            <w:webHidden/>
          </w:rPr>
          <w:instrText xml:space="preserve"> PAGEREF _Toc410115489 \h </w:instrText>
        </w:r>
        <w:r w:rsidR="00815CF9">
          <w:rPr>
            <w:noProof/>
            <w:webHidden/>
          </w:rPr>
        </w:r>
        <w:r w:rsidR="00815CF9">
          <w:rPr>
            <w:noProof/>
            <w:webHidden/>
          </w:rPr>
          <w:fldChar w:fldCharType="separate"/>
        </w:r>
        <w:r>
          <w:rPr>
            <w:noProof/>
            <w:webHidden/>
          </w:rPr>
          <w:t>79</w:t>
        </w:r>
        <w:r w:rsidR="00815CF9">
          <w:rPr>
            <w:noProof/>
            <w:webHidden/>
          </w:rPr>
          <w:fldChar w:fldCharType="end"/>
        </w:r>
      </w:hyperlink>
    </w:p>
    <w:p w:rsidR="00815CF9" w:rsidRDefault="006C5EA3">
      <w:pPr>
        <w:pStyle w:val="Obsah1"/>
        <w:rPr>
          <w:rFonts w:asciiTheme="minorHAnsi" w:eastAsiaTheme="minorEastAsia" w:hAnsiTheme="minorHAnsi" w:cstheme="minorBidi"/>
          <w:noProof/>
          <w:lang w:eastAsia="cs-CZ"/>
        </w:rPr>
      </w:pPr>
      <w:hyperlink w:anchor="_Toc410115490" w:history="1">
        <w:r w:rsidR="00815CF9" w:rsidRPr="00DA63F7">
          <w:rPr>
            <w:rStyle w:val="Hypertextovodkaz"/>
            <w:noProof/>
          </w:rPr>
          <w:t>7</w:t>
        </w:r>
        <w:r w:rsidR="00815CF9">
          <w:rPr>
            <w:rFonts w:asciiTheme="minorHAnsi" w:eastAsiaTheme="minorEastAsia" w:hAnsiTheme="minorHAnsi" w:cstheme="minorBidi"/>
            <w:noProof/>
            <w:lang w:eastAsia="cs-CZ"/>
          </w:rPr>
          <w:tab/>
        </w:r>
        <w:r w:rsidR="00815CF9" w:rsidRPr="00DA63F7">
          <w:rPr>
            <w:rStyle w:val="Hypertextovodkaz"/>
            <w:noProof/>
          </w:rPr>
          <w:t>Přílohy</w:t>
        </w:r>
        <w:r w:rsidR="00815CF9">
          <w:rPr>
            <w:noProof/>
            <w:webHidden/>
          </w:rPr>
          <w:tab/>
        </w:r>
        <w:r w:rsidR="00815CF9">
          <w:rPr>
            <w:noProof/>
            <w:webHidden/>
          </w:rPr>
          <w:fldChar w:fldCharType="begin"/>
        </w:r>
        <w:r w:rsidR="00815CF9">
          <w:rPr>
            <w:noProof/>
            <w:webHidden/>
          </w:rPr>
          <w:instrText xml:space="preserve"> PAGEREF _Toc410115490 \h </w:instrText>
        </w:r>
        <w:r w:rsidR="00815CF9">
          <w:rPr>
            <w:noProof/>
            <w:webHidden/>
          </w:rPr>
        </w:r>
        <w:r w:rsidR="00815CF9">
          <w:rPr>
            <w:noProof/>
            <w:webHidden/>
          </w:rPr>
          <w:fldChar w:fldCharType="separate"/>
        </w:r>
        <w:r>
          <w:rPr>
            <w:noProof/>
            <w:webHidden/>
          </w:rPr>
          <w:t>82</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1" w:history="1">
        <w:r w:rsidR="00815CF9" w:rsidRPr="00DA63F7">
          <w:rPr>
            <w:rStyle w:val="Hypertextovodkaz"/>
            <w:noProof/>
          </w:rPr>
          <w:t xml:space="preserve">Příloha 1 </w:t>
        </w:r>
        <w:r w:rsidR="00815CF9">
          <w:rPr>
            <w:rFonts w:asciiTheme="minorHAnsi" w:eastAsiaTheme="minorEastAsia" w:hAnsiTheme="minorHAnsi" w:cstheme="minorBidi"/>
            <w:noProof/>
            <w:lang w:eastAsia="cs-CZ"/>
          </w:rPr>
          <w:tab/>
        </w:r>
        <w:r w:rsidR="00815CF9" w:rsidRPr="00DA63F7">
          <w:rPr>
            <w:rStyle w:val="Hypertextovodkaz"/>
            <w:noProof/>
          </w:rPr>
          <w:t>Analýza zkušeností z minulosti v ČR a zkušeností z jiných zemí</w:t>
        </w:r>
        <w:r w:rsidR="00815CF9">
          <w:rPr>
            <w:noProof/>
            <w:webHidden/>
          </w:rPr>
          <w:tab/>
        </w:r>
        <w:r w:rsidR="00815CF9">
          <w:rPr>
            <w:noProof/>
            <w:webHidden/>
          </w:rPr>
          <w:fldChar w:fldCharType="begin"/>
        </w:r>
        <w:r w:rsidR="00815CF9">
          <w:rPr>
            <w:noProof/>
            <w:webHidden/>
          </w:rPr>
          <w:instrText xml:space="preserve"> PAGEREF _Toc410115491 \h </w:instrText>
        </w:r>
        <w:r w:rsidR="00815CF9">
          <w:rPr>
            <w:noProof/>
            <w:webHidden/>
          </w:rPr>
        </w:r>
        <w:r w:rsidR="00815CF9">
          <w:rPr>
            <w:noProof/>
            <w:webHidden/>
          </w:rPr>
          <w:fldChar w:fldCharType="separate"/>
        </w:r>
        <w:r>
          <w:rPr>
            <w:noProof/>
            <w:webHidden/>
          </w:rPr>
          <w:t>82</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2" w:history="1">
        <w:r w:rsidR="00815CF9" w:rsidRPr="00DA63F7">
          <w:rPr>
            <w:rStyle w:val="Hypertextovodkaz"/>
            <w:noProof/>
          </w:rPr>
          <w:t>Příloha 2</w:t>
        </w:r>
        <w:r w:rsidR="00815CF9">
          <w:rPr>
            <w:rFonts w:asciiTheme="minorHAnsi" w:eastAsiaTheme="minorEastAsia" w:hAnsiTheme="minorHAnsi" w:cstheme="minorBidi"/>
            <w:noProof/>
            <w:lang w:eastAsia="cs-CZ"/>
          </w:rPr>
          <w:tab/>
        </w:r>
        <w:r w:rsidR="00815CF9" w:rsidRPr="00DA63F7">
          <w:rPr>
            <w:rStyle w:val="Hypertextovodkaz"/>
            <w:noProof/>
          </w:rPr>
          <w:t>Přehled základních informací o připravovaných IFN v programovém období 2014 – 2020</w:t>
        </w:r>
        <w:r w:rsidR="00815CF9">
          <w:rPr>
            <w:noProof/>
            <w:webHidden/>
          </w:rPr>
          <w:tab/>
        </w:r>
        <w:r w:rsidR="00815CF9">
          <w:rPr>
            <w:noProof/>
            <w:webHidden/>
          </w:rPr>
          <w:fldChar w:fldCharType="begin"/>
        </w:r>
        <w:r w:rsidR="00815CF9">
          <w:rPr>
            <w:noProof/>
            <w:webHidden/>
          </w:rPr>
          <w:instrText xml:space="preserve"> PAGEREF _Toc410115492 \h </w:instrText>
        </w:r>
        <w:r w:rsidR="00815CF9">
          <w:rPr>
            <w:noProof/>
            <w:webHidden/>
          </w:rPr>
        </w:r>
        <w:r w:rsidR="00815CF9">
          <w:rPr>
            <w:noProof/>
            <w:webHidden/>
          </w:rPr>
          <w:fldChar w:fldCharType="separate"/>
        </w:r>
        <w:r>
          <w:rPr>
            <w:noProof/>
            <w:webHidden/>
          </w:rPr>
          <w:t>89</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3" w:history="1">
        <w:r w:rsidR="00815CF9" w:rsidRPr="00DA63F7">
          <w:rPr>
            <w:rStyle w:val="Hypertextovodkaz"/>
            <w:noProof/>
          </w:rPr>
          <w:t>Příloha 3</w:t>
        </w:r>
        <w:r w:rsidR="00815CF9">
          <w:rPr>
            <w:rFonts w:asciiTheme="minorHAnsi" w:eastAsiaTheme="minorEastAsia" w:hAnsiTheme="minorHAnsi" w:cstheme="minorBidi"/>
            <w:noProof/>
            <w:lang w:eastAsia="cs-CZ"/>
          </w:rPr>
          <w:tab/>
        </w:r>
        <w:r w:rsidR="00815CF9" w:rsidRPr="00DA63F7">
          <w:rPr>
            <w:rStyle w:val="Hypertextovodkaz"/>
            <w:noProof/>
          </w:rPr>
          <w:t>Popis současného stavu regulace finančních institucí v EU (banky, alternativní investiční fondy)</w:t>
        </w:r>
        <w:r w:rsidR="00815CF9">
          <w:rPr>
            <w:noProof/>
            <w:webHidden/>
          </w:rPr>
          <w:tab/>
        </w:r>
        <w:r w:rsidR="00815CF9">
          <w:rPr>
            <w:noProof/>
            <w:webHidden/>
          </w:rPr>
          <w:fldChar w:fldCharType="begin"/>
        </w:r>
        <w:r w:rsidR="00815CF9">
          <w:rPr>
            <w:noProof/>
            <w:webHidden/>
          </w:rPr>
          <w:instrText xml:space="preserve"> PAGEREF _Toc410115493 \h </w:instrText>
        </w:r>
        <w:r w:rsidR="00815CF9">
          <w:rPr>
            <w:noProof/>
            <w:webHidden/>
          </w:rPr>
        </w:r>
        <w:r w:rsidR="00815CF9">
          <w:rPr>
            <w:noProof/>
            <w:webHidden/>
          </w:rPr>
          <w:fldChar w:fldCharType="separate"/>
        </w:r>
        <w:r>
          <w:rPr>
            <w:noProof/>
            <w:webHidden/>
          </w:rPr>
          <w:t>92</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4" w:history="1">
        <w:r w:rsidR="00815CF9" w:rsidRPr="00DA63F7">
          <w:rPr>
            <w:rStyle w:val="Hypertextovodkaz"/>
            <w:noProof/>
          </w:rPr>
          <w:t>Příloha 4</w:t>
        </w:r>
        <w:r w:rsidR="00815CF9">
          <w:rPr>
            <w:rFonts w:asciiTheme="minorHAnsi" w:eastAsiaTheme="minorEastAsia" w:hAnsiTheme="minorHAnsi" w:cstheme="minorBidi"/>
            <w:noProof/>
            <w:lang w:eastAsia="cs-CZ"/>
          </w:rPr>
          <w:tab/>
        </w:r>
        <w:r w:rsidR="00815CF9" w:rsidRPr="00DA63F7">
          <w:rPr>
            <w:rStyle w:val="Hypertextovodkaz"/>
            <w:noProof/>
          </w:rPr>
          <w:t>Prioritní oblasti zaměření intervencí ze strany finančních nástrojů</w:t>
        </w:r>
        <w:r w:rsidR="00815CF9">
          <w:rPr>
            <w:noProof/>
            <w:webHidden/>
          </w:rPr>
          <w:tab/>
        </w:r>
        <w:r w:rsidR="00815CF9">
          <w:rPr>
            <w:noProof/>
            <w:webHidden/>
          </w:rPr>
          <w:fldChar w:fldCharType="begin"/>
        </w:r>
        <w:r w:rsidR="00815CF9">
          <w:rPr>
            <w:noProof/>
            <w:webHidden/>
          </w:rPr>
          <w:instrText xml:space="preserve"> PAGEREF _Toc410115494 \h </w:instrText>
        </w:r>
        <w:r w:rsidR="00815CF9">
          <w:rPr>
            <w:noProof/>
            <w:webHidden/>
          </w:rPr>
        </w:r>
        <w:r w:rsidR="00815CF9">
          <w:rPr>
            <w:noProof/>
            <w:webHidden/>
          </w:rPr>
          <w:fldChar w:fldCharType="separate"/>
        </w:r>
        <w:r>
          <w:rPr>
            <w:noProof/>
            <w:webHidden/>
          </w:rPr>
          <w:t>99</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5" w:history="1">
        <w:r w:rsidR="00815CF9" w:rsidRPr="00DA63F7">
          <w:rPr>
            <w:rStyle w:val="Hypertextovodkaz"/>
            <w:noProof/>
          </w:rPr>
          <w:t>Příloha 5</w:t>
        </w:r>
        <w:r w:rsidR="00815CF9">
          <w:rPr>
            <w:rFonts w:asciiTheme="minorHAnsi" w:eastAsiaTheme="minorEastAsia" w:hAnsiTheme="minorHAnsi" w:cstheme="minorBidi"/>
            <w:noProof/>
            <w:lang w:eastAsia="cs-CZ"/>
          </w:rPr>
          <w:tab/>
        </w:r>
        <w:r w:rsidR="00815CF9" w:rsidRPr="00DA63F7">
          <w:rPr>
            <w:rStyle w:val="Hypertextovodkaz"/>
            <w:noProof/>
          </w:rPr>
          <w:t>Případové studie aplikované EK a EIB – příklady některých řešení</w:t>
        </w:r>
        <w:r w:rsidR="00815CF9">
          <w:rPr>
            <w:noProof/>
            <w:webHidden/>
          </w:rPr>
          <w:tab/>
        </w:r>
        <w:r w:rsidR="00815CF9">
          <w:rPr>
            <w:noProof/>
            <w:webHidden/>
          </w:rPr>
          <w:fldChar w:fldCharType="begin"/>
        </w:r>
        <w:r w:rsidR="00815CF9">
          <w:rPr>
            <w:noProof/>
            <w:webHidden/>
          </w:rPr>
          <w:instrText xml:space="preserve"> PAGEREF _Toc410115495 \h </w:instrText>
        </w:r>
        <w:r w:rsidR="00815CF9">
          <w:rPr>
            <w:noProof/>
            <w:webHidden/>
          </w:rPr>
        </w:r>
        <w:r w:rsidR="00815CF9">
          <w:rPr>
            <w:noProof/>
            <w:webHidden/>
          </w:rPr>
          <w:fldChar w:fldCharType="separate"/>
        </w:r>
        <w:r>
          <w:rPr>
            <w:noProof/>
            <w:webHidden/>
          </w:rPr>
          <w:t>101</w:t>
        </w:r>
        <w:r w:rsidR="00815CF9">
          <w:rPr>
            <w:noProof/>
            <w:webHidden/>
          </w:rPr>
          <w:fldChar w:fldCharType="end"/>
        </w:r>
      </w:hyperlink>
    </w:p>
    <w:p w:rsidR="00815CF9" w:rsidRDefault="006C5EA3">
      <w:pPr>
        <w:pStyle w:val="Obsah2"/>
        <w:rPr>
          <w:rFonts w:asciiTheme="minorHAnsi" w:eastAsiaTheme="minorEastAsia" w:hAnsiTheme="minorHAnsi" w:cstheme="minorBidi"/>
          <w:noProof/>
          <w:lang w:eastAsia="cs-CZ"/>
        </w:rPr>
      </w:pPr>
      <w:hyperlink w:anchor="_Toc410115496" w:history="1">
        <w:r w:rsidR="00815CF9" w:rsidRPr="00DA63F7">
          <w:rPr>
            <w:rStyle w:val="Hypertextovodkaz"/>
            <w:noProof/>
          </w:rPr>
          <w:t>Příloha 6</w:t>
        </w:r>
        <w:r w:rsidR="00815CF9">
          <w:rPr>
            <w:rFonts w:asciiTheme="minorHAnsi" w:eastAsiaTheme="minorEastAsia" w:hAnsiTheme="minorHAnsi" w:cstheme="minorBidi"/>
            <w:noProof/>
            <w:lang w:eastAsia="cs-CZ"/>
          </w:rPr>
          <w:tab/>
        </w:r>
        <w:r w:rsidR="00815CF9" w:rsidRPr="00DA63F7">
          <w:rPr>
            <w:rStyle w:val="Hypertextovodkaz"/>
            <w:noProof/>
          </w:rPr>
          <w:t>Seznam podkladových materiálů ministerstev a řídících orgánů jako východisek pro analýzu</w:t>
        </w:r>
        <w:r w:rsidR="00815CF9">
          <w:rPr>
            <w:noProof/>
            <w:webHidden/>
          </w:rPr>
          <w:tab/>
        </w:r>
        <w:r w:rsidR="00815CF9">
          <w:rPr>
            <w:noProof/>
            <w:webHidden/>
          </w:rPr>
          <w:fldChar w:fldCharType="begin"/>
        </w:r>
        <w:r w:rsidR="00815CF9">
          <w:rPr>
            <w:noProof/>
            <w:webHidden/>
          </w:rPr>
          <w:instrText xml:space="preserve"> PAGEREF _Toc410115496 \h </w:instrText>
        </w:r>
        <w:r w:rsidR="00815CF9">
          <w:rPr>
            <w:noProof/>
            <w:webHidden/>
          </w:rPr>
        </w:r>
        <w:r w:rsidR="00815CF9">
          <w:rPr>
            <w:noProof/>
            <w:webHidden/>
          </w:rPr>
          <w:fldChar w:fldCharType="separate"/>
        </w:r>
        <w:r>
          <w:rPr>
            <w:noProof/>
            <w:webHidden/>
          </w:rPr>
          <w:t>103</w:t>
        </w:r>
        <w:r w:rsidR="00815CF9">
          <w:rPr>
            <w:noProof/>
            <w:webHidden/>
          </w:rPr>
          <w:fldChar w:fldCharType="end"/>
        </w:r>
      </w:hyperlink>
    </w:p>
    <w:p w:rsidR="009F639B" w:rsidRDefault="001A3B8A" w:rsidP="009F639B">
      <w:pPr>
        <w:pStyle w:val="Nadpisobsahu"/>
        <w:spacing w:before="0" w:after="240"/>
      </w:pPr>
      <w:r w:rsidRPr="00B70CF7">
        <w:rPr>
          <w:sz w:val="20"/>
          <w:szCs w:val="20"/>
        </w:rPr>
        <w:lastRenderedPageBreak/>
        <w:fldChar w:fldCharType="end"/>
      </w:r>
      <w:r w:rsidR="009F639B" w:rsidRPr="00F56148">
        <w:t xml:space="preserve"> </w:t>
      </w:r>
      <w:r w:rsidR="009F639B">
        <w:t xml:space="preserve">Seznam použitých zkratek </w:t>
      </w:r>
    </w:p>
    <w:p w:rsidR="009F639B" w:rsidRDefault="009F639B" w:rsidP="00C91FCD">
      <w:pPr>
        <w:spacing w:after="0"/>
        <w:ind w:left="1134" w:hanging="1134"/>
        <w:rPr>
          <w:noProof/>
        </w:rPr>
      </w:pPr>
      <w:r>
        <w:rPr>
          <w:noProof/>
        </w:rPr>
        <w:t>AIFMD</w:t>
      </w:r>
      <w:r>
        <w:rPr>
          <w:noProof/>
        </w:rPr>
        <w:tab/>
        <w:t>Alternative Investment Fund Managers Directive (Směrnice o správcích alternativních fondů)</w:t>
      </w:r>
    </w:p>
    <w:p w:rsidR="009F639B" w:rsidRDefault="009F639B" w:rsidP="005144FD">
      <w:pPr>
        <w:spacing w:after="0"/>
        <w:ind w:left="1134" w:hanging="1134"/>
        <w:rPr>
          <w:noProof/>
        </w:rPr>
      </w:pPr>
      <w:r>
        <w:rPr>
          <w:noProof/>
        </w:rPr>
        <w:t>AKAT</w:t>
      </w:r>
      <w:r>
        <w:rPr>
          <w:noProof/>
        </w:rPr>
        <w:tab/>
        <w:t xml:space="preserve">Asociace pro kapitálový trh </w:t>
      </w:r>
    </w:p>
    <w:p w:rsidR="009F639B" w:rsidRDefault="009F639B">
      <w:pPr>
        <w:spacing w:after="0"/>
        <w:ind w:left="1134" w:hanging="1134"/>
        <w:rPr>
          <w:noProof/>
        </w:rPr>
      </w:pPr>
      <w:r>
        <w:rPr>
          <w:noProof/>
        </w:rPr>
        <w:t>BGK</w:t>
      </w:r>
      <w:r>
        <w:rPr>
          <w:noProof/>
        </w:rPr>
        <w:tab/>
        <w:t>Bank Gospodarstwa Krajowego</w:t>
      </w:r>
      <w:r w:rsidR="00610508">
        <w:rPr>
          <w:noProof/>
        </w:rPr>
        <w:t xml:space="preserve"> </w:t>
      </w:r>
      <w:r>
        <w:rPr>
          <w:noProof/>
        </w:rPr>
        <w:t>(Polská rozvojová banka)</w:t>
      </w:r>
    </w:p>
    <w:p w:rsidR="009F639B" w:rsidRDefault="009F639B">
      <w:pPr>
        <w:spacing w:after="0"/>
        <w:ind w:left="1134" w:hanging="1134"/>
        <w:rPr>
          <w:noProof/>
        </w:rPr>
      </w:pPr>
      <w:r>
        <w:rPr>
          <w:noProof/>
        </w:rPr>
        <w:t>BPI</w:t>
      </w:r>
      <w:r>
        <w:rPr>
          <w:noProof/>
        </w:rPr>
        <w:tab/>
        <w:t>Banque publique d‘investissements (Francouzská rozvojová banka)</w:t>
      </w:r>
    </w:p>
    <w:p w:rsidR="009F639B" w:rsidRDefault="009F639B">
      <w:pPr>
        <w:spacing w:after="0"/>
        <w:ind w:left="1134" w:hanging="1134"/>
        <w:rPr>
          <w:noProof/>
        </w:rPr>
      </w:pPr>
      <w:r>
        <w:rPr>
          <w:noProof/>
        </w:rPr>
        <w:t>CDC</w:t>
      </w:r>
      <w:r>
        <w:rPr>
          <w:noProof/>
        </w:rPr>
        <w:tab/>
        <w:t>Caisse des dépôts et consignations</w:t>
      </w:r>
      <w:r w:rsidR="00610508">
        <w:rPr>
          <w:noProof/>
        </w:rPr>
        <w:t xml:space="preserve"> </w:t>
      </w:r>
      <w:r>
        <w:rPr>
          <w:noProof/>
        </w:rPr>
        <w:t>(Francouzský státní finanční fond)</w:t>
      </w:r>
    </w:p>
    <w:p w:rsidR="009F639B" w:rsidRDefault="009F639B">
      <w:pPr>
        <w:spacing w:after="0"/>
        <w:ind w:left="1134" w:hanging="1134"/>
        <w:rPr>
          <w:noProof/>
        </w:rPr>
      </w:pPr>
      <w:r>
        <w:rPr>
          <w:noProof/>
        </w:rPr>
        <w:t>CDeP</w:t>
      </w:r>
      <w:r>
        <w:rPr>
          <w:noProof/>
        </w:rPr>
        <w:tab/>
        <w:t>Cassa depositi e prestiti (Italská rozvojový fond)</w:t>
      </w:r>
    </w:p>
    <w:p w:rsidR="009F639B" w:rsidRDefault="009F639B">
      <w:pPr>
        <w:spacing w:after="0"/>
        <w:ind w:left="1134" w:hanging="1134"/>
        <w:rPr>
          <w:noProof/>
        </w:rPr>
      </w:pPr>
      <w:r>
        <w:rPr>
          <w:noProof/>
        </w:rPr>
        <w:t>CEF</w:t>
      </w:r>
      <w:r>
        <w:rPr>
          <w:noProof/>
        </w:rPr>
        <w:tab/>
        <w:t>Connecting Europe Facility (Nástroj pro propojení Evropy)</w:t>
      </w:r>
    </w:p>
    <w:p w:rsidR="009F639B" w:rsidRDefault="009F639B">
      <w:pPr>
        <w:spacing w:after="0"/>
        <w:ind w:left="1134" w:hanging="1134"/>
        <w:rPr>
          <w:noProof/>
        </w:rPr>
      </w:pPr>
      <w:r>
        <w:rPr>
          <w:noProof/>
        </w:rPr>
        <w:t>COSME</w:t>
      </w:r>
      <w:r>
        <w:rPr>
          <w:noProof/>
        </w:rPr>
        <w:tab/>
        <w:t>EU programme for the Competitiveness of Enterprises and Small and Medium-sized Enterprises (Komunitární program pro konkurenceschopnost podniků a malých a středních podniků)</w:t>
      </w:r>
    </w:p>
    <w:p w:rsidR="009F639B" w:rsidRDefault="009F639B">
      <w:pPr>
        <w:spacing w:after="0"/>
        <w:ind w:left="1134" w:hanging="1134"/>
        <w:rPr>
          <w:noProof/>
        </w:rPr>
      </w:pPr>
      <w:r>
        <w:rPr>
          <w:noProof/>
        </w:rPr>
        <w:t>CRD IV</w:t>
      </w:r>
      <w:r>
        <w:rPr>
          <w:noProof/>
        </w:rPr>
        <w:tab/>
        <w:t>Capital requirements regulation and directive (Směrnice o přístupu k činnosti úvěrových institucí a o obezřetnostním dohledu nad úvěrovými institucemi a investičními podniky)</w:t>
      </w:r>
    </w:p>
    <w:p w:rsidR="009F639B" w:rsidRDefault="009F639B">
      <w:pPr>
        <w:spacing w:after="0"/>
        <w:ind w:left="1134" w:hanging="1134"/>
        <w:rPr>
          <w:noProof/>
        </w:rPr>
      </w:pPr>
      <w:r>
        <w:rPr>
          <w:noProof/>
        </w:rPr>
        <w:t>CRR</w:t>
      </w:r>
      <w:r>
        <w:rPr>
          <w:noProof/>
        </w:rPr>
        <w:tab/>
        <w:t>Capital requirements regulation</w:t>
      </w:r>
      <w:r w:rsidR="00610508">
        <w:rPr>
          <w:noProof/>
        </w:rPr>
        <w:t xml:space="preserve"> </w:t>
      </w:r>
      <w:r>
        <w:rPr>
          <w:noProof/>
        </w:rPr>
        <w:t>(Nařízení o obezřetnostních požadavcích na úvěrové instituce a investiční podniky)</w:t>
      </w:r>
    </w:p>
    <w:p w:rsidR="009F639B" w:rsidRDefault="009F639B">
      <w:pPr>
        <w:spacing w:after="0"/>
        <w:ind w:left="1134" w:hanging="1134"/>
        <w:rPr>
          <w:noProof/>
        </w:rPr>
      </w:pPr>
      <w:r>
        <w:rPr>
          <w:noProof/>
        </w:rPr>
        <w:t>ČIB</w:t>
      </w:r>
      <w:r>
        <w:rPr>
          <w:noProof/>
        </w:rPr>
        <w:tab/>
        <w:t xml:space="preserve">Česká investiční banka </w:t>
      </w:r>
    </w:p>
    <w:p w:rsidR="009F639B" w:rsidRDefault="009F639B">
      <w:pPr>
        <w:spacing w:after="0"/>
        <w:ind w:left="1134" w:hanging="1134"/>
        <w:rPr>
          <w:noProof/>
        </w:rPr>
      </w:pPr>
      <w:r>
        <w:rPr>
          <w:noProof/>
        </w:rPr>
        <w:t>ČMZRB</w:t>
      </w:r>
      <w:r>
        <w:rPr>
          <w:noProof/>
        </w:rPr>
        <w:tab/>
        <w:t>Českomoravská záruční a rozvojová banka</w:t>
      </w:r>
    </w:p>
    <w:p w:rsidR="009F639B" w:rsidRDefault="009F639B">
      <w:pPr>
        <w:spacing w:after="0"/>
        <w:ind w:left="1134" w:hanging="1134"/>
        <w:rPr>
          <w:noProof/>
        </w:rPr>
      </w:pPr>
      <w:r>
        <w:rPr>
          <w:noProof/>
        </w:rPr>
        <w:t>ČNB</w:t>
      </w:r>
      <w:r>
        <w:rPr>
          <w:noProof/>
        </w:rPr>
        <w:tab/>
        <w:t>Česká národní banka</w:t>
      </w:r>
    </w:p>
    <w:p w:rsidR="009F639B" w:rsidRDefault="009F639B">
      <w:pPr>
        <w:spacing w:after="0"/>
        <w:ind w:left="1134" w:hanging="1134"/>
        <w:rPr>
          <w:noProof/>
        </w:rPr>
      </w:pPr>
      <w:r>
        <w:rPr>
          <w:noProof/>
        </w:rPr>
        <w:t>ČR</w:t>
      </w:r>
      <w:r>
        <w:rPr>
          <w:noProof/>
        </w:rPr>
        <w:tab/>
        <w:t>Česká republika</w:t>
      </w:r>
    </w:p>
    <w:p w:rsidR="009F639B" w:rsidRDefault="009F639B">
      <w:pPr>
        <w:spacing w:after="0"/>
        <w:ind w:left="1134" w:hanging="1134"/>
        <w:rPr>
          <w:noProof/>
        </w:rPr>
      </w:pPr>
      <w:r>
        <w:rPr>
          <w:noProof/>
        </w:rPr>
        <w:t xml:space="preserve">EBRD </w:t>
      </w:r>
      <w:r>
        <w:rPr>
          <w:noProof/>
        </w:rPr>
        <w:tab/>
        <w:t>European Bank for Reconstruction and Development (Evropská banka pro obnovu a</w:t>
      </w:r>
      <w:r w:rsidR="00615CA1">
        <w:rPr>
          <w:noProof/>
        </w:rPr>
        <w:t> </w:t>
      </w:r>
      <w:r>
        <w:rPr>
          <w:noProof/>
        </w:rPr>
        <w:t>rozvoj)</w:t>
      </w:r>
    </w:p>
    <w:p w:rsidR="009F639B" w:rsidRDefault="009F639B">
      <w:pPr>
        <w:spacing w:after="0"/>
        <w:ind w:left="1134" w:hanging="1134"/>
        <w:rPr>
          <w:noProof/>
        </w:rPr>
      </w:pPr>
      <w:r>
        <w:rPr>
          <w:noProof/>
        </w:rPr>
        <w:t>ECB</w:t>
      </w:r>
      <w:r>
        <w:rPr>
          <w:noProof/>
        </w:rPr>
        <w:tab/>
        <w:t>Evropských strukturálních a investičních fondů</w:t>
      </w:r>
    </w:p>
    <w:p w:rsidR="009F639B" w:rsidRDefault="009F639B">
      <w:pPr>
        <w:spacing w:after="0"/>
        <w:ind w:left="1134" w:hanging="1134"/>
        <w:rPr>
          <w:noProof/>
        </w:rPr>
      </w:pPr>
      <w:r>
        <w:rPr>
          <w:noProof/>
        </w:rPr>
        <w:t xml:space="preserve">EFSI </w:t>
      </w:r>
      <w:r>
        <w:rPr>
          <w:noProof/>
        </w:rPr>
        <w:tab/>
        <w:t xml:space="preserve">Evropský fond strategických investic </w:t>
      </w:r>
    </w:p>
    <w:p w:rsidR="009F639B" w:rsidRDefault="009F639B">
      <w:pPr>
        <w:spacing w:after="0"/>
        <w:ind w:left="1134" w:hanging="1134"/>
        <w:rPr>
          <w:noProof/>
        </w:rPr>
      </w:pPr>
      <w:r>
        <w:rPr>
          <w:noProof/>
        </w:rPr>
        <w:t>EIB</w:t>
      </w:r>
      <w:r>
        <w:rPr>
          <w:noProof/>
        </w:rPr>
        <w:tab/>
        <w:t>Evropská investiční banka</w:t>
      </w:r>
    </w:p>
    <w:p w:rsidR="009F639B" w:rsidRDefault="009F639B">
      <w:pPr>
        <w:spacing w:after="0"/>
        <w:ind w:left="1134" w:hanging="1134"/>
        <w:rPr>
          <w:noProof/>
        </w:rPr>
      </w:pPr>
      <w:r>
        <w:rPr>
          <w:noProof/>
        </w:rPr>
        <w:t xml:space="preserve">EIF </w:t>
      </w:r>
      <w:r>
        <w:rPr>
          <w:noProof/>
        </w:rPr>
        <w:tab/>
        <w:t>European Investment Fund (Evropský investiční fond)</w:t>
      </w:r>
    </w:p>
    <w:p w:rsidR="009F639B" w:rsidRDefault="009F639B">
      <w:pPr>
        <w:spacing w:after="0"/>
        <w:ind w:left="1134" w:hanging="1134"/>
        <w:rPr>
          <w:noProof/>
        </w:rPr>
      </w:pPr>
      <w:r>
        <w:rPr>
          <w:noProof/>
        </w:rPr>
        <w:t>EK</w:t>
      </w:r>
      <w:r>
        <w:rPr>
          <w:noProof/>
        </w:rPr>
        <w:tab/>
        <w:t>Evropská komise</w:t>
      </w:r>
    </w:p>
    <w:p w:rsidR="009F639B" w:rsidRDefault="009F639B">
      <w:pPr>
        <w:spacing w:after="0"/>
        <w:ind w:left="1134" w:hanging="1134"/>
        <w:rPr>
          <w:noProof/>
        </w:rPr>
      </w:pPr>
      <w:r>
        <w:rPr>
          <w:noProof/>
        </w:rPr>
        <w:t>ELTIF</w:t>
      </w:r>
      <w:r>
        <w:rPr>
          <w:noProof/>
        </w:rPr>
        <w:tab/>
        <w:t>Regulation on European Long-Term Investment Funds (Směrnice o fondech dlouhodobého investování )</w:t>
      </w:r>
    </w:p>
    <w:p w:rsidR="009F639B" w:rsidRDefault="009F639B">
      <w:pPr>
        <w:spacing w:after="0"/>
        <w:ind w:left="1134" w:hanging="1134"/>
        <w:rPr>
          <w:noProof/>
        </w:rPr>
      </w:pPr>
      <w:r>
        <w:rPr>
          <w:noProof/>
        </w:rPr>
        <w:t xml:space="preserve">ERDF </w:t>
      </w:r>
      <w:r>
        <w:rPr>
          <w:noProof/>
        </w:rPr>
        <w:tab/>
        <w:t xml:space="preserve">Evropský fond regionálního rozvoje </w:t>
      </w:r>
    </w:p>
    <w:p w:rsidR="009F639B" w:rsidRDefault="009F639B">
      <w:pPr>
        <w:spacing w:after="0"/>
        <w:ind w:left="1134" w:hanging="1134"/>
        <w:rPr>
          <w:noProof/>
        </w:rPr>
      </w:pPr>
      <w:r>
        <w:rPr>
          <w:noProof/>
        </w:rPr>
        <w:t xml:space="preserve">ERR </w:t>
      </w:r>
      <w:r>
        <w:rPr>
          <w:noProof/>
        </w:rPr>
        <w:tab/>
        <w:t>Economic rate of return</w:t>
      </w:r>
      <w:r w:rsidR="00610508">
        <w:rPr>
          <w:noProof/>
        </w:rPr>
        <w:t xml:space="preserve"> </w:t>
      </w:r>
      <w:r>
        <w:rPr>
          <w:noProof/>
        </w:rPr>
        <w:t>(Ekonomická návratnost, resp. vnitřní výnosové procento )</w:t>
      </w:r>
    </w:p>
    <w:p w:rsidR="009F639B" w:rsidRDefault="009F639B">
      <w:pPr>
        <w:spacing w:after="0"/>
        <w:ind w:left="1134" w:hanging="1134"/>
        <w:rPr>
          <w:noProof/>
        </w:rPr>
      </w:pPr>
      <w:r>
        <w:rPr>
          <w:noProof/>
        </w:rPr>
        <w:t>ESF</w:t>
      </w:r>
      <w:r>
        <w:rPr>
          <w:noProof/>
        </w:rPr>
        <w:tab/>
        <w:t xml:space="preserve">Evropský sociální fond </w:t>
      </w:r>
    </w:p>
    <w:p w:rsidR="009F639B" w:rsidRDefault="009F639B">
      <w:pPr>
        <w:spacing w:after="0"/>
        <w:ind w:left="1134" w:hanging="1134"/>
        <w:rPr>
          <w:noProof/>
        </w:rPr>
      </w:pPr>
      <w:r>
        <w:rPr>
          <w:noProof/>
        </w:rPr>
        <w:t>ESIF</w:t>
      </w:r>
      <w:r>
        <w:rPr>
          <w:noProof/>
        </w:rPr>
        <w:tab/>
        <w:t>Evropské strukturální a investiční fondy</w:t>
      </w:r>
    </w:p>
    <w:p w:rsidR="009F639B" w:rsidRDefault="009F639B">
      <w:pPr>
        <w:spacing w:after="0"/>
        <w:ind w:left="1134" w:hanging="1134"/>
        <w:rPr>
          <w:noProof/>
        </w:rPr>
      </w:pPr>
      <w:r>
        <w:rPr>
          <w:noProof/>
        </w:rPr>
        <w:t>EU</w:t>
      </w:r>
      <w:r>
        <w:rPr>
          <w:noProof/>
        </w:rPr>
        <w:tab/>
        <w:t>Evropská unie</w:t>
      </w:r>
    </w:p>
    <w:p w:rsidR="009F639B" w:rsidRDefault="009F639B">
      <w:pPr>
        <w:spacing w:after="0"/>
        <w:ind w:left="1134" w:hanging="1134"/>
        <w:rPr>
          <w:noProof/>
        </w:rPr>
      </w:pPr>
      <w:r>
        <w:rPr>
          <w:noProof/>
        </w:rPr>
        <w:t>Eu SEF</w:t>
      </w:r>
      <w:r>
        <w:rPr>
          <w:noProof/>
        </w:rPr>
        <w:tab/>
        <w:t>Regulation on European Social Entrepreneurship Funds (Směrnice o investičních fondech sociálního podnikání)</w:t>
      </w:r>
    </w:p>
    <w:p w:rsidR="009F639B" w:rsidRDefault="009F639B">
      <w:pPr>
        <w:spacing w:after="0"/>
        <w:ind w:left="1134" w:hanging="1134"/>
        <w:rPr>
          <w:noProof/>
        </w:rPr>
      </w:pPr>
      <w:r>
        <w:rPr>
          <w:noProof/>
        </w:rPr>
        <w:t>Eu VECA</w:t>
      </w:r>
      <w:r>
        <w:rPr>
          <w:noProof/>
        </w:rPr>
        <w:tab/>
        <w:t>Regulation on European Venture Capital Funds  (Směrnice o správcích fondů  rozvojového kapitálu )</w:t>
      </w:r>
    </w:p>
    <w:p w:rsidR="00AF7E7E" w:rsidRDefault="00AF7E7E">
      <w:pPr>
        <w:spacing w:after="0"/>
        <w:ind w:left="1134" w:hanging="1134"/>
        <w:rPr>
          <w:noProof/>
        </w:rPr>
      </w:pPr>
      <w:r>
        <w:rPr>
          <w:noProof/>
        </w:rPr>
        <w:t>EUR</w:t>
      </w:r>
      <w:r>
        <w:rPr>
          <w:noProof/>
        </w:rPr>
        <w:tab/>
        <w:t>kódové označení eura</w:t>
      </w:r>
    </w:p>
    <w:p w:rsidR="009F639B" w:rsidRDefault="009F639B">
      <w:pPr>
        <w:spacing w:after="0"/>
        <w:ind w:left="1134" w:hanging="1134"/>
        <w:rPr>
          <w:noProof/>
        </w:rPr>
      </w:pPr>
      <w:r>
        <w:rPr>
          <w:noProof/>
        </w:rPr>
        <w:t>EZFRV</w:t>
      </w:r>
      <w:r>
        <w:rPr>
          <w:noProof/>
        </w:rPr>
        <w:tab/>
        <w:t xml:space="preserve">Evropský zemědělský fond pro rozvoj venkova </w:t>
      </w:r>
    </w:p>
    <w:p w:rsidR="009F639B" w:rsidRDefault="009F639B">
      <w:pPr>
        <w:spacing w:after="0"/>
        <w:ind w:left="1134" w:hanging="1134"/>
        <w:rPr>
          <w:noProof/>
        </w:rPr>
      </w:pPr>
      <w:r>
        <w:rPr>
          <w:noProof/>
        </w:rPr>
        <w:t>FF</w:t>
      </w:r>
      <w:r>
        <w:rPr>
          <w:noProof/>
        </w:rPr>
        <w:tab/>
        <w:t>Fond fondů</w:t>
      </w:r>
    </w:p>
    <w:p w:rsidR="009F639B" w:rsidRDefault="009F639B">
      <w:pPr>
        <w:spacing w:after="0"/>
        <w:ind w:left="1134" w:hanging="1134"/>
        <w:rPr>
          <w:noProof/>
        </w:rPr>
      </w:pPr>
      <w:r>
        <w:rPr>
          <w:noProof/>
        </w:rPr>
        <w:t>FKI</w:t>
      </w:r>
      <w:r>
        <w:rPr>
          <w:noProof/>
        </w:rPr>
        <w:tab/>
        <w:t xml:space="preserve">Fond kolektivního investování </w:t>
      </w:r>
    </w:p>
    <w:p w:rsidR="009F639B" w:rsidRDefault="009F639B">
      <w:pPr>
        <w:spacing w:after="0"/>
        <w:ind w:left="1134" w:hanging="1134"/>
        <w:rPr>
          <w:noProof/>
        </w:rPr>
      </w:pPr>
      <w:r>
        <w:rPr>
          <w:noProof/>
        </w:rPr>
        <w:t>FKVI</w:t>
      </w:r>
      <w:r>
        <w:rPr>
          <w:noProof/>
        </w:rPr>
        <w:tab/>
        <w:t xml:space="preserve">Fond kvalifikovaných investorů </w:t>
      </w:r>
    </w:p>
    <w:p w:rsidR="009F639B" w:rsidRDefault="009F639B">
      <w:pPr>
        <w:spacing w:after="0"/>
        <w:ind w:left="1134" w:hanging="1134"/>
        <w:rPr>
          <w:noProof/>
        </w:rPr>
      </w:pPr>
      <w:r>
        <w:rPr>
          <w:noProof/>
        </w:rPr>
        <w:t>FSA</w:t>
      </w:r>
      <w:r>
        <w:rPr>
          <w:noProof/>
        </w:rPr>
        <w:tab/>
        <w:t>Financial Services Authority (Britský orgán dohledu na finančních trzích)</w:t>
      </w:r>
    </w:p>
    <w:p w:rsidR="00200AE4" w:rsidRDefault="00200AE4">
      <w:pPr>
        <w:spacing w:after="0"/>
        <w:ind w:left="1134" w:hanging="1134"/>
        <w:rPr>
          <w:noProof/>
        </w:rPr>
      </w:pPr>
      <w:r>
        <w:rPr>
          <w:noProof/>
        </w:rPr>
        <w:t>GBP</w:t>
      </w:r>
      <w:r>
        <w:rPr>
          <w:noProof/>
        </w:rPr>
        <w:tab/>
        <w:t>kódové označení britské libry</w:t>
      </w:r>
    </w:p>
    <w:p w:rsidR="009F639B" w:rsidRDefault="009F639B">
      <w:pPr>
        <w:spacing w:after="0"/>
        <w:ind w:left="1134" w:hanging="1134"/>
        <w:rPr>
          <w:noProof/>
        </w:rPr>
      </w:pPr>
      <w:r>
        <w:rPr>
          <w:noProof/>
        </w:rPr>
        <w:t xml:space="preserve">GGF </w:t>
      </w:r>
      <w:r>
        <w:rPr>
          <w:noProof/>
        </w:rPr>
        <w:tab/>
        <w:t>Green for Growth Fund</w:t>
      </w:r>
      <w:r w:rsidR="00610508">
        <w:rPr>
          <w:noProof/>
        </w:rPr>
        <w:t xml:space="preserve"> </w:t>
      </w:r>
      <w:r>
        <w:rPr>
          <w:noProof/>
        </w:rPr>
        <w:t>(Fond pro podporu energetické účinnosti a obnovitelných zdrojů)</w:t>
      </w:r>
    </w:p>
    <w:p w:rsidR="009F639B" w:rsidRDefault="009F639B">
      <w:pPr>
        <w:spacing w:after="0"/>
        <w:ind w:left="1134" w:hanging="1134"/>
        <w:rPr>
          <w:noProof/>
        </w:rPr>
      </w:pPr>
      <w:r>
        <w:rPr>
          <w:noProof/>
        </w:rPr>
        <w:t>HDP</w:t>
      </w:r>
      <w:r>
        <w:rPr>
          <w:noProof/>
        </w:rPr>
        <w:tab/>
        <w:t>Hrubý domácí produkt</w:t>
      </w:r>
    </w:p>
    <w:p w:rsidR="009F639B" w:rsidRDefault="009F639B">
      <w:pPr>
        <w:spacing w:after="0"/>
        <w:ind w:left="1134" w:hanging="1134"/>
        <w:rPr>
          <w:noProof/>
        </w:rPr>
      </w:pPr>
      <w:r>
        <w:rPr>
          <w:noProof/>
        </w:rPr>
        <w:t xml:space="preserve">ICT </w:t>
      </w:r>
      <w:r>
        <w:rPr>
          <w:noProof/>
        </w:rPr>
        <w:tab/>
        <w:t>Information and Communication Technologies</w:t>
      </w:r>
      <w:r w:rsidR="00610508">
        <w:rPr>
          <w:noProof/>
        </w:rPr>
        <w:t xml:space="preserve"> </w:t>
      </w:r>
      <w:r>
        <w:rPr>
          <w:noProof/>
        </w:rPr>
        <w:t>(Informační a komunikační technologie)</w:t>
      </w:r>
    </w:p>
    <w:p w:rsidR="009F639B" w:rsidRDefault="009F639B">
      <w:pPr>
        <w:spacing w:after="0"/>
        <w:ind w:left="1134" w:hanging="1134"/>
        <w:rPr>
          <w:noProof/>
        </w:rPr>
      </w:pPr>
      <w:r>
        <w:rPr>
          <w:noProof/>
        </w:rPr>
        <w:lastRenderedPageBreak/>
        <w:t>IFN</w:t>
      </w:r>
      <w:r>
        <w:rPr>
          <w:noProof/>
        </w:rPr>
        <w:tab/>
        <w:t>Inovativní finanční nástroje</w:t>
      </w:r>
    </w:p>
    <w:p w:rsidR="009F639B" w:rsidRDefault="009F639B">
      <w:pPr>
        <w:spacing w:after="0"/>
        <w:ind w:left="1134" w:hanging="1134"/>
        <w:rPr>
          <w:noProof/>
        </w:rPr>
      </w:pPr>
      <w:r>
        <w:rPr>
          <w:noProof/>
        </w:rPr>
        <w:t>IROP</w:t>
      </w:r>
      <w:r>
        <w:rPr>
          <w:noProof/>
        </w:rPr>
        <w:tab/>
        <w:t xml:space="preserve">Integrovaný regionální operační program </w:t>
      </w:r>
    </w:p>
    <w:p w:rsidR="009F639B" w:rsidRDefault="009F639B">
      <w:pPr>
        <w:spacing w:after="0"/>
        <w:ind w:left="1134" w:hanging="1134"/>
        <w:rPr>
          <w:noProof/>
        </w:rPr>
      </w:pPr>
      <w:r>
        <w:rPr>
          <w:noProof/>
        </w:rPr>
        <w:t xml:space="preserve">KfW </w:t>
      </w:r>
      <w:r>
        <w:rPr>
          <w:noProof/>
        </w:rPr>
        <w:tab/>
        <w:t>Kreditanstalt für Wiederaufbau</w:t>
      </w:r>
      <w:r w:rsidR="00610508">
        <w:rPr>
          <w:noProof/>
        </w:rPr>
        <w:t xml:space="preserve"> </w:t>
      </w:r>
      <w:r>
        <w:rPr>
          <w:noProof/>
        </w:rPr>
        <w:t>(Německá rozvojová banka)</w:t>
      </w:r>
    </w:p>
    <w:p w:rsidR="009F639B" w:rsidRDefault="009F639B">
      <w:pPr>
        <w:spacing w:after="0"/>
        <w:ind w:left="1134" w:hanging="1134"/>
        <w:rPr>
          <w:noProof/>
        </w:rPr>
      </w:pPr>
      <w:r>
        <w:rPr>
          <w:noProof/>
        </w:rPr>
        <w:t>MF</w:t>
      </w:r>
      <w:r>
        <w:rPr>
          <w:noProof/>
        </w:rPr>
        <w:tab/>
        <w:t>Ministerstvo financí</w:t>
      </w:r>
    </w:p>
    <w:p w:rsidR="009F639B" w:rsidRDefault="009F639B">
      <w:pPr>
        <w:spacing w:after="0"/>
        <w:ind w:left="1134" w:hanging="1134"/>
        <w:rPr>
          <w:noProof/>
        </w:rPr>
      </w:pPr>
      <w:r>
        <w:rPr>
          <w:noProof/>
        </w:rPr>
        <w:t>MMF</w:t>
      </w:r>
      <w:r>
        <w:rPr>
          <w:noProof/>
        </w:rPr>
        <w:tab/>
        <w:t>Mezinárodní měnový fond</w:t>
      </w:r>
    </w:p>
    <w:p w:rsidR="009F639B" w:rsidRDefault="009F639B">
      <w:pPr>
        <w:spacing w:after="0"/>
        <w:ind w:left="1134" w:hanging="1134"/>
        <w:rPr>
          <w:noProof/>
        </w:rPr>
      </w:pPr>
      <w:r>
        <w:rPr>
          <w:noProof/>
        </w:rPr>
        <w:t>MMR</w:t>
      </w:r>
      <w:r>
        <w:rPr>
          <w:noProof/>
        </w:rPr>
        <w:tab/>
        <w:t>Ministerstvo pro místní rozvoj</w:t>
      </w:r>
    </w:p>
    <w:p w:rsidR="009F639B" w:rsidRDefault="009F639B">
      <w:pPr>
        <w:spacing w:after="0"/>
        <w:ind w:left="1134" w:hanging="1134"/>
        <w:rPr>
          <w:noProof/>
        </w:rPr>
      </w:pPr>
      <w:r>
        <w:rPr>
          <w:noProof/>
        </w:rPr>
        <w:t>MPO</w:t>
      </w:r>
      <w:r>
        <w:rPr>
          <w:noProof/>
        </w:rPr>
        <w:tab/>
        <w:t>Ministerstvo průmyslu a obchodu</w:t>
      </w:r>
    </w:p>
    <w:p w:rsidR="009F639B" w:rsidRDefault="009F639B">
      <w:pPr>
        <w:spacing w:after="0"/>
        <w:ind w:left="1134" w:hanging="1134"/>
        <w:rPr>
          <w:noProof/>
        </w:rPr>
      </w:pPr>
      <w:r>
        <w:rPr>
          <w:noProof/>
        </w:rPr>
        <w:t>MŽP</w:t>
      </w:r>
      <w:r>
        <w:rPr>
          <w:noProof/>
        </w:rPr>
        <w:tab/>
        <w:t>Ministerstvo životního prostředí</w:t>
      </w:r>
    </w:p>
    <w:p w:rsidR="009F639B" w:rsidRDefault="009F639B">
      <w:pPr>
        <w:spacing w:after="0"/>
        <w:ind w:left="1134" w:hanging="1134"/>
        <w:rPr>
          <w:noProof/>
        </w:rPr>
      </w:pPr>
      <w:r>
        <w:rPr>
          <w:noProof/>
        </w:rPr>
        <w:t>N/A</w:t>
      </w:r>
      <w:r>
        <w:rPr>
          <w:noProof/>
        </w:rPr>
        <w:tab/>
      </w:r>
      <w:r w:rsidRPr="00E15C46">
        <w:rPr>
          <w:noProof/>
        </w:rPr>
        <w:t>Not Available</w:t>
      </w:r>
      <w:r>
        <w:rPr>
          <w:noProof/>
        </w:rPr>
        <w:t xml:space="preserve"> (Nedostupné)</w:t>
      </w:r>
    </w:p>
    <w:p w:rsidR="009F639B" w:rsidRDefault="009F639B">
      <w:pPr>
        <w:spacing w:after="0"/>
        <w:ind w:left="1134" w:hanging="1134"/>
        <w:rPr>
          <w:noProof/>
        </w:rPr>
      </w:pPr>
      <w:r>
        <w:rPr>
          <w:noProof/>
        </w:rPr>
        <w:t>OP</w:t>
      </w:r>
      <w:r>
        <w:rPr>
          <w:noProof/>
        </w:rPr>
        <w:tab/>
        <w:t>Operační program</w:t>
      </w:r>
    </w:p>
    <w:p w:rsidR="009F639B" w:rsidRDefault="009F639B">
      <w:pPr>
        <w:spacing w:after="0"/>
        <w:ind w:left="1134" w:hanging="1134"/>
        <w:rPr>
          <w:noProof/>
        </w:rPr>
      </w:pPr>
      <w:r>
        <w:rPr>
          <w:noProof/>
        </w:rPr>
        <w:t>OP D</w:t>
      </w:r>
      <w:r>
        <w:rPr>
          <w:noProof/>
        </w:rPr>
        <w:tab/>
        <w:t xml:space="preserve">Operační program Doprava </w:t>
      </w:r>
    </w:p>
    <w:p w:rsidR="009F639B" w:rsidRDefault="009F639B">
      <w:pPr>
        <w:spacing w:after="0"/>
        <w:ind w:left="1134" w:hanging="1134"/>
        <w:rPr>
          <w:noProof/>
        </w:rPr>
      </w:pPr>
      <w:r>
        <w:rPr>
          <w:noProof/>
        </w:rPr>
        <w:t>OP PIK</w:t>
      </w:r>
      <w:r>
        <w:rPr>
          <w:noProof/>
        </w:rPr>
        <w:tab/>
        <w:t xml:space="preserve">Operační program Podnikání a inovace pro konkurenceschopnost </w:t>
      </w:r>
    </w:p>
    <w:p w:rsidR="009F639B" w:rsidRDefault="009F639B">
      <w:pPr>
        <w:spacing w:after="0"/>
        <w:ind w:left="1134" w:hanging="1134"/>
        <w:rPr>
          <w:noProof/>
        </w:rPr>
      </w:pPr>
      <w:r>
        <w:rPr>
          <w:noProof/>
        </w:rPr>
        <w:t>OP PPR</w:t>
      </w:r>
      <w:r>
        <w:rPr>
          <w:noProof/>
        </w:rPr>
        <w:tab/>
        <w:t xml:space="preserve">Operační program Praha - Pól růstu ČR </w:t>
      </w:r>
    </w:p>
    <w:p w:rsidR="009F639B" w:rsidRDefault="009F639B">
      <w:pPr>
        <w:spacing w:after="0"/>
        <w:ind w:left="1134" w:hanging="1134"/>
        <w:rPr>
          <w:noProof/>
        </w:rPr>
      </w:pPr>
      <w:r>
        <w:rPr>
          <w:noProof/>
        </w:rPr>
        <w:t>OP VVV</w:t>
      </w:r>
      <w:r>
        <w:rPr>
          <w:noProof/>
        </w:rPr>
        <w:tab/>
        <w:t xml:space="preserve">Operační program Výzkum, vývoj a vzdělávání </w:t>
      </w:r>
    </w:p>
    <w:p w:rsidR="009F639B" w:rsidRDefault="009F639B">
      <w:pPr>
        <w:spacing w:after="0"/>
        <w:ind w:left="1134" w:hanging="1134"/>
        <w:rPr>
          <w:noProof/>
        </w:rPr>
      </w:pPr>
      <w:r>
        <w:rPr>
          <w:noProof/>
        </w:rPr>
        <w:t>OP Z</w:t>
      </w:r>
      <w:r>
        <w:rPr>
          <w:noProof/>
        </w:rPr>
        <w:tab/>
        <w:t xml:space="preserve">Operační program Zaměstnanost </w:t>
      </w:r>
    </w:p>
    <w:p w:rsidR="009F639B" w:rsidRDefault="009F639B">
      <w:pPr>
        <w:spacing w:after="0"/>
        <w:ind w:left="1134" w:hanging="1134"/>
        <w:rPr>
          <w:noProof/>
        </w:rPr>
      </w:pPr>
      <w:r>
        <w:rPr>
          <w:noProof/>
        </w:rPr>
        <w:t xml:space="preserve">OP ŽP </w:t>
      </w:r>
      <w:r>
        <w:rPr>
          <w:noProof/>
        </w:rPr>
        <w:tab/>
        <w:t xml:space="preserve">Operační program Životní prostředí </w:t>
      </w:r>
    </w:p>
    <w:p w:rsidR="009F639B" w:rsidRDefault="009F639B">
      <w:pPr>
        <w:spacing w:after="0"/>
        <w:ind w:left="1134" w:hanging="1134"/>
        <w:rPr>
          <w:noProof/>
        </w:rPr>
      </w:pPr>
      <w:r>
        <w:rPr>
          <w:noProof/>
        </w:rPr>
        <w:t xml:space="preserve">OPPI </w:t>
      </w:r>
      <w:r>
        <w:rPr>
          <w:noProof/>
        </w:rPr>
        <w:tab/>
        <w:t>Operační program podnikání a inovace</w:t>
      </w:r>
    </w:p>
    <w:p w:rsidR="009F639B" w:rsidRDefault="009F639B">
      <w:pPr>
        <w:spacing w:after="0"/>
        <w:ind w:left="1134" w:hanging="1134"/>
        <w:rPr>
          <w:noProof/>
        </w:rPr>
      </w:pPr>
      <w:r>
        <w:rPr>
          <w:noProof/>
        </w:rPr>
        <w:t>PCO</w:t>
      </w:r>
      <w:r>
        <w:rPr>
          <w:noProof/>
        </w:rPr>
        <w:tab/>
        <w:t>Platební a certifikační orgán</w:t>
      </w:r>
    </w:p>
    <w:p w:rsidR="009F639B" w:rsidRDefault="009F639B">
      <w:pPr>
        <w:spacing w:after="0"/>
        <w:ind w:left="1134" w:hanging="1134"/>
        <w:rPr>
          <w:noProof/>
        </w:rPr>
      </w:pPr>
      <w:r>
        <w:rPr>
          <w:noProof/>
        </w:rPr>
        <w:t>PD</w:t>
      </w:r>
      <w:r>
        <w:rPr>
          <w:noProof/>
        </w:rPr>
        <w:tab/>
        <w:t>Prováděcí dokument</w:t>
      </w:r>
    </w:p>
    <w:p w:rsidR="009F639B" w:rsidRDefault="009F639B">
      <w:pPr>
        <w:spacing w:after="0"/>
        <w:ind w:left="1134" w:hanging="1134"/>
        <w:rPr>
          <w:noProof/>
        </w:rPr>
      </w:pPr>
      <w:r>
        <w:rPr>
          <w:noProof/>
        </w:rPr>
        <w:t>PE</w:t>
      </w:r>
      <w:r>
        <w:rPr>
          <w:noProof/>
        </w:rPr>
        <w:tab/>
        <w:t xml:space="preserve">Private equity </w:t>
      </w:r>
    </w:p>
    <w:p w:rsidR="009F639B" w:rsidRDefault="009F639B">
      <w:pPr>
        <w:spacing w:after="0"/>
        <w:ind w:left="1134" w:hanging="1134"/>
        <w:rPr>
          <w:noProof/>
        </w:rPr>
      </w:pPr>
      <w:r>
        <w:rPr>
          <w:noProof/>
        </w:rPr>
        <w:t>PIR</w:t>
      </w:r>
      <w:r>
        <w:rPr>
          <w:noProof/>
        </w:rPr>
        <w:tab/>
        <w:t>Polskie Inwestycje Rozwojowe (Polský investiční a rozvojový fond)</w:t>
      </w:r>
    </w:p>
    <w:p w:rsidR="009F639B" w:rsidRDefault="009F639B">
      <w:pPr>
        <w:spacing w:after="0"/>
        <w:ind w:left="1134" w:hanging="1134"/>
        <w:rPr>
          <w:noProof/>
        </w:rPr>
      </w:pPr>
      <w:r>
        <w:rPr>
          <w:noProof/>
        </w:rPr>
        <w:t>PO</w:t>
      </w:r>
      <w:r>
        <w:rPr>
          <w:noProof/>
        </w:rPr>
        <w:tab/>
        <w:t>Právnická osoba</w:t>
      </w:r>
    </w:p>
    <w:p w:rsidR="009F639B" w:rsidRDefault="009F639B">
      <w:pPr>
        <w:spacing w:after="0"/>
        <w:ind w:left="1134" w:hanging="1134"/>
        <w:rPr>
          <w:noProof/>
        </w:rPr>
      </w:pPr>
      <w:r>
        <w:rPr>
          <w:noProof/>
        </w:rPr>
        <w:t>PPP</w:t>
      </w:r>
      <w:r>
        <w:rPr>
          <w:noProof/>
        </w:rPr>
        <w:tab/>
        <w:t>Public Private Partnership (Partnerství veřejného a soukromého sektoru)</w:t>
      </w:r>
    </w:p>
    <w:p w:rsidR="009F639B" w:rsidRDefault="009F639B">
      <w:pPr>
        <w:spacing w:after="0"/>
        <w:ind w:left="1134" w:hanging="1134"/>
        <w:rPr>
          <w:noProof/>
        </w:rPr>
      </w:pPr>
      <w:r>
        <w:rPr>
          <w:noProof/>
        </w:rPr>
        <w:t>PRV</w:t>
      </w:r>
      <w:r>
        <w:rPr>
          <w:noProof/>
        </w:rPr>
        <w:tab/>
        <w:t xml:space="preserve">Program rozvoje venkova </w:t>
      </w:r>
    </w:p>
    <w:p w:rsidR="009F639B" w:rsidRDefault="009F639B">
      <w:pPr>
        <w:spacing w:after="0"/>
        <w:ind w:left="1134" w:hanging="1134"/>
        <w:rPr>
          <w:noProof/>
        </w:rPr>
      </w:pPr>
      <w:r>
        <w:rPr>
          <w:noProof/>
        </w:rPr>
        <w:t>RIA</w:t>
      </w:r>
      <w:r>
        <w:rPr>
          <w:noProof/>
        </w:rPr>
        <w:tab/>
        <w:t>Regulatory Impact Assessment (Hodnocení dopadů regulace)</w:t>
      </w:r>
    </w:p>
    <w:p w:rsidR="009F639B" w:rsidRDefault="009F639B">
      <w:pPr>
        <w:spacing w:after="0"/>
        <w:ind w:left="1134" w:hanging="1134"/>
        <w:rPr>
          <w:noProof/>
        </w:rPr>
      </w:pPr>
      <w:r>
        <w:rPr>
          <w:noProof/>
        </w:rPr>
        <w:t>RSFF</w:t>
      </w:r>
      <w:r>
        <w:rPr>
          <w:noProof/>
        </w:rPr>
        <w:tab/>
        <w:t>Risk Sharing Finance Facility (Finanční nástroj na sdílení rizika)</w:t>
      </w:r>
    </w:p>
    <w:p w:rsidR="009F639B" w:rsidRDefault="009F639B">
      <w:pPr>
        <w:spacing w:after="0"/>
        <w:ind w:left="1134" w:hanging="1134"/>
        <w:rPr>
          <w:noProof/>
        </w:rPr>
      </w:pPr>
      <w:r>
        <w:rPr>
          <w:noProof/>
        </w:rPr>
        <w:t>ŘO</w:t>
      </w:r>
      <w:r>
        <w:rPr>
          <w:noProof/>
        </w:rPr>
        <w:tab/>
        <w:t>Řídící orgány</w:t>
      </w:r>
    </w:p>
    <w:p w:rsidR="009F639B" w:rsidRDefault="009F639B">
      <w:pPr>
        <w:spacing w:after="0"/>
        <w:ind w:left="1134" w:hanging="1134"/>
        <w:rPr>
          <w:noProof/>
        </w:rPr>
      </w:pPr>
      <w:r>
        <w:rPr>
          <w:noProof/>
        </w:rPr>
        <w:t>SFRB</w:t>
      </w:r>
      <w:r>
        <w:rPr>
          <w:noProof/>
        </w:rPr>
        <w:tab/>
        <w:t>Státní fond rozvoje bydlení</w:t>
      </w:r>
    </w:p>
    <w:p w:rsidR="009F639B" w:rsidRDefault="009F639B">
      <w:pPr>
        <w:spacing w:after="0"/>
        <w:ind w:left="1134" w:hanging="1134"/>
        <w:rPr>
          <w:noProof/>
        </w:rPr>
      </w:pPr>
      <w:r>
        <w:rPr>
          <w:noProof/>
        </w:rPr>
        <w:t>SFŽP</w:t>
      </w:r>
      <w:r>
        <w:rPr>
          <w:noProof/>
        </w:rPr>
        <w:tab/>
        <w:t xml:space="preserve">Státní fond životního prostředí </w:t>
      </w:r>
    </w:p>
    <w:p w:rsidR="009F639B" w:rsidRDefault="009F639B">
      <w:pPr>
        <w:spacing w:after="0"/>
        <w:ind w:left="1134" w:hanging="1134"/>
        <w:rPr>
          <w:noProof/>
        </w:rPr>
      </w:pPr>
      <w:r>
        <w:rPr>
          <w:noProof/>
        </w:rPr>
        <w:t>SICAV</w:t>
      </w:r>
      <w:r>
        <w:rPr>
          <w:noProof/>
        </w:rPr>
        <w:tab/>
        <w:t>Akciová společnost s proměnným základním kapitálem</w:t>
      </w:r>
    </w:p>
    <w:p w:rsidR="009F639B" w:rsidRDefault="009F639B">
      <w:pPr>
        <w:spacing w:after="0"/>
        <w:ind w:left="1134" w:hanging="1134"/>
        <w:rPr>
          <w:noProof/>
        </w:rPr>
      </w:pPr>
      <w:r>
        <w:rPr>
          <w:noProof/>
        </w:rPr>
        <w:t>SIH</w:t>
      </w:r>
      <w:r>
        <w:rPr>
          <w:noProof/>
        </w:rPr>
        <w:tab/>
        <w:t>Slovenský investičný holding (Slovenský investiční holding)</w:t>
      </w:r>
    </w:p>
    <w:p w:rsidR="009F639B" w:rsidRDefault="009F639B">
      <w:pPr>
        <w:spacing w:after="0"/>
        <w:ind w:left="1134" w:hanging="1134"/>
        <w:rPr>
          <w:noProof/>
        </w:rPr>
      </w:pPr>
      <w:r>
        <w:rPr>
          <w:noProof/>
        </w:rPr>
        <w:t>SPV</w:t>
      </w:r>
      <w:r>
        <w:rPr>
          <w:noProof/>
        </w:rPr>
        <w:tab/>
        <w:t>Special Purpose Vehicle (Společnost zvláštního určení)</w:t>
      </w:r>
    </w:p>
    <w:p w:rsidR="009F639B" w:rsidRDefault="009F639B">
      <w:pPr>
        <w:spacing w:after="0"/>
        <w:ind w:left="1134" w:hanging="1134"/>
        <w:rPr>
          <w:noProof/>
        </w:rPr>
      </w:pPr>
      <w:r>
        <w:rPr>
          <w:noProof/>
        </w:rPr>
        <w:t>SR</w:t>
      </w:r>
      <w:r>
        <w:rPr>
          <w:noProof/>
        </w:rPr>
        <w:tab/>
        <w:t>Státní rozpočet</w:t>
      </w:r>
    </w:p>
    <w:p w:rsidR="009F639B" w:rsidRDefault="009F639B">
      <w:pPr>
        <w:spacing w:after="0"/>
        <w:ind w:left="1134" w:hanging="1134"/>
        <w:rPr>
          <w:noProof/>
        </w:rPr>
      </w:pPr>
      <w:r>
        <w:rPr>
          <w:noProof/>
        </w:rPr>
        <w:t>VC</w:t>
      </w:r>
      <w:r>
        <w:rPr>
          <w:noProof/>
        </w:rPr>
        <w:tab/>
        <w:t xml:space="preserve">Venture capital </w:t>
      </w:r>
    </w:p>
    <w:p w:rsidR="009F639B" w:rsidRDefault="009F639B">
      <w:pPr>
        <w:spacing w:after="0"/>
        <w:ind w:left="1134" w:hanging="1134"/>
        <w:rPr>
          <w:noProof/>
        </w:rPr>
      </w:pPr>
      <w:r>
        <w:rPr>
          <w:noProof/>
        </w:rPr>
        <w:t>VFR</w:t>
      </w:r>
      <w:r>
        <w:rPr>
          <w:noProof/>
        </w:rPr>
        <w:tab/>
        <w:t>Víceleté finanční rámce</w:t>
      </w:r>
    </w:p>
    <w:p w:rsidR="009F639B" w:rsidRDefault="009F639B">
      <w:pPr>
        <w:spacing w:after="0"/>
        <w:ind w:left="1134" w:hanging="1134"/>
        <w:rPr>
          <w:noProof/>
        </w:rPr>
      </w:pPr>
      <w:r>
        <w:rPr>
          <w:noProof/>
        </w:rPr>
        <w:t>ZISIF</w:t>
      </w:r>
      <w:r>
        <w:rPr>
          <w:noProof/>
        </w:rPr>
        <w:tab/>
        <w:t>Zákon o investičních společnostech a investičních fondech</w:t>
      </w:r>
    </w:p>
    <w:p w:rsidR="009F639B" w:rsidRDefault="009F639B">
      <w:pPr>
        <w:spacing w:after="0"/>
        <w:ind w:left="1134" w:hanging="1134"/>
        <w:rPr>
          <w:noProof/>
        </w:rPr>
      </w:pPr>
      <w:r>
        <w:rPr>
          <w:noProof/>
        </w:rPr>
        <w:t>ZS</w:t>
      </w:r>
      <w:r>
        <w:rPr>
          <w:noProof/>
        </w:rPr>
        <w:tab/>
        <w:t>Zprostředkující subjekt</w:t>
      </w:r>
    </w:p>
    <w:p w:rsidR="009F639B" w:rsidRDefault="009F639B">
      <w:pPr>
        <w:spacing w:after="0"/>
        <w:ind w:left="1134" w:hanging="1134"/>
        <w:rPr>
          <w:noProof/>
        </w:rPr>
      </w:pPr>
      <w:r>
        <w:rPr>
          <w:noProof/>
        </w:rPr>
        <w:t>ZVZ</w:t>
      </w:r>
      <w:r>
        <w:rPr>
          <w:noProof/>
        </w:rPr>
        <w:tab/>
        <w:t>Zadávání veřejných zakázek</w:t>
      </w:r>
    </w:p>
    <w:p w:rsidR="001E268C" w:rsidRPr="00171265" w:rsidRDefault="00AA7018" w:rsidP="00B54C37">
      <w:pPr>
        <w:pStyle w:val="Nadpis1"/>
      </w:pPr>
      <w:bookmarkStart w:id="0" w:name="_Toc410115429"/>
      <w:r w:rsidRPr="00171265">
        <w:lastRenderedPageBreak/>
        <w:t>Manažerské shrnutí</w:t>
      </w:r>
      <w:bookmarkEnd w:id="0"/>
    </w:p>
    <w:p w:rsidR="007862C1" w:rsidRDefault="007862C1" w:rsidP="007862C1">
      <w:pPr>
        <w:pStyle w:val="Nadpis2"/>
      </w:pPr>
      <w:bookmarkStart w:id="1" w:name="_Toc410115430"/>
      <w:r w:rsidRPr="007862C1">
        <w:t>Ú</w:t>
      </w:r>
      <w:r>
        <w:t>vod</w:t>
      </w:r>
      <w:bookmarkEnd w:id="1"/>
    </w:p>
    <w:p w:rsidR="00AA7018" w:rsidRDefault="00AA7018" w:rsidP="00AA7018">
      <w:r>
        <w:t>Tato kapitola je manažerským shrnutím celé analýzy, k</w:t>
      </w:r>
      <w:r w:rsidR="00F93DBC">
        <w:t>terá</w:t>
      </w:r>
      <w:r>
        <w:t xml:space="preserve"> stručně definuje </w:t>
      </w:r>
      <w:r w:rsidR="00F93DBC">
        <w:t>inovativní finanční nástroje (</w:t>
      </w:r>
      <w:r w:rsidR="00951BB0">
        <w:t>„</w:t>
      </w:r>
      <w:r>
        <w:t>IFN</w:t>
      </w:r>
      <w:r w:rsidR="00951BB0">
        <w:t>“</w:t>
      </w:r>
      <w:r w:rsidR="00F93DBC">
        <w:t>)</w:t>
      </w:r>
      <w:r>
        <w:t xml:space="preserve">, jejich základní podoby, implementační varianty a preferované řešení, včetně základních benefitů pro ČR. Podrobnosti jsou dále rozvedeny v jednotlivých kapitolách analýzy </w:t>
      </w:r>
      <w:r w:rsidR="00EF5114">
        <w:t>a </w:t>
      </w:r>
      <w:r>
        <w:t>jejích přílohách.</w:t>
      </w:r>
    </w:p>
    <w:p w:rsidR="000E1407" w:rsidRDefault="00AA7018" w:rsidP="000E1407">
      <w:r>
        <w:t xml:space="preserve">Cílem této analýzy je ilustrace potenciálu IFN připravených EK pro </w:t>
      </w:r>
      <w:r w:rsidR="00787752">
        <w:t>programové</w:t>
      </w:r>
      <w:r>
        <w:t xml:space="preserve"> období 2014 – 2020 jako jeden z nástrojů pro podporu hospodářského růstu. Předmětem analýzy je rozbor současné ekonomické situace v EU, popis opatření EK a to na úrovni rozpočtu EK (</w:t>
      </w:r>
      <w:r w:rsidR="00420428">
        <w:t>IFN</w:t>
      </w:r>
      <w:r>
        <w:t xml:space="preserve">) </w:t>
      </w:r>
      <w:r w:rsidR="00EF5114">
        <w:t>a na </w:t>
      </w:r>
      <w:r>
        <w:t>úrovni regulatorní (vytváření nových kategorií investičních fondů)</w:t>
      </w:r>
      <w:r w:rsidR="006F7A2F">
        <w:t>.</w:t>
      </w:r>
      <w:r>
        <w:t xml:space="preserve"> </w:t>
      </w:r>
      <w:r w:rsidR="006F7A2F">
        <w:t>D</w:t>
      </w:r>
      <w:r>
        <w:t xml:space="preserve">ále </w:t>
      </w:r>
      <w:r w:rsidR="006F7A2F">
        <w:t xml:space="preserve">je analyzována </w:t>
      </w:r>
      <w:r>
        <w:t xml:space="preserve">celá oblast IFN a </w:t>
      </w:r>
      <w:r w:rsidR="006F7A2F">
        <w:t xml:space="preserve">jsou popsána možná </w:t>
      </w:r>
      <w:r>
        <w:t xml:space="preserve">implementační řešení IFN </w:t>
      </w:r>
      <w:r w:rsidRPr="00741495">
        <w:t>v rámci čerpání</w:t>
      </w:r>
      <w:r>
        <w:t xml:space="preserve"> </w:t>
      </w:r>
      <w:r w:rsidR="000E1407">
        <w:t>Evropských strukturálních a investičních fondů (ESIF) v </w:t>
      </w:r>
      <w:r w:rsidR="00787752">
        <w:t>programové</w:t>
      </w:r>
      <w:r w:rsidR="000E1407">
        <w:t>m období 2014 – 2020. Analýza předpokládá posílení zdrojů IFN v rámci alokací relevantních operačních programů 2014</w:t>
      </w:r>
      <w:r w:rsidR="004549D7">
        <w:t xml:space="preserve"> </w:t>
      </w:r>
      <w:r w:rsidR="000E1407">
        <w:t>-</w:t>
      </w:r>
      <w:r w:rsidR="004549D7">
        <w:t xml:space="preserve"> </w:t>
      </w:r>
      <w:r w:rsidR="000E1407">
        <w:t xml:space="preserve">2020 oproti operačním programům 2007-2013, avšak nemá za cíl např. stanovit závazné podíly IFN </w:t>
      </w:r>
      <w:r w:rsidR="00EF5114">
        <w:t>na </w:t>
      </w:r>
      <w:r w:rsidR="000E1407">
        <w:t xml:space="preserve">alokaci jednotlivých operačních programů nebo Dohody o partnerství. Tyto podíly řídící orgány stanoví zejména na základě předběžných posouzení </w:t>
      </w:r>
      <w:r w:rsidR="00420428">
        <w:t>IFN</w:t>
      </w:r>
      <w:r w:rsidR="000E1407">
        <w:t xml:space="preserve"> v jimi řízených operačních programech</w:t>
      </w:r>
      <w:r w:rsidR="000E1407">
        <w:rPr>
          <w:rStyle w:val="Znakapoznpodarou"/>
        </w:rPr>
        <w:footnoteReference w:id="1"/>
      </w:r>
      <w:r w:rsidR="000E1407">
        <w:t>.</w:t>
      </w:r>
    </w:p>
    <w:p w:rsidR="00AA7018" w:rsidRDefault="00AA7018" w:rsidP="00AA7018">
      <w:r>
        <w:t xml:space="preserve">Tato analýza se zabývá především makroekonomickým pohledem na oblast </w:t>
      </w:r>
      <w:r w:rsidR="00420428">
        <w:t xml:space="preserve">IFN </w:t>
      </w:r>
      <w:r>
        <w:t xml:space="preserve">a hledá cesty jak vhodnou implementací co nejvíce přispět k podpoře hospodářského růstu ČR, </w:t>
      </w:r>
      <w:r w:rsidR="00A56863">
        <w:t xml:space="preserve">k  zefektivnění </w:t>
      </w:r>
      <w:r>
        <w:t>investic realizovaných v ČR a také k naplňování cílů strategie Evropa 2020.</w:t>
      </w:r>
    </w:p>
    <w:p w:rsidR="00FD17E5" w:rsidRDefault="00FD17E5" w:rsidP="00FD17E5">
      <w:r>
        <w:t xml:space="preserve">Vzhledem k tomu, že celá oblast je extrémně komplikovaná, je záměrem této studie doporučit pouze jedno nejvíce vhodné řešení k další podrobné analýze a rozpracování do konkrétního projektu realizace. ČR má v současné době zpoždění, co se týká nastavení vhodného uspořádání pro celou ČR a musí proto reagovat rychle. Výsledkem další časové prodlevy by mohlo být selhání některých </w:t>
      </w:r>
      <w:r w:rsidR="00787752">
        <w:t>mechanizm</w:t>
      </w:r>
      <w:r>
        <w:t>ů v oblasti ESIF fondů nebo neefektivní řízení IFN v období 2014</w:t>
      </w:r>
      <w:r w:rsidR="004549D7">
        <w:t xml:space="preserve"> </w:t>
      </w:r>
      <w:r>
        <w:t>-</w:t>
      </w:r>
      <w:r w:rsidR="004549D7">
        <w:t xml:space="preserve"> </w:t>
      </w:r>
      <w:r>
        <w:t>2020.</w:t>
      </w:r>
    </w:p>
    <w:p w:rsidR="004D7326" w:rsidRPr="00E966A2" w:rsidRDefault="004D7326" w:rsidP="00E966A2">
      <w:r w:rsidRPr="00E966A2">
        <w:t>V případě, kdy by některá ex-ante analýza ŘO navrhovala odlišné řešení pro implementaci IFN, bude nutné v rámci dalšího rozpracování také posoudit vzájemnou kompatibilitu navrhovaného centrálního řešení a možnou implementaci navrhovaného IFN</w:t>
      </w:r>
      <w:r w:rsidR="00815CF9">
        <w:t>,</w:t>
      </w:r>
      <w:r w:rsidRPr="00E966A2">
        <w:t xml:space="preserve"> zejména  s ohledem na zohlednění legislativních aspektů, časového rámce, finančních nákladů a zátěže kladené na ŘO. Stejně bude postupováno i v případě, kdy by tento krok doporučili zástupci EK/EIB/EIF</w:t>
      </w:r>
      <w:r w:rsidR="00E966A2" w:rsidRPr="00E966A2">
        <w:t>.</w:t>
      </w:r>
      <w:r w:rsidRPr="00E966A2">
        <w:t xml:space="preserve"> </w:t>
      </w:r>
    </w:p>
    <w:p w:rsidR="00AA7018" w:rsidRDefault="00AA7018" w:rsidP="00AA7018">
      <w:r>
        <w:t>Analýza byla zpracována v rámci pracovní skupiny Ministerstva financí, Ministerstva pro místní rozvoj, Ministerstva průmyslu a obchodu a Úřadu vlády ČR.</w:t>
      </w:r>
    </w:p>
    <w:p w:rsidR="00AA7018" w:rsidRPr="00AA7018" w:rsidRDefault="00AA7018" w:rsidP="00171265">
      <w:pPr>
        <w:pStyle w:val="Nadpis2"/>
      </w:pPr>
      <w:bookmarkStart w:id="2" w:name="_Toc410115431"/>
      <w:r>
        <w:t>Ekonomická východiska</w:t>
      </w:r>
      <w:bookmarkEnd w:id="2"/>
    </w:p>
    <w:p w:rsidR="00AA08FF" w:rsidRDefault="00B629AE" w:rsidP="00D6286A">
      <w:r w:rsidRPr="005F3C12">
        <w:t>Situace v posledních letech v Evropské unii</w:t>
      </w:r>
      <w:r w:rsidR="0018767D">
        <w:t xml:space="preserve"> („EU“</w:t>
      </w:r>
      <w:r w:rsidR="00E405ED">
        <w:t xml:space="preserve"> nebo také „Unie“</w:t>
      </w:r>
      <w:r w:rsidR="0018767D">
        <w:t>)</w:t>
      </w:r>
      <w:r w:rsidRPr="005F3C12">
        <w:t xml:space="preserve"> a </w:t>
      </w:r>
      <w:r w:rsidR="00241665">
        <w:t xml:space="preserve">v </w:t>
      </w:r>
      <w:r w:rsidRPr="005F3C12">
        <w:t xml:space="preserve">jednotlivých členských státech ukázala, že </w:t>
      </w:r>
      <w:r w:rsidR="004B66D1">
        <w:t xml:space="preserve">zvyšování </w:t>
      </w:r>
      <w:r w:rsidRPr="005F3C12">
        <w:t>konkurenceschopnost</w:t>
      </w:r>
      <w:r w:rsidR="004B66D1">
        <w:t>i</w:t>
      </w:r>
      <w:r w:rsidRPr="005F3C12">
        <w:t xml:space="preserve"> je klíčovým prvkem budoucího rozvoje</w:t>
      </w:r>
      <w:r w:rsidR="004B66D1">
        <w:t xml:space="preserve"> jak jednotlivých členských států, tak celé EU.</w:t>
      </w:r>
      <w:r w:rsidRPr="005F3C12">
        <w:t xml:space="preserve"> </w:t>
      </w:r>
      <w:r w:rsidR="004B66D1">
        <w:t>V průběhu</w:t>
      </w:r>
      <w:r w:rsidRPr="005F3C12">
        <w:t xml:space="preserve"> </w:t>
      </w:r>
      <w:r w:rsidR="004B66D1">
        <w:t xml:space="preserve">nedávné finanční krize a </w:t>
      </w:r>
      <w:r w:rsidR="005C65E7">
        <w:t xml:space="preserve">v </w:t>
      </w:r>
      <w:r w:rsidR="004B66D1">
        <w:t xml:space="preserve">následujících letech spojených s </w:t>
      </w:r>
      <w:r w:rsidRPr="005F3C12">
        <w:t>propad</w:t>
      </w:r>
      <w:r w:rsidR="004B66D1">
        <w:t>em</w:t>
      </w:r>
      <w:r w:rsidRPr="005F3C12">
        <w:t xml:space="preserve"> hospodářství mnoha členských zemí došlo k selhání </w:t>
      </w:r>
      <w:r w:rsidR="004B66D1">
        <w:t>řady</w:t>
      </w:r>
      <w:r w:rsidRPr="005F3C12">
        <w:t xml:space="preserve"> do té </w:t>
      </w:r>
      <w:r w:rsidRPr="00D6286A">
        <w:rPr>
          <w:szCs w:val="24"/>
        </w:rPr>
        <w:t>doby</w:t>
      </w:r>
      <w:r w:rsidRPr="005F3C12">
        <w:t xml:space="preserve"> běžně používaných mechanizmů. Neschopnost splácet státní dluhy a ztráty z držení státních dluhopisů některých zemí (Řecko, Kypr) jasně ukázalo, že běžné zadlužování na státní úrovni </w:t>
      </w:r>
      <w:r w:rsidRPr="005F3C12">
        <w:lastRenderedPageBreak/>
        <w:t>není nekonečné a má své hranice</w:t>
      </w:r>
      <w:r w:rsidR="00C67774">
        <w:rPr>
          <w:rStyle w:val="Znakapoznpodarou"/>
        </w:rPr>
        <w:footnoteReference w:id="2"/>
      </w:r>
      <w:r w:rsidRPr="005F3C12">
        <w:t xml:space="preserve">. </w:t>
      </w:r>
      <w:r w:rsidR="004B66D1">
        <w:t>S</w:t>
      </w:r>
      <w:r w:rsidRPr="005F3C12">
        <w:t>nížení růstu HDP</w:t>
      </w:r>
      <w:r w:rsidR="0012130B">
        <w:rPr>
          <w:rStyle w:val="Znakapoznpodarou"/>
        </w:rPr>
        <w:footnoteReference w:id="3"/>
      </w:r>
      <w:r w:rsidR="004B66D1">
        <w:t>, resp.</w:t>
      </w:r>
      <w:r w:rsidRPr="005F3C12">
        <w:t xml:space="preserve"> v řadě případů dokonce pokles</w:t>
      </w:r>
      <w:r w:rsidR="005C65E7">
        <w:t>,</w:t>
      </w:r>
      <w:r w:rsidRPr="005F3C12">
        <w:t xml:space="preserve"> vedl</w:t>
      </w:r>
      <w:r w:rsidR="005C65E7">
        <w:t>o</w:t>
      </w:r>
      <w:r w:rsidRPr="005F3C12">
        <w:t xml:space="preserve"> k tomu, že ve stále</w:t>
      </w:r>
      <w:r w:rsidRPr="005F3C12">
        <w:rPr>
          <w:rFonts w:ascii="Arial" w:hAnsi="Arial" w:cs="Arial"/>
        </w:rPr>
        <w:t xml:space="preserve"> </w:t>
      </w:r>
      <w:r w:rsidRPr="005F3C12">
        <w:t xml:space="preserve">napjatější situaci se ocitl jak samotný rozpočet EU, tak i rozpočet jednotlivých členských států. Nicméně cíle a aspirace </w:t>
      </w:r>
      <w:r w:rsidR="0018767D">
        <w:t>EU</w:t>
      </w:r>
      <w:r w:rsidRPr="005F3C12">
        <w:t xml:space="preserve"> deklarované především v její Strategii Evropa 2020 nutně vyžadují zapojení dalších finančních zdrojů k dosažení těchto vizí</w:t>
      </w:r>
      <w:r w:rsidR="00AA08FF">
        <w:t>.</w:t>
      </w:r>
    </w:p>
    <w:p w:rsidR="004B66D1" w:rsidRDefault="004B66D1" w:rsidP="004B66D1">
      <w:r w:rsidRPr="005F3C12">
        <w:t>Nacházíme se</w:t>
      </w:r>
      <w:r>
        <w:t xml:space="preserve"> však</w:t>
      </w:r>
      <w:r w:rsidRPr="005F3C12">
        <w:t xml:space="preserve"> v období, kdy </w:t>
      </w:r>
      <w:r>
        <w:t xml:space="preserve">dříve </w:t>
      </w:r>
      <w:r w:rsidRPr="005F3C12">
        <w:t>běžně používané m</w:t>
      </w:r>
      <w:r>
        <w:t>echanizmy selhávají.</w:t>
      </w:r>
      <w:r w:rsidRPr="005F3C12">
        <w:t xml:space="preserve"> </w:t>
      </w:r>
      <w:r>
        <w:t>V</w:t>
      </w:r>
      <w:r w:rsidRPr="005F3C12">
        <w:t xml:space="preserve"> minulých </w:t>
      </w:r>
      <w:r>
        <w:t>obdobích</w:t>
      </w:r>
      <w:r w:rsidRPr="005F3C12">
        <w:t xml:space="preserve"> se přistupovalo </w:t>
      </w:r>
      <w:r>
        <w:t xml:space="preserve">k tradičním </w:t>
      </w:r>
      <w:r w:rsidR="00787752">
        <w:t>mechanizm</w:t>
      </w:r>
      <w:r>
        <w:t xml:space="preserve">ům ve formě </w:t>
      </w:r>
      <w:r w:rsidRPr="005F3C12">
        <w:t xml:space="preserve">snižování úrokových sazeb </w:t>
      </w:r>
      <w:r w:rsidR="00615CA1" w:rsidRPr="005F3C12">
        <w:t>a</w:t>
      </w:r>
      <w:r w:rsidR="00615CA1">
        <w:t> </w:t>
      </w:r>
      <w:r w:rsidRPr="005F3C12">
        <w:t>zároveň ke zvyšování zadlužení státu a posílení investic do ekonomiky a povzbuzení podnikání</w:t>
      </w:r>
      <w:r w:rsidR="00E405ED">
        <w:t>.</w:t>
      </w:r>
      <w:r w:rsidRPr="005F3C12">
        <w:t xml:space="preserve"> </w:t>
      </w:r>
      <w:r w:rsidR="00E405ED">
        <w:t>B</w:t>
      </w:r>
      <w:r w:rsidRPr="005F3C12">
        <w:t>ohužel dnes jsou oba tyto nástroje na svých historických maximech</w:t>
      </w:r>
      <w:r>
        <w:rPr>
          <w:rStyle w:val="Znakapoznpodarou"/>
        </w:rPr>
        <w:footnoteReference w:id="4"/>
      </w:r>
      <w:r>
        <w:t xml:space="preserve"> (resp. minimech</w:t>
      </w:r>
      <w:r>
        <w:rPr>
          <w:rStyle w:val="Znakapoznpodarou"/>
        </w:rPr>
        <w:footnoteReference w:id="5"/>
      </w:r>
      <w:r>
        <w:t>)</w:t>
      </w:r>
      <w:r w:rsidRPr="005F3C12">
        <w:t xml:space="preserve"> </w:t>
      </w:r>
      <w:r w:rsidR="00615CA1" w:rsidRPr="005F3C12">
        <w:t>a</w:t>
      </w:r>
      <w:r w:rsidR="00615CA1">
        <w:t> </w:t>
      </w:r>
      <w:r w:rsidRPr="005F3C12">
        <w:t>manévro</w:t>
      </w:r>
      <w:r>
        <w:t xml:space="preserve">vací prostor je tak velmi malý. Evropská ekonomika se nevyvíjí </w:t>
      </w:r>
      <w:r w:rsidR="0043000B">
        <w:t>dostatečným</w:t>
      </w:r>
      <w:r>
        <w:t xml:space="preserve"> tempem</w:t>
      </w:r>
      <w:r>
        <w:rPr>
          <w:rStyle w:val="Znakapoznpodarou"/>
        </w:rPr>
        <w:footnoteReference w:id="6"/>
      </w:r>
      <w:r>
        <w:t xml:space="preserve">, což se projevuje i na možnostech </w:t>
      </w:r>
      <w:r w:rsidR="00E405ED">
        <w:t>e</w:t>
      </w:r>
      <w:r>
        <w:t xml:space="preserve">vropského rozpočtu a také dochází ke zvýšenému tlaku na hledání cest budoucího růstu. Evropská komise („EK“) proto připravila řadu opatření na podporu investic </w:t>
      </w:r>
      <w:r w:rsidR="00AA7018">
        <w:t xml:space="preserve">a hospodářského růstu </w:t>
      </w:r>
      <w:r>
        <w:t>(viz kapitola 2. Evropské iniciativy), které mají být základním kamenem budoucího růstu.</w:t>
      </w:r>
      <w:r w:rsidR="00755E19">
        <w:t xml:space="preserve"> </w:t>
      </w:r>
      <w:r w:rsidR="00755E19" w:rsidRPr="0049720A">
        <w:t>Evropská centrální banka („ECB“) přistupuje k takzvanému kvantitativnímu uvolňování</w:t>
      </w:r>
      <w:r w:rsidR="0049720A" w:rsidRPr="0049720A">
        <w:rPr>
          <w:rStyle w:val="Znakapoznpodarou"/>
        </w:rPr>
        <w:footnoteReference w:id="7"/>
      </w:r>
      <w:r w:rsidR="00755E19" w:rsidRPr="0049720A">
        <w:t>, snaží se poskytovat levné půjčky na podporu růstu</w:t>
      </w:r>
      <w:r w:rsidR="0049720A" w:rsidRPr="0049720A">
        <w:rPr>
          <w:rStyle w:val="Znakapoznpodarou"/>
        </w:rPr>
        <w:footnoteReference w:id="8"/>
      </w:r>
      <w:r w:rsidR="00755E19" w:rsidRPr="0049720A">
        <w:t>, ale zatím s malým úspěchem</w:t>
      </w:r>
      <w:r w:rsidR="00814756">
        <w:t>.</w:t>
      </w:r>
      <w:r w:rsidR="0049720A" w:rsidRPr="0049720A">
        <w:t xml:space="preserve"> </w:t>
      </w:r>
      <w:r w:rsidR="00814756">
        <w:t>E</w:t>
      </w:r>
      <w:r w:rsidR="0049720A" w:rsidRPr="0049720A">
        <w:t>urozóna stále balancuje na hraně deflace</w:t>
      </w:r>
      <w:r w:rsidR="0049720A" w:rsidRPr="0049720A">
        <w:rPr>
          <w:rStyle w:val="Znakapoznpodarou"/>
        </w:rPr>
        <w:footnoteReference w:id="9"/>
      </w:r>
      <w:r w:rsidR="00755E19" w:rsidRPr="0049720A">
        <w:t xml:space="preserve">. Poslední zpráva Mezinárodního měnového fondu </w:t>
      </w:r>
      <w:r w:rsidR="00FA0543">
        <w:t>(„</w:t>
      </w:r>
      <w:r w:rsidR="00755E19" w:rsidRPr="0049720A">
        <w:t>MMF</w:t>
      </w:r>
      <w:r w:rsidR="00FA0543">
        <w:t>“)</w:t>
      </w:r>
      <w:r w:rsidR="00755E19" w:rsidRPr="0049720A">
        <w:t xml:space="preserve"> také hovoří o silné potřebě investic do růstu ekonomik</w:t>
      </w:r>
      <w:r w:rsidR="0049720A" w:rsidRPr="0049720A">
        <w:rPr>
          <w:rStyle w:val="Znakapoznpodarou"/>
        </w:rPr>
        <w:footnoteReference w:id="10"/>
      </w:r>
      <w:r w:rsidR="00755E19" w:rsidRPr="0049720A">
        <w:t>.</w:t>
      </w:r>
    </w:p>
    <w:p w:rsidR="00973E15" w:rsidRDefault="00B629AE" w:rsidP="00D6286A">
      <w:r w:rsidRPr="005F3C12">
        <w:t>Obdobná situace je také v</w:t>
      </w:r>
      <w:r w:rsidR="004B66D1">
        <w:t> </w:t>
      </w:r>
      <w:r w:rsidR="0018767D">
        <w:t>Č</w:t>
      </w:r>
      <w:r w:rsidR="004B66D1">
        <w:t>eské republice („ČR</w:t>
      </w:r>
      <w:r w:rsidR="00E405ED">
        <w:t>“</w:t>
      </w:r>
      <w:r w:rsidR="004B66D1">
        <w:t>)</w:t>
      </w:r>
      <w:r w:rsidR="00AA7018">
        <w:rPr>
          <w:rStyle w:val="Znakapoznpodarou"/>
        </w:rPr>
        <w:footnoteReference w:id="11"/>
      </w:r>
      <w:r w:rsidR="004B66D1">
        <w:t>,</w:t>
      </w:r>
      <w:r w:rsidRPr="005F3C12">
        <w:t xml:space="preserve"> kdy i přes rekordně nízké úrokové sazby</w:t>
      </w:r>
      <w:r w:rsidR="004B66D1">
        <w:t xml:space="preserve"> neroste</w:t>
      </w:r>
      <w:r w:rsidRPr="005F3C12">
        <w:t xml:space="preserve"> ekonomika </w:t>
      </w:r>
      <w:r w:rsidR="006907C2">
        <w:t xml:space="preserve">takovým tempem, které by bylo potřebné a inflace se i přes </w:t>
      </w:r>
      <w:r w:rsidR="00241665">
        <w:t xml:space="preserve">devizové </w:t>
      </w:r>
      <w:r w:rsidR="006907C2">
        <w:t>intervence Č</w:t>
      </w:r>
      <w:r w:rsidR="004B66D1">
        <w:t>eské národní banky („Č</w:t>
      </w:r>
      <w:r w:rsidR="006907C2">
        <w:t>NB</w:t>
      </w:r>
      <w:r w:rsidR="004B66D1">
        <w:t>“)</w:t>
      </w:r>
      <w:r w:rsidR="006907C2">
        <w:t xml:space="preserve"> pohybuje na </w:t>
      </w:r>
      <w:r w:rsidR="00241665">
        <w:t>velmi nízké úrovni</w:t>
      </w:r>
      <w:r w:rsidR="006907C2">
        <w:t>. P</w:t>
      </w:r>
      <w:r w:rsidRPr="005F3C12">
        <w:t>řesto je ČR zavázána k napomáhání dosažení evropských cílů</w:t>
      </w:r>
      <w:r w:rsidR="00FA0543">
        <w:t>.</w:t>
      </w:r>
      <w:r w:rsidRPr="005F3C12">
        <w:t xml:space="preserve"> </w:t>
      </w:r>
      <w:r w:rsidR="00FA0543">
        <w:t>Vedle toho</w:t>
      </w:r>
      <w:r w:rsidRPr="005F3C12">
        <w:t xml:space="preserve"> musí investovat do svého vlastního rozvoje</w:t>
      </w:r>
      <w:r w:rsidR="000F0F6F">
        <w:t>, ale omezený hospodářský růst nevytváří potřebné zdroje pro financování těchto aktivit.</w:t>
      </w:r>
      <w:r w:rsidRPr="005F3C12">
        <w:t xml:space="preserve"> Vzniká tak paradox, kdy na jedné straně možnosti státního rozpočtu naráží na svá maxima a na druhé straně je třeba mobilizovat dostupné finanční zdroje pro podporu investičních aktivit státu </w:t>
      </w:r>
      <w:r w:rsidR="00615CA1" w:rsidRPr="005F3C12">
        <w:t>a</w:t>
      </w:r>
      <w:r w:rsidR="00615CA1">
        <w:t> </w:t>
      </w:r>
      <w:r w:rsidRPr="005F3C12">
        <w:t>municipalit</w:t>
      </w:r>
      <w:r w:rsidR="000F0F6F">
        <w:t>, aby ČR neupadla do recese</w:t>
      </w:r>
      <w:r w:rsidRPr="005F3C12">
        <w:t xml:space="preserve">. </w:t>
      </w:r>
      <w:r w:rsidR="0018767D">
        <w:t>ČR</w:t>
      </w:r>
      <w:r w:rsidR="00973E15">
        <w:t xml:space="preserve"> se oproti zbytku Evropy </w:t>
      </w:r>
      <w:r w:rsidR="000F0F6F">
        <w:t xml:space="preserve">přeci jen </w:t>
      </w:r>
      <w:r w:rsidR="00973E15">
        <w:t xml:space="preserve">nachází </w:t>
      </w:r>
      <w:r w:rsidR="00615CA1">
        <w:t>v </w:t>
      </w:r>
      <w:r w:rsidR="00973E15">
        <w:t>odlišné situaci, kdy disponuje velmi silným bankovním sektorem, který nebyl</w:t>
      </w:r>
      <w:r w:rsidR="004B66D1">
        <w:t xml:space="preserve"> tak </w:t>
      </w:r>
      <w:r w:rsidR="00973E15">
        <w:t xml:space="preserve">zasažen </w:t>
      </w:r>
      <w:r w:rsidR="004B66D1">
        <w:t xml:space="preserve">nedávnou </w:t>
      </w:r>
      <w:r w:rsidR="00973E15">
        <w:t>finanční krizí</w:t>
      </w:r>
      <w:r w:rsidR="004B66D1">
        <w:t xml:space="preserve"> jako v jiných členských státech EU</w:t>
      </w:r>
      <w:r w:rsidR="007A75A6">
        <w:t>.</w:t>
      </w:r>
      <w:r w:rsidR="000F0F6F">
        <w:t xml:space="preserve"> </w:t>
      </w:r>
      <w:r w:rsidR="007A75A6">
        <w:t>P</w:t>
      </w:r>
      <w:r w:rsidR="000F0F6F">
        <w:t>roblémem zůstává, že tento finanční zdroj (dluhové zdroje) není aktivně využíván</w:t>
      </w:r>
      <w:r w:rsidR="004B66D1">
        <w:t>.</w:t>
      </w:r>
      <w:r w:rsidR="00973E15">
        <w:t xml:space="preserve"> V oblasti disponibility kapitálu je ovšem </w:t>
      </w:r>
      <w:r w:rsidR="0018767D">
        <w:t>ČR</w:t>
      </w:r>
      <w:r w:rsidR="00973E15">
        <w:t xml:space="preserve"> daleko za zbytkem Evropy</w:t>
      </w:r>
      <w:r w:rsidR="000E1407">
        <w:t xml:space="preserve">, zejména z hlediska </w:t>
      </w:r>
      <w:r w:rsidR="0003594C">
        <w:t>variability a dostupnosti</w:t>
      </w:r>
      <w:r w:rsidR="000E1407">
        <w:t xml:space="preserve"> externích zdrojů</w:t>
      </w:r>
      <w:r w:rsidR="00973E15">
        <w:t xml:space="preserve">. Převládá tradiční dluhové financování, </w:t>
      </w:r>
      <w:r w:rsidR="007A75A6">
        <w:t xml:space="preserve">které představuje </w:t>
      </w:r>
      <w:r w:rsidR="00973E15">
        <w:t>od určitého okamžiku bariérou dalšího růstu. Pokud jsou podnikatelské subjekty, municipality</w:t>
      </w:r>
      <w:r w:rsidR="00741495">
        <w:t>, domácnosti</w:t>
      </w:r>
      <w:r w:rsidR="00973E15">
        <w:t xml:space="preserve"> či státní správa na hranicích zdravého zadlužení, není možné další dluhové zdroje efektivně alokovat.</w:t>
      </w:r>
    </w:p>
    <w:p w:rsidR="00AA08FF" w:rsidRDefault="00D6286A" w:rsidP="00FA750C">
      <w:r>
        <w:t>Z tohoto důvodu je nezbytné</w:t>
      </w:r>
      <w:r w:rsidR="006907C2">
        <w:t>,</w:t>
      </w:r>
      <w:r>
        <w:t xml:space="preserve"> </w:t>
      </w:r>
      <w:r w:rsidR="006907C2">
        <w:t xml:space="preserve">aby i </w:t>
      </w:r>
      <w:r w:rsidR="0018767D">
        <w:t>ČR</w:t>
      </w:r>
      <w:r w:rsidR="006907C2">
        <w:t xml:space="preserve"> analyzovala</w:t>
      </w:r>
      <w:r>
        <w:t xml:space="preserve"> všechny dostupné </w:t>
      </w:r>
      <w:r w:rsidR="00787752">
        <w:t>mechanizm</w:t>
      </w:r>
      <w:r>
        <w:t>y, které by mohly pomoci při posilování hospodářského růstu, řešení složitých společenských témat a také k tomu, aby ČR odpovědně přispívala k dosahování evropských výzev a cílů.</w:t>
      </w:r>
      <w:r w:rsidR="006907C2">
        <w:t xml:space="preserve"> </w:t>
      </w:r>
      <w:r w:rsidR="00FA750C">
        <w:t>Jak je však uvedeno výše, těchto cílů zřejmě nebude možné dosáhnout pouze tradičními nástroji a bude tedy nutné hledat nové cesty</w:t>
      </w:r>
      <w:r w:rsidR="00AA08FF">
        <w:t>.</w:t>
      </w:r>
    </w:p>
    <w:p w:rsidR="00755E19" w:rsidRDefault="00755E19" w:rsidP="00171265">
      <w:pPr>
        <w:pStyle w:val="Nadpis2"/>
      </w:pPr>
      <w:bookmarkStart w:id="3" w:name="_Toc410115432"/>
      <w:r>
        <w:lastRenderedPageBreak/>
        <w:t>Opatření Evropské komise</w:t>
      </w:r>
      <w:bookmarkEnd w:id="3"/>
    </w:p>
    <w:p w:rsidR="00755E19" w:rsidRPr="007B47D4" w:rsidRDefault="00755E19" w:rsidP="00755E19">
      <w:pPr>
        <w:rPr>
          <w:lang w:eastAsia="cs-CZ"/>
        </w:rPr>
      </w:pPr>
      <w:r w:rsidRPr="00C376AC">
        <w:rPr>
          <w:lang w:eastAsia="cs-CZ"/>
        </w:rPr>
        <w:t xml:space="preserve">Evropská komise vyvíjí aktivity, jejichž cílem je investovat do ekonomiky EU a jednotlivých členských států významné sumy a prostřednictvím těchto investic podpořit růst ekonomiky </w:t>
      </w:r>
      <w:r w:rsidR="00615CA1" w:rsidRPr="00C376AC">
        <w:rPr>
          <w:lang w:eastAsia="cs-CZ"/>
        </w:rPr>
        <w:t>a</w:t>
      </w:r>
      <w:r w:rsidR="00615CA1">
        <w:rPr>
          <w:lang w:eastAsia="cs-CZ"/>
        </w:rPr>
        <w:t> </w:t>
      </w:r>
      <w:r w:rsidRPr="00C376AC">
        <w:rPr>
          <w:lang w:eastAsia="cs-CZ"/>
        </w:rPr>
        <w:t>vytvoření nových pracovních míst.</w:t>
      </w:r>
      <w:r w:rsidRPr="007B47D4">
        <w:rPr>
          <w:lang w:eastAsia="cs-CZ"/>
        </w:rPr>
        <w:t xml:space="preserve"> Jedná se o </w:t>
      </w:r>
      <w:r w:rsidR="009817ED">
        <w:rPr>
          <w:lang w:eastAsia="cs-CZ"/>
        </w:rPr>
        <w:t>následující 3</w:t>
      </w:r>
      <w:r w:rsidRPr="007B47D4">
        <w:rPr>
          <w:lang w:eastAsia="cs-CZ"/>
        </w:rPr>
        <w:t xml:space="preserve"> typy aktivit</w:t>
      </w:r>
      <w:r w:rsidR="009817ED">
        <w:rPr>
          <w:lang w:eastAsia="cs-CZ"/>
        </w:rPr>
        <w:t>:</w:t>
      </w:r>
    </w:p>
    <w:p w:rsidR="00AA08FF" w:rsidRPr="00171265" w:rsidRDefault="00755E19" w:rsidP="00171265">
      <w:pPr>
        <w:pStyle w:val="Nadpis3"/>
      </w:pPr>
      <w:bookmarkStart w:id="4" w:name="_Toc410115433"/>
      <w:r w:rsidRPr="00171265">
        <w:t>Opatření na úrovni rozpočtu EU</w:t>
      </w:r>
      <w:r w:rsidR="00E87264" w:rsidRPr="0043000B">
        <w:rPr>
          <w:rStyle w:val="Znakapoznpodarou"/>
          <w:b w:val="0"/>
        </w:rPr>
        <w:footnoteReference w:id="12"/>
      </w:r>
      <w:bookmarkEnd w:id="4"/>
      <w:r w:rsidR="00AA08FF" w:rsidRPr="00171265">
        <w:t xml:space="preserve"> </w:t>
      </w:r>
    </w:p>
    <w:p w:rsidR="00755E19" w:rsidRPr="007B47D4" w:rsidRDefault="00755E19" w:rsidP="00AA08FF">
      <w:pPr>
        <w:rPr>
          <w:lang w:eastAsia="cs-CZ"/>
        </w:rPr>
      </w:pPr>
      <w:r w:rsidRPr="007B47D4">
        <w:rPr>
          <w:lang w:eastAsia="cs-CZ"/>
        </w:rPr>
        <w:t xml:space="preserve">EK připravila pro </w:t>
      </w:r>
      <w:r w:rsidR="00787752">
        <w:rPr>
          <w:lang w:eastAsia="cs-CZ"/>
        </w:rPr>
        <w:t>programové</w:t>
      </w:r>
      <w:r w:rsidRPr="007B47D4">
        <w:rPr>
          <w:lang w:eastAsia="cs-CZ"/>
        </w:rPr>
        <w:t xml:space="preserve"> období 2014 – 2020 řadu opatření pro efektivnější nakládání s prostředky rozpočtu Evropské komise. Tyto </w:t>
      </w:r>
      <w:r w:rsidR="00787752">
        <w:rPr>
          <w:lang w:eastAsia="cs-CZ"/>
        </w:rPr>
        <w:t>mechanizm</w:t>
      </w:r>
      <w:r w:rsidRPr="007B47D4">
        <w:rPr>
          <w:lang w:eastAsia="cs-CZ"/>
        </w:rPr>
        <w:t xml:space="preserve">y jsou řešeny ve formě tzv. </w:t>
      </w:r>
      <w:r w:rsidR="00420428">
        <w:rPr>
          <w:lang w:eastAsia="cs-CZ"/>
        </w:rPr>
        <w:t>IFN</w:t>
      </w:r>
      <w:r w:rsidRPr="007B47D4">
        <w:rPr>
          <w:lang w:eastAsia="cs-CZ"/>
        </w:rPr>
        <w:t xml:space="preserve">, jejichž hlavním cílem je zapojit do investic EK a členských států co možná nejvíce dalších finančních zdrojů od finančního sektoru (banky, alternativní investiční fondy, pojišťovny, penzijní fondy). Tyto </w:t>
      </w:r>
      <w:r w:rsidR="00420428">
        <w:rPr>
          <w:lang w:eastAsia="cs-CZ"/>
        </w:rPr>
        <w:t>IFN</w:t>
      </w:r>
      <w:r w:rsidRPr="007B47D4">
        <w:rPr>
          <w:lang w:eastAsia="cs-CZ"/>
        </w:rPr>
        <w:t xml:space="preserve"> pak EK realizuje na </w:t>
      </w:r>
      <w:r w:rsidRPr="00AA08FF">
        <w:rPr>
          <w:b/>
          <w:lang w:eastAsia="cs-CZ"/>
        </w:rPr>
        <w:t>evropské úrovni</w:t>
      </w:r>
      <w:r w:rsidRPr="0049720A">
        <w:rPr>
          <w:rStyle w:val="Znakapoznpodarou"/>
          <w:rFonts w:eastAsia="Times New Roman"/>
          <w:color w:val="000000"/>
          <w:lang w:eastAsia="cs-CZ"/>
        </w:rPr>
        <w:footnoteReference w:id="13"/>
      </w:r>
      <w:r w:rsidRPr="00AA08FF">
        <w:rPr>
          <w:rStyle w:val="Znakapoznpodarou"/>
          <w:rFonts w:eastAsia="Times New Roman"/>
          <w:color w:val="000000"/>
          <w:lang w:eastAsia="cs-CZ"/>
        </w:rPr>
        <w:t xml:space="preserve"> </w:t>
      </w:r>
      <w:r w:rsidRPr="007B47D4">
        <w:rPr>
          <w:lang w:eastAsia="cs-CZ"/>
        </w:rPr>
        <w:t>(Cosme</w:t>
      </w:r>
      <w:r w:rsidRPr="0049720A">
        <w:rPr>
          <w:rStyle w:val="Znakapoznpodarou"/>
          <w:rFonts w:eastAsia="Times New Roman"/>
          <w:color w:val="000000"/>
          <w:lang w:eastAsia="cs-CZ"/>
        </w:rPr>
        <w:footnoteReference w:id="14"/>
      </w:r>
      <w:r w:rsidR="004549D7">
        <w:rPr>
          <w:lang w:eastAsia="cs-CZ"/>
        </w:rPr>
        <w:t xml:space="preserve"> </w:t>
      </w:r>
      <w:r w:rsidRPr="007B47D4">
        <w:rPr>
          <w:lang w:eastAsia="cs-CZ"/>
        </w:rPr>
        <w:t xml:space="preserve">2,4 </w:t>
      </w:r>
      <w:r w:rsidR="007A6D0C" w:rsidRPr="007B47D4">
        <w:rPr>
          <w:lang w:eastAsia="cs-CZ"/>
        </w:rPr>
        <w:t>mld.</w:t>
      </w:r>
      <w:r w:rsidR="000740A2">
        <w:rPr>
          <w:lang w:eastAsia="cs-CZ"/>
        </w:rPr>
        <w:t xml:space="preserve"> EUR</w:t>
      </w:r>
      <w:r w:rsidRPr="007B47D4">
        <w:rPr>
          <w:lang w:eastAsia="cs-CZ"/>
        </w:rPr>
        <w:t>, Horizon</w:t>
      </w:r>
      <w:r w:rsidRPr="0049720A">
        <w:rPr>
          <w:rStyle w:val="Znakapoznpodarou"/>
          <w:rFonts w:eastAsia="Times New Roman"/>
          <w:color w:val="000000"/>
          <w:lang w:eastAsia="cs-CZ"/>
        </w:rPr>
        <w:footnoteReference w:id="15"/>
      </w:r>
      <w:r w:rsidRPr="007B47D4">
        <w:rPr>
          <w:lang w:eastAsia="cs-CZ"/>
        </w:rPr>
        <w:t xml:space="preserve"> 80</w:t>
      </w:r>
      <w:r w:rsidR="00615CA1">
        <w:rPr>
          <w:lang w:eastAsia="cs-CZ"/>
        </w:rPr>
        <w:t> </w:t>
      </w:r>
      <w:r w:rsidRPr="007B47D4">
        <w:rPr>
          <w:lang w:eastAsia="cs-CZ"/>
        </w:rPr>
        <w:t>mld.</w:t>
      </w:r>
      <w:r w:rsidR="00615CA1">
        <w:rPr>
          <w:lang w:eastAsia="cs-CZ"/>
        </w:rPr>
        <w:t> </w:t>
      </w:r>
      <w:r w:rsidR="000740A2">
        <w:rPr>
          <w:lang w:eastAsia="cs-CZ"/>
        </w:rPr>
        <w:t>EUR</w:t>
      </w:r>
      <w:r w:rsidRPr="007B47D4">
        <w:rPr>
          <w:lang w:eastAsia="cs-CZ"/>
        </w:rPr>
        <w:t>, infrastrukturní projektové dluhopisy</w:t>
      </w:r>
      <w:r w:rsidRPr="0049720A">
        <w:rPr>
          <w:rStyle w:val="Znakapoznpodarou"/>
          <w:rFonts w:eastAsia="Times New Roman"/>
          <w:color w:val="000000"/>
          <w:lang w:eastAsia="cs-CZ"/>
        </w:rPr>
        <w:footnoteReference w:id="16"/>
      </w:r>
      <w:r w:rsidRPr="0049720A">
        <w:rPr>
          <w:lang w:eastAsia="cs-CZ"/>
        </w:rPr>
        <w:t>)</w:t>
      </w:r>
      <w:r w:rsidRPr="007B47D4">
        <w:rPr>
          <w:lang w:eastAsia="cs-CZ"/>
        </w:rPr>
        <w:t xml:space="preserve"> a dále </w:t>
      </w:r>
      <w:r w:rsidRPr="00AA08FF">
        <w:rPr>
          <w:b/>
          <w:lang w:eastAsia="cs-CZ"/>
        </w:rPr>
        <w:t>na národních úrovních</w:t>
      </w:r>
      <w:r w:rsidRPr="007B47D4">
        <w:rPr>
          <w:lang w:eastAsia="cs-CZ"/>
        </w:rPr>
        <w:t xml:space="preserve"> v rámci </w:t>
      </w:r>
      <w:r w:rsidR="00787752">
        <w:rPr>
          <w:lang w:eastAsia="cs-CZ"/>
        </w:rPr>
        <w:t>programové</w:t>
      </w:r>
      <w:r w:rsidRPr="007B47D4">
        <w:rPr>
          <w:lang w:eastAsia="cs-CZ"/>
        </w:rPr>
        <w:t xml:space="preserve">ho období 2014 – 2020. Hlavní oblasti investic celé Evropy mají směřovat </w:t>
      </w:r>
      <w:r w:rsidR="00615CA1" w:rsidRPr="007B47D4">
        <w:rPr>
          <w:lang w:eastAsia="cs-CZ"/>
        </w:rPr>
        <w:t>do</w:t>
      </w:r>
      <w:r w:rsidR="00615CA1">
        <w:rPr>
          <w:lang w:eastAsia="cs-CZ"/>
        </w:rPr>
        <w:t> </w:t>
      </w:r>
      <w:r w:rsidRPr="007B47D4">
        <w:rPr>
          <w:lang w:eastAsia="cs-CZ"/>
        </w:rPr>
        <w:t xml:space="preserve">infrastruktury (dopravní, energetické a informační), energetických úspor, podpory malého </w:t>
      </w:r>
      <w:r w:rsidR="00615CA1" w:rsidRPr="007B47D4">
        <w:rPr>
          <w:lang w:eastAsia="cs-CZ"/>
        </w:rPr>
        <w:t>a</w:t>
      </w:r>
      <w:r w:rsidR="00615CA1">
        <w:rPr>
          <w:lang w:eastAsia="cs-CZ"/>
        </w:rPr>
        <w:t> </w:t>
      </w:r>
      <w:r w:rsidRPr="007B47D4">
        <w:rPr>
          <w:lang w:eastAsia="cs-CZ"/>
        </w:rPr>
        <w:t>středního podnikání, technologických společností a komercionalizace vědy a výzkumu, sociálních oblastí atd.</w:t>
      </w:r>
    </w:p>
    <w:p w:rsidR="00755E19" w:rsidRDefault="00755E19" w:rsidP="00755E19">
      <w:pPr>
        <w:rPr>
          <w:lang w:eastAsia="cs-CZ"/>
        </w:rPr>
      </w:pPr>
      <w:r w:rsidRPr="007B47D4">
        <w:rPr>
          <w:lang w:eastAsia="cs-CZ"/>
        </w:rPr>
        <w:t xml:space="preserve">Základní myšlenka tohoto opatření je vytvořit finanční </w:t>
      </w:r>
      <w:r w:rsidR="00787752">
        <w:rPr>
          <w:lang w:eastAsia="cs-CZ"/>
        </w:rPr>
        <w:t>mechanizm</w:t>
      </w:r>
      <w:r w:rsidRPr="007B47D4">
        <w:rPr>
          <w:lang w:eastAsia="cs-CZ"/>
        </w:rPr>
        <w:t xml:space="preserve">y, které nasměrují investice soukromých finančních institucí do rozvoje ekonomiky a to v násobcích evropských zdrojů (EK hovoří např. o multiplikačním efektu 5 – 20 násobku zdrojů EU a to bez vlivů na rozpočet EK </w:t>
      </w:r>
      <w:r w:rsidR="00615CA1" w:rsidRPr="007B47D4">
        <w:rPr>
          <w:lang w:eastAsia="cs-CZ"/>
        </w:rPr>
        <w:t>a</w:t>
      </w:r>
      <w:r w:rsidR="00615CA1">
        <w:rPr>
          <w:lang w:eastAsia="cs-CZ"/>
        </w:rPr>
        <w:t> </w:t>
      </w:r>
      <w:r w:rsidRPr="007B47D4">
        <w:rPr>
          <w:lang w:eastAsia="cs-CZ"/>
        </w:rPr>
        <w:t>jednotlivých členských stá</w:t>
      </w:r>
      <w:r w:rsidR="0003594C">
        <w:rPr>
          <w:lang w:eastAsia="cs-CZ"/>
        </w:rPr>
        <w:t>tů. Cílem je v následujících le</w:t>
      </w:r>
      <w:r w:rsidRPr="007B47D4">
        <w:rPr>
          <w:lang w:eastAsia="cs-CZ"/>
        </w:rPr>
        <w:t xml:space="preserve">tech podporovat masivně investice </w:t>
      </w:r>
      <w:r w:rsidR="00615CA1" w:rsidRPr="007B47D4">
        <w:rPr>
          <w:lang w:eastAsia="cs-CZ"/>
        </w:rPr>
        <w:t>a</w:t>
      </w:r>
      <w:r w:rsidR="00615CA1">
        <w:rPr>
          <w:lang w:eastAsia="cs-CZ"/>
        </w:rPr>
        <w:t> </w:t>
      </w:r>
      <w:r w:rsidRPr="007B47D4">
        <w:rPr>
          <w:lang w:eastAsia="cs-CZ"/>
        </w:rPr>
        <w:t>podnikání, ale ne</w:t>
      </w:r>
      <w:r w:rsidR="00FC0507">
        <w:rPr>
          <w:lang w:eastAsia="cs-CZ"/>
        </w:rPr>
        <w:t xml:space="preserve"> za cenu významného zadlužování.</w:t>
      </w:r>
    </w:p>
    <w:p w:rsidR="00FC0507" w:rsidRPr="00171265" w:rsidRDefault="00FC0507" w:rsidP="00FC0507">
      <w:pPr>
        <w:pStyle w:val="Nadpis3"/>
      </w:pPr>
      <w:bookmarkStart w:id="5" w:name="_Toc410115434"/>
      <w:r>
        <w:t>Task Force – Junckerův investiční plán</w:t>
      </w:r>
      <w:bookmarkEnd w:id="5"/>
    </w:p>
    <w:p w:rsidR="00795908" w:rsidRDefault="00795908" w:rsidP="00795908">
      <w:pPr>
        <w:rPr>
          <w:lang w:eastAsia="cs-CZ"/>
        </w:rPr>
      </w:pPr>
      <w:r>
        <w:rPr>
          <w:lang w:eastAsia="cs-CZ"/>
        </w:rPr>
        <w:t>Evropská rada schválila 18. prosince 2014 Investiční plán na podporu investic v</w:t>
      </w:r>
      <w:r w:rsidR="00BC570F">
        <w:rPr>
          <w:lang w:eastAsia="cs-CZ"/>
        </w:rPr>
        <w:t> </w:t>
      </w:r>
      <w:r>
        <w:rPr>
          <w:lang w:eastAsia="cs-CZ"/>
        </w:rPr>
        <w:t>Evropě</w:t>
      </w:r>
      <w:r w:rsidR="00BC570F">
        <w:rPr>
          <w:lang w:eastAsia="cs-CZ"/>
        </w:rPr>
        <w:t>.</w:t>
      </w:r>
    </w:p>
    <w:p w:rsidR="00795908" w:rsidRDefault="00795908" w:rsidP="00795908">
      <w:pPr>
        <w:rPr>
          <w:lang w:eastAsia="cs-CZ"/>
        </w:rPr>
      </w:pPr>
      <w:r>
        <w:rPr>
          <w:lang w:eastAsia="cs-CZ"/>
        </w:rPr>
        <w:t>Evropský fond strategických investic (EFSI</w:t>
      </w:r>
      <w:r w:rsidR="0051774D">
        <w:rPr>
          <w:lang w:eastAsia="cs-CZ"/>
        </w:rPr>
        <w:t>)</w:t>
      </w:r>
      <w:r>
        <w:rPr>
          <w:lang w:eastAsia="cs-CZ"/>
        </w:rPr>
        <w:t xml:space="preserve"> je jádrem tzv. Investičního plánu pro Evropu, jež v</w:t>
      </w:r>
      <w:r w:rsidR="00615CA1">
        <w:rPr>
          <w:lang w:eastAsia="cs-CZ"/>
        </w:rPr>
        <w:t> </w:t>
      </w:r>
      <w:r>
        <w:rPr>
          <w:lang w:eastAsia="cs-CZ"/>
        </w:rPr>
        <w:t xml:space="preserve">listopadu představil předseda Evropské komise Jean-Claude Juncker. K dispozici by měl mít kapitál 21 </w:t>
      </w:r>
      <w:r w:rsidR="0028087D">
        <w:rPr>
          <w:lang w:eastAsia="cs-CZ"/>
        </w:rPr>
        <w:t>mld.</w:t>
      </w:r>
      <w:r>
        <w:rPr>
          <w:lang w:eastAsia="cs-CZ"/>
        </w:rPr>
        <w:t xml:space="preserve"> </w:t>
      </w:r>
      <w:r w:rsidR="00984B83">
        <w:rPr>
          <w:lang w:eastAsia="cs-CZ"/>
        </w:rPr>
        <w:t>EUR</w:t>
      </w:r>
      <w:r>
        <w:rPr>
          <w:lang w:eastAsia="cs-CZ"/>
        </w:rPr>
        <w:t xml:space="preserve"> (579 </w:t>
      </w:r>
      <w:r w:rsidR="0028087D">
        <w:rPr>
          <w:lang w:eastAsia="cs-CZ"/>
        </w:rPr>
        <w:t xml:space="preserve">mld. </w:t>
      </w:r>
      <w:r>
        <w:rPr>
          <w:lang w:eastAsia="cs-CZ"/>
        </w:rPr>
        <w:t xml:space="preserve">Kč) z rozpočtu EU a peněz od Evropské investiční banky (EIB). </w:t>
      </w:r>
      <w:r w:rsidR="003B6C32">
        <w:rPr>
          <w:lang w:eastAsia="cs-CZ"/>
        </w:rPr>
        <w:t xml:space="preserve">Dne 13.1. </w:t>
      </w:r>
      <w:r>
        <w:rPr>
          <w:lang w:eastAsia="cs-CZ"/>
        </w:rPr>
        <w:t>Komise zveřejn</w:t>
      </w:r>
      <w:r w:rsidR="003B6C32">
        <w:rPr>
          <w:lang w:eastAsia="cs-CZ"/>
        </w:rPr>
        <w:t>ila</w:t>
      </w:r>
      <w:r>
        <w:rPr>
          <w:lang w:eastAsia="cs-CZ"/>
        </w:rPr>
        <w:t xml:space="preserve"> legislativní návrh na jeho vznik a očekává, že bude schválen tak, aby do</w:t>
      </w:r>
      <w:r w:rsidR="00615CA1">
        <w:rPr>
          <w:lang w:eastAsia="cs-CZ"/>
        </w:rPr>
        <w:t> </w:t>
      </w:r>
      <w:r>
        <w:rPr>
          <w:lang w:eastAsia="cs-CZ"/>
        </w:rPr>
        <w:t xml:space="preserve">poloviny </w:t>
      </w:r>
      <w:r w:rsidR="003B6C32">
        <w:rPr>
          <w:lang w:eastAsia="cs-CZ"/>
        </w:rPr>
        <w:t>tohoto</w:t>
      </w:r>
      <w:r>
        <w:rPr>
          <w:lang w:eastAsia="cs-CZ"/>
        </w:rPr>
        <w:t xml:space="preserve"> roku mohl být plně funkční.</w:t>
      </w:r>
    </w:p>
    <w:p w:rsidR="00795908" w:rsidRDefault="00795908" w:rsidP="00795908">
      <w:pPr>
        <w:rPr>
          <w:lang w:eastAsia="cs-CZ"/>
        </w:rPr>
      </w:pPr>
      <w:r>
        <w:rPr>
          <w:lang w:eastAsia="cs-CZ"/>
        </w:rPr>
        <w:t>Cílem EU je mobilizovat po dobu příštích tří let investice do reálné ekonomiky z veřejného i</w:t>
      </w:r>
      <w:r w:rsidR="00615CA1">
        <w:rPr>
          <w:lang w:eastAsia="cs-CZ"/>
        </w:rPr>
        <w:t> </w:t>
      </w:r>
      <w:r>
        <w:rPr>
          <w:lang w:eastAsia="cs-CZ"/>
        </w:rPr>
        <w:t xml:space="preserve">soukromého sektoru ve výši nejméně 315 </w:t>
      </w:r>
      <w:r w:rsidR="0028087D">
        <w:rPr>
          <w:lang w:eastAsia="cs-CZ"/>
        </w:rPr>
        <w:t xml:space="preserve">mld. </w:t>
      </w:r>
      <w:r w:rsidR="00984B83">
        <w:rPr>
          <w:lang w:eastAsia="cs-CZ"/>
        </w:rPr>
        <w:t>EUR</w:t>
      </w:r>
      <w:r w:rsidR="00984B83" w:rsidDel="00984B83">
        <w:rPr>
          <w:lang w:eastAsia="cs-CZ"/>
        </w:rPr>
        <w:t xml:space="preserve"> </w:t>
      </w:r>
      <w:r>
        <w:rPr>
          <w:lang w:eastAsia="cs-CZ"/>
        </w:rPr>
        <w:t xml:space="preserve">(8,7 biliónu </w:t>
      </w:r>
      <w:r w:rsidR="00984B83">
        <w:rPr>
          <w:lang w:eastAsia="cs-CZ"/>
        </w:rPr>
        <w:t>Kč</w:t>
      </w:r>
      <w:r>
        <w:rPr>
          <w:lang w:eastAsia="cs-CZ"/>
        </w:rPr>
        <w:t xml:space="preserve">), a to díky očekávanému multiplikačnímu efektu – kdy 1 euro z veřejných prostředků má vytvořit zhruba 15 eur investic. Zhruba 240 </w:t>
      </w:r>
      <w:r w:rsidR="0028087D">
        <w:rPr>
          <w:lang w:eastAsia="cs-CZ"/>
        </w:rPr>
        <w:t xml:space="preserve">mld. </w:t>
      </w:r>
      <w:r w:rsidR="00984B83">
        <w:rPr>
          <w:lang w:eastAsia="cs-CZ"/>
        </w:rPr>
        <w:t xml:space="preserve">EUR </w:t>
      </w:r>
      <w:r>
        <w:rPr>
          <w:lang w:eastAsia="cs-CZ"/>
        </w:rPr>
        <w:t xml:space="preserve">má jít na strategické investice a 75 </w:t>
      </w:r>
      <w:r w:rsidR="0028087D">
        <w:rPr>
          <w:lang w:eastAsia="cs-CZ"/>
        </w:rPr>
        <w:t xml:space="preserve">mld. </w:t>
      </w:r>
      <w:r w:rsidR="00984B83">
        <w:rPr>
          <w:lang w:eastAsia="cs-CZ"/>
        </w:rPr>
        <w:t xml:space="preserve">EUR </w:t>
      </w:r>
      <w:r>
        <w:rPr>
          <w:lang w:eastAsia="cs-CZ"/>
        </w:rPr>
        <w:t>pro malé a střední podniky.</w:t>
      </w:r>
    </w:p>
    <w:p w:rsidR="00795908" w:rsidRDefault="00795908" w:rsidP="00795908">
      <w:pPr>
        <w:rPr>
          <w:lang w:eastAsia="cs-CZ"/>
        </w:rPr>
      </w:pPr>
      <w:r>
        <w:rPr>
          <w:lang w:eastAsia="cs-CZ"/>
        </w:rPr>
        <w:t xml:space="preserve">EIB poskytne 5 </w:t>
      </w:r>
      <w:r w:rsidR="0028087D">
        <w:rPr>
          <w:lang w:eastAsia="cs-CZ"/>
        </w:rPr>
        <w:t xml:space="preserve">mld. </w:t>
      </w:r>
      <w:r w:rsidR="00984B83">
        <w:rPr>
          <w:lang w:eastAsia="cs-CZ"/>
        </w:rPr>
        <w:t>EUR</w:t>
      </w:r>
      <w:r>
        <w:rPr>
          <w:lang w:eastAsia="cs-CZ"/>
        </w:rPr>
        <w:t xml:space="preserve">. Záruka z rozpočtu EU dosáhne 16 </w:t>
      </w:r>
      <w:r w:rsidR="0028087D">
        <w:rPr>
          <w:lang w:eastAsia="cs-CZ"/>
        </w:rPr>
        <w:t xml:space="preserve">mld. </w:t>
      </w:r>
      <w:r w:rsidR="00984B83">
        <w:rPr>
          <w:lang w:eastAsia="cs-CZ"/>
        </w:rPr>
        <w:t>EUR</w:t>
      </w:r>
      <w:r>
        <w:rPr>
          <w:lang w:eastAsia="cs-CZ"/>
        </w:rPr>
        <w:t xml:space="preserve">. Zatím byly vyhrazeny ze stávajících rozpočtu EU 2 </w:t>
      </w:r>
      <w:r w:rsidR="0028087D">
        <w:rPr>
          <w:lang w:eastAsia="cs-CZ"/>
        </w:rPr>
        <w:t xml:space="preserve">mld. </w:t>
      </w:r>
      <w:r w:rsidR="00984B83">
        <w:rPr>
          <w:lang w:eastAsia="cs-CZ"/>
        </w:rPr>
        <w:t>EUR</w:t>
      </w:r>
      <w:r>
        <w:rPr>
          <w:lang w:eastAsia="cs-CZ"/>
        </w:rPr>
        <w:t xml:space="preserve">, z Nástroje pro propojení Evropy 3,3 </w:t>
      </w:r>
      <w:r w:rsidR="0028087D">
        <w:rPr>
          <w:lang w:eastAsia="cs-CZ"/>
        </w:rPr>
        <w:t xml:space="preserve">mld. </w:t>
      </w:r>
      <w:r w:rsidR="00984B83">
        <w:rPr>
          <w:lang w:eastAsia="cs-CZ"/>
        </w:rPr>
        <w:t xml:space="preserve">EUR </w:t>
      </w:r>
      <w:r>
        <w:rPr>
          <w:lang w:eastAsia="cs-CZ"/>
        </w:rPr>
        <w:t>a</w:t>
      </w:r>
      <w:r w:rsidR="00615CA1">
        <w:rPr>
          <w:lang w:eastAsia="cs-CZ"/>
        </w:rPr>
        <w:t> </w:t>
      </w:r>
      <w:r>
        <w:rPr>
          <w:lang w:eastAsia="cs-CZ"/>
        </w:rPr>
        <w:t>z</w:t>
      </w:r>
      <w:r w:rsidR="00615CA1">
        <w:rPr>
          <w:lang w:eastAsia="cs-CZ"/>
        </w:rPr>
        <w:t> </w:t>
      </w:r>
      <w:r>
        <w:rPr>
          <w:lang w:eastAsia="cs-CZ"/>
        </w:rPr>
        <w:t xml:space="preserve">programu Horizont 2020 2,7 </w:t>
      </w:r>
      <w:r w:rsidR="0028087D">
        <w:rPr>
          <w:lang w:eastAsia="cs-CZ"/>
        </w:rPr>
        <w:t xml:space="preserve">mld. </w:t>
      </w:r>
      <w:r w:rsidR="00984B83">
        <w:rPr>
          <w:lang w:eastAsia="cs-CZ"/>
        </w:rPr>
        <w:t>EUR</w:t>
      </w:r>
      <w:r>
        <w:rPr>
          <w:lang w:eastAsia="cs-CZ"/>
        </w:rPr>
        <w:t xml:space="preserve">- tedy celkem 8 </w:t>
      </w:r>
      <w:r w:rsidR="0028087D">
        <w:rPr>
          <w:lang w:eastAsia="cs-CZ"/>
        </w:rPr>
        <w:t xml:space="preserve">mld. </w:t>
      </w:r>
      <w:r w:rsidR="00984B83">
        <w:rPr>
          <w:lang w:eastAsia="cs-CZ"/>
        </w:rPr>
        <w:t>EUR</w:t>
      </w:r>
      <w:r>
        <w:rPr>
          <w:lang w:eastAsia="cs-CZ"/>
        </w:rPr>
        <w:t>.</w:t>
      </w:r>
    </w:p>
    <w:p w:rsidR="00795908" w:rsidRDefault="00795908" w:rsidP="00795908">
      <w:pPr>
        <w:rPr>
          <w:lang w:eastAsia="cs-CZ"/>
        </w:rPr>
      </w:pPr>
      <w:r>
        <w:rPr>
          <w:lang w:eastAsia="cs-CZ"/>
        </w:rPr>
        <w:t>Členské státy přímo nebo prostřednictvím vnitrostátních bank mohou také přispívat do fondu – k</w:t>
      </w:r>
      <w:r w:rsidR="00615CA1">
        <w:rPr>
          <w:lang w:eastAsia="cs-CZ"/>
        </w:rPr>
        <w:t> </w:t>
      </w:r>
      <w:r>
        <w:rPr>
          <w:lang w:eastAsia="cs-CZ"/>
        </w:rPr>
        <w:t>těmto kapitálovým příspěvkům bude Komise zaujímat kladné stanovisko v kontextu posuzování veřejných financí v rámci Paktu o stabilitě a růstu.</w:t>
      </w:r>
    </w:p>
    <w:p w:rsidR="00795908" w:rsidRDefault="00795908" w:rsidP="00795908">
      <w:pPr>
        <w:rPr>
          <w:lang w:eastAsia="cs-CZ"/>
        </w:rPr>
      </w:pPr>
      <w:r>
        <w:rPr>
          <w:lang w:eastAsia="cs-CZ"/>
        </w:rPr>
        <w:lastRenderedPageBreak/>
        <w:t>Fond bude mít vlastní řídicí strukturu. Činnosti a projekty budou hodnoceny nezávislým výborem pro investice na základě jejich životaschopnosti a se zárukou toho, že veřejná podpora nebude vylučovat nebo vytěsňovat soukromé investice.</w:t>
      </w:r>
    </w:p>
    <w:p w:rsidR="00795908" w:rsidRDefault="00795908" w:rsidP="00795908">
      <w:pPr>
        <w:rPr>
          <w:lang w:eastAsia="cs-CZ"/>
        </w:rPr>
      </w:pPr>
      <w:r>
        <w:rPr>
          <w:lang w:eastAsia="cs-CZ"/>
        </w:rPr>
        <w:t>Komise odhaduje, že investiční plán by v příštích třech letech mohl vytvořit milión až</w:t>
      </w:r>
      <w:r w:rsidR="00615CA1">
        <w:rPr>
          <w:lang w:eastAsia="cs-CZ"/>
        </w:rPr>
        <w:t> </w:t>
      </w:r>
      <w:r>
        <w:rPr>
          <w:lang w:eastAsia="cs-CZ"/>
        </w:rPr>
        <w:t>1,3</w:t>
      </w:r>
      <w:r w:rsidR="00615CA1">
        <w:rPr>
          <w:lang w:eastAsia="cs-CZ"/>
        </w:rPr>
        <w:t> </w:t>
      </w:r>
      <w:r>
        <w:rPr>
          <w:lang w:eastAsia="cs-CZ"/>
        </w:rPr>
        <w:t>miliónu nových pracovních míst. Plán sestává ze tří komponentů:</w:t>
      </w:r>
    </w:p>
    <w:p w:rsidR="00795908" w:rsidRDefault="00795908" w:rsidP="00795908">
      <w:pPr>
        <w:pStyle w:val="Odstavecseseznamem"/>
        <w:numPr>
          <w:ilvl w:val="0"/>
          <w:numId w:val="40"/>
        </w:numPr>
        <w:rPr>
          <w:lang w:eastAsia="cs-CZ"/>
        </w:rPr>
      </w:pPr>
      <w:r>
        <w:rPr>
          <w:lang w:eastAsia="cs-CZ"/>
        </w:rPr>
        <w:t>mobilizace investic, aniž by se při tom vytvářel nový veřejný dluh (vytvoření fondu EFSI)</w:t>
      </w:r>
    </w:p>
    <w:p w:rsidR="00795908" w:rsidRDefault="00795908" w:rsidP="00795908">
      <w:pPr>
        <w:pStyle w:val="Odstavecseseznamem"/>
        <w:numPr>
          <w:ilvl w:val="0"/>
          <w:numId w:val="40"/>
        </w:numPr>
        <w:rPr>
          <w:lang w:eastAsia="cs-CZ"/>
        </w:rPr>
      </w:pPr>
      <w:r>
        <w:rPr>
          <w:lang w:eastAsia="cs-CZ"/>
        </w:rPr>
        <w:t>podpora projektů v klíčových oblastech (infrastruktura, vzdělávání, výzkum a inovace)</w:t>
      </w:r>
    </w:p>
    <w:p w:rsidR="00795908" w:rsidRDefault="00795908" w:rsidP="00795908">
      <w:pPr>
        <w:pStyle w:val="Odskoknadpis4"/>
        <w:rPr>
          <w:lang w:eastAsia="cs-CZ"/>
        </w:rPr>
      </w:pPr>
      <w:r>
        <w:rPr>
          <w:lang w:eastAsia="cs-CZ"/>
        </w:rPr>
        <w:t>EU sestavila seznam investičních projektů evropského významu, do nichž by měly strategické investice směřovat. První verze tohoto seznamu byla zpracována Task Force za účasti členských států a EIB a obsahuje přibližně 2000 projektů.</w:t>
      </w:r>
    </w:p>
    <w:p w:rsidR="00795908" w:rsidRDefault="00795908" w:rsidP="00795908">
      <w:pPr>
        <w:pStyle w:val="Odskoknadpis4"/>
        <w:rPr>
          <w:lang w:eastAsia="cs-CZ"/>
        </w:rPr>
      </w:pPr>
      <w:r>
        <w:rPr>
          <w:lang w:eastAsia="cs-CZ"/>
        </w:rPr>
        <w:t>Celkově se necelá třetina (29 procent) navržených projektů týká dopravy a stejné procento problematiky posilování energetické unie, 18 procent projektů se zabývá vědomostní, inovační a</w:t>
      </w:r>
      <w:r w:rsidR="00615CA1">
        <w:rPr>
          <w:lang w:eastAsia="cs-CZ"/>
        </w:rPr>
        <w:t> </w:t>
      </w:r>
      <w:r>
        <w:rPr>
          <w:lang w:eastAsia="cs-CZ"/>
        </w:rPr>
        <w:t>digitální ekonomikou, 15 procent budováním sociální infrastruktury a devět procent otázkou zdrojů a životního prostředí.</w:t>
      </w:r>
    </w:p>
    <w:p w:rsidR="00795908" w:rsidRDefault="00795908" w:rsidP="00795908">
      <w:pPr>
        <w:pStyle w:val="Odskoknadpis4"/>
        <w:rPr>
          <w:lang w:eastAsia="cs-CZ"/>
        </w:rPr>
      </w:pPr>
      <w:r>
        <w:rPr>
          <w:lang w:eastAsia="cs-CZ"/>
        </w:rPr>
        <w:t>Záměrem Komise je také provozovat „centrum pro investiční poradenství“, jehož cílem je sdílení relevantních zkušeností z celé Evropy a snazší přístup investorů ke všem potřebným informacím o životaschopných projektech.</w:t>
      </w:r>
    </w:p>
    <w:p w:rsidR="00795908" w:rsidRDefault="00795908" w:rsidP="00795908">
      <w:pPr>
        <w:pStyle w:val="Odskoknadpis4"/>
        <w:numPr>
          <w:ilvl w:val="0"/>
          <w:numId w:val="40"/>
        </w:numPr>
        <w:rPr>
          <w:lang w:eastAsia="cs-CZ"/>
        </w:rPr>
      </w:pPr>
      <w:r>
        <w:rPr>
          <w:lang w:eastAsia="cs-CZ"/>
        </w:rPr>
        <w:t>odstraňování specifických finančních i nefinančních překážek, jež brání investování.</w:t>
      </w:r>
    </w:p>
    <w:p w:rsidR="00795908" w:rsidRDefault="00795908" w:rsidP="00795908">
      <w:bookmarkStart w:id="6" w:name="OLE_LINK1"/>
      <w:bookmarkStart w:id="7" w:name="OLE_LINK2"/>
      <w:bookmarkStart w:id="8" w:name="OLE_LINK3"/>
      <w:r w:rsidRPr="002E208B">
        <w:t>EK hovoří o požadavku na efektivnější způsob využití prostředků z ESIF a s tím souvisejícím návrhem na zvýšení míry využívání inovativních finančních nástrojů až na dvojnásobnou úroveň. Z pohledu ČR může být bez zajištění odpovídajícího implementačního rámce využití nejen nově navrhovaných 20 %, ale dokonce i původních 10 % alokace ESIF prostřednictvím IFN značně problematických, téměř nereálných.</w:t>
      </w:r>
      <w:bookmarkEnd w:id="6"/>
      <w:bookmarkEnd w:id="7"/>
      <w:bookmarkEnd w:id="8"/>
    </w:p>
    <w:p w:rsidR="009817ED" w:rsidRPr="007B47D4" w:rsidRDefault="009817ED" w:rsidP="00795908">
      <w:pPr>
        <w:rPr>
          <w:lang w:eastAsia="cs-CZ"/>
        </w:rPr>
      </w:pPr>
      <w:r>
        <w:t>V</w:t>
      </w:r>
      <w:r w:rsidRPr="002E208B">
        <w:t xml:space="preserve">láda ČR schválila </w:t>
      </w:r>
      <w:r>
        <w:t xml:space="preserve">k tzv. Junckerově balíčku </w:t>
      </w:r>
      <w:r w:rsidRPr="002E208B">
        <w:t>dne 8. 12. 2014 rámcovou pozici.</w:t>
      </w:r>
    </w:p>
    <w:p w:rsidR="00AA08FF" w:rsidRDefault="00755E19" w:rsidP="00171265">
      <w:pPr>
        <w:pStyle w:val="Nadpis3"/>
      </w:pPr>
      <w:bookmarkStart w:id="9" w:name="_Toc410115435"/>
      <w:r w:rsidRPr="00755E19">
        <w:t>Opatření legislativního charakteru</w:t>
      </w:r>
      <w:r w:rsidR="000C0B4C">
        <w:rPr>
          <w:rStyle w:val="Znakapoznpodarou"/>
          <w:b w:val="0"/>
          <w:u w:val="single"/>
        </w:rPr>
        <w:footnoteReference w:id="17"/>
      </w:r>
      <w:bookmarkEnd w:id="9"/>
      <w:r w:rsidRPr="00755E19">
        <w:t xml:space="preserve"> </w:t>
      </w:r>
    </w:p>
    <w:p w:rsidR="00755E19" w:rsidRPr="00755E19" w:rsidRDefault="00755E19" w:rsidP="00AA08FF">
      <w:pPr>
        <w:pStyle w:val="Odskoknadpis4"/>
        <w:rPr>
          <w:lang w:eastAsia="cs-CZ"/>
        </w:rPr>
      </w:pPr>
      <w:r w:rsidRPr="00755E19">
        <w:rPr>
          <w:lang w:eastAsia="cs-CZ"/>
        </w:rPr>
        <w:t xml:space="preserve">Evropská komise vedle již výše zmíněných programů finančního charakteru připravila </w:t>
      </w:r>
      <w:r w:rsidR="00615CA1" w:rsidRPr="00755E19">
        <w:rPr>
          <w:lang w:eastAsia="cs-CZ"/>
        </w:rPr>
        <w:t>či</w:t>
      </w:r>
      <w:r w:rsidR="00615CA1">
        <w:rPr>
          <w:lang w:eastAsia="cs-CZ"/>
        </w:rPr>
        <w:t> </w:t>
      </w:r>
      <w:r w:rsidRPr="00755E19">
        <w:rPr>
          <w:lang w:eastAsia="cs-CZ"/>
        </w:rPr>
        <w:t xml:space="preserve">připravuje řadu evropských směrnic podporujících </w:t>
      </w:r>
      <w:r w:rsidR="00787752">
        <w:rPr>
          <w:lang w:eastAsia="cs-CZ"/>
        </w:rPr>
        <w:t>mechanizm</w:t>
      </w:r>
      <w:r w:rsidRPr="00755E19">
        <w:rPr>
          <w:lang w:eastAsia="cs-CZ"/>
        </w:rPr>
        <w:t xml:space="preserve">y nutné pro realizaci záměrů na úrovni fiskální. </w:t>
      </w:r>
      <w:r w:rsidR="000C0B4C">
        <w:rPr>
          <w:lang w:eastAsia="cs-CZ"/>
        </w:rPr>
        <w:t xml:space="preserve">Většina potenciálních investorů, které by ráda EK zapojila do podpory hospodářského růstu, jsou regulovanými finančními institucemi a nemohou investovat </w:t>
      </w:r>
      <w:r w:rsidR="00615CA1">
        <w:rPr>
          <w:lang w:eastAsia="cs-CZ"/>
        </w:rPr>
        <w:t>do </w:t>
      </w:r>
      <w:r w:rsidR="000C0B4C">
        <w:rPr>
          <w:lang w:eastAsia="cs-CZ"/>
        </w:rPr>
        <w:t xml:space="preserve">neregulovaných entit nebo do některých typů aktiv napřímo. Také samotné členské státy si nemohou dovolit „politický hazard“ propojování veřejných a soukromých prostředků na neregulovaných entitách. Samozřejmě, že tyto následující směrnice jsou vytvářeny i pro použití v ryze soukromém sektoru. Investiční fondy tak mají nově sloužit jako nástroj jednotného trhu EU pod přísnou regulací všech typů investičních aktiv se zachováním dostatečné volnosti při vlastních investicích. Regulace hlavně stanovuje pravidla pro transparentnost investic, ochranu investorů (včetně států v roli investorů) jejich oceňování, boj proti praní špinavých peněz </w:t>
      </w:r>
      <w:r w:rsidR="00615CA1">
        <w:rPr>
          <w:lang w:eastAsia="cs-CZ"/>
        </w:rPr>
        <w:t>a </w:t>
      </w:r>
      <w:r w:rsidR="000C0B4C">
        <w:rPr>
          <w:lang w:eastAsia="cs-CZ"/>
        </w:rPr>
        <w:t>terorismu a v neposlední řadě tyto směrnice stanovují jasný rám</w:t>
      </w:r>
      <w:r w:rsidR="0003594C">
        <w:rPr>
          <w:lang w:eastAsia="cs-CZ"/>
        </w:rPr>
        <w:t>e</w:t>
      </w:r>
      <w:r w:rsidR="000C0B4C">
        <w:rPr>
          <w:lang w:eastAsia="cs-CZ"/>
        </w:rPr>
        <w:t>c pro statistické vyhodnocování díky povinnému reportingu těchto fondů.</w:t>
      </w:r>
    </w:p>
    <w:p w:rsidR="00755E19" w:rsidRDefault="00755E19" w:rsidP="00636988">
      <w:pPr>
        <w:pStyle w:val="Odstavecseseznamem"/>
        <w:numPr>
          <w:ilvl w:val="0"/>
          <w:numId w:val="12"/>
        </w:numPr>
        <w:ind w:left="1276" w:hanging="425"/>
        <w:contextualSpacing w:val="0"/>
        <w:rPr>
          <w:lang w:eastAsia="cs-CZ"/>
        </w:rPr>
      </w:pPr>
      <w:r>
        <w:rPr>
          <w:lang w:eastAsia="cs-CZ"/>
        </w:rPr>
        <w:t xml:space="preserve">Jako první </w:t>
      </w:r>
      <w:r w:rsidRPr="00C376AC">
        <w:rPr>
          <w:lang w:eastAsia="cs-CZ"/>
        </w:rPr>
        <w:t xml:space="preserve">EK připravila novou </w:t>
      </w:r>
      <w:r w:rsidRPr="0049720A">
        <w:rPr>
          <w:u w:val="single"/>
          <w:lang w:eastAsia="cs-CZ"/>
        </w:rPr>
        <w:t>směrnici o správcích alternativních fondů (AIFMD</w:t>
      </w:r>
      <w:r w:rsidRPr="0049720A">
        <w:rPr>
          <w:rStyle w:val="Znakapoznpodarou"/>
          <w:rFonts w:eastAsia="Times New Roman"/>
          <w:color w:val="000000"/>
          <w:u w:val="single"/>
          <w:lang w:eastAsia="cs-CZ"/>
        </w:rPr>
        <w:footnoteReference w:id="18"/>
      </w:r>
      <w:r w:rsidRPr="0049720A">
        <w:rPr>
          <w:u w:val="single"/>
          <w:lang w:eastAsia="cs-CZ"/>
        </w:rPr>
        <w:t>)</w:t>
      </w:r>
      <w:r>
        <w:rPr>
          <w:lang w:eastAsia="cs-CZ"/>
        </w:rPr>
        <w:t xml:space="preserve">, která byla do české legislativy </w:t>
      </w:r>
      <w:r w:rsidRPr="00C376AC">
        <w:rPr>
          <w:lang w:eastAsia="cs-CZ"/>
        </w:rPr>
        <w:t xml:space="preserve">implementována zákonem o investičních společnostech </w:t>
      </w:r>
      <w:r w:rsidR="00BA280C" w:rsidRPr="00C376AC">
        <w:rPr>
          <w:lang w:eastAsia="cs-CZ"/>
        </w:rPr>
        <w:t>a</w:t>
      </w:r>
      <w:r w:rsidR="00BA280C">
        <w:rPr>
          <w:lang w:eastAsia="cs-CZ"/>
        </w:rPr>
        <w:t> </w:t>
      </w:r>
      <w:r w:rsidRPr="00C376AC">
        <w:rPr>
          <w:lang w:eastAsia="cs-CZ"/>
        </w:rPr>
        <w:t>investičních fondech</w:t>
      </w:r>
      <w:r>
        <w:rPr>
          <w:lang w:eastAsia="cs-CZ"/>
        </w:rPr>
        <w:t xml:space="preserve"> (ZISIF)</w:t>
      </w:r>
      <w:r w:rsidRPr="00C376AC">
        <w:rPr>
          <w:lang w:eastAsia="cs-CZ"/>
        </w:rPr>
        <w:t xml:space="preserve"> v roce 2013</w:t>
      </w:r>
      <w:r>
        <w:rPr>
          <w:lang w:eastAsia="cs-CZ"/>
        </w:rPr>
        <w:t xml:space="preserve">. Tato směrnice, velmi zjednodušeně, </w:t>
      </w:r>
      <w:r w:rsidRPr="00C376AC">
        <w:rPr>
          <w:lang w:eastAsia="cs-CZ"/>
        </w:rPr>
        <w:t xml:space="preserve">zavedla </w:t>
      </w:r>
      <w:r w:rsidRPr="00C376AC">
        <w:rPr>
          <w:lang w:eastAsia="cs-CZ"/>
        </w:rPr>
        <w:lastRenderedPageBreak/>
        <w:t xml:space="preserve">povinnou regulaci nad investičními aktivitami </w:t>
      </w:r>
      <w:r w:rsidR="009F639B">
        <w:rPr>
          <w:lang w:eastAsia="cs-CZ"/>
        </w:rPr>
        <w:t xml:space="preserve">občanů EU </w:t>
      </w:r>
      <w:r>
        <w:rPr>
          <w:lang w:eastAsia="cs-CZ"/>
        </w:rPr>
        <w:t xml:space="preserve">(před směrnicí se většina investic soukromých subjektů realizovala přes off shore centra, běžná s.r.o. na Kypru v Holandsku a podobně). Od roku 2014 musí správci investic, v kterých mají své prostředky i </w:t>
      </w:r>
      <w:r w:rsidR="006F40CE">
        <w:rPr>
          <w:lang w:eastAsia="cs-CZ"/>
        </w:rPr>
        <w:t>občané EU</w:t>
      </w:r>
      <w:r w:rsidR="00486B18">
        <w:rPr>
          <w:lang w:eastAsia="cs-CZ"/>
        </w:rPr>
        <w:t>,</w:t>
      </w:r>
      <w:r>
        <w:rPr>
          <w:lang w:eastAsia="cs-CZ"/>
        </w:rPr>
        <w:t xml:space="preserve"> sídlit v EU. Tyto alternativní investiční fondy podléhají </w:t>
      </w:r>
      <w:r w:rsidR="00FD17E5">
        <w:rPr>
          <w:lang w:eastAsia="cs-CZ"/>
        </w:rPr>
        <w:t>dohledu</w:t>
      </w:r>
      <w:r>
        <w:rPr>
          <w:lang w:eastAsia="cs-CZ"/>
        </w:rPr>
        <w:t xml:space="preserve"> (v případě ČR je to ČNB), jsou podřízen</w:t>
      </w:r>
      <w:r w:rsidR="00486B18">
        <w:rPr>
          <w:lang w:eastAsia="cs-CZ"/>
        </w:rPr>
        <w:t>y</w:t>
      </w:r>
      <w:r>
        <w:rPr>
          <w:lang w:eastAsia="cs-CZ"/>
        </w:rPr>
        <w:t xml:space="preserve"> procedurám </w:t>
      </w:r>
      <w:r w:rsidRPr="00C376AC">
        <w:rPr>
          <w:lang w:eastAsia="cs-CZ"/>
        </w:rPr>
        <w:t>zabraňujícím praní špinavých peněz</w:t>
      </w:r>
      <w:r>
        <w:rPr>
          <w:lang w:eastAsia="cs-CZ"/>
        </w:rPr>
        <w:t xml:space="preserve"> a investoři nesmí být anonymní. Alternativní investiční fondy pak pravidelně reportují, do jakých aktiv investují atd.</w:t>
      </w:r>
    </w:p>
    <w:p w:rsidR="00AA08FF" w:rsidRDefault="00755E19" w:rsidP="00636988">
      <w:pPr>
        <w:pStyle w:val="Odstavecseseznamem"/>
        <w:numPr>
          <w:ilvl w:val="0"/>
          <w:numId w:val="12"/>
        </w:numPr>
        <w:ind w:left="1276" w:hanging="425"/>
        <w:contextualSpacing w:val="0"/>
        <w:rPr>
          <w:lang w:eastAsia="cs-CZ"/>
        </w:rPr>
      </w:pPr>
      <w:r w:rsidRPr="00755E19">
        <w:rPr>
          <w:lang w:eastAsia="cs-CZ"/>
        </w:rPr>
        <w:t xml:space="preserve">Jako další </w:t>
      </w:r>
      <w:r w:rsidR="00FD17E5">
        <w:rPr>
          <w:lang w:eastAsia="cs-CZ"/>
        </w:rPr>
        <w:t>směrnici</w:t>
      </w:r>
      <w:r w:rsidRPr="00755E19">
        <w:rPr>
          <w:lang w:eastAsia="cs-CZ"/>
        </w:rPr>
        <w:t xml:space="preserve"> vytvořila EK legislativní rámec pro fungování fondů rozvojového kapitálu na podporu začínajíc</w:t>
      </w:r>
      <w:r w:rsidR="00FD17E5">
        <w:rPr>
          <w:lang w:eastAsia="cs-CZ"/>
        </w:rPr>
        <w:t>ích technologických firem (známé</w:t>
      </w:r>
      <w:r w:rsidRPr="00755E19">
        <w:rPr>
          <w:lang w:eastAsia="cs-CZ"/>
        </w:rPr>
        <w:t xml:space="preserve"> z USA Silicon Valley) </w:t>
      </w:r>
      <w:r w:rsidR="00BA280C" w:rsidRPr="00755E19">
        <w:rPr>
          <w:lang w:eastAsia="cs-CZ"/>
        </w:rPr>
        <w:t>a</w:t>
      </w:r>
      <w:r w:rsidR="00BA280C">
        <w:rPr>
          <w:lang w:eastAsia="cs-CZ"/>
        </w:rPr>
        <w:t> </w:t>
      </w:r>
      <w:r w:rsidRPr="00755E19">
        <w:rPr>
          <w:lang w:eastAsia="cs-CZ"/>
        </w:rPr>
        <w:t xml:space="preserve">to ve formě </w:t>
      </w:r>
      <w:r w:rsidR="00FD17E5">
        <w:rPr>
          <w:u w:val="single"/>
          <w:lang w:eastAsia="cs-CZ"/>
        </w:rPr>
        <w:t>směrnice</w:t>
      </w:r>
      <w:r w:rsidRPr="0049720A">
        <w:rPr>
          <w:u w:val="single"/>
          <w:lang w:eastAsia="cs-CZ"/>
        </w:rPr>
        <w:t xml:space="preserve"> o správcích fond</w:t>
      </w:r>
      <w:r w:rsidR="0043000B">
        <w:rPr>
          <w:u w:val="single"/>
          <w:lang w:eastAsia="cs-CZ"/>
        </w:rPr>
        <w:t xml:space="preserve">ů </w:t>
      </w:r>
      <w:r w:rsidRPr="0049720A">
        <w:rPr>
          <w:u w:val="single"/>
          <w:lang w:eastAsia="cs-CZ"/>
        </w:rPr>
        <w:t>rozvojového kapitálu</w:t>
      </w:r>
      <w:r w:rsidR="0049720A">
        <w:rPr>
          <w:u w:val="single"/>
          <w:lang w:eastAsia="cs-CZ"/>
        </w:rPr>
        <w:t xml:space="preserve"> Eu VECA</w:t>
      </w:r>
      <w:r w:rsidRPr="0049720A">
        <w:rPr>
          <w:rStyle w:val="Znakapoznpodarou"/>
          <w:rFonts w:eastAsia="Times New Roman"/>
          <w:color w:val="000000"/>
          <w:lang w:eastAsia="cs-CZ"/>
        </w:rPr>
        <w:footnoteReference w:id="19"/>
      </w:r>
      <w:r w:rsidRPr="0049720A">
        <w:rPr>
          <w:lang w:eastAsia="cs-CZ"/>
        </w:rPr>
        <w:t>.</w:t>
      </w:r>
      <w:r w:rsidRPr="00755E19">
        <w:rPr>
          <w:lang w:eastAsia="cs-CZ"/>
        </w:rPr>
        <w:t xml:space="preserve"> Zatímco v případě </w:t>
      </w:r>
      <w:r w:rsidR="00EA2C3F">
        <w:rPr>
          <w:lang w:eastAsia="cs-CZ"/>
        </w:rPr>
        <w:t>směrnic</w:t>
      </w:r>
      <w:r w:rsidRPr="00755E19">
        <w:rPr>
          <w:lang w:eastAsia="cs-CZ"/>
        </w:rPr>
        <w:t xml:space="preserve"> o alternativních fondech bylo cílem dostat zpět do Evropy peníze z off shore destinací, tato </w:t>
      </w:r>
      <w:r w:rsidR="00EA2C3F">
        <w:rPr>
          <w:lang w:eastAsia="cs-CZ"/>
        </w:rPr>
        <w:t>směrnice</w:t>
      </w:r>
      <w:r w:rsidRPr="00755E19">
        <w:rPr>
          <w:lang w:eastAsia="cs-CZ"/>
        </w:rPr>
        <w:t xml:space="preserve"> má nastavit flexibilní systém (opět se sídlem v členských státech EU) pro usnadnění investic kapitálu </w:t>
      </w:r>
      <w:r w:rsidR="00615CA1" w:rsidRPr="00755E19">
        <w:rPr>
          <w:lang w:eastAsia="cs-CZ"/>
        </w:rPr>
        <w:t>do</w:t>
      </w:r>
      <w:r w:rsidR="00615CA1">
        <w:rPr>
          <w:lang w:eastAsia="cs-CZ"/>
        </w:rPr>
        <w:t> </w:t>
      </w:r>
      <w:r w:rsidRPr="00755E19">
        <w:rPr>
          <w:lang w:eastAsia="cs-CZ"/>
        </w:rPr>
        <w:t>technologických firem</w:t>
      </w:r>
      <w:r w:rsidR="0049720A">
        <w:rPr>
          <w:lang w:eastAsia="cs-CZ"/>
        </w:rPr>
        <w:t xml:space="preserve"> a podporu inovací</w:t>
      </w:r>
      <w:r w:rsidRPr="0049720A">
        <w:rPr>
          <w:rStyle w:val="Znakapoznpodarou"/>
          <w:rFonts w:eastAsia="Times New Roman"/>
          <w:color w:val="000000"/>
          <w:lang w:eastAsia="cs-CZ"/>
        </w:rPr>
        <w:footnoteReference w:id="20"/>
      </w:r>
      <w:r w:rsidR="00AA08FF">
        <w:rPr>
          <w:lang w:eastAsia="cs-CZ"/>
        </w:rPr>
        <w:t>.</w:t>
      </w:r>
    </w:p>
    <w:p w:rsidR="0049720A" w:rsidRPr="002521B2" w:rsidRDefault="0049720A" w:rsidP="00636988">
      <w:pPr>
        <w:pStyle w:val="Odstavecseseznamem"/>
        <w:numPr>
          <w:ilvl w:val="0"/>
          <w:numId w:val="12"/>
        </w:numPr>
        <w:ind w:left="1276" w:hanging="425"/>
        <w:contextualSpacing w:val="0"/>
        <w:rPr>
          <w:lang w:eastAsia="cs-CZ"/>
        </w:rPr>
      </w:pPr>
      <w:r w:rsidRPr="002521B2">
        <w:rPr>
          <w:lang w:eastAsia="cs-CZ"/>
        </w:rPr>
        <w:t xml:space="preserve">Souběžně s výše uvedenou </w:t>
      </w:r>
      <w:r w:rsidR="00FD17E5">
        <w:rPr>
          <w:lang w:eastAsia="cs-CZ"/>
        </w:rPr>
        <w:t>směrnicí</w:t>
      </w:r>
      <w:r w:rsidRPr="002521B2">
        <w:rPr>
          <w:lang w:eastAsia="cs-CZ"/>
        </w:rPr>
        <w:t xml:space="preserve"> byla přijata </w:t>
      </w:r>
      <w:r w:rsidR="002521B2" w:rsidRPr="002521B2">
        <w:rPr>
          <w:lang w:eastAsia="cs-CZ"/>
        </w:rPr>
        <w:t xml:space="preserve">také </w:t>
      </w:r>
      <w:r w:rsidR="002521B2" w:rsidRPr="002521B2">
        <w:rPr>
          <w:u w:val="single"/>
          <w:lang w:eastAsia="cs-CZ"/>
        </w:rPr>
        <w:t>směrnice o investičních fondech sociálního podnikání Eu SEF</w:t>
      </w:r>
      <w:r w:rsidR="002521B2" w:rsidRPr="002521B2">
        <w:rPr>
          <w:rStyle w:val="Znakapoznpodarou"/>
          <w:lang w:eastAsia="cs-CZ"/>
        </w:rPr>
        <w:footnoteReference w:id="21"/>
      </w:r>
      <w:r w:rsidR="002521B2" w:rsidRPr="002521B2">
        <w:rPr>
          <w:lang w:eastAsia="cs-CZ"/>
        </w:rPr>
        <w:t xml:space="preserve"> upravující činnost investičních fondů se zaměřením na</w:t>
      </w:r>
      <w:r w:rsidR="00D30D90">
        <w:rPr>
          <w:lang w:eastAsia="cs-CZ"/>
        </w:rPr>
        <w:t> </w:t>
      </w:r>
      <w:r w:rsidR="002521B2" w:rsidRPr="002521B2">
        <w:rPr>
          <w:lang w:eastAsia="cs-CZ"/>
        </w:rPr>
        <w:t>sociální podnikání a sociálně odpovědné investice.</w:t>
      </w:r>
    </w:p>
    <w:p w:rsidR="00755E19" w:rsidRDefault="00755E19" w:rsidP="00636988">
      <w:pPr>
        <w:pStyle w:val="Odstavecseseznamem"/>
        <w:numPr>
          <w:ilvl w:val="0"/>
          <w:numId w:val="12"/>
        </w:numPr>
        <w:ind w:left="1276" w:hanging="425"/>
        <w:contextualSpacing w:val="0"/>
        <w:rPr>
          <w:lang w:eastAsia="cs-CZ"/>
        </w:rPr>
      </w:pPr>
      <w:r>
        <w:rPr>
          <w:lang w:eastAsia="cs-CZ"/>
        </w:rPr>
        <w:t xml:space="preserve">Poslední </w:t>
      </w:r>
      <w:r w:rsidRPr="00EB61FE">
        <w:rPr>
          <w:lang w:eastAsia="cs-CZ"/>
        </w:rPr>
        <w:t xml:space="preserve">významnou aktivitou EK je </w:t>
      </w:r>
      <w:r w:rsidRPr="0049720A">
        <w:rPr>
          <w:u w:val="single"/>
          <w:lang w:eastAsia="cs-CZ"/>
        </w:rPr>
        <w:t>směrnice o fondech dlouhodobého investování – long term investment fund directive</w:t>
      </w:r>
      <w:r w:rsidR="0049720A">
        <w:rPr>
          <w:rStyle w:val="Znakapoznpodarou"/>
          <w:rFonts w:ascii="Calibri" w:eastAsia="Times New Roman" w:hAnsi="Calibri"/>
          <w:color w:val="000000"/>
          <w:sz w:val="18"/>
          <w:szCs w:val="18"/>
          <w:lang w:eastAsia="cs-CZ"/>
        </w:rPr>
        <w:t xml:space="preserve"> </w:t>
      </w:r>
      <w:r w:rsidR="0049720A" w:rsidRPr="0049720A">
        <w:rPr>
          <w:u w:val="single"/>
        </w:rPr>
        <w:t>ELTIF</w:t>
      </w:r>
      <w:r w:rsidRPr="0049720A">
        <w:rPr>
          <w:rStyle w:val="Znakapoznpodarou"/>
          <w:rFonts w:ascii="Calibri" w:eastAsia="Times New Roman" w:hAnsi="Calibri"/>
          <w:color w:val="000000"/>
          <w:lang w:eastAsia="cs-CZ"/>
        </w:rPr>
        <w:footnoteReference w:id="22"/>
      </w:r>
      <w:r w:rsidRPr="0049720A">
        <w:rPr>
          <w:lang w:eastAsia="cs-CZ"/>
        </w:rPr>
        <w:t xml:space="preserve"> </w:t>
      </w:r>
      <w:r>
        <w:rPr>
          <w:lang w:eastAsia="cs-CZ"/>
        </w:rPr>
        <w:t>z roku 2013. Tento návrh EK přímo uvádí následující:</w:t>
      </w:r>
    </w:p>
    <w:p w:rsidR="00FD17E5" w:rsidRDefault="0049720A" w:rsidP="00FD17E5">
      <w:pPr>
        <w:pStyle w:val="Odskoknadpis4"/>
        <w:rPr>
          <w:lang w:eastAsia="cs-CZ"/>
        </w:rPr>
      </w:pPr>
      <w:r w:rsidRPr="0049720A">
        <w:rPr>
          <w:lang w:eastAsia="cs-CZ"/>
        </w:rPr>
        <w:t>„</w:t>
      </w:r>
      <w:r w:rsidR="00755E19" w:rsidRPr="0049720A">
        <w:rPr>
          <w:lang w:eastAsia="cs-CZ"/>
        </w:rPr>
        <w:t xml:space="preserve">Dlouhodobé investice slouží k zajištění dlouhodobého kapitálu, aby bylo možné financovat hmotná (jako jsou např. energetická, dopravní a komunikační infrastruktura, výrobní a obslužná zařízení či technologie v oblasti bydlení, změny klimatu a ekologických inovací) i nehmotná aktiva (jako je např. vzdělávání, výzkum a vývoj), která podporují inovace </w:t>
      </w:r>
      <w:r w:rsidR="00615CA1" w:rsidRPr="0049720A">
        <w:rPr>
          <w:lang w:eastAsia="cs-CZ"/>
        </w:rPr>
        <w:t>a</w:t>
      </w:r>
      <w:r w:rsidR="00615CA1">
        <w:rPr>
          <w:lang w:eastAsia="cs-CZ"/>
        </w:rPr>
        <w:t> </w:t>
      </w:r>
      <w:r w:rsidR="00755E19" w:rsidRPr="0049720A">
        <w:rPr>
          <w:lang w:eastAsia="cs-CZ"/>
        </w:rPr>
        <w:t xml:space="preserve">konkurenceschopnost. Řada z těchto investic přináší obecnější veřejný užitek, neboť tím, </w:t>
      </w:r>
      <w:r w:rsidR="00615CA1" w:rsidRPr="0049720A">
        <w:rPr>
          <w:lang w:eastAsia="cs-CZ"/>
        </w:rPr>
        <w:t>že</w:t>
      </w:r>
      <w:r w:rsidR="00615CA1">
        <w:rPr>
          <w:lang w:eastAsia="cs-CZ"/>
        </w:rPr>
        <w:t> </w:t>
      </w:r>
      <w:r w:rsidR="00755E19" w:rsidRPr="0049720A">
        <w:rPr>
          <w:lang w:eastAsia="cs-CZ"/>
        </w:rPr>
        <w:t>podporují základní služby a zlepšují životní úroveň, generují vyšší celospolečenskou návratnost. Cílem tohoto návrhu je pomoci zvýšit zdroje kapitálu dostupného v budoucnosti pro</w:t>
      </w:r>
      <w:r w:rsidR="00610508">
        <w:rPr>
          <w:lang w:eastAsia="cs-CZ"/>
        </w:rPr>
        <w:t> </w:t>
      </w:r>
      <w:r w:rsidR="00755E19" w:rsidRPr="0049720A">
        <w:rPr>
          <w:lang w:eastAsia="cs-CZ"/>
        </w:rPr>
        <w:t>dlouhodobé investice do hospodářství Evropské unie v zájmu jeho směřování k</w:t>
      </w:r>
      <w:r w:rsidR="00610508">
        <w:rPr>
          <w:lang w:eastAsia="cs-CZ"/>
        </w:rPr>
        <w:t> </w:t>
      </w:r>
      <w:r w:rsidR="00755E19" w:rsidRPr="0049720A">
        <w:rPr>
          <w:lang w:eastAsia="cs-CZ"/>
        </w:rPr>
        <w:t xml:space="preserve">inteligentnímu </w:t>
      </w:r>
      <w:r w:rsidR="00615CA1" w:rsidRPr="0049720A">
        <w:rPr>
          <w:lang w:eastAsia="cs-CZ"/>
        </w:rPr>
        <w:t>a</w:t>
      </w:r>
      <w:r w:rsidR="00615CA1">
        <w:rPr>
          <w:lang w:eastAsia="cs-CZ"/>
        </w:rPr>
        <w:t> </w:t>
      </w:r>
      <w:r w:rsidR="00755E19" w:rsidRPr="0049720A">
        <w:rPr>
          <w:lang w:eastAsia="cs-CZ"/>
        </w:rPr>
        <w:t xml:space="preserve">udržitelnému růstu podporujícímu začlenění. Dojde k tomu vytvořením nové formy </w:t>
      </w:r>
      <w:r w:rsidR="00420428">
        <w:rPr>
          <w:lang w:eastAsia="cs-CZ"/>
        </w:rPr>
        <w:t>IFN</w:t>
      </w:r>
      <w:r w:rsidR="00755E19" w:rsidRPr="0049720A">
        <w:rPr>
          <w:lang w:eastAsia="cs-CZ"/>
        </w:rPr>
        <w:t>, fondů dlouhodobých investic EU („ELTIF“ – Long Term Investment Funds).</w:t>
      </w:r>
      <w:r w:rsidRPr="0049720A">
        <w:rPr>
          <w:lang w:eastAsia="cs-CZ"/>
        </w:rPr>
        <w:t>“</w:t>
      </w:r>
      <w:r w:rsidR="00FD17E5">
        <w:rPr>
          <w:lang w:eastAsia="cs-CZ"/>
        </w:rPr>
        <w:t xml:space="preserve"> Projednávání tohoto návrhu na evropské úrovni je aktuálně v závěrečné fázi.</w:t>
      </w:r>
    </w:p>
    <w:p w:rsidR="000C0B4C" w:rsidRDefault="000C0B4C" w:rsidP="0049720A">
      <w:pPr>
        <w:pStyle w:val="Odskoknadpis4"/>
        <w:rPr>
          <w:lang w:eastAsia="cs-CZ"/>
        </w:rPr>
      </w:pPr>
      <w:r>
        <w:rPr>
          <w:lang w:eastAsia="cs-CZ"/>
        </w:rPr>
        <w:t xml:space="preserve">Česká republika má v této oblasti významný náskok v celém regionu střední a východní Evropy, protože při implementaci </w:t>
      </w:r>
      <w:r w:rsidR="0003594C">
        <w:rPr>
          <w:lang w:eastAsia="cs-CZ"/>
        </w:rPr>
        <w:t>výše uvedených směrnic</w:t>
      </w:r>
      <w:r>
        <w:rPr>
          <w:lang w:eastAsia="cs-CZ"/>
        </w:rPr>
        <w:t xml:space="preserve"> vycházela z nejrozvinutějšího systému pro</w:t>
      </w:r>
      <w:r w:rsidR="00610508">
        <w:rPr>
          <w:lang w:eastAsia="cs-CZ"/>
        </w:rPr>
        <w:t> </w:t>
      </w:r>
      <w:r>
        <w:rPr>
          <w:lang w:eastAsia="cs-CZ"/>
        </w:rPr>
        <w:t>činnost investičních fondů tzv. Lucemburského modelu</w:t>
      </w:r>
      <w:r>
        <w:rPr>
          <w:rStyle w:val="Znakapoznpodarou"/>
          <w:lang w:eastAsia="cs-CZ"/>
        </w:rPr>
        <w:footnoteReference w:id="23"/>
      </w:r>
      <w:r>
        <w:rPr>
          <w:lang w:eastAsia="cs-CZ"/>
        </w:rPr>
        <w:t xml:space="preserve">. Tyto směrnice </w:t>
      </w:r>
      <w:r w:rsidR="00FD17E5">
        <w:rPr>
          <w:lang w:eastAsia="cs-CZ"/>
        </w:rPr>
        <w:t xml:space="preserve">(s výjimkou poslední směrnice ELTIF) </w:t>
      </w:r>
      <w:r>
        <w:rPr>
          <w:lang w:eastAsia="cs-CZ"/>
        </w:rPr>
        <w:t xml:space="preserve">byly implementovány zákonem č. 240/2013 o investičních společnostech </w:t>
      </w:r>
      <w:r w:rsidR="00615CA1">
        <w:rPr>
          <w:lang w:eastAsia="cs-CZ"/>
        </w:rPr>
        <w:t>a </w:t>
      </w:r>
      <w:r>
        <w:rPr>
          <w:lang w:eastAsia="cs-CZ"/>
        </w:rPr>
        <w:t xml:space="preserve">investičních fondech. Například Slovensko, které takto připravenou legislativu nemá, bude pro implementaci </w:t>
      </w:r>
      <w:r w:rsidR="00420428">
        <w:rPr>
          <w:lang w:eastAsia="cs-CZ"/>
        </w:rPr>
        <w:t>IFN</w:t>
      </w:r>
      <w:r>
        <w:rPr>
          <w:lang w:eastAsia="cs-CZ"/>
        </w:rPr>
        <w:t xml:space="preserve"> využívat investiční fondy založené v Lucembursku</w:t>
      </w:r>
      <w:r>
        <w:rPr>
          <w:rStyle w:val="Znakapoznpodarou"/>
          <w:lang w:eastAsia="cs-CZ"/>
        </w:rPr>
        <w:footnoteReference w:id="24"/>
      </w:r>
      <w:r>
        <w:rPr>
          <w:lang w:eastAsia="cs-CZ"/>
        </w:rPr>
        <w:t>.</w:t>
      </w:r>
    </w:p>
    <w:p w:rsidR="0092142D" w:rsidRDefault="0092142D" w:rsidP="0049720A">
      <w:pPr>
        <w:pStyle w:val="Odskoknadpis4"/>
        <w:rPr>
          <w:lang w:eastAsia="cs-CZ"/>
        </w:rPr>
      </w:pPr>
    </w:p>
    <w:p w:rsidR="000C0B4C" w:rsidRPr="0049720A" w:rsidRDefault="0089575E" w:rsidP="00636988">
      <w:pPr>
        <w:pStyle w:val="Titulek"/>
      </w:pPr>
      <w:bookmarkStart w:id="10" w:name="_Toc409446409"/>
      <w:r>
        <w:lastRenderedPageBreak/>
        <w:t xml:space="preserve">Schéma </w:t>
      </w:r>
      <w:fldSimple w:instr=" SEQ Schéma \* ARABIC ">
        <w:r w:rsidR="006C5EA3">
          <w:rPr>
            <w:noProof/>
          </w:rPr>
          <w:t>1</w:t>
        </w:r>
      </w:fldSimple>
      <w:r w:rsidR="009900D0">
        <w:t>:</w:t>
      </w:r>
      <w:r w:rsidR="009900D0">
        <w:tab/>
      </w:r>
      <w:r w:rsidR="009900D0" w:rsidRPr="005144FD">
        <w:t>O</w:t>
      </w:r>
      <w:r w:rsidR="000C0B4C" w:rsidRPr="0092142D">
        <w:t>patření</w:t>
      </w:r>
      <w:r w:rsidR="000C0B4C">
        <w:t xml:space="preserve"> </w:t>
      </w:r>
      <w:r w:rsidR="000C0B4C" w:rsidRPr="005144FD">
        <w:t>EK</w:t>
      </w:r>
      <w:r w:rsidR="000C0B4C">
        <w:t xml:space="preserve"> na podporu růstu hospodářství</w:t>
      </w:r>
      <w:r w:rsidR="009900D0">
        <w:t xml:space="preserve"> EU</w:t>
      </w:r>
      <w:bookmarkEnd w:id="10"/>
    </w:p>
    <w:p w:rsidR="000C0B4C" w:rsidRDefault="0055330E" w:rsidP="00C91FCD">
      <w:pPr>
        <w:pStyle w:val="Odskoknadpis4"/>
        <w:rPr>
          <w:lang w:eastAsia="cs-CZ"/>
        </w:rPr>
      </w:pPr>
      <w:r>
        <w:rPr>
          <w:noProof/>
          <w:lang w:eastAsia="cs-CZ"/>
        </w:rPr>
        <w:drawing>
          <wp:inline distT="0" distB="0" distL="0" distR="0" wp14:anchorId="5B7D2D9D" wp14:editId="6C4BC9C2">
            <wp:extent cx="5430520" cy="347472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srcRect/>
                    <a:stretch>
                      <a:fillRect/>
                    </a:stretch>
                  </pic:blipFill>
                  <pic:spPr bwMode="auto">
                    <a:xfrm>
                      <a:off x="0" y="0"/>
                      <a:ext cx="5430520" cy="3474720"/>
                    </a:xfrm>
                    <a:prstGeom prst="rect">
                      <a:avLst/>
                    </a:prstGeom>
                    <a:noFill/>
                    <a:ln w="9525">
                      <a:noFill/>
                      <a:miter lim="800000"/>
                      <a:headEnd/>
                      <a:tailEnd/>
                    </a:ln>
                  </pic:spPr>
                </pic:pic>
              </a:graphicData>
            </a:graphic>
          </wp:inline>
        </w:drawing>
      </w:r>
    </w:p>
    <w:p w:rsidR="004B66D1" w:rsidRPr="004E049D" w:rsidRDefault="004B66D1" w:rsidP="0043000B">
      <w:pPr>
        <w:pStyle w:val="Nadpis2"/>
        <w:jc w:val="left"/>
      </w:pPr>
      <w:bookmarkStart w:id="11" w:name="_Toc410115436"/>
      <w:r>
        <w:t>Finanční nástroje</w:t>
      </w:r>
      <w:r w:rsidR="0043000B">
        <w:t xml:space="preserve"> - </w:t>
      </w:r>
      <w:r w:rsidR="00EA2C3F">
        <w:t>definice</w:t>
      </w:r>
      <w:bookmarkEnd w:id="11"/>
    </w:p>
    <w:p w:rsidR="00AA08FF" w:rsidRDefault="00755E19" w:rsidP="00755E19">
      <w:r>
        <w:t>Jedním z možných řešení pro podporu hospodářské</w:t>
      </w:r>
      <w:r w:rsidR="0003594C">
        <w:t>ho růstu může být i použití</w:t>
      </w:r>
      <w:r>
        <w:t xml:space="preserve"> inovativních finančních nástrojů</w:t>
      </w:r>
      <w:r w:rsidR="0003594C">
        <w:t xml:space="preserve"> (IFN)</w:t>
      </w:r>
      <w:r>
        <w:rPr>
          <w:rStyle w:val="Znakapoznpodarou"/>
        </w:rPr>
        <w:footnoteReference w:id="25"/>
      </w:r>
      <w:r>
        <w:t xml:space="preserve">. </w:t>
      </w:r>
      <w:r w:rsidR="00FD17E5">
        <w:t>P</w:t>
      </w:r>
      <w:r>
        <w:t xml:space="preserve">otenciál </w:t>
      </w:r>
      <w:r w:rsidR="00FD17E5">
        <w:t xml:space="preserve">IFN spočívá zejména v </w:t>
      </w:r>
      <w:r>
        <w:t>propojení veřejných a soukromých finančních prostředků a schopnost</w:t>
      </w:r>
      <w:r w:rsidR="006825F8">
        <w:t>i</w:t>
      </w:r>
      <w:r>
        <w:t xml:space="preserve"> multiplikace</w:t>
      </w:r>
      <w:r w:rsidR="00FD17E5">
        <w:t>, které</w:t>
      </w:r>
      <w:r>
        <w:t xml:space="preserve"> je možné využít jak na úrovni využití </w:t>
      </w:r>
      <w:r w:rsidR="00420428">
        <w:t>ESIF</w:t>
      </w:r>
      <w:r>
        <w:t xml:space="preserve">, tak </w:t>
      </w:r>
      <w:r w:rsidR="006825F8">
        <w:t xml:space="preserve">i </w:t>
      </w:r>
      <w:r>
        <w:t>na úrovni národních programů bez zapojení ESIF</w:t>
      </w:r>
      <w:r w:rsidR="00AA08FF">
        <w:t>.</w:t>
      </w:r>
    </w:p>
    <w:p w:rsidR="00741495" w:rsidRDefault="00741495" w:rsidP="00741495">
      <w:r>
        <w:t xml:space="preserve">IFN </w:t>
      </w:r>
      <w:r w:rsidRPr="0055287C">
        <w:t>jsou pevně zakotveny ve strategických dokumentech</w:t>
      </w:r>
      <w:r>
        <w:t xml:space="preserve"> EU</w:t>
      </w:r>
      <w:r w:rsidRPr="0055287C">
        <w:t xml:space="preserve">, jejichž cílem je utvářet budoucí financování EU. Ve sdělení Komise o příštím </w:t>
      </w:r>
      <w:r>
        <w:t>víceletém finančním rámci („VFR“)</w:t>
      </w:r>
      <w:r>
        <w:rPr>
          <w:rStyle w:val="Znakapoznpodarou"/>
        </w:rPr>
        <w:footnoteReference w:id="26"/>
      </w:r>
      <w:r>
        <w:t xml:space="preserve"> a přezkumu rozpočtu EU</w:t>
      </w:r>
      <w:r>
        <w:rPr>
          <w:rStyle w:val="Znakapoznpodarou"/>
        </w:rPr>
        <w:footnoteReference w:id="27"/>
      </w:r>
      <w:r w:rsidRPr="0055287C">
        <w:t xml:space="preserve"> je </w:t>
      </w:r>
      <w:r>
        <w:t>uvedeno</w:t>
      </w:r>
      <w:r w:rsidRPr="0055287C">
        <w:t xml:space="preserve">, že </w:t>
      </w:r>
      <w:r w:rsidR="00EA2C3F">
        <w:t>IFN</w:t>
      </w:r>
      <w:r>
        <w:t xml:space="preserve"> mohou poskytnout významný</w:t>
      </w:r>
      <w:r w:rsidRPr="0055287C">
        <w:t xml:space="preserve"> nový finanční to</w:t>
      </w:r>
      <w:r>
        <w:t>k pro</w:t>
      </w:r>
      <w:r w:rsidR="00D30D90">
        <w:t> </w:t>
      </w:r>
      <w:r>
        <w:t xml:space="preserve">strategické investice a mohou </w:t>
      </w:r>
      <w:r w:rsidR="004207F7">
        <w:t>podporovat dlouhodobé</w:t>
      </w:r>
      <w:r w:rsidRPr="0055287C">
        <w:t xml:space="preserve"> udržitelné investice v době finančních škrtů. Za účelem prokázání přidané hodnoty EU by </w:t>
      </w:r>
      <w:r w:rsidR="00986EE0">
        <w:t>IFN</w:t>
      </w:r>
      <w:r>
        <w:t xml:space="preserve"> </w:t>
      </w:r>
      <w:r w:rsidRPr="0055287C">
        <w:t>měly být zaměřeny na ře</w:t>
      </w:r>
      <w:r>
        <w:t xml:space="preserve">šení </w:t>
      </w:r>
      <w:r w:rsidR="00E405ED">
        <w:t xml:space="preserve">pokrývající primárně </w:t>
      </w:r>
      <w:r>
        <w:t xml:space="preserve">selhání trhu a </w:t>
      </w:r>
      <w:r w:rsidRPr="0055287C">
        <w:t xml:space="preserve">nedostatky, které mohou být přiměřeně řešeny na úrovni EU, </w:t>
      </w:r>
      <w:r w:rsidR="00615CA1" w:rsidRPr="0055287C">
        <w:t>s</w:t>
      </w:r>
      <w:r w:rsidR="00615CA1">
        <w:t> </w:t>
      </w:r>
      <w:r w:rsidRPr="0055287C">
        <w:t>přihlédnutím na stav vnitrostátních finančních trhů, právní a regulační prostře</w:t>
      </w:r>
      <w:r>
        <w:t>dí a potřeby konečných příjemců</w:t>
      </w:r>
      <w:r w:rsidRPr="0055287C">
        <w:t>.</w:t>
      </w:r>
    </w:p>
    <w:p w:rsidR="00977A11" w:rsidRPr="00977A11" w:rsidRDefault="007F4BED" w:rsidP="007F4BED">
      <w:pPr>
        <w:rPr>
          <w:i/>
        </w:rPr>
      </w:pPr>
      <w:r>
        <w:t xml:space="preserve">Definice </w:t>
      </w:r>
      <w:r w:rsidR="00EA2C3F">
        <w:t>I</w:t>
      </w:r>
      <w:r w:rsidR="00420428">
        <w:t>FN</w:t>
      </w:r>
      <w:r>
        <w:t xml:space="preserve"> z pohledu </w:t>
      </w:r>
      <w:r w:rsidR="00977A11">
        <w:t>rozpočtu</w:t>
      </w:r>
      <w:r w:rsidR="00246572">
        <w:t xml:space="preserve"> EU</w:t>
      </w:r>
      <w:r w:rsidR="00977A11">
        <w:rPr>
          <w:rStyle w:val="Znakapoznpodarou"/>
        </w:rPr>
        <w:footnoteReference w:id="28"/>
      </w:r>
      <w:r>
        <w:t xml:space="preserve">: </w:t>
      </w:r>
      <w:r w:rsidR="00977A11" w:rsidRPr="00977A11">
        <w:rPr>
          <w:i/>
        </w:rPr>
        <w:t xml:space="preserve">„finančními nástroji“ </w:t>
      </w:r>
      <w:r w:rsidR="00E405ED">
        <w:rPr>
          <w:i/>
        </w:rPr>
        <w:t xml:space="preserve">se rozumí </w:t>
      </w:r>
      <w:r w:rsidR="00977A11" w:rsidRPr="00977A11">
        <w:rPr>
          <w:i/>
        </w:rPr>
        <w:t>opatře</w:t>
      </w:r>
      <w:r w:rsidR="00930910">
        <w:rPr>
          <w:i/>
        </w:rPr>
        <w:t>ní finanční podpory Unie posky</w:t>
      </w:r>
      <w:r w:rsidR="00977A11" w:rsidRPr="00977A11">
        <w:rPr>
          <w:i/>
        </w:rPr>
        <w:t>tovaná z rozpočtu na doplňkovém základě a zaměřená na plnění jednoho nebo více konkrétních politických cílů Unie. Tyto nástroje mohou mít f</w:t>
      </w:r>
      <w:r w:rsidR="00930910">
        <w:rPr>
          <w:i/>
        </w:rPr>
        <w:t>ormu kapitálových či kvazi kapi</w:t>
      </w:r>
      <w:r w:rsidR="00977A11" w:rsidRPr="00977A11">
        <w:rPr>
          <w:i/>
        </w:rPr>
        <w:t xml:space="preserve">tálových investic, půjček nebo záruk anebo jiných nástrojů ke sdílení rizik a tam, kde je </w:t>
      </w:r>
      <w:r w:rsidR="00615CA1" w:rsidRPr="00977A11">
        <w:rPr>
          <w:i/>
        </w:rPr>
        <w:t>to</w:t>
      </w:r>
      <w:r w:rsidR="00615CA1">
        <w:rPr>
          <w:i/>
        </w:rPr>
        <w:t> </w:t>
      </w:r>
      <w:r w:rsidR="00977A11" w:rsidRPr="00977A11">
        <w:rPr>
          <w:i/>
        </w:rPr>
        <w:t>vhodné, mohou být spojeny s</w:t>
      </w:r>
      <w:r w:rsidR="00977A11">
        <w:rPr>
          <w:i/>
        </w:rPr>
        <w:t> </w:t>
      </w:r>
      <w:r w:rsidR="00977A11" w:rsidRPr="00977A11">
        <w:rPr>
          <w:i/>
        </w:rPr>
        <w:t>granty</w:t>
      </w:r>
      <w:r w:rsidR="00977A11">
        <w:rPr>
          <w:i/>
        </w:rPr>
        <w:t>“.</w:t>
      </w:r>
    </w:p>
    <w:p w:rsidR="00E665CB" w:rsidRDefault="0043000B" w:rsidP="007F4BED">
      <w:pPr>
        <w:rPr>
          <w:i/>
        </w:rPr>
      </w:pPr>
      <w:r>
        <w:rPr>
          <w:i/>
        </w:rPr>
        <w:lastRenderedPageBreak/>
        <w:t>„</w:t>
      </w:r>
      <w:r w:rsidR="00E665CB" w:rsidRPr="00E665CB">
        <w:rPr>
          <w:i/>
        </w:rPr>
        <w:t xml:space="preserve">Finanční nástroje mohou přispívat k maximalizaci účinku finančních prostředků Unie, jestliže jsou tyto finanční prostředky spojeny s dalšími zdroji a aktivují je. Vzhledem k tomu, že tyto finanční nástroje nelze považovat za služby nebo granty, je zapotřebí zavést nový druh finanční podpory. Finanční nástroje by měly být využívány pouze za přísných podmínek, aby pro rozpočet nevznikala žádná rozpočtová rizika a aby nemohlo dojít k narušování trhu, které by bylo </w:t>
      </w:r>
      <w:r w:rsidR="00615CA1" w:rsidRPr="00E665CB">
        <w:rPr>
          <w:i/>
        </w:rPr>
        <w:t>v</w:t>
      </w:r>
      <w:r w:rsidR="00615CA1">
        <w:rPr>
          <w:i/>
        </w:rPr>
        <w:t> </w:t>
      </w:r>
      <w:r w:rsidR="00E665CB" w:rsidRPr="00E665CB">
        <w:rPr>
          <w:i/>
        </w:rPr>
        <w:t>rozporu s pravidly pro státní podporu.</w:t>
      </w:r>
      <w:r>
        <w:rPr>
          <w:i/>
        </w:rPr>
        <w:t>“</w:t>
      </w:r>
      <w:r w:rsidR="00E665CB">
        <w:rPr>
          <w:rStyle w:val="Znakapoznpodarou"/>
          <w:i/>
        </w:rPr>
        <w:footnoteReference w:id="29"/>
      </w:r>
    </w:p>
    <w:p w:rsidR="00AA08FF" w:rsidRDefault="00986EE0" w:rsidP="0089495C">
      <w:r>
        <w:t>IFN</w:t>
      </w:r>
      <w:r w:rsidR="007F4BED">
        <w:t xml:space="preserve"> však mohou být využity i mimo ESIF, například pro projekty financované z veřejných </w:t>
      </w:r>
      <w:r w:rsidR="00F65A49">
        <w:br/>
      </w:r>
      <w:r w:rsidR="007F4BED">
        <w:t>a soukromých prostředků, tzv. PPP projekty</w:t>
      </w:r>
      <w:r w:rsidR="00F821C7">
        <w:rPr>
          <w:rStyle w:val="Znakapoznpodarou"/>
        </w:rPr>
        <w:footnoteReference w:id="30"/>
      </w:r>
      <w:r w:rsidR="00AA08FF">
        <w:t>.</w:t>
      </w:r>
    </w:p>
    <w:p w:rsidR="00F65A49" w:rsidRPr="00F65A49" w:rsidRDefault="0089575E" w:rsidP="00636988">
      <w:pPr>
        <w:pStyle w:val="schma"/>
      </w:pPr>
      <w:bookmarkStart w:id="12" w:name="_Toc409446410"/>
      <w:r>
        <w:t xml:space="preserve">Schéma </w:t>
      </w:r>
      <w:fldSimple w:instr=" SEQ Schéma \* ARABIC ">
        <w:r w:rsidR="006C5EA3">
          <w:rPr>
            <w:noProof/>
          </w:rPr>
          <w:t>2</w:t>
        </w:r>
      </w:fldSimple>
      <w:r w:rsidR="00AA08FF">
        <w:t xml:space="preserve">: </w:t>
      </w:r>
      <w:r w:rsidR="00AA08FF">
        <w:tab/>
        <w:t>Základní schéma toku</w:t>
      </w:r>
      <w:r w:rsidR="00F65A49" w:rsidRPr="00F65A49">
        <w:t xml:space="preserve"> IFN</w:t>
      </w:r>
      <w:bookmarkEnd w:id="12"/>
    </w:p>
    <w:p w:rsidR="00CF500C" w:rsidRDefault="0055330E" w:rsidP="00CF500C">
      <w:pPr>
        <w:jc w:val="center"/>
      </w:pPr>
      <w:r>
        <w:rPr>
          <w:noProof/>
          <w:lang w:eastAsia="cs-CZ"/>
        </w:rPr>
        <w:drawing>
          <wp:inline distT="0" distB="0" distL="0" distR="0" wp14:anchorId="1B364595" wp14:editId="0C1817A2">
            <wp:extent cx="5398770" cy="2552065"/>
            <wp:effectExtent l="19050" t="0" r="0" b="0"/>
            <wp:docPr id="2"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12"/>
                    <a:srcRect/>
                    <a:stretch>
                      <a:fillRect/>
                    </a:stretch>
                  </pic:blipFill>
                  <pic:spPr bwMode="auto">
                    <a:xfrm>
                      <a:off x="0" y="0"/>
                      <a:ext cx="5398770" cy="2552065"/>
                    </a:xfrm>
                    <a:prstGeom prst="rect">
                      <a:avLst/>
                    </a:prstGeom>
                    <a:noFill/>
                    <a:ln w="9525">
                      <a:noFill/>
                      <a:miter lim="800000"/>
                      <a:headEnd/>
                      <a:tailEnd/>
                    </a:ln>
                  </pic:spPr>
                </pic:pic>
              </a:graphicData>
            </a:graphic>
          </wp:inline>
        </w:drawing>
      </w:r>
    </w:p>
    <w:p w:rsidR="00AA08FF" w:rsidRPr="009900D0" w:rsidRDefault="009900D0" w:rsidP="00AA7018">
      <w:pPr>
        <w:spacing w:before="240"/>
        <w:rPr>
          <w:i/>
        </w:rPr>
      </w:pPr>
      <w:r>
        <w:rPr>
          <w:i/>
          <w:color w:val="548DD4"/>
        </w:rPr>
        <w:t>Zdroj:</w:t>
      </w:r>
      <w:r w:rsidR="00AA08FF" w:rsidRPr="009900D0">
        <w:rPr>
          <w:i/>
          <w:color w:val="548DD4"/>
        </w:rPr>
        <w:t xml:space="preserve"> Evropská komise</w:t>
      </w:r>
      <w:r w:rsidR="00AA08FF" w:rsidRPr="009900D0">
        <w:rPr>
          <w:i/>
        </w:rPr>
        <w:t xml:space="preserve"> </w:t>
      </w:r>
    </w:p>
    <w:p w:rsidR="00AA7018" w:rsidRDefault="00AA7018" w:rsidP="00AA7018">
      <w:pPr>
        <w:spacing w:before="240"/>
      </w:pPr>
      <w:r>
        <w:t>Cílem EK je prostřednictví</w:t>
      </w:r>
      <w:r w:rsidR="00AF1416">
        <w:t>m</w:t>
      </w:r>
      <w:r>
        <w:t xml:space="preserve"> IFN přilákat do </w:t>
      </w:r>
      <w:r w:rsidR="00787752">
        <w:t>ekonomik</w:t>
      </w:r>
      <w:r>
        <w:t xml:space="preserve">y co nejvíce dalších mimorozpočtových investičních a finančních zdrojů </w:t>
      </w:r>
      <w:r w:rsidR="00FD17E5">
        <w:t>za účelem</w:t>
      </w:r>
      <w:r>
        <w:t xml:space="preserve"> urychleně podpořit hospodářský růst celé Evropy </w:t>
      </w:r>
      <w:r w:rsidR="00615CA1">
        <w:t>a </w:t>
      </w:r>
      <w:r>
        <w:t>jednotlivých členských zemí.</w:t>
      </w:r>
    </w:p>
    <w:p w:rsidR="00AA7018" w:rsidRPr="00AA7018" w:rsidRDefault="0089575E" w:rsidP="00636988">
      <w:pPr>
        <w:pStyle w:val="Titulek"/>
      </w:pPr>
      <w:bookmarkStart w:id="13" w:name="_Toc409446411"/>
      <w:r>
        <w:lastRenderedPageBreak/>
        <w:t xml:space="preserve">Schéma </w:t>
      </w:r>
      <w:fldSimple w:instr=" SEQ Schéma \* ARABIC ">
        <w:r w:rsidR="006C5EA3">
          <w:rPr>
            <w:noProof/>
          </w:rPr>
          <w:t>3</w:t>
        </w:r>
      </w:fldSimple>
      <w:r w:rsidR="00AA08FF">
        <w:t xml:space="preserve">: </w:t>
      </w:r>
      <w:r w:rsidR="00AA08FF">
        <w:tab/>
      </w:r>
      <w:r w:rsidR="00AA08FF" w:rsidRPr="005144FD">
        <w:t>Logika</w:t>
      </w:r>
      <w:r w:rsidR="00AA7018" w:rsidRPr="00AA7018">
        <w:t xml:space="preserve"> zapojení mimorozpočtových zdrojů do financování hospodářského růstu EU</w:t>
      </w:r>
      <w:bookmarkEnd w:id="13"/>
    </w:p>
    <w:p w:rsidR="00AA7018" w:rsidRDefault="0055330E" w:rsidP="00636988">
      <w:pPr>
        <w:pStyle w:val="Odskoknadpis4"/>
        <w:rPr>
          <w:b/>
          <w:color w:val="365F91"/>
        </w:rPr>
      </w:pPr>
      <w:r>
        <w:rPr>
          <w:noProof/>
          <w:lang w:eastAsia="cs-CZ"/>
        </w:rPr>
        <w:drawing>
          <wp:inline distT="0" distB="0" distL="0" distR="0" wp14:anchorId="7C182373" wp14:editId="4514E56B">
            <wp:extent cx="5263515" cy="368173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srcRect/>
                    <a:stretch>
                      <a:fillRect/>
                    </a:stretch>
                  </pic:blipFill>
                  <pic:spPr bwMode="auto">
                    <a:xfrm>
                      <a:off x="0" y="0"/>
                      <a:ext cx="5263515" cy="3681730"/>
                    </a:xfrm>
                    <a:prstGeom prst="rect">
                      <a:avLst/>
                    </a:prstGeom>
                    <a:noFill/>
                    <a:ln w="9525">
                      <a:noFill/>
                      <a:miter lim="800000"/>
                      <a:headEnd/>
                      <a:tailEnd/>
                    </a:ln>
                  </pic:spPr>
                </pic:pic>
              </a:graphicData>
            </a:graphic>
          </wp:inline>
        </w:drawing>
      </w:r>
    </w:p>
    <w:p w:rsidR="00AA7018" w:rsidRDefault="00AA7018" w:rsidP="00171265">
      <w:pPr>
        <w:pStyle w:val="Nadpis2"/>
      </w:pPr>
      <w:bookmarkStart w:id="14" w:name="_Toc410115437"/>
      <w:r>
        <w:t>Navrhovaná varianta</w:t>
      </w:r>
      <w:bookmarkEnd w:id="14"/>
    </w:p>
    <w:p w:rsidR="00FD17E5" w:rsidRDefault="00FD17E5" w:rsidP="00FD17E5">
      <w:r>
        <w:t xml:space="preserve">Na základě posouzení výhod a nevýhod jednotlivých variant uchopení a implementaci IFN dospěla tato analýza k závěru, že by nejvhodnějším řešením bylo zřízení, resp. využití stávající státem vlastněné Českomoravské záruční </w:t>
      </w:r>
      <w:r w:rsidR="009817ED">
        <w:t xml:space="preserve">a rozvojové </w:t>
      </w:r>
      <w:r>
        <w:t>banky („</w:t>
      </w:r>
      <w:r w:rsidR="00D106C4">
        <w:t>ČMZRB</w:t>
      </w:r>
      <w:r>
        <w:t>“), jako poskytovatele odborných služeb pro všechny řídící orgány („ŘO“) ve formě tzv. Fondu fondů („FF“).</w:t>
      </w:r>
      <w:r>
        <w:rPr>
          <w:rStyle w:val="Znakapoznpodarou"/>
        </w:rPr>
        <w:footnoteReference w:id="31"/>
      </w:r>
      <w:r>
        <w:t xml:space="preserve"> </w:t>
      </w:r>
      <w:r w:rsidR="00AF0830">
        <w:t xml:space="preserve">V dalším textu je pro novou funkci banky požíván název </w:t>
      </w:r>
      <w:r w:rsidR="009817ED">
        <w:t>Č</w:t>
      </w:r>
      <w:r w:rsidR="00AF0830">
        <w:t xml:space="preserve">eská investiční banka </w:t>
      </w:r>
      <w:r w:rsidR="008B0AE1">
        <w:t>(„</w:t>
      </w:r>
      <w:r w:rsidR="00AF0830">
        <w:t>ČIB</w:t>
      </w:r>
      <w:r w:rsidR="008B0AE1">
        <w:t>“)</w:t>
      </w:r>
      <w:r w:rsidR="00AF0830">
        <w:t xml:space="preserve">. </w:t>
      </w:r>
      <w:r>
        <w:t>Z hlediska zhodnocených variant se jedná o variantu tzv. centralizovanou ve formě zřízení Fondu fondů.</w:t>
      </w:r>
      <w:r>
        <w:rPr>
          <w:rStyle w:val="Znakapoznpodarou"/>
        </w:rPr>
        <w:footnoteReference w:id="32"/>
      </w:r>
    </w:p>
    <w:p w:rsidR="002521B2" w:rsidRDefault="00AA7018" w:rsidP="00AA7018">
      <w:r>
        <w:t xml:space="preserve">Tato analýza navrhuje vládě ČR jako nejvhodnější řešení pro uchopení a implementaci IFN zřízení resp. využití stávající státem vlastněné </w:t>
      </w:r>
      <w:r w:rsidR="00D106C4">
        <w:t>ČMZRB</w:t>
      </w:r>
      <w:r>
        <w:t>, jako poskytovatele odborných služeb pro</w:t>
      </w:r>
      <w:r w:rsidR="00D30D90">
        <w:t> </w:t>
      </w:r>
      <w:r>
        <w:t>všechny řídící orgány („ŘO“) ve formě FF.</w:t>
      </w:r>
      <w:r>
        <w:rPr>
          <w:rStyle w:val="Znakapoznpodarou"/>
        </w:rPr>
        <w:footnoteReference w:id="33"/>
      </w:r>
      <w:r w:rsidR="0006108B">
        <w:t xml:space="preserve"> </w:t>
      </w:r>
      <w:r w:rsidR="002521B2">
        <w:t xml:space="preserve">Nová náplň pro </w:t>
      </w:r>
      <w:r w:rsidR="00D106C4">
        <w:t>ČMZRB</w:t>
      </w:r>
      <w:r w:rsidR="002521B2">
        <w:t xml:space="preserve"> a celkové vytvoření české rozvojové banky (České investiční banky) by ČR umožnilo maximálně využít </w:t>
      </w:r>
      <w:r w:rsidR="00420428">
        <w:t>IFN</w:t>
      </w:r>
      <w:r w:rsidR="002521B2">
        <w:t>, dále by</w:t>
      </w:r>
      <w:r w:rsidR="00D30D90">
        <w:t> </w:t>
      </w:r>
      <w:r w:rsidR="002521B2">
        <w:t xml:space="preserve">si vytvořila </w:t>
      </w:r>
      <w:r w:rsidR="00787752">
        <w:t>mechanizm</w:t>
      </w:r>
      <w:r w:rsidR="002521B2">
        <w:t>y pro intervence do ekonomiky a to i z národních zdrojů.</w:t>
      </w:r>
      <w:r w:rsidR="0006108B">
        <w:t xml:space="preserve"> </w:t>
      </w:r>
      <w:r w:rsidR="002521B2">
        <w:t>Banka by</w:t>
      </w:r>
      <w:r w:rsidR="00D30D90">
        <w:t> </w:t>
      </w:r>
      <w:r w:rsidR="002521B2">
        <w:t>v praxi plnila roli poskytovatele obdobných bankovních služeb pro ŘO, mohla by být partnerem českých i mezinárodních finančních institucí včetně EIB, EBRD a podobně.</w:t>
      </w:r>
    </w:p>
    <w:p w:rsidR="002521B2" w:rsidRDefault="002521B2" w:rsidP="00AA7018">
      <w:r>
        <w:t>Prostředky investované ve formě IFN by se zpětně shromažďovaly na účtech ŘO</w:t>
      </w:r>
      <w:r w:rsidR="00372EB7">
        <w:t>/banky</w:t>
      </w:r>
      <w:r>
        <w:t xml:space="preserve"> a byly by</w:t>
      </w:r>
      <w:r w:rsidR="00D30D90">
        <w:t> </w:t>
      </w:r>
      <w:r>
        <w:t>připraveny pro další investice do ekonomiky.</w:t>
      </w:r>
    </w:p>
    <w:p w:rsidR="000B045B" w:rsidRDefault="000B045B" w:rsidP="00AA7018">
      <w:r>
        <w:t>Dalšími variantami, kterými se tato analýza zabývala, byly:</w:t>
      </w:r>
    </w:p>
    <w:p w:rsidR="001A3B8A" w:rsidRDefault="000B045B" w:rsidP="00636988">
      <w:pPr>
        <w:pStyle w:val="Odstavecseseznamem"/>
        <w:numPr>
          <w:ilvl w:val="0"/>
          <w:numId w:val="41"/>
        </w:numPr>
      </w:pPr>
      <w:r>
        <w:t xml:space="preserve">Svěření správy FF a IFN EIB </w:t>
      </w:r>
      <w:r w:rsidR="00B95BF7">
        <w:t xml:space="preserve">bod 4.2.1.1. analýzy </w:t>
      </w:r>
      <w:r>
        <w:t>(centralizovaná varianta, s FF, externí správce)</w:t>
      </w:r>
      <w:r w:rsidR="006F40CE">
        <w:t>.</w:t>
      </w:r>
    </w:p>
    <w:p w:rsidR="001A3B8A" w:rsidRDefault="000B045B" w:rsidP="00636988">
      <w:pPr>
        <w:pStyle w:val="Odstavecseseznamem"/>
        <w:numPr>
          <w:ilvl w:val="0"/>
          <w:numId w:val="41"/>
        </w:numPr>
      </w:pPr>
      <w:r>
        <w:lastRenderedPageBreak/>
        <w:t xml:space="preserve">Implementace IFN jednotlivými ŘO bez centralizovaného řešení </w:t>
      </w:r>
      <w:r w:rsidR="00B95BF7">
        <w:t xml:space="preserve">bod 4.1. analýzy </w:t>
      </w:r>
      <w:r>
        <w:t>(decentralizovaná varianta, v případě některých IFN s FF v některých bez FF, v některých případech s externím správcem, v jiný</w:t>
      </w:r>
      <w:r w:rsidR="009F639B">
        <w:t>ch</w:t>
      </w:r>
      <w:r>
        <w:t xml:space="preserve"> případech in house – v zásadě možná existence různých modelů u </w:t>
      </w:r>
      <w:r w:rsidR="00B95BF7">
        <w:t>jednotlivých</w:t>
      </w:r>
      <w:r>
        <w:t xml:space="preserve"> ŘO).</w:t>
      </w:r>
    </w:p>
    <w:p w:rsidR="001A3B8A" w:rsidRDefault="000B045B" w:rsidP="00636988">
      <w:pPr>
        <w:pStyle w:val="Odstavecseseznamem"/>
        <w:numPr>
          <w:ilvl w:val="0"/>
          <w:numId w:val="41"/>
        </w:numPr>
      </w:pPr>
      <w:r>
        <w:t>Svěření správy FF a IFN soukromému sprá</w:t>
      </w:r>
      <w:r w:rsidR="00B95BF7">
        <w:t>v</w:t>
      </w:r>
      <w:r>
        <w:t xml:space="preserve">ci </w:t>
      </w:r>
      <w:r w:rsidR="00B95BF7">
        <w:t xml:space="preserve">bod 4.2.2.1. analýzy </w:t>
      </w:r>
      <w:r>
        <w:t>(centralizovaná varianta s FF – v praxi v zásadě nerealizovatelná – stát by předal veškeré strategické řízení soukromému subjektu).</w:t>
      </w:r>
    </w:p>
    <w:p w:rsidR="001A3B8A" w:rsidRDefault="000B045B" w:rsidP="00636988">
      <w:pPr>
        <w:pStyle w:val="Odstavecseseznamem"/>
        <w:numPr>
          <w:ilvl w:val="0"/>
          <w:numId w:val="41"/>
        </w:numPr>
      </w:pPr>
      <w:r>
        <w:t xml:space="preserve">Přímá implementace IFN ŘO </w:t>
      </w:r>
      <w:r w:rsidR="00B95BF7">
        <w:t xml:space="preserve">bod 3.3.3. analýzy </w:t>
      </w:r>
      <w:r>
        <w:t>(decentralizovaná varianta</w:t>
      </w:r>
      <w:r w:rsidR="004C37EF">
        <w:t xml:space="preserve"> bez FF</w:t>
      </w:r>
      <w:r>
        <w:t xml:space="preserve">, </w:t>
      </w:r>
      <w:r w:rsidR="004C37EF">
        <w:t>týká se</w:t>
      </w:r>
      <w:r w:rsidR="00D30D90">
        <w:t> </w:t>
      </w:r>
      <w:r w:rsidR="004C37EF">
        <w:t>pouze IFN ve formě úvěrů a záruk – pro většinu ŘO nerealizovatelné na základě prvních výstupů z </w:t>
      </w:r>
      <w:r w:rsidR="004667A4">
        <w:t>ex-ante</w:t>
      </w:r>
      <w:r w:rsidR="004C37EF">
        <w:t xml:space="preserve"> analýz).</w:t>
      </w:r>
    </w:p>
    <w:p w:rsidR="001A3B8A" w:rsidRDefault="00B95BF7" w:rsidP="00636988">
      <w:pPr>
        <w:pStyle w:val="Odstavecseseznamem"/>
        <w:numPr>
          <w:ilvl w:val="0"/>
          <w:numId w:val="41"/>
        </w:numPr>
      </w:pPr>
      <w:r>
        <w:t>Vytvoření nové finanční instituce ve vlastnictví ČR bod. 4.2.2.3. analýzy (centralizované řešení s FF).</w:t>
      </w:r>
    </w:p>
    <w:p w:rsidR="00AA7018" w:rsidRDefault="00AA7018" w:rsidP="00171265">
      <w:pPr>
        <w:pStyle w:val="Nadpis2"/>
      </w:pPr>
      <w:bookmarkStart w:id="15" w:name="_Toc410115438"/>
      <w:r>
        <w:t>Další nutné kroky</w:t>
      </w:r>
      <w:bookmarkEnd w:id="15"/>
    </w:p>
    <w:p w:rsidR="00AA7018" w:rsidRDefault="00AA7018" w:rsidP="009900D0">
      <w:pPr>
        <w:keepNext/>
      </w:pPr>
      <w:r>
        <w:t xml:space="preserve">Centrální řízení umožní ČR efektivně </w:t>
      </w:r>
      <w:r w:rsidR="0043000B">
        <w:t>spravovat</w:t>
      </w:r>
      <w:r>
        <w:t xml:space="preserve"> celý systém IFN a zároveň mít pod kontrolou spolupráci se soukromými subjekty. Tato analýza se nezabývala podrobným rozpracováním navrhované varianty vzhledem k zaměření celé analýzy</w:t>
      </w:r>
      <w:r w:rsidR="002668D0">
        <w:t>, a proto je třeba realizovat další nutné kroky:</w:t>
      </w:r>
    </w:p>
    <w:p w:rsidR="00FD2993" w:rsidRDefault="00FD2993" w:rsidP="0043000B">
      <w:pPr>
        <w:pStyle w:val="Odstavecseseznamem"/>
        <w:numPr>
          <w:ilvl w:val="0"/>
          <w:numId w:val="37"/>
        </w:numPr>
        <w:spacing w:after="0"/>
      </w:pPr>
      <w:r>
        <w:t>Schválit na úrovni vlády rozpracování doporučované varianty; - bez odkladu</w:t>
      </w:r>
    </w:p>
    <w:p w:rsidR="00FD2993" w:rsidRDefault="00FD2993" w:rsidP="0043000B">
      <w:pPr>
        <w:pStyle w:val="Odstavecseseznamem"/>
        <w:numPr>
          <w:ilvl w:val="0"/>
          <w:numId w:val="37"/>
        </w:numPr>
        <w:spacing w:after="0"/>
      </w:pPr>
      <w:r>
        <w:t>Vytvořit projektový tým, který bude realizovat studii proveditelnosti; - bez odkladu</w:t>
      </w:r>
    </w:p>
    <w:p w:rsidR="00FD2993" w:rsidRDefault="00FD2993" w:rsidP="0043000B">
      <w:pPr>
        <w:pStyle w:val="Odstavecseseznamem"/>
        <w:numPr>
          <w:ilvl w:val="0"/>
          <w:numId w:val="37"/>
        </w:numPr>
        <w:spacing w:after="0"/>
      </w:pPr>
      <w:r>
        <w:t>Projednat s Evropskou komisí předběžný návrh možného řešení; - bez odkladu</w:t>
      </w:r>
    </w:p>
    <w:p w:rsidR="00FD2993" w:rsidRDefault="00CB4727" w:rsidP="0043000B">
      <w:pPr>
        <w:pStyle w:val="Odstavecseseznamem"/>
        <w:numPr>
          <w:ilvl w:val="0"/>
          <w:numId w:val="37"/>
        </w:numPr>
        <w:spacing w:after="0"/>
      </w:pPr>
      <w:r>
        <w:t>Zpracovat podrobnou</w:t>
      </w:r>
      <w:r w:rsidR="00FD2993">
        <w:t xml:space="preserve"> organizační, funkční a právní </w:t>
      </w:r>
      <w:r w:rsidR="009817ED">
        <w:t xml:space="preserve">a legislativní </w:t>
      </w:r>
      <w:r w:rsidR="00FD2993">
        <w:t xml:space="preserve">analýzu, včetně potřeby financování ze státního rozpočtu (pravděpodobně financovatelné z EU zdrojů Technické asistence); - předložení </w:t>
      </w:r>
      <w:r w:rsidR="007514FC">
        <w:t>červenec</w:t>
      </w:r>
      <w:r w:rsidR="00FD2993">
        <w:t xml:space="preserve"> 2015</w:t>
      </w:r>
    </w:p>
    <w:p w:rsidR="00FD2993" w:rsidRDefault="00FD2993" w:rsidP="0043000B">
      <w:pPr>
        <w:pStyle w:val="Odstavecseseznamem"/>
        <w:numPr>
          <w:ilvl w:val="0"/>
          <w:numId w:val="37"/>
        </w:numPr>
        <w:spacing w:after="0"/>
      </w:pPr>
      <w:r>
        <w:t>Stanovit harmonogram dalších kroků (tzv. roadmap); - vyplyne z analýzy</w:t>
      </w:r>
    </w:p>
    <w:p w:rsidR="00FD2993" w:rsidRDefault="00FD2993" w:rsidP="0043000B">
      <w:pPr>
        <w:pStyle w:val="Odstavecseseznamem"/>
        <w:numPr>
          <w:ilvl w:val="0"/>
          <w:numId w:val="37"/>
        </w:numPr>
        <w:spacing w:after="0"/>
      </w:pPr>
      <w:r>
        <w:t>Nastavit spolupráci s řídícími orgány tak, aby tato varianta byla připravována v úzké součinnosti s nimi a reflektovala výsledky jednotlivých ex</w:t>
      </w:r>
      <w:r w:rsidR="009C67E4">
        <w:t>-</w:t>
      </w:r>
      <w:r>
        <w:t>ante posouzení, a to zejména z hlediska typologie doporučovaných finančních nástrojů v těchto analýzách (struktury na národní úrovni by se tedy připravovaly pouze pro smysluplnou množinu nástrojů, nikoli pro celé široké portfolio, které následně nebude využito); - bez odkladu</w:t>
      </w:r>
    </w:p>
    <w:p w:rsidR="0043000B" w:rsidRDefault="00FD2993" w:rsidP="0043000B">
      <w:pPr>
        <w:pStyle w:val="Odstavecseseznamem"/>
        <w:numPr>
          <w:ilvl w:val="0"/>
          <w:numId w:val="37"/>
        </w:numPr>
        <w:spacing w:after="0"/>
      </w:pPr>
      <w:r>
        <w:t xml:space="preserve">Předložit finální návrh ke schválení vládě </w:t>
      </w:r>
      <w:r w:rsidR="000B045B">
        <w:t xml:space="preserve">- </w:t>
      </w:r>
      <w:r w:rsidR="007514FC">
        <w:t>září</w:t>
      </w:r>
      <w:r>
        <w:t xml:space="preserve"> 2015</w:t>
      </w:r>
    </w:p>
    <w:p w:rsidR="001A3B8A" w:rsidRDefault="005C7D3E" w:rsidP="00636988">
      <w:pPr>
        <w:spacing w:after="0"/>
      </w:pPr>
      <w:r>
        <w:t>Celá oblast kompetence za FF, dále vztah ŘO k prostředkům v IFN, jak bude fungovat předfinancování ze SR a další témata budou řešena až v rámci druhé fáze rozpracování konkrétní varianty.</w:t>
      </w:r>
    </w:p>
    <w:p w:rsidR="006C6BEC" w:rsidRDefault="00EA66DF" w:rsidP="0043000B">
      <w:pPr>
        <w:pStyle w:val="Nadpis2"/>
      </w:pPr>
      <w:bookmarkStart w:id="16" w:name="_Toc410115439"/>
      <w:r>
        <w:t>Legislativní změny</w:t>
      </w:r>
      <w:bookmarkEnd w:id="16"/>
    </w:p>
    <w:p w:rsidR="00EA66DF" w:rsidRDefault="00EA66DF" w:rsidP="00EA66DF">
      <w:r>
        <w:t>Legislativa ČR zatím s mechanizmy IFN příliš nepočítá. Předběžn</w:t>
      </w:r>
      <w:r w:rsidR="00C7634D">
        <w:t>ě</w:t>
      </w:r>
      <w:r>
        <w:t xml:space="preserve"> se dá konstatovat, že pro realizaci této varianty bude nutné vytvořit nový zákon o Českomoravské záruční a rozvojové bance (nebo jiný název). ČMZRB je v současné </w:t>
      </w:r>
      <w:r w:rsidR="008B0AE1">
        <w:t xml:space="preserve">době </w:t>
      </w:r>
      <w:r>
        <w:t>bankou s bankovní licenc</w:t>
      </w:r>
      <w:r w:rsidR="00077560">
        <w:t>í</w:t>
      </w:r>
      <w:r>
        <w:t xml:space="preserve"> dle zákona č</w:t>
      </w:r>
      <w:r w:rsidR="00615CA1">
        <w:t>. </w:t>
      </w:r>
      <w:r>
        <w:t xml:space="preserve">21/1992 Sb. o bankách a její činnost je upravena v zákoně 47/2002 o podpoře malého </w:t>
      </w:r>
      <w:r w:rsidR="00615CA1">
        <w:t>a </w:t>
      </w:r>
      <w:r>
        <w:t xml:space="preserve">středního podnikání. Aby tato banka mohla provádět činnosti </w:t>
      </w:r>
      <w:r w:rsidR="00E25C1F">
        <w:t>Fondu fondů</w:t>
      </w:r>
      <w:r>
        <w:t xml:space="preserve"> pro všechny řídící orgány v ČR a </w:t>
      </w:r>
      <w:r w:rsidR="000313B7">
        <w:t xml:space="preserve">zároveň </w:t>
      </w:r>
      <w:r>
        <w:t>nemusela být vybrána ve veřejném výběrovém řízení</w:t>
      </w:r>
      <w:r w:rsidR="000313B7">
        <w:t xml:space="preserve"> a</w:t>
      </w:r>
      <w:r>
        <w:t xml:space="preserve"> mohl</w:t>
      </w:r>
      <w:r w:rsidR="000313B7">
        <w:t>a</w:t>
      </w:r>
      <w:r>
        <w:t xml:space="preserve"> tuto činnost realizovat na základě přímého zmocnění, musí být toto zmocnění uvedeno v zákoně. Zákon </w:t>
      </w:r>
      <w:r w:rsidR="00615CA1">
        <w:t>o </w:t>
      </w:r>
      <w:r>
        <w:t xml:space="preserve">podpoře malého a středního podnikání dnes upravuje pouze část činností a aktivit řídících orgánů a proto se autoři analýzy </w:t>
      </w:r>
      <w:r w:rsidR="0043000B">
        <w:t>shledávají nutným</w:t>
      </w:r>
      <w:r>
        <w:t xml:space="preserve"> vytvoření nového zákona upravujícího činnost banky a to v návaznosti na nařízení EK v oblasti IFN v rámci ESIF.</w:t>
      </w:r>
    </w:p>
    <w:p w:rsidR="00EA66DF" w:rsidRDefault="00372EB7" w:rsidP="00EA66DF">
      <w:r>
        <w:lastRenderedPageBreak/>
        <w:t xml:space="preserve">V případě, že z diskuse s ŘO vyplyne, že stávající mechanizmus tj. poskytnutí dotace bance není z jejich pohledu akceptovatelná, další </w:t>
      </w:r>
      <w:r w:rsidR="00EA66DF">
        <w:t xml:space="preserve">nutnou změnou je </w:t>
      </w:r>
      <w:r>
        <w:t xml:space="preserve">pak </w:t>
      </w:r>
      <w:r w:rsidR="00EA66DF">
        <w:t>úprava zákon</w:t>
      </w:r>
      <w:r w:rsidR="00F16C2D">
        <w:t>a</w:t>
      </w:r>
      <w:r w:rsidR="00EA66DF">
        <w:t xml:space="preserve"> o rozpočtových pravidlech č. 218/2000 Sb. Tento zákon zatím institut IFN vůbec nezná a při současném znění není řada aplikací IFN v praxi vůbec možná, nebo pouze s určitým nerespektováním charakteristik IFN. Pro omezení rizik vyplývajících z toho, že se jedná o nakládání s prostředky rozpočtu EK</w:t>
      </w:r>
      <w:r w:rsidR="00493A76">
        <w:t>,</w:t>
      </w:r>
      <w:r w:rsidR="00EA66DF">
        <w:t xml:space="preserve"> by bylo vhodné nastavit režim IFN tak, aby nehrozilo nebezpečí budoucích korekcí z nesprávné implementace IFN v ČR.</w:t>
      </w:r>
    </w:p>
    <w:p w:rsidR="006C6BEC" w:rsidRDefault="00EA66DF">
      <w:r>
        <w:t>Dalším důležitým předpisem je chystaný zákon o státní pokladně. IFN se chovají odlišně než rozpočtové prostředky. Zároveň má povinně docházet k propojování veřejného ka</w:t>
      </w:r>
      <w:r w:rsidR="008B0AE1">
        <w:t>p</w:t>
      </w:r>
      <w:r>
        <w:t xml:space="preserve">itálu (ESIF) </w:t>
      </w:r>
      <w:r w:rsidR="00615CA1">
        <w:t>a </w:t>
      </w:r>
      <w:r>
        <w:t xml:space="preserve">soukromých finančních zdrojů. Je tedy nutné, aby znění zákona odráželo specifika IFN </w:t>
      </w:r>
      <w:r w:rsidR="00615CA1">
        <w:t>a </w:t>
      </w:r>
      <w:r>
        <w:t>umožnilo jejich aktivní fungování v ČR tak, aby ČR mohl využít tohoto potenciálu</w:t>
      </w:r>
      <w:r w:rsidR="00493A76">
        <w:t>,</w:t>
      </w:r>
      <w:r>
        <w:t xml:space="preserve"> a případě také dalších možností, jako je čerpání z Fondu strategických investic (J</w:t>
      </w:r>
      <w:r w:rsidR="008B0AE1">
        <w:t>u</w:t>
      </w:r>
      <w:r>
        <w:t>nckerův balíček).</w:t>
      </w:r>
    </w:p>
    <w:p w:rsidR="00AA7018" w:rsidRDefault="00AA7018" w:rsidP="00171265">
      <w:pPr>
        <w:pStyle w:val="Nadpis2"/>
      </w:pPr>
      <w:bookmarkStart w:id="17" w:name="_Toc410115440"/>
      <w:r>
        <w:t>Shrnutí</w:t>
      </w:r>
      <w:bookmarkEnd w:id="17"/>
    </w:p>
    <w:p w:rsidR="002521B2" w:rsidRDefault="00986EE0" w:rsidP="002668D0">
      <w:pPr>
        <w:spacing w:before="120"/>
      </w:pPr>
      <w:r w:rsidRPr="003C5724">
        <w:t xml:space="preserve">ČR má nyní unikátní šanci účelně využít část zdrojů EU, které díky svému revolvingovému charakteru mohou při úspěšné implementaci </w:t>
      </w:r>
      <w:r>
        <w:t>IFN</w:t>
      </w:r>
      <w:r w:rsidRPr="003C5724">
        <w:t xml:space="preserve"> zůstat na národní úrovni </w:t>
      </w:r>
      <w:r w:rsidR="00DF3C6D">
        <w:t xml:space="preserve">a být použity </w:t>
      </w:r>
      <w:r w:rsidRPr="003C5724">
        <w:t>k dalším investičním pobídkám do budoucna</w:t>
      </w:r>
      <w:r w:rsidR="00DF3C6D">
        <w:t>.</w:t>
      </w:r>
      <w:r>
        <w:t xml:space="preserve"> </w:t>
      </w:r>
      <w:r w:rsidR="00DF3C6D">
        <w:t>V</w:t>
      </w:r>
      <w:r w:rsidR="000C0B4C">
        <w:t xml:space="preserve">ytvořením vhodných investičních struktur a zapojením externích zdrojů </w:t>
      </w:r>
      <w:r w:rsidR="00DF3C6D">
        <w:t xml:space="preserve">mohou tyto zdroje </w:t>
      </w:r>
      <w:r w:rsidR="000C0B4C">
        <w:t xml:space="preserve">zvýšit celkovou disponibilní sumu prostředků pro investice do ekonomiky, </w:t>
      </w:r>
      <w:r w:rsidR="00DF3C6D">
        <w:t xml:space="preserve">mohou podpořit </w:t>
      </w:r>
      <w:r w:rsidR="000C0B4C">
        <w:t xml:space="preserve">hospodářský růst, tvorbu nových pracovních míst atd. Vzhledem k tlaku na </w:t>
      </w:r>
      <w:r>
        <w:t>schodky</w:t>
      </w:r>
      <w:r w:rsidR="000C0B4C">
        <w:t xml:space="preserve"> státního rozpočtu</w:t>
      </w:r>
      <w:r w:rsidR="00001061">
        <w:t>,</w:t>
      </w:r>
      <w:r w:rsidR="000C0B4C">
        <w:t xml:space="preserve"> ČR již nikdy n</w:t>
      </w:r>
      <w:r w:rsidR="0003594C">
        <w:t>ebude mít možnost jednorázově z</w:t>
      </w:r>
      <w:r w:rsidR="000C0B4C">
        <w:t>e státního rozpočtu</w:t>
      </w:r>
      <w:r w:rsidR="002668D0">
        <w:t xml:space="preserve"> uvolnit desítky </w:t>
      </w:r>
      <w:r w:rsidR="000C0B4C">
        <w:t>miliard Kč na založení vhodných</w:t>
      </w:r>
      <w:r w:rsidR="0003594C">
        <w:t xml:space="preserve"> investičních struktur. E</w:t>
      </w:r>
      <w:r w:rsidR="000C0B4C">
        <w:t>S</w:t>
      </w:r>
      <w:r w:rsidR="0003594C">
        <w:t>IF</w:t>
      </w:r>
      <w:r w:rsidR="000C0B4C">
        <w:t xml:space="preserve"> fondy </w:t>
      </w:r>
      <w:r w:rsidR="00615CA1">
        <w:t>a </w:t>
      </w:r>
      <w:r w:rsidR="000C0B4C">
        <w:t>IFN nabízí jednorázovou možnost jak použít mimorozpočtové zdroje jako kapitál</w:t>
      </w:r>
      <w:r w:rsidR="000C0B4C">
        <w:rPr>
          <w:rStyle w:val="Znakapoznpodarou"/>
        </w:rPr>
        <w:footnoteReference w:id="34"/>
      </w:r>
      <w:r w:rsidR="000C0B4C">
        <w:t xml:space="preserve"> a rozhýbat „spící“ bankovní dluhové zdroje a úspory domácností jejich zapojením do státem podporovaných aktivit a investic.</w:t>
      </w:r>
      <w:r w:rsidR="002668D0">
        <w:t xml:space="preserve"> </w:t>
      </w:r>
      <w:r w:rsidR="002521B2">
        <w:t>IFN</w:t>
      </w:r>
      <w:r w:rsidR="002521B2" w:rsidRPr="002C5EDB">
        <w:t xml:space="preserve"> mohou přinést nové peníze </w:t>
      </w:r>
      <w:r w:rsidR="002521B2">
        <w:t>do</w:t>
      </w:r>
      <w:r w:rsidR="002521B2" w:rsidRPr="002C5EDB">
        <w:t> </w:t>
      </w:r>
      <w:r w:rsidR="002521B2">
        <w:t>ekonomiky</w:t>
      </w:r>
      <w:r w:rsidR="002521B2" w:rsidRPr="002C5EDB">
        <w:t xml:space="preserve">. </w:t>
      </w:r>
      <w:r w:rsidR="002521B2">
        <w:t>Mohou r</w:t>
      </w:r>
      <w:r w:rsidR="002521B2" w:rsidRPr="002C5EDB">
        <w:t>ozhýbat</w:t>
      </w:r>
      <w:r w:rsidR="002521B2">
        <w:t xml:space="preserve"> a </w:t>
      </w:r>
      <w:r w:rsidR="0003594C">
        <w:t>podpořit růst</w:t>
      </w:r>
      <w:r w:rsidR="002521B2" w:rsidRPr="002C5EDB">
        <w:t xml:space="preserve"> hospodářství, </w:t>
      </w:r>
      <w:r w:rsidR="002521B2">
        <w:t>odblokovat peníze v</w:t>
      </w:r>
      <w:r w:rsidR="0003594C">
        <w:t> </w:t>
      </w:r>
      <w:r w:rsidR="002521B2">
        <w:t>bankách</w:t>
      </w:r>
      <w:r w:rsidR="0003594C">
        <w:t>, které se dnes do těchto aktivit nezapojují</w:t>
      </w:r>
      <w:r w:rsidR="002521B2">
        <w:t xml:space="preserve">. </w:t>
      </w:r>
      <w:r w:rsidR="008153D8">
        <w:t>Dále mohou p</w:t>
      </w:r>
      <w:r w:rsidR="0003594C">
        <w:t>odpořit investice do infrastruktury, dálnic, železnic</w:t>
      </w:r>
      <w:r w:rsidR="002521B2" w:rsidRPr="0021259C">
        <w:t xml:space="preserve">, </w:t>
      </w:r>
      <w:r w:rsidR="0003594C">
        <w:t>energetických úspor</w:t>
      </w:r>
      <w:r w:rsidR="002521B2">
        <w:t>, malé</w:t>
      </w:r>
      <w:r w:rsidR="0003594C">
        <w:t>ho</w:t>
      </w:r>
      <w:r w:rsidR="008153D8">
        <w:t xml:space="preserve"> </w:t>
      </w:r>
      <w:r w:rsidR="00615CA1">
        <w:t>a </w:t>
      </w:r>
      <w:r w:rsidR="002521B2">
        <w:t>střední</w:t>
      </w:r>
      <w:r w:rsidR="0003594C">
        <w:t>ho</w:t>
      </w:r>
      <w:r w:rsidR="002521B2">
        <w:t xml:space="preserve"> podnikání, sociální</w:t>
      </w:r>
      <w:r w:rsidR="0003594C">
        <w:t>ho</w:t>
      </w:r>
      <w:r w:rsidR="002521B2">
        <w:t xml:space="preserve"> podnikání a další</w:t>
      </w:r>
      <w:r w:rsidR="002668D0">
        <w:t>ch oblastí</w:t>
      </w:r>
      <w:r w:rsidR="002521B2">
        <w:t xml:space="preserve">. Jelikož hlavní subjekty rozdělující IFN mají být finanční instituce, </w:t>
      </w:r>
      <w:r w:rsidR="008153D8">
        <w:t xml:space="preserve">které </w:t>
      </w:r>
      <w:r w:rsidR="002521B2">
        <w:t>musí mít bankovní l</w:t>
      </w:r>
      <w:r w:rsidR="00EA2C3F">
        <w:t xml:space="preserve">icence, povolení a podléhají směrnicím EU </w:t>
      </w:r>
      <w:r w:rsidR="002521B2">
        <w:t xml:space="preserve">a dohledu ČNB, </w:t>
      </w:r>
      <w:r w:rsidR="00025050">
        <w:t>mělo by</w:t>
      </w:r>
      <w:r w:rsidR="002521B2">
        <w:t xml:space="preserve"> </w:t>
      </w:r>
      <w:r w:rsidR="008153D8">
        <w:t>dojít ke</w:t>
      </w:r>
      <w:r w:rsidR="002521B2">
        <w:t xml:space="preserve"> </w:t>
      </w:r>
      <w:r w:rsidR="008153D8">
        <w:t xml:space="preserve">snížení </w:t>
      </w:r>
      <w:r w:rsidR="002521B2">
        <w:t xml:space="preserve">korupce při čerpání fondů EU. </w:t>
      </w:r>
      <w:r w:rsidR="008153D8">
        <w:t>Navíc z</w:t>
      </w:r>
      <w:r w:rsidR="002521B2">
        <w:t xml:space="preserve">apojením </w:t>
      </w:r>
      <w:r w:rsidR="0003594C">
        <w:t xml:space="preserve">prostředků </w:t>
      </w:r>
      <w:r w:rsidR="002521B2">
        <w:t xml:space="preserve">soukromého sektoru </w:t>
      </w:r>
      <w:r w:rsidR="00025050">
        <w:t>by se měla z</w:t>
      </w:r>
      <w:r w:rsidR="002521B2">
        <w:t>rychlit příprava projektů</w:t>
      </w:r>
      <w:r w:rsidR="008153D8">
        <w:t>.</w:t>
      </w:r>
      <w:r w:rsidR="002521B2">
        <w:t xml:space="preserve"> </w:t>
      </w:r>
      <w:r w:rsidR="008153D8">
        <w:t>Toto</w:t>
      </w:r>
      <w:r w:rsidR="002521B2">
        <w:t xml:space="preserve"> vše </w:t>
      </w:r>
      <w:r w:rsidR="00025050">
        <w:t xml:space="preserve">by mělo </w:t>
      </w:r>
      <w:r w:rsidR="002521B2">
        <w:t xml:space="preserve">rozhýbat ekonomický růst a vytvořit </w:t>
      </w:r>
      <w:r w:rsidR="008153D8">
        <w:t xml:space="preserve">nová </w:t>
      </w:r>
      <w:r w:rsidR="002521B2">
        <w:t>pracovní místa v zemi.</w:t>
      </w:r>
    </w:p>
    <w:p w:rsidR="00716BE9" w:rsidRDefault="002521B2" w:rsidP="00716BE9">
      <w:r>
        <w:t>C</w:t>
      </w:r>
      <w:r w:rsidR="00AA7018">
        <w:t>elá tato analýza posoudila všechna možná řešení a navrhovaná varianta odpovídá současnému evropskému trendu i v jiných členských zemích EU a také současné makroekonomické situaci v EU, která vyžaduje rychlé a efektivní akce s cílem oživit společný hospodářský růst.</w:t>
      </w:r>
      <w:r w:rsidR="002668D0">
        <w:t xml:space="preserve"> </w:t>
      </w:r>
      <w:r w:rsidR="00AA7018">
        <w:t xml:space="preserve">Tato analýza není finálním návrhem všech </w:t>
      </w:r>
      <w:r w:rsidR="00787752">
        <w:t>mechanizm</w:t>
      </w:r>
      <w:r w:rsidR="00AA7018">
        <w:t>ů a vztahů zapojených subjektů. Je nezbytně nutné podrobné rozpracování</w:t>
      </w:r>
      <w:r w:rsidR="002668D0">
        <w:t xml:space="preserve"> do podoby konkrétního projektu, zpracovat </w:t>
      </w:r>
      <w:r w:rsidR="00AA7018">
        <w:t xml:space="preserve">právní posouzení, celkový rozpočet, vyhodnotit legislativní bariéry a také jednat o navrhovaném řešení s Evropskou komisí. </w:t>
      </w:r>
      <w:r w:rsidR="00716BE9">
        <w:t>Jako další úkol by mělo následovat rozpracování navrhované varianty do konkrétního projektu realizace a jeho opětovné předložení vládě ČR ke schválení.</w:t>
      </w:r>
    </w:p>
    <w:p w:rsidR="0012130B" w:rsidRDefault="00E0501C" w:rsidP="00171265">
      <w:pPr>
        <w:pStyle w:val="Nadpis1"/>
      </w:pPr>
      <w:bookmarkStart w:id="18" w:name="_Toc410115441"/>
      <w:r>
        <w:lastRenderedPageBreak/>
        <w:t>Iniciativy Evropské komise</w:t>
      </w:r>
      <w:bookmarkEnd w:id="18"/>
    </w:p>
    <w:p w:rsidR="00D6286A" w:rsidRPr="004E049D" w:rsidRDefault="00D6286A" w:rsidP="00171265">
      <w:pPr>
        <w:pStyle w:val="Nadpis2"/>
      </w:pPr>
      <w:bookmarkStart w:id="19" w:name="_Toc410115442"/>
      <w:r w:rsidRPr="004E049D">
        <w:t>Zelená kniha dlo</w:t>
      </w:r>
      <w:r w:rsidR="00D106C4">
        <w:t>u</w:t>
      </w:r>
      <w:r w:rsidRPr="004E049D">
        <w:t>hodobých investic</w:t>
      </w:r>
      <w:r w:rsidRPr="004E049D">
        <w:rPr>
          <w:rStyle w:val="Znakapoznpodarou"/>
        </w:rPr>
        <w:footnoteReference w:id="35"/>
      </w:r>
      <w:r w:rsidR="000C0B4C">
        <w:t xml:space="preserve"> a investiční fondy v EU</w:t>
      </w:r>
      <w:bookmarkEnd w:id="19"/>
    </w:p>
    <w:p w:rsidR="002521B2" w:rsidRDefault="002521B2" w:rsidP="00171265">
      <w:pPr>
        <w:pStyle w:val="Nadpis3"/>
        <w:rPr>
          <w:noProof/>
        </w:rPr>
      </w:pPr>
      <w:bookmarkStart w:id="20" w:name="_Toc410115443"/>
      <w:r>
        <w:rPr>
          <w:noProof/>
        </w:rPr>
        <w:t>Zelená kniha</w:t>
      </w:r>
      <w:bookmarkEnd w:id="20"/>
    </w:p>
    <w:p w:rsidR="00AA08FF" w:rsidRDefault="00D6286A" w:rsidP="00D6286A">
      <w:pPr>
        <w:rPr>
          <w:noProof/>
        </w:rPr>
      </w:pPr>
      <w:r w:rsidRPr="00EF6535">
        <w:rPr>
          <w:noProof/>
        </w:rPr>
        <w:t xml:space="preserve">Evropa v současnosti čelí naléhavé výzvě, kterou je vrátit </w:t>
      </w:r>
      <w:r w:rsidR="0018767D">
        <w:rPr>
          <w:noProof/>
        </w:rPr>
        <w:t>EU</w:t>
      </w:r>
      <w:r w:rsidRPr="00EF6535">
        <w:rPr>
          <w:noProof/>
        </w:rPr>
        <w:t xml:space="preserve"> zpět na cestu udržitelného růstu podporujícího začlenění a vytvářejícího pracovní místa, a sice tím, že bude stavět na svých konkurenčních výhodách</w:t>
      </w:r>
      <w:r w:rsidR="004207F7">
        <w:rPr>
          <w:noProof/>
        </w:rPr>
        <w:t>,</w:t>
      </w:r>
      <w:r w:rsidRPr="00EF6535">
        <w:rPr>
          <w:noProof/>
        </w:rPr>
        <w:t xml:space="preserve"> a zvyšovat tak svou konkurenceschopnost na světovém trhu</w:t>
      </w:r>
      <w:r w:rsidR="00AA08FF">
        <w:rPr>
          <w:noProof/>
        </w:rPr>
        <w:t>.</w:t>
      </w:r>
    </w:p>
    <w:p w:rsidR="00D6286A" w:rsidRPr="00EF6535" w:rsidRDefault="00D6286A" w:rsidP="00D6286A">
      <w:pPr>
        <w:rPr>
          <w:noProof/>
        </w:rPr>
      </w:pPr>
      <w:r w:rsidRPr="00EF6535">
        <w:rPr>
          <w:noProof/>
        </w:rPr>
        <w:t>Aby tento úkol Evropa splnila, bude se muset vypořádat s potřebou rozsáhlých a dlouhodobých investic v souladu s prioritami strategie Evropa 2020</w:t>
      </w:r>
      <w:r w:rsidRPr="00FB7FD8">
        <w:rPr>
          <w:rStyle w:val="Znakapoznpodarou"/>
          <w:bCs/>
          <w:noProof/>
          <w:szCs w:val="24"/>
        </w:rPr>
        <w:footnoteReference w:id="36"/>
      </w:r>
      <w:r w:rsidRPr="00EF6535">
        <w:rPr>
          <w:noProof/>
        </w:rPr>
        <w:t>, aktualizací průmyslové politiky z roku 2012</w:t>
      </w:r>
      <w:r w:rsidRPr="00FB7FD8">
        <w:rPr>
          <w:rStyle w:val="Znakapoznpodarou"/>
          <w:bCs/>
          <w:noProof/>
          <w:szCs w:val="24"/>
        </w:rPr>
        <w:footnoteReference w:id="37"/>
      </w:r>
      <w:r w:rsidRPr="00EF6535">
        <w:rPr>
          <w:noProof/>
        </w:rPr>
        <w:t>, iniciativou Unie inovací</w:t>
      </w:r>
      <w:r w:rsidRPr="00FB7FD8">
        <w:rPr>
          <w:rStyle w:val="Znakapoznpodarou"/>
          <w:bCs/>
          <w:noProof/>
          <w:szCs w:val="24"/>
        </w:rPr>
        <w:footnoteReference w:id="38"/>
      </w:r>
      <w:r w:rsidRPr="00EF6535">
        <w:rPr>
          <w:noProof/>
        </w:rPr>
        <w:t xml:space="preserve"> a nástrojem pro propojení Evropy</w:t>
      </w:r>
      <w:r w:rsidRPr="00FB7FD8">
        <w:rPr>
          <w:rStyle w:val="Znakapoznpodarou"/>
          <w:bCs/>
          <w:noProof/>
          <w:szCs w:val="24"/>
        </w:rPr>
        <w:footnoteReference w:id="39"/>
      </w:r>
      <w:r w:rsidRPr="00EF6535">
        <w:rPr>
          <w:noProof/>
        </w:rPr>
        <w:t xml:space="preserve">. Dlouhodobé investice vytvářejí dlouhodobý kapitál, který zahrnuje hmotná aktiva (jako jsou energetická, dopravní </w:t>
      </w:r>
      <w:r w:rsidR="002E746D" w:rsidRPr="00EF6535">
        <w:rPr>
          <w:noProof/>
        </w:rPr>
        <w:t>a</w:t>
      </w:r>
      <w:r w:rsidR="002E746D">
        <w:rPr>
          <w:noProof/>
        </w:rPr>
        <w:t> </w:t>
      </w:r>
      <w:r w:rsidRPr="00EF6535">
        <w:rPr>
          <w:noProof/>
        </w:rPr>
        <w:t xml:space="preserve">komunikační infrastruktura, průmyslová a obslužná zařízení, bytová výstavba a technologie </w:t>
      </w:r>
      <w:r w:rsidR="002E746D" w:rsidRPr="00EF6535">
        <w:rPr>
          <w:noProof/>
        </w:rPr>
        <w:t>v</w:t>
      </w:r>
      <w:r w:rsidR="002E746D">
        <w:rPr>
          <w:noProof/>
        </w:rPr>
        <w:t> </w:t>
      </w:r>
      <w:r w:rsidRPr="00EF6535">
        <w:rPr>
          <w:noProof/>
        </w:rPr>
        <w:t xml:space="preserve">oblasti změny klimatu a ekologických inovací) a nehmotná aktiva (jako </w:t>
      </w:r>
      <w:r w:rsidR="00210E03" w:rsidRPr="00EF6535">
        <w:rPr>
          <w:noProof/>
        </w:rPr>
        <w:t>j</w:t>
      </w:r>
      <w:r w:rsidR="00210E03">
        <w:rPr>
          <w:noProof/>
        </w:rPr>
        <w:t>sou výsledky</w:t>
      </w:r>
      <w:r w:rsidR="00210E03" w:rsidRPr="00EF6535">
        <w:rPr>
          <w:noProof/>
        </w:rPr>
        <w:t xml:space="preserve"> </w:t>
      </w:r>
      <w:r w:rsidRPr="00EF6535">
        <w:rPr>
          <w:noProof/>
        </w:rPr>
        <w:t>vzdělávání a výzkum</w:t>
      </w:r>
      <w:r w:rsidR="00210E03">
        <w:rPr>
          <w:noProof/>
        </w:rPr>
        <w:t>u</w:t>
      </w:r>
      <w:r w:rsidRPr="00EF6535">
        <w:rPr>
          <w:noProof/>
        </w:rPr>
        <w:t xml:space="preserve"> a vývoj</w:t>
      </w:r>
      <w:r w:rsidR="00210E03">
        <w:rPr>
          <w:noProof/>
        </w:rPr>
        <w:t>e</w:t>
      </w:r>
      <w:r w:rsidRPr="00EF6535">
        <w:rPr>
          <w:noProof/>
        </w:rPr>
        <w:t xml:space="preserve">), která podporují inovace a konkurenceschopnost. Mnohé </w:t>
      </w:r>
      <w:r w:rsidR="002E746D" w:rsidRPr="00EF6535">
        <w:rPr>
          <w:noProof/>
        </w:rPr>
        <w:t>z</w:t>
      </w:r>
      <w:r w:rsidR="002E746D">
        <w:rPr>
          <w:noProof/>
        </w:rPr>
        <w:t> </w:t>
      </w:r>
      <w:r w:rsidRPr="00EF6535">
        <w:rPr>
          <w:noProof/>
        </w:rPr>
        <w:t>těchto investic jsou přínosem i pro širší veřejnost, neboť podporují základní služby a zlepšují životní úroveň</w:t>
      </w:r>
      <w:r w:rsidR="00B8120E">
        <w:rPr>
          <w:noProof/>
        </w:rPr>
        <w:t>,</w:t>
      </w:r>
      <w:r w:rsidRPr="00EF6535">
        <w:rPr>
          <w:noProof/>
        </w:rPr>
        <w:t xml:space="preserve"> a tím generují větší návratnost pro společnost jako celek. Jejich dopad může být vidět i v krátkodobém horizontu. </w:t>
      </w:r>
      <w:r w:rsidR="00A34E8D">
        <w:rPr>
          <w:noProof/>
        </w:rPr>
        <w:t>Investice zvyšují výrobní a průmyslový potenciál ekonomiky</w:t>
      </w:r>
      <w:r w:rsidRPr="00EF6535">
        <w:rPr>
          <w:noProof/>
        </w:rPr>
        <w:t>, reagují na nové hospodářské, sociální</w:t>
      </w:r>
      <w:r w:rsidRPr="00FB7FD8">
        <w:rPr>
          <w:rStyle w:val="Znakapoznpodarou"/>
          <w:bCs/>
          <w:noProof/>
          <w:szCs w:val="24"/>
        </w:rPr>
        <w:footnoteReference w:id="40"/>
      </w:r>
      <w:r w:rsidRPr="00EF6535">
        <w:rPr>
          <w:noProof/>
        </w:rPr>
        <w:t xml:space="preserve"> a environmentální výzvy</w:t>
      </w:r>
      <w:r w:rsidR="00A34E8D">
        <w:rPr>
          <w:noProof/>
        </w:rPr>
        <w:t xml:space="preserve"> a</w:t>
      </w:r>
      <w:r w:rsidRPr="00EF6535">
        <w:rPr>
          <w:noProof/>
        </w:rPr>
        <w:t xml:space="preserve"> usnadňují přechod k udržitelnějšímu hospodářství. Nutnost udržitelného růstu potvrzují i trendy v oblasti změny klimatu a vyčerpávání přírodních zdrojů, jež volají po dalších dlouhodobých investicích </w:t>
      </w:r>
      <w:r w:rsidR="002E746D" w:rsidRPr="00EF6535">
        <w:rPr>
          <w:noProof/>
        </w:rPr>
        <w:t>do</w:t>
      </w:r>
      <w:r w:rsidR="002E746D">
        <w:rPr>
          <w:noProof/>
        </w:rPr>
        <w:t> </w:t>
      </w:r>
      <w:r w:rsidRPr="00EF6535">
        <w:rPr>
          <w:noProof/>
        </w:rPr>
        <w:t>nízkouhlíkové energie, energetické účinnosti a účinného využívání.</w:t>
      </w:r>
    </w:p>
    <w:p w:rsidR="00AA08FF" w:rsidRDefault="00D6286A" w:rsidP="00D6286A">
      <w:pPr>
        <w:rPr>
          <w:noProof/>
        </w:rPr>
      </w:pPr>
      <w:r w:rsidRPr="00EF6535">
        <w:rPr>
          <w:noProof/>
        </w:rPr>
        <w:t>Aby byly vlády a podniky všech velikostí schopny tyto dlouhodobé investice financovat, potřebují přístup k předvídatelným dlouhodobým zdrojům financování. Schopnost ekonomiky zajistit, aby bylo takové dlouhodobé financování dostupné, závisí na schopnosti finančního systému prostřednictvím otevřených a konkurenceschopných trhů efektivně a účinně směrovat úspory vlád, podniků a domácností ke správným příjemcům a účelům. To lze provést pomocí různých zprostředkovatelů (např. bank, pojišťoven a penzijních fondů</w:t>
      </w:r>
      <w:r w:rsidR="009145BB">
        <w:rPr>
          <w:noProof/>
        </w:rPr>
        <w:t>, investičních fondů</w:t>
      </w:r>
      <w:r w:rsidRPr="00EF6535">
        <w:rPr>
          <w:noProof/>
        </w:rPr>
        <w:t xml:space="preserve">) </w:t>
      </w:r>
      <w:r w:rsidR="002E746D" w:rsidRPr="00EF6535">
        <w:rPr>
          <w:noProof/>
        </w:rPr>
        <w:t>a</w:t>
      </w:r>
      <w:r w:rsidR="002E746D">
        <w:rPr>
          <w:noProof/>
        </w:rPr>
        <w:t> </w:t>
      </w:r>
      <w:r w:rsidRPr="00EF6535">
        <w:rPr>
          <w:noProof/>
        </w:rPr>
        <w:t>přímého přístupu na kapitálové trhy.</w:t>
      </w:r>
      <w:r>
        <w:rPr>
          <w:noProof/>
        </w:rPr>
        <w:t xml:space="preserve"> </w:t>
      </w:r>
      <w:r w:rsidRPr="00EF6535">
        <w:rPr>
          <w:noProof/>
        </w:rPr>
        <w:t xml:space="preserve">Předpokladem pro poskytování dlouhodobého financování s přiměřenými náklady je, že ekonomika vytváří a přitahuje úspory. Vládní politiky k tomu mohou přispět vytvářením </w:t>
      </w:r>
      <w:r w:rsidR="00EE3123">
        <w:rPr>
          <w:noProof/>
        </w:rPr>
        <w:t>účinné</w:t>
      </w:r>
      <w:r w:rsidRPr="00EF6535">
        <w:rPr>
          <w:noProof/>
        </w:rPr>
        <w:t xml:space="preserve"> fiskální politiky, </w:t>
      </w:r>
      <w:r w:rsidR="00EE3123">
        <w:rPr>
          <w:noProof/>
        </w:rPr>
        <w:t>efektivních</w:t>
      </w:r>
      <w:r w:rsidRPr="00EF6535">
        <w:rPr>
          <w:noProof/>
        </w:rPr>
        <w:t xml:space="preserve"> daňových systémů a příznivého podnikatelského prostředí, které zvyšují atraktivitu ekonomiky pro investory, včetně těch zahraničních</w:t>
      </w:r>
      <w:r w:rsidR="00AA08FF">
        <w:rPr>
          <w:noProof/>
        </w:rPr>
        <w:t>.</w:t>
      </w:r>
    </w:p>
    <w:p w:rsidR="002521B2" w:rsidRDefault="002521B2" w:rsidP="00171265">
      <w:pPr>
        <w:pStyle w:val="Nadpis3"/>
        <w:rPr>
          <w:noProof/>
        </w:rPr>
      </w:pPr>
      <w:bookmarkStart w:id="21" w:name="_Toc410115444"/>
      <w:r>
        <w:rPr>
          <w:noProof/>
        </w:rPr>
        <w:t>AIFMD</w:t>
      </w:r>
      <w:bookmarkEnd w:id="21"/>
    </w:p>
    <w:p w:rsidR="00AA08FF" w:rsidRDefault="000C0B4C" w:rsidP="002521B2">
      <w:pPr>
        <w:rPr>
          <w:noProof/>
        </w:rPr>
      </w:pPr>
      <w:r>
        <w:rPr>
          <w:noProof/>
        </w:rPr>
        <w:t xml:space="preserve">Směrnice AIFMD představuje významný krok směrem k vytvoření jednotného trhu v odvětví fondového investování na základě principu „evropského pasu“. Následkem zavedení evropského pasu pro správce alternativních investičních fondů může být zvýšení konkurence a efektivity, pokud směrnice nezpůsobí nepřiměřené administrativní náklady (zejména náklady </w:t>
      </w:r>
      <w:r w:rsidR="002E746D">
        <w:rPr>
          <w:noProof/>
        </w:rPr>
        <w:t>na </w:t>
      </w:r>
      <w:r>
        <w:rPr>
          <w:noProof/>
        </w:rPr>
        <w:t>„compliance“). Zvýšení efektivity pak může vést k vyšším výnosům pro investory a potažmo ke zvětšení trhu</w:t>
      </w:r>
      <w:r w:rsidR="00AA08FF">
        <w:rPr>
          <w:noProof/>
        </w:rPr>
        <w:t>.</w:t>
      </w:r>
    </w:p>
    <w:p w:rsidR="000C0B4C" w:rsidRDefault="000C0B4C" w:rsidP="000C0B4C">
      <w:pPr>
        <w:rPr>
          <w:noProof/>
        </w:rPr>
      </w:pPr>
      <w:r>
        <w:rPr>
          <w:noProof/>
        </w:rPr>
        <w:lastRenderedPageBreak/>
        <w:t xml:space="preserve">Druhým významným předpokládaným efektem směrnice AIFMD je, že vytváří tlak na fondy </w:t>
      </w:r>
      <w:r w:rsidR="002E746D">
        <w:rPr>
          <w:noProof/>
        </w:rPr>
        <w:t>se </w:t>
      </w:r>
      <w:r>
        <w:rPr>
          <w:noProof/>
        </w:rPr>
        <w:t xml:space="preserve">sídlem mimo EU a jejich správce, aby přesídlili do EU. Britský orgán dohledu na finančních trzích (FSA) ve své studii dopadů (RIA) zpracované k návrhu směrnice AIFMD z roku 2009 dospěl k závěru, že velká část alternativních fondů se sídlem mimo EU přestane </w:t>
      </w:r>
      <w:r w:rsidR="002521B2">
        <w:rPr>
          <w:noProof/>
        </w:rPr>
        <w:t>být v EU nabízena.</w:t>
      </w:r>
    </w:p>
    <w:p w:rsidR="002521B2" w:rsidRDefault="002521B2" w:rsidP="00171265">
      <w:pPr>
        <w:pStyle w:val="Nadpis3"/>
        <w:rPr>
          <w:noProof/>
        </w:rPr>
      </w:pPr>
      <w:bookmarkStart w:id="22" w:name="_Toc410115445"/>
      <w:r>
        <w:rPr>
          <w:noProof/>
        </w:rPr>
        <w:t xml:space="preserve">Využití </w:t>
      </w:r>
      <w:r w:rsidR="00AA08FF">
        <w:rPr>
          <w:noProof/>
        </w:rPr>
        <w:t xml:space="preserve">investičních </w:t>
      </w:r>
      <w:r>
        <w:rPr>
          <w:noProof/>
        </w:rPr>
        <w:t>fondů jako nástrojů pro propojování kapitálu a investic</w:t>
      </w:r>
      <w:r>
        <w:rPr>
          <w:rStyle w:val="Znakapoznpodarou"/>
          <w:noProof/>
        </w:rPr>
        <w:footnoteReference w:id="41"/>
      </w:r>
      <w:bookmarkEnd w:id="22"/>
    </w:p>
    <w:p w:rsidR="000C0B4C" w:rsidRDefault="000C0B4C" w:rsidP="002521B2">
      <w:pPr>
        <w:rPr>
          <w:noProof/>
        </w:rPr>
      </w:pPr>
      <w:r>
        <w:rPr>
          <w:noProof/>
        </w:rPr>
        <w:t xml:space="preserve">Hlavním důvodem </w:t>
      </w:r>
      <w:r w:rsidR="00025050">
        <w:rPr>
          <w:noProof/>
        </w:rPr>
        <w:t xml:space="preserve">zapojení investičních fondů </w:t>
      </w:r>
      <w:r>
        <w:rPr>
          <w:noProof/>
        </w:rPr>
        <w:t xml:space="preserve">je, že systém (trh) investování na kolektivním principu v sobě velmi účinně snoubí prvek diversifikace rizika investora s profesionalitou obhospodařování jeho investice. Investor nemusí disponovat zvláštními znalostmi o investování. Na investorovi zůstává zásadně startovní úvaha o jeho investiční strategii, jinými slovy zvážit, </w:t>
      </w:r>
      <w:r w:rsidR="002E746D">
        <w:rPr>
          <w:noProof/>
        </w:rPr>
        <w:t>do </w:t>
      </w:r>
      <w:r>
        <w:rPr>
          <w:noProof/>
        </w:rPr>
        <w:t>jakého investičního fondu peněžní prostředky vloží. Další rozhodnutí ohledně vložených peněžních prostředků a realizovaných investic provádí obhospodařovatel (správce) investičního fondu, od nějž právní úprava vyžaduje patřičné odborné a technické zázemí. Současně</w:t>
      </w:r>
      <w:r w:rsidR="002521B2">
        <w:rPr>
          <w:noProof/>
        </w:rPr>
        <w:t xml:space="preserve"> </w:t>
      </w:r>
      <w:r>
        <w:rPr>
          <w:noProof/>
        </w:rPr>
        <w:t>má investiční fond ve svém majetku rozmanité druhy cenných papírů a jiných majetkových hodnot</w:t>
      </w:r>
      <w:r w:rsidR="008A7BB0">
        <w:rPr>
          <w:noProof/>
        </w:rPr>
        <w:t>,</w:t>
      </w:r>
      <w:r>
        <w:rPr>
          <w:noProof/>
        </w:rPr>
        <w:t xml:space="preserve"> </w:t>
      </w:r>
      <w:r w:rsidR="002E746D">
        <w:rPr>
          <w:noProof/>
        </w:rPr>
        <w:t>a </w:t>
      </w:r>
      <w:r>
        <w:rPr>
          <w:noProof/>
        </w:rPr>
        <w:t>může tak dosahovat požadované úrovně rozložení investorského rizika. V</w:t>
      </w:r>
      <w:r w:rsidR="002521B2">
        <w:rPr>
          <w:noProof/>
        </w:rPr>
        <w:t> </w:t>
      </w:r>
      <w:r>
        <w:rPr>
          <w:noProof/>
        </w:rPr>
        <w:t>případě</w:t>
      </w:r>
      <w:r w:rsidR="002521B2">
        <w:rPr>
          <w:noProof/>
        </w:rPr>
        <w:t xml:space="preserve"> </w:t>
      </w:r>
      <w:r>
        <w:rPr>
          <w:noProof/>
        </w:rPr>
        <w:t xml:space="preserve">kvalifikovaných investorů pak bývá zájem o silnější ingerenci do realizace investiční strategie. Trh investování na kolektivním principu tudíž v národním hospodářství plní důležitou úlohu „převodového </w:t>
      </w:r>
      <w:r w:rsidR="00787752">
        <w:rPr>
          <w:noProof/>
        </w:rPr>
        <w:t>mechanizm</w:t>
      </w:r>
      <w:r>
        <w:rPr>
          <w:noProof/>
        </w:rPr>
        <w:t>u“ mezi subjekty, které nabízejí volné peněžní prostředky, a těmi, které tyto prostředky poptávají, s tím, že v důsledku velkých objemů obchodů, které fondy kolektivního investování při plnění své investiční strategie realizují, snižují investorům významně transakční náklady. Funkční trh kolektivního investování současně přispívá k tvorbě pracovních míst a vyššího výnosu z daní z příjmu právnických osob jako českých daňových rezidentů.</w:t>
      </w:r>
    </w:p>
    <w:p w:rsidR="000C0B4C" w:rsidRDefault="00EA2C3F" w:rsidP="00171265">
      <w:pPr>
        <w:pStyle w:val="Nadpis2"/>
      </w:pPr>
      <w:bookmarkStart w:id="23" w:name="_Toc410115446"/>
      <w:r>
        <w:t>Inovativní finanční nástroje a jejich funkce</w:t>
      </w:r>
      <w:r w:rsidR="00F017A3" w:rsidRPr="00AA7018">
        <w:rPr>
          <w:rStyle w:val="Znakapoznpodarou"/>
        </w:rPr>
        <w:footnoteReference w:id="42"/>
      </w:r>
      <w:bookmarkEnd w:id="23"/>
    </w:p>
    <w:p w:rsidR="00C10166" w:rsidRPr="00C10166" w:rsidRDefault="00AD4C0A" w:rsidP="00171265">
      <w:pPr>
        <w:pStyle w:val="Nadpis3"/>
      </w:pPr>
      <w:bookmarkStart w:id="24" w:name="_Toc410115447"/>
      <w:r w:rsidRPr="0089495C">
        <w:t>Makroekonomická</w:t>
      </w:r>
      <w:r>
        <w:t xml:space="preserve"> </w:t>
      </w:r>
      <w:r w:rsidR="00C10166">
        <w:t>východiska inovativních finančních nástrojů</w:t>
      </w:r>
      <w:bookmarkEnd w:id="24"/>
    </w:p>
    <w:p w:rsidR="00AA08FF" w:rsidRDefault="00420428" w:rsidP="0049720A">
      <w:pPr>
        <w:pStyle w:val="Odskoknadpis4"/>
      </w:pPr>
      <w:r>
        <w:t>IFN</w:t>
      </w:r>
      <w:r w:rsidR="00F81AE5">
        <w:t xml:space="preserve"> by měly hrát stále důležitější roli v rozpočtu EU </w:t>
      </w:r>
      <w:r w:rsidR="00185DE4">
        <w:t>a výdajích</w:t>
      </w:r>
      <w:r w:rsidR="00F81AE5">
        <w:t xml:space="preserve"> </w:t>
      </w:r>
      <w:r w:rsidR="00185DE4">
        <w:t xml:space="preserve">víceletého finančního rámce </w:t>
      </w:r>
      <w:r w:rsidR="00F81AE5">
        <w:t>2014</w:t>
      </w:r>
      <w:r w:rsidR="00E1175E">
        <w:t xml:space="preserve"> </w:t>
      </w:r>
      <w:r w:rsidR="00F81AE5">
        <w:t>-</w:t>
      </w:r>
      <w:r w:rsidR="00E1175E">
        <w:t xml:space="preserve"> </w:t>
      </w:r>
      <w:r w:rsidR="00F81AE5">
        <w:t>2020 (</w:t>
      </w:r>
      <w:r w:rsidR="00210E03">
        <w:t>„</w:t>
      </w:r>
      <w:r w:rsidR="00F81AE5">
        <w:t>VFR</w:t>
      </w:r>
      <w:r w:rsidR="00210E03">
        <w:t>“</w:t>
      </w:r>
      <w:r w:rsidR="00F81AE5">
        <w:t xml:space="preserve">). Cílem </w:t>
      </w:r>
      <w:r w:rsidR="009145BB">
        <w:t>EK</w:t>
      </w:r>
      <w:r w:rsidR="00F81AE5">
        <w:t xml:space="preserve"> je vytvořit </w:t>
      </w:r>
      <w:r w:rsidR="00A56B56">
        <w:t>IFN</w:t>
      </w:r>
      <w:r w:rsidR="00F81AE5">
        <w:t xml:space="preserve">, které sledují </w:t>
      </w:r>
      <w:r w:rsidR="009145BB">
        <w:t>cíle</w:t>
      </w:r>
      <w:r w:rsidR="00F81AE5">
        <w:t xml:space="preserve"> strategie Evropa 2020 pro udržitelný růst podporující </w:t>
      </w:r>
      <w:r w:rsidR="00F81AE5" w:rsidRPr="00185DE4">
        <w:t>začlenění v</w:t>
      </w:r>
      <w:r w:rsidR="00185DE4" w:rsidRPr="00185DE4">
        <w:t>e formě</w:t>
      </w:r>
      <w:r w:rsidR="00F81AE5" w:rsidRPr="00185DE4">
        <w:t xml:space="preserve"> vysoce </w:t>
      </w:r>
      <w:r w:rsidR="00185DE4" w:rsidRPr="00185DE4">
        <w:t>účinného</w:t>
      </w:r>
      <w:r w:rsidR="00F81AE5" w:rsidRPr="00185DE4">
        <w:t xml:space="preserve"> a efektivní</w:t>
      </w:r>
      <w:r w:rsidR="00185DE4" w:rsidRPr="00185DE4">
        <w:t>ho</w:t>
      </w:r>
      <w:r w:rsidR="00F81AE5" w:rsidRPr="00185DE4">
        <w:t xml:space="preserve"> způsob</w:t>
      </w:r>
      <w:r w:rsidR="009145BB" w:rsidRPr="00185DE4">
        <w:t>u</w:t>
      </w:r>
      <w:r w:rsidR="00185DE4" w:rsidRPr="00185DE4">
        <w:t>, založeného</w:t>
      </w:r>
      <w:r w:rsidR="00F81AE5" w:rsidRPr="00185DE4">
        <w:t xml:space="preserve"> na </w:t>
      </w:r>
      <w:r w:rsidR="00185DE4" w:rsidRPr="00185DE4">
        <w:t>zkušenostech</w:t>
      </w:r>
      <w:r w:rsidR="00F81AE5" w:rsidRPr="00185DE4">
        <w:t xml:space="preserve"> </w:t>
      </w:r>
      <w:r w:rsidR="00185DE4" w:rsidRPr="00185DE4">
        <w:t>získaných</w:t>
      </w:r>
      <w:r w:rsidR="00F81AE5" w:rsidRPr="00185DE4">
        <w:t xml:space="preserve"> </w:t>
      </w:r>
      <w:r w:rsidR="00185DE4">
        <w:t>v uplynulých letech</w:t>
      </w:r>
      <w:r w:rsidR="00AA08FF">
        <w:t>.</w:t>
      </w:r>
    </w:p>
    <w:p w:rsidR="00AA08FF" w:rsidRDefault="009145BB" w:rsidP="0049720A">
      <w:pPr>
        <w:pStyle w:val="Odskoknadpis4"/>
      </w:pPr>
      <w:r>
        <w:t>Je zřejmé, že n</w:t>
      </w:r>
      <w:r w:rsidR="00F81AE5">
        <w:t>ěkteré z dopadů hospodářské a finanční krize</w:t>
      </w:r>
      <w:r>
        <w:t xml:space="preserve"> postihnou</w:t>
      </w:r>
      <w:r w:rsidR="00F81AE5">
        <w:t xml:space="preserve"> </w:t>
      </w:r>
      <w:r>
        <w:t>i</w:t>
      </w:r>
      <w:r w:rsidR="00F81AE5">
        <w:t xml:space="preserve"> první </w:t>
      </w:r>
      <w:r>
        <w:t>roky</w:t>
      </w:r>
      <w:r w:rsidR="00F81AE5">
        <w:t xml:space="preserve"> </w:t>
      </w:r>
      <w:r w:rsidR="00AA7018">
        <w:t xml:space="preserve">aktuálního </w:t>
      </w:r>
      <w:r w:rsidR="00420428">
        <w:t>VFR</w:t>
      </w:r>
      <w:r w:rsidR="00210E03">
        <w:t xml:space="preserve"> </w:t>
      </w:r>
      <w:r w:rsidR="00F81AE5">
        <w:t xml:space="preserve">a </w:t>
      </w:r>
      <w:r>
        <w:t>budou mít dopad</w:t>
      </w:r>
      <w:r w:rsidR="00F81AE5">
        <w:t xml:space="preserve"> na fungování finančních trhů v nadcházejících letech. Opatření fiskální konsolidace budou nadále snižovat kapacitu pro národní veřejné </w:t>
      </w:r>
      <w:r>
        <w:t>investice</w:t>
      </w:r>
      <w:r w:rsidR="00F83F2F">
        <w:t>,</w:t>
      </w:r>
      <w:r>
        <w:t xml:space="preserve"> a to </w:t>
      </w:r>
      <w:r w:rsidR="00F81AE5">
        <w:t>ve stejnou dobu jako strukturální změny v regulaci finančních institucí</w:t>
      </w:r>
      <w:r>
        <w:t>. To může ovlivnit</w:t>
      </w:r>
      <w:r w:rsidR="00F81AE5">
        <w:t xml:space="preserve"> </w:t>
      </w:r>
      <w:r>
        <w:t>chuť</w:t>
      </w:r>
      <w:r w:rsidR="00F81AE5">
        <w:t xml:space="preserve"> </w:t>
      </w:r>
      <w:r w:rsidR="00FA750C">
        <w:t>těchto</w:t>
      </w:r>
      <w:r w:rsidR="00F81AE5">
        <w:t xml:space="preserve"> </w:t>
      </w:r>
      <w:r>
        <w:t xml:space="preserve">finančních </w:t>
      </w:r>
      <w:r w:rsidR="00F81AE5">
        <w:t xml:space="preserve">institucí </w:t>
      </w:r>
      <w:r>
        <w:t>podílet se na financ</w:t>
      </w:r>
      <w:r w:rsidR="00973E15">
        <w:t>ování určitých tříd aktiv a typů</w:t>
      </w:r>
      <w:r w:rsidR="00F81AE5">
        <w:t xml:space="preserve"> rizik</w:t>
      </w:r>
      <w:r w:rsidR="0008297F">
        <w:rPr>
          <w:rStyle w:val="Znakapoznpodarou"/>
        </w:rPr>
        <w:footnoteReference w:id="43"/>
      </w:r>
      <w:r w:rsidR="00AA08FF">
        <w:t>.</w:t>
      </w:r>
    </w:p>
    <w:p w:rsidR="007862C1" w:rsidRDefault="00317FF9" w:rsidP="0049720A">
      <w:pPr>
        <w:pStyle w:val="Odskoknadpis4"/>
      </w:pPr>
      <w:r w:rsidRPr="0089495C">
        <w:t xml:space="preserve">Tento stav je ještě markantnější v ČR, kdy bankovní sektor sice nebyl dotčen finanční krizí tak jako okolní země, ale je významně orientován na sektor domácností (úvěry poskytnuté domácnostem dle statistik ČNB činily v srpnu 2014 1,2 bilionu Kč a z toho úvěry na bydlení </w:t>
      </w:r>
      <w:r w:rsidR="002E746D" w:rsidRPr="0089495C">
        <w:t>880</w:t>
      </w:r>
      <w:r w:rsidR="002E746D">
        <w:t> </w:t>
      </w:r>
      <w:r w:rsidR="000D59AC">
        <w:rPr>
          <w:lang w:eastAsia="cs-CZ"/>
        </w:rPr>
        <w:t xml:space="preserve">mld. </w:t>
      </w:r>
      <w:r w:rsidRPr="0089495C">
        <w:t>Kč; oproti tomu úvěry rezident</w:t>
      </w:r>
      <w:r w:rsidR="00AA7018">
        <w:t xml:space="preserve">ským </w:t>
      </w:r>
      <w:r w:rsidR="005E31D9" w:rsidRPr="0089495C">
        <w:t>nefinančním podnikům činily za stejné období 852</w:t>
      </w:r>
      <w:r w:rsidR="002E746D">
        <w:t> </w:t>
      </w:r>
      <w:r w:rsidR="000D59AC">
        <w:rPr>
          <w:lang w:eastAsia="cs-CZ"/>
        </w:rPr>
        <w:t xml:space="preserve">mld. </w:t>
      </w:r>
      <w:r w:rsidR="005E31D9" w:rsidRPr="0089495C">
        <w:t>Kč</w:t>
      </w:r>
      <w:r w:rsidR="00E1175E">
        <w:t>,</w:t>
      </w:r>
      <w:r w:rsidR="005E31D9" w:rsidRPr="0089495C">
        <w:t xml:space="preserve"> z čehož dlouhodobé úvěry představovaly cca 50</w:t>
      </w:r>
      <w:r w:rsidR="00FB589B">
        <w:t xml:space="preserve"> </w:t>
      </w:r>
      <w:r w:rsidR="005E31D9" w:rsidRPr="0089495C">
        <w:t>%</w:t>
      </w:r>
      <w:r w:rsidR="00E1175E">
        <w:t xml:space="preserve"> </w:t>
      </w:r>
      <w:r w:rsidR="005E31D9" w:rsidRPr="0089495C">
        <w:t>tohoto objemu což je méně než 50</w:t>
      </w:r>
      <w:r w:rsidR="00FB589B">
        <w:t xml:space="preserve"> </w:t>
      </w:r>
      <w:r w:rsidR="005E31D9" w:rsidRPr="0089495C">
        <w:t>% úvěrů poskytnutých domácnostem na bydlení</w:t>
      </w:r>
      <w:r w:rsidR="005E31D9" w:rsidRPr="0089495C">
        <w:rPr>
          <w:rStyle w:val="Znakapoznpodarou"/>
        </w:rPr>
        <w:footnoteReference w:id="44"/>
      </w:r>
      <w:r w:rsidR="005E31D9" w:rsidRPr="0089495C">
        <w:t>). G</w:t>
      </w:r>
      <w:r w:rsidRPr="0089495C">
        <w:t xml:space="preserve">enerování příjmů z poplatků a provizí </w:t>
      </w:r>
      <w:r w:rsidR="002E746D" w:rsidRPr="0089495C">
        <w:lastRenderedPageBreak/>
        <w:t>z</w:t>
      </w:r>
      <w:r w:rsidR="002E746D">
        <w:t> </w:t>
      </w:r>
      <w:r w:rsidRPr="0089495C">
        <w:t xml:space="preserve">prodeje finančních produktů (pojištění, hypotéky, spoření atd.), </w:t>
      </w:r>
      <w:r w:rsidR="005E31D9" w:rsidRPr="0089495C">
        <w:t xml:space="preserve">opět orientované především </w:t>
      </w:r>
      <w:r w:rsidR="002E746D">
        <w:t>na </w:t>
      </w:r>
      <w:r w:rsidR="005E31D9" w:rsidRPr="0089495C">
        <w:t>sektor soukromých osob</w:t>
      </w:r>
      <w:r w:rsidR="00E1175E">
        <w:t>,</w:t>
      </w:r>
      <w:r w:rsidR="005E31D9" w:rsidRPr="0089495C">
        <w:t xml:space="preserve"> se podílí na tržbách bank cca. 25</w:t>
      </w:r>
      <w:r w:rsidR="00FB589B">
        <w:t xml:space="preserve"> </w:t>
      </w:r>
      <w:r w:rsidR="005E31D9" w:rsidRPr="0089495C">
        <w:t>%</w:t>
      </w:r>
      <w:r w:rsidR="005E31D9" w:rsidRPr="0089495C">
        <w:rPr>
          <w:rStyle w:val="Znakapoznpodarou"/>
        </w:rPr>
        <w:footnoteReference w:id="45"/>
      </w:r>
      <w:r w:rsidR="005E31D9" w:rsidRPr="0089495C">
        <w:t>.</w:t>
      </w:r>
      <w:r w:rsidRPr="0089495C">
        <w:t xml:space="preserve"> </w:t>
      </w:r>
    </w:p>
    <w:p w:rsidR="007862C1" w:rsidRPr="003C1A9B" w:rsidRDefault="0089575E" w:rsidP="005144FD">
      <w:pPr>
        <w:pStyle w:val="Titulek"/>
      </w:pPr>
      <w:bookmarkStart w:id="25" w:name="_Toc409446387"/>
      <w:r>
        <w:t xml:space="preserve">Graf </w:t>
      </w:r>
      <w:fldSimple w:instr=" SEQ Graf \* ARABIC ">
        <w:r w:rsidR="006C5EA3">
          <w:rPr>
            <w:noProof/>
          </w:rPr>
          <w:t>1</w:t>
        </w:r>
      </w:fldSimple>
      <w:r>
        <w:t>:</w:t>
      </w:r>
      <w:r w:rsidR="007862C1">
        <w:tab/>
        <w:t>Objem úvěrů poskytnutých bankami v ČR podnikům a domácnostem k 31.</w:t>
      </w:r>
      <w:r w:rsidR="009F639B">
        <w:t xml:space="preserve"> </w:t>
      </w:r>
      <w:r w:rsidR="007862C1">
        <w:t>7.</w:t>
      </w:r>
      <w:r w:rsidR="007A6D0C">
        <w:t xml:space="preserve"> </w:t>
      </w:r>
      <w:r w:rsidR="007862C1">
        <w:t>2014 v</w:t>
      </w:r>
      <w:r w:rsidR="000D59AC">
        <w:t> mil.</w:t>
      </w:r>
      <w:r w:rsidR="00851EB1">
        <w:t> </w:t>
      </w:r>
      <w:r w:rsidR="007862C1" w:rsidRPr="005144FD">
        <w:t>Kč</w:t>
      </w:r>
      <w:bookmarkEnd w:id="25"/>
    </w:p>
    <w:p w:rsidR="007862C1" w:rsidRDefault="0055330E" w:rsidP="007862C1">
      <w:pPr>
        <w:pStyle w:val="Odskoknadpis4"/>
        <w:jc w:val="center"/>
      </w:pPr>
      <w:r>
        <w:rPr>
          <w:noProof/>
          <w:lang w:eastAsia="cs-CZ"/>
        </w:rPr>
        <w:drawing>
          <wp:inline distT="0" distB="0" distL="0" distR="0" wp14:anchorId="69DC4ADA" wp14:editId="433075CC">
            <wp:extent cx="4897755" cy="2806700"/>
            <wp:effectExtent l="19050" t="0" r="0" b="0"/>
            <wp:docPr id="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a:srcRect/>
                    <a:stretch>
                      <a:fillRect/>
                    </a:stretch>
                  </pic:blipFill>
                  <pic:spPr bwMode="auto">
                    <a:xfrm>
                      <a:off x="0" y="0"/>
                      <a:ext cx="4897755" cy="2806700"/>
                    </a:xfrm>
                    <a:prstGeom prst="rect">
                      <a:avLst/>
                    </a:prstGeom>
                    <a:noFill/>
                    <a:ln w="9525">
                      <a:noFill/>
                      <a:miter lim="800000"/>
                      <a:headEnd/>
                      <a:tailEnd/>
                    </a:ln>
                  </pic:spPr>
                </pic:pic>
              </a:graphicData>
            </a:graphic>
          </wp:inline>
        </w:drawing>
      </w:r>
    </w:p>
    <w:p w:rsidR="007862C1" w:rsidRPr="007862C1" w:rsidRDefault="007862C1" w:rsidP="007862C1">
      <w:pPr>
        <w:pStyle w:val="Odskoknadpis4"/>
        <w:jc w:val="left"/>
        <w:rPr>
          <w:i/>
          <w:color w:val="548DD4"/>
        </w:rPr>
      </w:pPr>
      <w:r w:rsidRPr="007862C1">
        <w:rPr>
          <w:i/>
          <w:color w:val="548DD4"/>
        </w:rPr>
        <w:t>Zdroj: Statistiky ČNB</w:t>
      </w:r>
    </w:p>
    <w:p w:rsidR="00317FF9" w:rsidRPr="0089495C" w:rsidRDefault="005E31D9" w:rsidP="0049720A">
      <w:pPr>
        <w:pStyle w:val="Odskoknadpis4"/>
      </w:pPr>
      <w:r w:rsidRPr="0089495C">
        <w:t>Č</w:t>
      </w:r>
      <w:r w:rsidR="00317FF9" w:rsidRPr="0089495C">
        <w:t>eský finanční (bankovní) sektor je v dobré kondici a disponuje dostatkem volných zdrojů, pro</w:t>
      </w:r>
      <w:r w:rsidR="00D30D90">
        <w:t> </w:t>
      </w:r>
      <w:r w:rsidR="00317FF9" w:rsidRPr="0089495C">
        <w:t>které nicméně nenachází vhodné investiční uplatnění na území ČR, a to jak z důvodu případné vysoké rizikovosti</w:t>
      </w:r>
      <w:r w:rsidR="00025050">
        <w:t xml:space="preserve"> projektů</w:t>
      </w:r>
      <w:r w:rsidR="00317FF9" w:rsidRPr="0089495C">
        <w:t>, tak i z důvodu nízkého výnosu</w:t>
      </w:r>
      <w:r w:rsidR="00025050">
        <w:t xml:space="preserve"> projektů</w:t>
      </w:r>
      <w:r w:rsidR="00317FF9" w:rsidRPr="0089495C">
        <w:t xml:space="preserve">, který neodráží míru investičního rizika. Stejně tak je většina domácích úspor alokovaných prostřednictvím kolektivního investování směřována do zahraničních cenných papírů (například prostředky domácností investované prostřednictvím podílových fondů se sídlem mimo území ČR překročily dle statistik Asociace pro kapitálový trh </w:t>
      </w:r>
      <w:r w:rsidR="0003594C">
        <w:t>(</w:t>
      </w:r>
      <w:r w:rsidR="00F15B5C">
        <w:t>„</w:t>
      </w:r>
      <w:r w:rsidR="0003594C">
        <w:t>AKAT</w:t>
      </w:r>
      <w:r w:rsidR="00F15B5C">
        <w:t>“</w:t>
      </w:r>
      <w:r w:rsidR="0003594C">
        <w:t xml:space="preserve">) </w:t>
      </w:r>
      <w:r w:rsidR="00317FF9" w:rsidRPr="0089495C">
        <w:t xml:space="preserve">v prvním pololetí 2014 částku 150 </w:t>
      </w:r>
      <w:r w:rsidR="000D59AC">
        <w:rPr>
          <w:lang w:eastAsia="cs-CZ"/>
        </w:rPr>
        <w:t xml:space="preserve">mld. </w:t>
      </w:r>
      <w:r w:rsidR="00317FF9" w:rsidRPr="0089495C">
        <w:t xml:space="preserve">Kč </w:t>
      </w:r>
      <w:r w:rsidR="002E746D" w:rsidRPr="0089495C">
        <w:t>a</w:t>
      </w:r>
      <w:r w:rsidR="002E746D">
        <w:t> </w:t>
      </w:r>
      <w:r w:rsidR="00317FF9" w:rsidRPr="0089495C">
        <w:t>podílí se na celkových investicích občanů přes podílové fondy z více než 50</w:t>
      </w:r>
      <w:r w:rsidR="00FB589B">
        <w:t xml:space="preserve"> </w:t>
      </w:r>
      <w:r w:rsidR="00317FF9" w:rsidRPr="0089495C">
        <w:t xml:space="preserve">%), což pro českou ekonomiku </w:t>
      </w:r>
      <w:r w:rsidR="00025050">
        <w:t>není tak výhodné</w:t>
      </w:r>
      <w:r w:rsidR="001F264E">
        <w:t>, naopak domácí úspory vyvážíme za hranice ČR</w:t>
      </w:r>
      <w:r w:rsidR="00317FF9" w:rsidRPr="0089495C">
        <w:t>. V případě alokace do tuzemských cenných papírů směřují úspory domácností do českých státních dluhopisů</w:t>
      </w:r>
      <w:r w:rsidR="001C31C6">
        <w:t>,</w:t>
      </w:r>
      <w:r w:rsidR="00317FF9" w:rsidRPr="0089495C">
        <w:t xml:space="preserve"> </w:t>
      </w:r>
      <w:r w:rsidR="002E746D" w:rsidRPr="0089495C">
        <w:t>a</w:t>
      </w:r>
      <w:r w:rsidR="002E746D">
        <w:t> </w:t>
      </w:r>
      <w:r w:rsidR="00317FF9" w:rsidRPr="0089495C">
        <w:t xml:space="preserve">nikoliv do přímé podpory investic státu (pro kterou nejsou vybudovány vhodné </w:t>
      </w:r>
      <w:r w:rsidR="00A56B56" w:rsidRPr="0089495C">
        <w:t>IFN</w:t>
      </w:r>
      <w:r w:rsidR="00317FF9" w:rsidRPr="0089495C">
        <w:t>). Dlouhodobé domácí úspory přitom představují nejlevnější dlouhodobý zdroj na finančním trhu. Projekty PPP založené na koncesních smlouvách</w:t>
      </w:r>
      <w:r w:rsidR="0003594C">
        <w:rPr>
          <w:rStyle w:val="Znakapoznpodarou"/>
        </w:rPr>
        <w:footnoteReference w:id="46"/>
      </w:r>
      <w:r w:rsidR="00317FF9" w:rsidRPr="0089495C">
        <w:t xml:space="preserve"> se </w:t>
      </w:r>
      <w:r w:rsidR="0003594C">
        <w:t xml:space="preserve">dosud </w:t>
      </w:r>
      <w:r w:rsidR="00317FF9" w:rsidRPr="0089495C">
        <w:t>ukázaly ve většině případů nefunkční</w:t>
      </w:r>
      <w:r w:rsidR="00BB6656">
        <w:rPr>
          <w:rStyle w:val="Znakapoznpodarou"/>
        </w:rPr>
        <w:footnoteReference w:id="47"/>
      </w:r>
      <w:r w:rsidR="00656529">
        <w:t>,</w:t>
      </w:r>
      <w:r w:rsidR="00317FF9" w:rsidRPr="0089495C">
        <w:t xml:space="preserve"> a tak stát i soukromý finanční sektor realizují své investiční aktivity odděleně</w:t>
      </w:r>
      <w:r w:rsidR="0055330E">
        <w:t>,</w:t>
      </w:r>
      <w:r w:rsidR="00317FF9" w:rsidRPr="0089495C">
        <w:t xml:space="preserve"> </w:t>
      </w:r>
      <w:r w:rsidR="00656529">
        <w:t xml:space="preserve">tudíž </w:t>
      </w:r>
      <w:r w:rsidR="00317FF9" w:rsidRPr="0089495C">
        <w:t>nedochází k možnému souběhu a kumulaci soukromých a veřejných zdrojů</w:t>
      </w:r>
      <w:r w:rsidRPr="0089495C">
        <w:t>.</w:t>
      </w:r>
    </w:p>
    <w:p w:rsidR="0012130B" w:rsidRDefault="008031A9" w:rsidP="0049720A">
      <w:pPr>
        <w:pStyle w:val="Odskoknadpis4"/>
      </w:pPr>
      <w:r>
        <w:rPr>
          <w:rStyle w:val="Znakapoznpodarou"/>
        </w:rPr>
        <w:footnoteReference w:id="48"/>
      </w:r>
      <w:r w:rsidR="00F81AE5">
        <w:t xml:space="preserve">Makroekonomický vývoj bude i nadále </w:t>
      </w:r>
      <w:r w:rsidR="008A6C6E">
        <w:t xml:space="preserve">mít </w:t>
      </w:r>
      <w:r w:rsidR="00F81AE5">
        <w:t>vliv na dostupnost rizikového kapitál</w:t>
      </w:r>
      <w:r w:rsidR="004A42B8">
        <w:t>u</w:t>
      </w:r>
      <w:r w:rsidR="00F81AE5">
        <w:t xml:space="preserve"> pro rychle rostoucí a in</w:t>
      </w:r>
      <w:r w:rsidR="008A6C6E">
        <w:t xml:space="preserve">ovační činnosti podporující cíle strategie Evropa 2020. </w:t>
      </w:r>
      <w:r w:rsidR="00FA750C">
        <w:t>Bude však třeba zmírnit převládající averzi k riziku (vyplývající mj. z nové regulace v oblasti finančního trhu</w:t>
      </w:r>
      <w:r w:rsidR="00FA750C" w:rsidRPr="00FA750C">
        <w:t>)</w:t>
      </w:r>
      <w:r w:rsidR="00502A8B">
        <w:t>.</w:t>
      </w:r>
      <w:r w:rsidR="00FA750C" w:rsidRPr="00FA750C">
        <w:t xml:space="preserve"> </w:t>
      </w:r>
      <w:r w:rsidR="00502A8B">
        <w:t>C</w:t>
      </w:r>
      <w:r w:rsidR="00F81AE5" w:rsidRPr="00FA750C">
        <w:t xml:space="preserve">ílem </w:t>
      </w:r>
      <w:r w:rsidR="00FA750C" w:rsidRPr="00FA750C">
        <w:t xml:space="preserve">budoucích </w:t>
      </w:r>
      <w:r w:rsidR="00EF5E87" w:rsidRPr="00FA750C">
        <w:t xml:space="preserve">aktivit musí být </w:t>
      </w:r>
      <w:r w:rsidR="00FA750C" w:rsidRPr="00FA750C">
        <w:t>zajištění</w:t>
      </w:r>
      <w:r w:rsidR="00F81AE5" w:rsidRPr="00FA750C">
        <w:t xml:space="preserve"> přístup</w:t>
      </w:r>
      <w:r w:rsidR="00FA750C" w:rsidRPr="00FA750C">
        <w:t>u</w:t>
      </w:r>
      <w:r w:rsidR="00F81AE5" w:rsidRPr="00FA750C">
        <w:t xml:space="preserve"> ke kapitálu pro růst </w:t>
      </w:r>
      <w:r w:rsidR="008A6C6E" w:rsidRPr="00FA750C">
        <w:t>investic</w:t>
      </w:r>
      <w:r w:rsidR="00F81AE5" w:rsidRPr="00FA750C">
        <w:t xml:space="preserve"> v oblasti</w:t>
      </w:r>
      <w:r w:rsidR="00F81AE5">
        <w:t xml:space="preserve"> infrastruktury, </w:t>
      </w:r>
      <w:r w:rsidR="00F81AE5">
        <w:lastRenderedPageBreak/>
        <w:t xml:space="preserve">malých a </w:t>
      </w:r>
      <w:r w:rsidR="008A6C6E">
        <w:t>středních podniků a komercionalizací vědy a výzkumu v</w:t>
      </w:r>
      <w:r w:rsidR="00F81AE5">
        <w:t xml:space="preserve"> celé</w:t>
      </w:r>
      <w:r w:rsidR="008A6C6E">
        <w:t>m období VFR</w:t>
      </w:r>
      <w:r w:rsidR="00F81AE5">
        <w:t xml:space="preserve">. </w:t>
      </w:r>
      <w:r w:rsidR="00317FF9">
        <w:t>IFN</w:t>
      </w:r>
      <w:r w:rsidR="00F81AE5">
        <w:t xml:space="preserve"> </w:t>
      </w:r>
      <w:r w:rsidR="002E746D">
        <w:t>v </w:t>
      </w:r>
      <w:r w:rsidR="00F81AE5">
        <w:t xml:space="preserve">kombinaci s vhodnými regulačními opatřeními </w:t>
      </w:r>
      <w:r w:rsidR="00213F94">
        <w:t>mohou</w:t>
      </w:r>
      <w:r w:rsidR="00F81AE5">
        <w:t xml:space="preserve"> přispívat k rozvoji finančních </w:t>
      </w:r>
      <w:r w:rsidR="002E746D">
        <w:t>a </w:t>
      </w:r>
      <w:r w:rsidR="00213F94">
        <w:t>kapitálových trhů</w:t>
      </w:r>
      <w:r w:rsidR="00C63B8B">
        <w:t>,</w:t>
      </w:r>
      <w:r w:rsidR="00F81AE5">
        <w:t xml:space="preserve"> stejně jako </w:t>
      </w:r>
      <w:r w:rsidR="00C63B8B">
        <w:t xml:space="preserve">k </w:t>
      </w:r>
      <w:r w:rsidR="00F81AE5">
        <w:t xml:space="preserve">vyšší integraci </w:t>
      </w:r>
      <w:r w:rsidR="00213F94">
        <w:t>finančního trhu v</w:t>
      </w:r>
      <w:r w:rsidR="00F81AE5">
        <w:t xml:space="preserve"> EU, </w:t>
      </w:r>
      <w:r w:rsidR="00213F94">
        <w:t xml:space="preserve">což </w:t>
      </w:r>
      <w:r w:rsidR="00F81AE5">
        <w:t xml:space="preserve">otevírá </w:t>
      </w:r>
      <w:r w:rsidR="00213F94">
        <w:t xml:space="preserve">cestu </w:t>
      </w:r>
      <w:r w:rsidR="002E746D">
        <w:t>pro </w:t>
      </w:r>
      <w:r w:rsidR="00F81AE5">
        <w:t>alternativní zdroje financování odvětví vytvářející</w:t>
      </w:r>
      <w:r w:rsidR="004E049D">
        <w:t>ch</w:t>
      </w:r>
      <w:r w:rsidR="00F81AE5">
        <w:t xml:space="preserve"> růst. </w:t>
      </w:r>
      <w:r w:rsidR="001F4347">
        <w:t>Akt jednotného trhu</w:t>
      </w:r>
      <w:r w:rsidR="001F4347">
        <w:rPr>
          <w:rStyle w:val="Znakapoznpodarou"/>
        </w:rPr>
        <w:footnoteReference w:id="49"/>
      </w:r>
      <w:r w:rsidR="00F81AE5">
        <w:t xml:space="preserve"> zdůrazňuje klíčovou úlohu </w:t>
      </w:r>
      <w:r w:rsidR="00213F94">
        <w:t xml:space="preserve">vývoje </w:t>
      </w:r>
      <w:r w:rsidR="00F81AE5">
        <w:t>finanční</w:t>
      </w:r>
      <w:r w:rsidR="00213F94">
        <w:t>ch</w:t>
      </w:r>
      <w:r w:rsidR="00F81AE5">
        <w:t xml:space="preserve"> trhů </w:t>
      </w:r>
      <w:r w:rsidR="00213F94">
        <w:t xml:space="preserve">a </w:t>
      </w:r>
      <w:r w:rsidR="00F81AE5">
        <w:t xml:space="preserve">bude </w:t>
      </w:r>
      <w:r w:rsidR="00185DE4">
        <w:t>vytvářet</w:t>
      </w:r>
      <w:r w:rsidR="00F81AE5">
        <w:t xml:space="preserve"> cestu k novým formám růs</w:t>
      </w:r>
      <w:r w:rsidR="00185DE4">
        <w:t>tu. R</w:t>
      </w:r>
      <w:r w:rsidR="00F81AE5">
        <w:t xml:space="preserve">eformy prováděné v oblasti regulace finančních služeb </w:t>
      </w:r>
      <w:r w:rsidR="00185DE4">
        <w:t xml:space="preserve">a finančních trhů </w:t>
      </w:r>
      <w:r w:rsidR="00F81AE5">
        <w:t xml:space="preserve">budou poskytovat zásadní přínos pro </w:t>
      </w:r>
      <w:r w:rsidR="00210E03">
        <w:t xml:space="preserve">podporu </w:t>
      </w:r>
      <w:r w:rsidR="00F81AE5">
        <w:t xml:space="preserve">udržitelného a </w:t>
      </w:r>
      <w:r w:rsidR="001E268C">
        <w:t>inkluzívního</w:t>
      </w:r>
      <w:r w:rsidR="00F81AE5">
        <w:t xml:space="preserve"> růstu na základě posílení důvěry ve </w:t>
      </w:r>
      <w:r w:rsidR="00185DE4">
        <w:t>f</w:t>
      </w:r>
      <w:r w:rsidR="00F81AE5">
        <w:t xml:space="preserve">inanční trhy </w:t>
      </w:r>
      <w:r w:rsidR="002E746D">
        <w:t>a </w:t>
      </w:r>
      <w:r w:rsidR="00F81AE5">
        <w:t>subjekty v Evropě.</w:t>
      </w:r>
      <w:r w:rsidR="0008297F">
        <w:rPr>
          <w:rStyle w:val="Znakapoznpodarou"/>
        </w:rPr>
        <w:footnoteReference w:id="50"/>
      </w:r>
    </w:p>
    <w:p w:rsidR="004E049D" w:rsidRPr="004E049D" w:rsidRDefault="004E049D" w:rsidP="00171265">
      <w:pPr>
        <w:pStyle w:val="Nadpis3"/>
      </w:pPr>
      <w:bookmarkStart w:id="26" w:name="_Toc410115448"/>
      <w:r>
        <w:t>Role finančních nástrojů v kohezní politice</w:t>
      </w:r>
      <w:r w:rsidR="00753D80">
        <w:rPr>
          <w:rStyle w:val="Znakapoznpodarou"/>
        </w:rPr>
        <w:footnoteReference w:id="51"/>
      </w:r>
      <w:bookmarkEnd w:id="26"/>
    </w:p>
    <w:p w:rsidR="00AA08FF" w:rsidRDefault="0008297F" w:rsidP="0049720A">
      <w:pPr>
        <w:pStyle w:val="Odskoknadpis4"/>
      </w:pPr>
      <w:r>
        <w:t>IFN</w:t>
      </w:r>
      <w:r w:rsidR="004E049D">
        <w:t xml:space="preserve"> mohou hrát důležitou roli při dosahování cílů politiky soudržnosti. Jejich cílem je umožnit zdrojů</w:t>
      </w:r>
      <w:r w:rsidR="00753D80">
        <w:t>m</w:t>
      </w:r>
      <w:r w:rsidR="004E049D">
        <w:t xml:space="preserve"> veřejného se</w:t>
      </w:r>
      <w:r w:rsidR="00753D80">
        <w:t xml:space="preserve">ktoru, aby mohly být využity </w:t>
      </w:r>
      <w:r w:rsidR="004E049D">
        <w:t>účinnějším způsobem</w:t>
      </w:r>
      <w:r w:rsidR="00753D80">
        <w:t>,</w:t>
      </w:r>
      <w:r w:rsidR="004E049D">
        <w:t xml:space="preserve"> </w:t>
      </w:r>
      <w:r w:rsidR="00753D80">
        <w:t>tím, že se přiblíží obchodním zvyklostem a stimulují</w:t>
      </w:r>
      <w:r w:rsidR="004E049D">
        <w:t xml:space="preserve"> účast sektoru soukromého kapitálu. </w:t>
      </w:r>
      <w:r w:rsidR="00753D80">
        <w:t>Mezi t</w:t>
      </w:r>
      <w:r w:rsidR="004E049D">
        <w:t xml:space="preserve">ypy podpory poskytované prostřednictvím </w:t>
      </w:r>
      <w:r w:rsidR="00420428">
        <w:t>IFN</w:t>
      </w:r>
      <w:r w:rsidR="004E049D">
        <w:t xml:space="preserve"> patří </w:t>
      </w:r>
      <w:r w:rsidR="00753D80">
        <w:t>kapitálové investice</w:t>
      </w:r>
      <w:r w:rsidR="004E049D">
        <w:t xml:space="preserve">, úvěry, záruky, mikro-financování </w:t>
      </w:r>
      <w:r w:rsidR="002E746D">
        <w:t>a </w:t>
      </w:r>
      <w:r w:rsidR="004E049D">
        <w:t>jiné formy revolvingové pomoci. Konečnými příjemc</w:t>
      </w:r>
      <w:r w:rsidR="00753D80">
        <w:t>i jsou malé a střední podniky a jiní příjemci</w:t>
      </w:r>
      <w:r w:rsidR="004E049D">
        <w:t xml:space="preserve"> veřejných prostředků, jako jsou </w:t>
      </w:r>
      <w:r w:rsidR="00753D80">
        <w:t xml:space="preserve">projekty </w:t>
      </w:r>
      <w:r w:rsidR="004E049D">
        <w:t>rozvoj</w:t>
      </w:r>
      <w:r w:rsidR="00753D80">
        <w:t xml:space="preserve">e měst a energetické účinnosti, </w:t>
      </w:r>
      <w:r w:rsidR="004E049D">
        <w:t xml:space="preserve">projekty </w:t>
      </w:r>
      <w:r w:rsidR="00753D80">
        <w:t>energetických úspor, infrastrukturní investice a dokonce i jednotliví občané</w:t>
      </w:r>
      <w:r w:rsidR="004E049D">
        <w:t xml:space="preserve">. </w:t>
      </w:r>
      <w:r w:rsidR="00987682">
        <w:t xml:space="preserve">Možnost použití stejných prostředků vícekrát prostřednictvím různých revolvingových cyklů přispívá k dopadu </w:t>
      </w:r>
      <w:r w:rsidR="002E746D">
        <w:t>a </w:t>
      </w:r>
      <w:r w:rsidR="00987682">
        <w:t xml:space="preserve">udržitelnosti </w:t>
      </w:r>
      <w:r>
        <w:t>IFN</w:t>
      </w:r>
      <w:r w:rsidR="00987682">
        <w:t xml:space="preserve"> a efektivity evropského rozpočtu. Dopad revolvingových fondů může být mnohonásobně vyšší než u dotací, může jim </w:t>
      </w:r>
      <w:r w:rsidR="00716BE9">
        <w:t xml:space="preserve">dát </w:t>
      </w:r>
      <w:r w:rsidR="00987682">
        <w:t>určitou přidanou hodnotu a význam v dobách rozpočtových omezení. Dopad multiplikačních efektů je dále posílen o přijaté úroky a dividendy z realizovaných projektů</w:t>
      </w:r>
      <w:r w:rsidR="00AA08FF">
        <w:t>.</w:t>
      </w:r>
    </w:p>
    <w:p w:rsidR="00987682" w:rsidRDefault="0008297F" w:rsidP="0049720A">
      <w:pPr>
        <w:pStyle w:val="Odskoknadpis4"/>
      </w:pPr>
      <w:r>
        <w:t>IFN</w:t>
      </w:r>
      <w:r w:rsidR="00987682">
        <w:t xml:space="preserve"> nejsou prostředkem k dosažení cílů politiky soudržnosti samoúčelně. Politika soudržnosti zasahuje převážně v regionech, které se potýkají </w:t>
      </w:r>
      <w:r w:rsidR="00864846">
        <w:t xml:space="preserve">s </w:t>
      </w:r>
      <w:r w:rsidR="00987682">
        <w:t xml:space="preserve">překážkami rozvoje, jako je malá administrativní kapacita, nízká míra podnikání, vysoká úroveň nezaměstnanosti, méně rozvinuté finanční trhy a podobně. Tyto problémy vytvářejí mezery na trhu, které je třeba řešit politickými opatřeními, které berou v úvahu specifické cíle regionálního rozvoje a správního uspořádání členských států. Proto nasazení </w:t>
      </w:r>
      <w:r w:rsidR="00420428">
        <w:t>IFN</w:t>
      </w:r>
      <w:r w:rsidR="00987682">
        <w:t xml:space="preserve"> politiky soudržnosti nemůže</w:t>
      </w:r>
      <w:r>
        <w:t xml:space="preserve"> být</w:t>
      </w:r>
      <w:r w:rsidR="00987682">
        <w:t xml:space="preserve"> motivováno pouze finanční návratnost</w:t>
      </w:r>
      <w:r>
        <w:t>í samotného IFN, ale musí sledovat celkový ekonomický přínos pro stát (zaměstnanost, řešení sociálně významných témat, úspory výdajů státního rozpočtu, růst HDP atd.)</w:t>
      </w:r>
      <w:r w:rsidR="004D3BAD">
        <w:rPr>
          <w:rStyle w:val="Znakapoznpodarou"/>
        </w:rPr>
        <w:footnoteReference w:id="52"/>
      </w:r>
      <w:r>
        <w:t>.</w:t>
      </w:r>
    </w:p>
    <w:p w:rsidR="00222191" w:rsidRPr="0049720A" w:rsidRDefault="0089575E" w:rsidP="00636988">
      <w:pPr>
        <w:pStyle w:val="Titulek"/>
      </w:pPr>
      <w:bookmarkStart w:id="27" w:name="_Toc409446412"/>
      <w:r>
        <w:lastRenderedPageBreak/>
        <w:t xml:space="preserve">Schéma </w:t>
      </w:r>
      <w:fldSimple w:instr=" SEQ Schéma \* ARABIC ">
        <w:r w:rsidR="006C5EA3">
          <w:rPr>
            <w:noProof/>
          </w:rPr>
          <w:t>4</w:t>
        </w:r>
      </w:fldSimple>
      <w:r w:rsidR="002637E0">
        <w:t>:</w:t>
      </w:r>
      <w:r w:rsidR="00F3126C">
        <w:t xml:space="preserve"> </w:t>
      </w:r>
      <w:r w:rsidR="0006108B">
        <w:t xml:space="preserve">Vhodné nasazení </w:t>
      </w:r>
      <w:r w:rsidR="00222191" w:rsidRPr="0049720A">
        <w:t>IFN</w:t>
      </w:r>
      <w:r w:rsidR="0049720A">
        <w:rPr>
          <w:rStyle w:val="Znakapoznpodarou"/>
          <w:b w:val="0"/>
        </w:rPr>
        <w:footnoteReference w:id="53"/>
      </w:r>
      <w:bookmarkEnd w:id="27"/>
    </w:p>
    <w:p w:rsidR="00C137F3" w:rsidRDefault="0055330E" w:rsidP="002637E0">
      <w:pPr>
        <w:pStyle w:val="Odskoknadpis4"/>
        <w:jc w:val="center"/>
      </w:pPr>
      <w:r>
        <w:rPr>
          <w:noProof/>
          <w:lang w:eastAsia="cs-CZ"/>
        </w:rPr>
        <w:drawing>
          <wp:inline distT="0" distB="0" distL="0" distR="0" wp14:anchorId="7234BC8C" wp14:editId="6C32438A">
            <wp:extent cx="4596130" cy="3244215"/>
            <wp:effectExtent l="0" t="0" r="0" b="0"/>
            <wp:docPr id="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15"/>
                    <a:srcRect/>
                    <a:stretch>
                      <a:fillRect/>
                    </a:stretch>
                  </pic:blipFill>
                  <pic:spPr bwMode="auto">
                    <a:xfrm>
                      <a:off x="0" y="0"/>
                      <a:ext cx="4596130" cy="3244215"/>
                    </a:xfrm>
                    <a:prstGeom prst="rect">
                      <a:avLst/>
                    </a:prstGeom>
                    <a:noFill/>
                    <a:ln w="9525">
                      <a:noFill/>
                      <a:miter lim="800000"/>
                      <a:headEnd/>
                      <a:tailEnd/>
                    </a:ln>
                  </pic:spPr>
                </pic:pic>
              </a:graphicData>
            </a:graphic>
          </wp:inline>
        </w:drawing>
      </w:r>
    </w:p>
    <w:p w:rsidR="0006108B" w:rsidRPr="0006108B" w:rsidRDefault="0006108B" w:rsidP="0006108B">
      <w:pPr>
        <w:pStyle w:val="Odskoknadpis4"/>
        <w:rPr>
          <w:i/>
          <w:color w:val="548DD4"/>
        </w:rPr>
      </w:pPr>
      <w:r w:rsidRPr="0006108B">
        <w:rPr>
          <w:i/>
          <w:color w:val="548DD4"/>
        </w:rPr>
        <w:t>Zdroj: prezentace EIB</w:t>
      </w:r>
    </w:p>
    <w:p w:rsidR="00C10166" w:rsidRDefault="00C10166" w:rsidP="00171265">
      <w:pPr>
        <w:pStyle w:val="Nadpis3"/>
      </w:pPr>
      <w:bookmarkStart w:id="28" w:name="_Toc410115449"/>
      <w:r>
        <w:lastRenderedPageBreak/>
        <w:t>Výhody finančních nástrojů</w:t>
      </w:r>
      <w:bookmarkEnd w:id="28"/>
    </w:p>
    <w:p w:rsidR="00C10166" w:rsidRPr="00B214BF" w:rsidRDefault="00C10166" w:rsidP="00171265">
      <w:pPr>
        <w:pStyle w:val="Nadpis4"/>
      </w:pPr>
      <w:r w:rsidRPr="00C9085B">
        <w:t>Udržitelnost</w:t>
      </w:r>
      <w:r w:rsidR="00B214BF">
        <w:t xml:space="preserve"> – návratný </w:t>
      </w:r>
      <w:r w:rsidR="00787752">
        <w:t>mechanizm</w:t>
      </w:r>
      <w:r w:rsidR="00B214BF" w:rsidRPr="002521B2">
        <w:t>us</w:t>
      </w:r>
    </w:p>
    <w:p w:rsidR="00AA08FF" w:rsidRDefault="00B214BF" w:rsidP="0006108B">
      <w:pPr>
        <w:pStyle w:val="Odskoknadpis4"/>
        <w:keepNext/>
      </w:pPr>
      <w:r w:rsidRPr="00B214BF">
        <w:t>Díky návratné</w:t>
      </w:r>
      <w:r>
        <w:t>mu</w:t>
      </w:r>
      <w:r w:rsidRPr="00B214BF">
        <w:t xml:space="preserve"> charakteru </w:t>
      </w:r>
      <w:r w:rsidR="00420428">
        <w:t>IFN</w:t>
      </w:r>
      <w:r>
        <w:t xml:space="preserve"> je možné alokované</w:t>
      </w:r>
      <w:r w:rsidRPr="00B214BF">
        <w:t xml:space="preserve"> finanční prostředky použít opakovaně, čímž se jejich potenciální účinek znásobuje. </w:t>
      </w:r>
      <w:r w:rsidR="00A56B56">
        <w:t>IFN</w:t>
      </w:r>
      <w:r w:rsidRPr="00B214BF">
        <w:t xml:space="preserve"> v tomto případě představují dlouhodobě udržitelnou formu podpory, kterou bude možné využívat i po uplynutí programového období 2014 - 2020, ve kterém byly prostředky do nástroje alokovány</w:t>
      </w:r>
      <w:r w:rsidR="00AA08FF">
        <w:t>.</w:t>
      </w:r>
    </w:p>
    <w:p w:rsidR="00930910" w:rsidRPr="00716BE0" w:rsidRDefault="0089575E" w:rsidP="00636988">
      <w:pPr>
        <w:pStyle w:val="Titulek"/>
      </w:pPr>
      <w:bookmarkStart w:id="29" w:name="_Toc409446413"/>
      <w:r>
        <w:t xml:space="preserve">Schéma </w:t>
      </w:r>
      <w:fldSimple w:instr=" SEQ Schéma \* ARABIC ">
        <w:r w:rsidR="006C5EA3">
          <w:rPr>
            <w:noProof/>
          </w:rPr>
          <w:t>5</w:t>
        </w:r>
      </w:fldSimple>
      <w:r w:rsidR="002637E0">
        <w:t>:</w:t>
      </w:r>
      <w:r w:rsidR="002637E0">
        <w:tab/>
        <w:t>Porovnání</w:t>
      </w:r>
      <w:r w:rsidR="00930910">
        <w:t xml:space="preserve"> systém</w:t>
      </w:r>
      <w:r w:rsidR="002637E0">
        <w:t>u dotací a IFN</w:t>
      </w:r>
      <w:bookmarkEnd w:id="29"/>
    </w:p>
    <w:p w:rsidR="00930910" w:rsidRDefault="00666204" w:rsidP="0006108B">
      <w:pPr>
        <w:pStyle w:val="Odskoknadpis4"/>
        <w:jc w:val="center"/>
      </w:pPr>
      <w:r>
        <w:rPr>
          <w:noProof/>
          <w:lang w:eastAsia="cs-CZ"/>
        </w:rPr>
        <w:drawing>
          <wp:inline distT="0" distB="0" distL="0" distR="0" wp14:anchorId="50B6A275" wp14:editId="0983463D">
            <wp:extent cx="5038595" cy="3122760"/>
            <wp:effectExtent l="0" t="0" r="0" b="0"/>
            <wp:docPr id="1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037162" cy="3121872"/>
                    </a:xfrm>
                    <a:prstGeom prst="rect">
                      <a:avLst/>
                    </a:prstGeom>
                    <a:noFill/>
                    <a:ln w="9525">
                      <a:noFill/>
                      <a:miter lim="800000"/>
                      <a:headEnd/>
                      <a:tailEnd/>
                    </a:ln>
                  </pic:spPr>
                </pic:pic>
              </a:graphicData>
            </a:graphic>
          </wp:inline>
        </w:drawing>
      </w:r>
    </w:p>
    <w:p w:rsidR="00AA08FF" w:rsidRDefault="00987682" w:rsidP="0049720A">
      <w:pPr>
        <w:pStyle w:val="Odskoknadpis4"/>
      </w:pPr>
      <w:r>
        <w:t>Revolvingový charakter těchto nástrojů vytváří rozšířené pobídky pro lepší výkon na straně konečných příjemců</w:t>
      </w:r>
      <w:r w:rsidR="00864846">
        <w:t>,</w:t>
      </w:r>
      <w:r>
        <w:t xml:space="preserve"> jako je zlepšení kvality projektů a větší finanční kázeň. </w:t>
      </w:r>
      <w:r w:rsidR="00864846">
        <w:t>Ú</w:t>
      </w:r>
      <w:r>
        <w:t>čast soukromého financování zaručuje vstup odborných znalostí a know-how. Konkrétní odborné znalosti v</w:t>
      </w:r>
      <w:r w:rsidR="00864846">
        <w:t> </w:t>
      </w:r>
      <w:r>
        <w:t>podpoře</w:t>
      </w:r>
      <w:r w:rsidR="00864846">
        <w:t>,</w:t>
      </w:r>
      <w:r>
        <w:t xml:space="preserve"> například začínajících malých a středních podniků především technologického zaměření, mohou být neocenitelné</w:t>
      </w:r>
      <w:r w:rsidR="004D3BAD">
        <w:rPr>
          <w:rStyle w:val="Znakapoznpodarou"/>
        </w:rPr>
        <w:footnoteReference w:id="54"/>
      </w:r>
      <w:r w:rsidR="00AA08FF">
        <w:t>.</w:t>
      </w:r>
    </w:p>
    <w:p w:rsidR="00AA08FF" w:rsidRDefault="00B214BF" w:rsidP="0049720A">
      <w:pPr>
        <w:pStyle w:val="Odskoknadpis4"/>
      </w:pPr>
      <w:r w:rsidRPr="00B214BF">
        <w:t>Po uplynutí určité doby bude možné tyto prostředky využívat i na jiné, než jen původně určené</w:t>
      </w:r>
      <w:r w:rsidR="00864846">
        <w:t>,</w:t>
      </w:r>
      <w:r w:rsidRPr="00B214BF">
        <w:t xml:space="preserve"> cíle. Podle článku 45 obecného nařízení pro programové období 2014 - 2020 se prostředky </w:t>
      </w:r>
      <w:r w:rsidR="005A650E">
        <w:t>použijí obdobným způsobem i po dobu</w:t>
      </w:r>
      <w:r w:rsidRPr="00B214BF">
        <w:t xml:space="preserve"> 8 let po skončení období způsobilosti</w:t>
      </w:r>
      <w:r w:rsidR="004D3BAD">
        <w:rPr>
          <w:rStyle w:val="Znakapoznpodarou"/>
        </w:rPr>
        <w:footnoteReference w:id="55"/>
      </w:r>
      <w:r w:rsidRPr="00B214BF">
        <w:t xml:space="preserve">. Úloha </w:t>
      </w:r>
      <w:r w:rsidR="00420428">
        <w:t>IFN</w:t>
      </w:r>
      <w:r w:rsidRPr="00B214BF">
        <w:t xml:space="preserve"> bude </w:t>
      </w:r>
      <w:r w:rsidR="00EA06DD" w:rsidRPr="00B214BF">
        <w:t>z</w:t>
      </w:r>
      <w:r w:rsidR="00EA06DD">
        <w:t> </w:t>
      </w:r>
      <w:r w:rsidRPr="00B214BF">
        <w:t xml:space="preserve">tohoto důvodu (jakož i z důvodu možnosti dosažení </w:t>
      </w:r>
      <w:r w:rsidR="00420428">
        <w:t>multiplikačního</w:t>
      </w:r>
      <w:r w:rsidRPr="00B214BF">
        <w:t xml:space="preserve"> efektu, viz níže) narůstat spolu s předpokládaným snižováním alokace </w:t>
      </w:r>
      <w:r>
        <w:t>ESIF pro ČR</w:t>
      </w:r>
      <w:r w:rsidRPr="00B214BF">
        <w:t xml:space="preserve"> v budoucích programových obdobích. Aby se ČR vyhnula přílišné </w:t>
      </w:r>
      <w:r>
        <w:t>závislosti na nenávratných formách</w:t>
      </w:r>
      <w:r w:rsidRPr="00B214BF">
        <w:t xml:space="preserve"> pomoci, je třeba začít s širší implementací </w:t>
      </w:r>
      <w:r w:rsidR="0008297F">
        <w:t>těchto</w:t>
      </w:r>
      <w:r w:rsidRPr="00B214BF">
        <w:t xml:space="preserve"> schémat co nejdříve.</w:t>
      </w:r>
      <w:r>
        <w:t xml:space="preserve"> </w:t>
      </w:r>
      <w:r w:rsidR="00C10166">
        <w:t xml:space="preserve">Díky jejich konstrukci umožňující navrácení použitých prostředků a to ve formě splácení úvěrů a úroků z nich, výnosů z investic do vlastního kapitálu nebo kvazi vlastního kapitálu (podřízené dluhy) a to ve formě výplat zisků (dividenda) nebo příjmů z odprodeje části nebo celého podílu na projektu. Již jednou využité prostředky tak mohou být použity opětovně v dalších letech pro tvorbu dalšího </w:t>
      </w:r>
      <w:r w:rsidR="00420428">
        <w:t>IFN</w:t>
      </w:r>
      <w:r w:rsidR="00C10166">
        <w:t xml:space="preserve">. V některých případech, tam kde je </w:t>
      </w:r>
      <w:r w:rsidR="00C10166">
        <w:lastRenderedPageBreak/>
        <w:t xml:space="preserve">výnos z </w:t>
      </w:r>
      <w:r w:rsidR="00420428">
        <w:t>IFN</w:t>
      </w:r>
      <w:r w:rsidR="00C10166">
        <w:t xml:space="preserve"> predikovatelný</w:t>
      </w:r>
      <w:r w:rsidR="00A613FD">
        <w:t>,</w:t>
      </w:r>
      <w:r w:rsidR="00C10166">
        <w:t xml:space="preserve"> je možnost (při vhodném nastavení implementační struktury) vytvořit schéma </w:t>
      </w:r>
      <w:r>
        <w:t xml:space="preserve">emisí dluhopisů </w:t>
      </w:r>
      <w:r w:rsidR="00FF12D8">
        <w:t xml:space="preserve">ze struktury IFN </w:t>
      </w:r>
      <w:r>
        <w:t>tzv. Asset Backed Bonds</w:t>
      </w:r>
      <w:r>
        <w:rPr>
          <w:rStyle w:val="Znakapoznpodarou"/>
        </w:rPr>
        <w:footnoteReference w:id="56"/>
      </w:r>
      <w:r w:rsidR="00C10166">
        <w:t xml:space="preserve"> </w:t>
      </w:r>
      <w:r w:rsidR="00BD6664">
        <w:rPr>
          <w:rStyle w:val="Znakapoznpodarou"/>
        </w:rPr>
        <w:footnoteReference w:id="57"/>
      </w:r>
      <w:r>
        <w:t xml:space="preserve">a získat tak část investovaných prostředků okamžitě zpět a nikoliv až v okamžiku úplného splacení </w:t>
      </w:r>
      <w:r w:rsidR="00420428">
        <w:t>IFN</w:t>
      </w:r>
      <w:r>
        <w:t>.</w:t>
      </w:r>
      <w:r w:rsidR="005A650E">
        <w:t xml:space="preserve"> Toto opatření může přispívat ke zrychlení obrátkovosti IFN, ale je použitelné jen v určitých konkrétních případech</w:t>
      </w:r>
      <w:r w:rsidR="00AA08FF">
        <w:t>.</w:t>
      </w:r>
      <w:r w:rsidR="004667A4">
        <w:t xml:space="preserve"> Využití těchto mechanizmů jakožto i celkové nastavení jednotlivých IFN musí být dopředu konzultováno s EK, tak aby nedocházelo k rozporům mezi podobou IFN a</w:t>
      </w:r>
      <w:r w:rsidR="00EA06DD">
        <w:t> </w:t>
      </w:r>
      <w:r w:rsidR="004667A4">
        <w:t>nařízení EK týkajících se ESIF a IFN.</w:t>
      </w:r>
    </w:p>
    <w:p w:rsidR="00C10166" w:rsidRPr="00B214BF" w:rsidRDefault="00085846" w:rsidP="00171265">
      <w:pPr>
        <w:pStyle w:val="Nadpis4"/>
      </w:pPr>
      <w:r>
        <w:t>Multiplikační efekt</w:t>
      </w:r>
      <w:r w:rsidR="00C10166" w:rsidRPr="00B214BF">
        <w:t>:</w:t>
      </w:r>
    </w:p>
    <w:p w:rsidR="00987682" w:rsidRDefault="00085846" w:rsidP="0049720A">
      <w:pPr>
        <w:pStyle w:val="Odskoknadpis4"/>
      </w:pPr>
      <w:r>
        <w:t xml:space="preserve">Jedná se o zásadní efekt, který je zmiňován ve všech dokumentech EK k IFN. Cílem je zapojit </w:t>
      </w:r>
      <w:r w:rsidR="00EA06DD">
        <w:t>ke </w:t>
      </w:r>
      <w:r>
        <w:t xml:space="preserve">každému EUR z  rozpočtu </w:t>
      </w:r>
      <w:r w:rsidR="004F0A73">
        <w:t xml:space="preserve">EU </w:t>
      </w:r>
      <w:r>
        <w:t xml:space="preserve">co nejvíce dodatečných </w:t>
      </w:r>
      <w:r w:rsidR="004F0A73">
        <w:t xml:space="preserve">národních a soukromých </w:t>
      </w:r>
      <w:r>
        <w:t>zdrojů (jak kapitálových tak dluhových)</w:t>
      </w:r>
      <w:r>
        <w:rPr>
          <w:rStyle w:val="Znakapoznpodarou"/>
        </w:rPr>
        <w:footnoteReference w:id="58"/>
      </w:r>
      <w:r>
        <w:t xml:space="preserve">. </w:t>
      </w:r>
      <w:r w:rsidR="00A56B56">
        <w:t>IFN</w:t>
      </w:r>
      <w:r w:rsidR="00987682">
        <w:t xml:space="preserve"> podporované z veřejných prostředků jsou zvláště vhodné pro</w:t>
      </w:r>
      <w:r w:rsidR="00D30D90">
        <w:t> </w:t>
      </w:r>
      <w:r w:rsidR="00987682">
        <w:t>projekty, které se potýkají s problémy při získávání bankovních úvěrů nebo investic do</w:t>
      </w:r>
      <w:r w:rsidR="00D30D90">
        <w:t> </w:t>
      </w:r>
      <w:r w:rsidR="00987682">
        <w:t>vlastního kapitálu. To platí i pro investiční projekty realizované státem nebo municipalitami. Veřejné zdroje používané tímto způsobem mají silnější</w:t>
      </w:r>
      <w:r w:rsidR="000C0B4C">
        <w:t xml:space="preserve"> katalytický účinek než dotace.</w:t>
      </w:r>
    </w:p>
    <w:p w:rsidR="000C0B4C" w:rsidRDefault="0089575E" w:rsidP="00636988">
      <w:pPr>
        <w:pStyle w:val="Titulek"/>
      </w:pPr>
      <w:bookmarkStart w:id="30" w:name="_Toc409446414"/>
      <w:r>
        <w:t xml:space="preserve">Schéma </w:t>
      </w:r>
      <w:fldSimple w:instr=" SEQ Schéma \* ARABIC ">
        <w:r w:rsidR="006C5EA3">
          <w:rPr>
            <w:noProof/>
          </w:rPr>
          <w:t>6</w:t>
        </w:r>
      </w:fldSimple>
      <w:r w:rsidR="0006108B">
        <w:t>: Multiplikační</w:t>
      </w:r>
      <w:r w:rsidR="00021F68" w:rsidRPr="00021F68">
        <w:t xml:space="preserve"> působení zapojených veřejných zdrojů</w:t>
      </w:r>
      <w:bookmarkEnd w:id="30"/>
    </w:p>
    <w:p w:rsidR="000C0B4C" w:rsidRDefault="0055330E" w:rsidP="0006108B">
      <w:pPr>
        <w:pStyle w:val="Odskoknadpis4"/>
        <w:jc w:val="center"/>
      </w:pPr>
      <w:r>
        <w:rPr>
          <w:noProof/>
          <w:lang w:eastAsia="cs-CZ"/>
        </w:rPr>
        <w:drawing>
          <wp:inline distT="0" distB="0" distL="0" distR="0" wp14:anchorId="3A32A8C0" wp14:editId="44808DF7">
            <wp:extent cx="5367020" cy="2122805"/>
            <wp:effectExtent l="19050" t="0" r="508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a:srcRect/>
                    <a:stretch>
                      <a:fillRect/>
                    </a:stretch>
                  </pic:blipFill>
                  <pic:spPr bwMode="auto">
                    <a:xfrm>
                      <a:off x="0" y="0"/>
                      <a:ext cx="5367020" cy="2122805"/>
                    </a:xfrm>
                    <a:prstGeom prst="rect">
                      <a:avLst/>
                    </a:prstGeom>
                    <a:noFill/>
                    <a:ln w="9525">
                      <a:noFill/>
                      <a:miter lim="800000"/>
                      <a:headEnd/>
                      <a:tailEnd/>
                    </a:ln>
                  </pic:spPr>
                </pic:pic>
              </a:graphicData>
            </a:graphic>
          </wp:inline>
        </w:drawing>
      </w:r>
    </w:p>
    <w:p w:rsidR="00AA08FF" w:rsidRDefault="00640B60" w:rsidP="002521B2">
      <w:pPr>
        <w:pStyle w:val="Odskoknadpis4"/>
        <w:spacing w:before="240"/>
      </w:pPr>
      <w:r>
        <w:t xml:space="preserve">Efekt realizovaný na úrovni nástroje či na úrovni projektu (konečného příjemce) tím, </w:t>
      </w:r>
      <w:r w:rsidR="00EA06DD">
        <w:t>že k </w:t>
      </w:r>
      <w:r>
        <w:t>prostředkům vloženým z evropských fondů je zapojen další kapitál (veřejný či soukromý), anebo jsou celkové prostředky v projektech zvýšeny o další finanční prostředky v dluhové formě</w:t>
      </w:r>
      <w:r w:rsidR="00085846">
        <w:t>, významně zvyšuje celkové investice do podpory jednotlivých opatření k dosahování Strategie Evropa 2020 nebo národních cílů.</w:t>
      </w:r>
      <w:r>
        <w:t xml:space="preserve"> Celková výše intervence tak není pouze suma vložených prostředků do </w:t>
      </w:r>
      <w:r w:rsidR="00420428">
        <w:t>IFN</w:t>
      </w:r>
      <w:r>
        <w:t xml:space="preserve">, ale celková suma všech prostředků (kapitálových a dluhových) zapojených </w:t>
      </w:r>
      <w:r w:rsidR="00EA06DD">
        <w:t>u </w:t>
      </w:r>
      <w:r>
        <w:t xml:space="preserve">konečného příjemce nebo na úrovni </w:t>
      </w:r>
      <w:r w:rsidR="00420428">
        <w:t>IFN</w:t>
      </w:r>
      <w:r>
        <w:t xml:space="preserve">. </w:t>
      </w:r>
      <w:r w:rsidR="00EA2C3F">
        <w:t>IFN</w:t>
      </w:r>
      <w:r w:rsidR="00B214BF" w:rsidRPr="00B214BF">
        <w:t xml:space="preserve"> </w:t>
      </w:r>
      <w:r w:rsidR="00987682">
        <w:t xml:space="preserve">tedy </w:t>
      </w:r>
      <w:r w:rsidR="00B214BF" w:rsidRPr="00B214BF">
        <w:t xml:space="preserve">umožňuje zapojení finančních prostředků </w:t>
      </w:r>
      <w:r w:rsidR="00EA06DD" w:rsidRPr="00B214BF">
        <w:t>z</w:t>
      </w:r>
      <w:r w:rsidR="00EA06DD">
        <w:t> </w:t>
      </w:r>
      <w:r w:rsidR="00B214BF" w:rsidRPr="00B214BF">
        <w:t>dalších zdrojů. Tyto prostředky mohou pocházet například z mezinárodních finančních institucí (EIB, EBRD,</w:t>
      </w:r>
      <w:r w:rsidR="00B214BF">
        <w:t xml:space="preserve"> a dalších)</w:t>
      </w:r>
      <w:r w:rsidR="00743959">
        <w:t>,</w:t>
      </w:r>
      <w:r w:rsidR="00B214BF">
        <w:t xml:space="preserve"> j</w:t>
      </w:r>
      <w:r w:rsidR="00B214BF" w:rsidRPr="00B214BF">
        <w:t>akož i ze soukromého sektoru. Jednotlivé nástroje je možné nastavit způsobem, díky kterému budou atraktivní pro soukro</w:t>
      </w:r>
      <w:r w:rsidR="00B214BF">
        <w:t>mé a především institucionální investory</w:t>
      </w:r>
      <w:r w:rsidR="00B214BF" w:rsidRPr="00B214BF">
        <w:t>. Jde především o různá</w:t>
      </w:r>
      <w:r w:rsidR="00EF5E87">
        <w:t xml:space="preserve"> nastavení, díky kterým zapojení</w:t>
      </w:r>
      <w:r w:rsidR="00B214BF" w:rsidRPr="00B214BF">
        <w:t xml:space="preserve"> soukromí investoři nesou nižší riziko nebo jsou přednostně kompenzováni v porovnání s prostředky, kt</w:t>
      </w:r>
      <w:r w:rsidR="00B214BF">
        <w:t>eré jsou alokovány z ES</w:t>
      </w:r>
      <w:r w:rsidR="00B214BF" w:rsidRPr="00B214BF">
        <w:t xml:space="preserve">IF. </w:t>
      </w:r>
      <w:r w:rsidR="00EA06DD" w:rsidRPr="00B214BF">
        <w:t>V</w:t>
      </w:r>
      <w:r w:rsidR="00EA06DD">
        <w:t> </w:t>
      </w:r>
      <w:r w:rsidR="00B214BF" w:rsidRPr="00B214BF">
        <w:t>důsledku takových nastavení je možné dosáhnout pákového efektu, kterým se znásobí o</w:t>
      </w:r>
      <w:r w:rsidR="00B214BF">
        <w:t xml:space="preserve">bjem </w:t>
      </w:r>
      <w:r w:rsidR="00B214BF">
        <w:lastRenderedPageBreak/>
        <w:t>alokovaných prostředků z ES</w:t>
      </w:r>
      <w:r w:rsidR="00B214BF" w:rsidRPr="00B214BF">
        <w:t xml:space="preserve">IF určených na podporu příslušných aktivit a také jejich potenciální účinek. Zapojení volného soukromého kapitálu takovýmto způsobem se jeví jako efektivnější </w:t>
      </w:r>
      <w:r w:rsidR="00EA06DD" w:rsidRPr="00B214BF">
        <w:t>i</w:t>
      </w:r>
      <w:r w:rsidR="00EA06DD">
        <w:t> </w:t>
      </w:r>
      <w:r w:rsidR="00EA06DD" w:rsidRPr="00B214BF">
        <w:t>z</w:t>
      </w:r>
      <w:r w:rsidR="00EA06DD">
        <w:t> </w:t>
      </w:r>
      <w:r w:rsidR="00B214BF" w:rsidRPr="00B214BF">
        <w:t xml:space="preserve">makroekonomického hlediska. </w:t>
      </w:r>
      <w:r w:rsidR="00A56B56">
        <w:t>IFN</w:t>
      </w:r>
      <w:r>
        <w:t xml:space="preserve"> financované z ES</w:t>
      </w:r>
      <w:r w:rsidR="00B214BF" w:rsidRPr="00B214BF">
        <w:t xml:space="preserve">IF tak přispívají k efektivní alokaci kapitálu, což je zvláště důležitá úloha v dobách ekonomické nejistoty, kdy převládá vyšší averze vůči riziku a kapitál si hledá </w:t>
      </w:r>
      <w:r w:rsidR="006469B8" w:rsidRPr="00B214BF">
        <w:t xml:space="preserve">těžší </w:t>
      </w:r>
      <w:r w:rsidR="00B214BF" w:rsidRPr="00B214BF">
        <w:t>cestu k investicím do reálné ekonomiky</w:t>
      </w:r>
      <w:r w:rsidR="00AA08FF">
        <w:t>.</w:t>
      </w:r>
    </w:p>
    <w:p w:rsidR="005A650E" w:rsidRPr="0049720A" w:rsidRDefault="002921B3" w:rsidP="00636988">
      <w:pPr>
        <w:pStyle w:val="Titulek"/>
      </w:pPr>
      <w:bookmarkStart w:id="31" w:name="_Toc409446415"/>
      <w:r>
        <w:t xml:space="preserve">Schéma </w:t>
      </w:r>
      <w:fldSimple w:instr=" SEQ Schéma \* ARABIC ">
        <w:r w:rsidR="006C5EA3">
          <w:rPr>
            <w:noProof/>
          </w:rPr>
          <w:t>7</w:t>
        </w:r>
      </w:fldSimple>
      <w:r w:rsidR="0006108B">
        <w:t xml:space="preserve">: </w:t>
      </w:r>
      <w:r w:rsidR="00FF12D8" w:rsidRPr="0049720A">
        <w:t>Ukázka multiplikačního efektu</w:t>
      </w:r>
      <w:r w:rsidR="00FF12D8" w:rsidRPr="002521B2">
        <w:rPr>
          <w:vertAlign w:val="superscript"/>
        </w:rPr>
        <w:footnoteReference w:id="59"/>
      </w:r>
      <w:bookmarkEnd w:id="31"/>
    </w:p>
    <w:p w:rsidR="005A650E" w:rsidRDefault="0055330E" w:rsidP="0006108B">
      <w:pPr>
        <w:pStyle w:val="Odskoknadpis4"/>
        <w:jc w:val="center"/>
      </w:pPr>
      <w:r>
        <w:rPr>
          <w:noProof/>
          <w:lang w:eastAsia="cs-CZ"/>
        </w:rPr>
        <w:drawing>
          <wp:inline distT="0" distB="0" distL="0" distR="0" wp14:anchorId="77179C08" wp14:editId="5FC9E626">
            <wp:extent cx="4714875" cy="3124835"/>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srcRect/>
                    <a:stretch>
                      <a:fillRect/>
                    </a:stretch>
                  </pic:blipFill>
                  <pic:spPr bwMode="auto">
                    <a:xfrm>
                      <a:off x="0" y="0"/>
                      <a:ext cx="4714875" cy="3124835"/>
                    </a:xfrm>
                    <a:prstGeom prst="rect">
                      <a:avLst/>
                    </a:prstGeom>
                    <a:noFill/>
                    <a:ln w="9525">
                      <a:noFill/>
                      <a:miter lim="800000"/>
                      <a:headEnd/>
                      <a:tailEnd/>
                    </a:ln>
                  </pic:spPr>
                </pic:pic>
              </a:graphicData>
            </a:graphic>
          </wp:inline>
        </w:drawing>
      </w:r>
    </w:p>
    <w:p w:rsidR="0006108B" w:rsidRPr="0006108B" w:rsidRDefault="0006108B" w:rsidP="0049720A">
      <w:pPr>
        <w:pStyle w:val="Odskoknadpis4"/>
        <w:rPr>
          <w:i/>
          <w:color w:val="548DD4"/>
        </w:rPr>
      </w:pPr>
      <w:r w:rsidRPr="0006108B">
        <w:rPr>
          <w:i/>
          <w:color w:val="548DD4"/>
        </w:rPr>
        <w:t>Zdroj: Prezentace EIB</w:t>
      </w:r>
    </w:p>
    <w:p w:rsidR="000C0B4C" w:rsidRDefault="00640B60" w:rsidP="0049720A">
      <w:pPr>
        <w:pStyle w:val="Odskoknadpis4"/>
      </w:pPr>
      <w:r>
        <w:t xml:space="preserve">Multiplikační efekt je jeden z hlavních důvodů, které uvádí EK jako opodstatnění pro </w:t>
      </w:r>
      <w:r w:rsidR="00C9085B">
        <w:t>jejich</w:t>
      </w:r>
      <w:r>
        <w:t xml:space="preserve"> masivnější nasazení.</w:t>
      </w:r>
      <w:r w:rsidR="00987682">
        <w:t xml:space="preserve"> Jedním z prvních hodnocení EK</w:t>
      </w:r>
      <w:r w:rsidR="00987682" w:rsidRPr="00987682">
        <w:rPr>
          <w:vertAlign w:val="superscript"/>
        </w:rPr>
        <w:footnoteReference w:id="60"/>
      </w:r>
      <w:r w:rsidR="00987682">
        <w:t xml:space="preserve"> bylo zjištěno, že každé 1 EUR měkkých půjček multiplikovalo 4,5 EUR soukromých investic v porovnání se vzorkem projektů financovaných dotacemi, kde se nedal vysledovat podobný efekt. Kromě toho byly náklady na jedno pracovní místo pouze 30</w:t>
      </w:r>
      <w:r w:rsidR="00851EB1">
        <w:t xml:space="preserve"> </w:t>
      </w:r>
      <w:r w:rsidR="00987682">
        <w:t>000 EUR v případě financování půjčkami, ale 64</w:t>
      </w:r>
      <w:r w:rsidR="00851EB1">
        <w:t xml:space="preserve"> </w:t>
      </w:r>
      <w:r w:rsidR="00987682">
        <w:t xml:space="preserve">000 EUR v případě dotací. Sdílením rizik s ostatními investory mohou </w:t>
      </w:r>
      <w:r w:rsidR="00A56B56">
        <w:t>IFN</w:t>
      </w:r>
      <w:r w:rsidR="00987682">
        <w:t xml:space="preserve"> odblokovat část nevyužitého soukromého financování a další finanční prostředky ve veřejném sektoru.</w:t>
      </w:r>
    </w:p>
    <w:p w:rsidR="00C10166" w:rsidRPr="00640B60" w:rsidRDefault="00C10166" w:rsidP="00171265">
      <w:pPr>
        <w:pStyle w:val="Nadpis4"/>
      </w:pPr>
      <w:r w:rsidRPr="00640B60">
        <w:t>Silnější míra podpory s lepší efektivitou a výkonností</w:t>
      </w:r>
    </w:p>
    <w:p w:rsidR="00AA08FF" w:rsidRDefault="00951C81" w:rsidP="0049720A">
      <w:pPr>
        <w:pStyle w:val="Odskoknadpis4"/>
      </w:pPr>
      <w:r>
        <w:t xml:space="preserve">Všechny </w:t>
      </w:r>
      <w:r w:rsidR="00A56B56">
        <w:t>IFN</w:t>
      </w:r>
      <w:r>
        <w:t xml:space="preserve"> musí být vytvářeny na základě ex</w:t>
      </w:r>
      <w:r w:rsidR="009C67E4">
        <w:t>-</w:t>
      </w:r>
      <w:r>
        <w:t>ante analýz definující oblasti selhání trhu komerčního financování při zachování nedotovaných cen a příjmů, vhodnou formu intervence</w:t>
      </w:r>
      <w:r w:rsidR="001948AD">
        <w:t>,</w:t>
      </w:r>
      <w:r>
        <w:t xml:space="preserve"> implementační strukturu a nasazení konkrétního nástroje. Tato ex</w:t>
      </w:r>
      <w:r w:rsidR="009C67E4">
        <w:t>-</w:t>
      </w:r>
      <w:r>
        <w:t xml:space="preserve">ante analýza musí také prokázat celkovou velikost nutné intervence. </w:t>
      </w:r>
      <w:r w:rsidR="002013C3" w:rsidRPr="002013C3">
        <w:t xml:space="preserve">Výsledkem podpory formou </w:t>
      </w:r>
      <w:r w:rsidR="00420428">
        <w:t>IFN</w:t>
      </w:r>
      <w:r>
        <w:t xml:space="preserve"> je proto</w:t>
      </w:r>
      <w:r w:rsidR="002013C3" w:rsidRPr="002013C3">
        <w:t xml:space="preserve"> nižší míra deformace přirozeného tržního prostředí</w:t>
      </w:r>
      <w:r>
        <w:t>, neboť n</w:t>
      </w:r>
      <w:r w:rsidR="002013C3" w:rsidRPr="002013C3">
        <w:t xml:space="preserve">amísto faktického subvencování hospodářské činnosti </w:t>
      </w:r>
      <w:r w:rsidRPr="002013C3">
        <w:t xml:space="preserve">zaplňují </w:t>
      </w:r>
      <w:r w:rsidR="00A56B56">
        <w:t>IFN</w:t>
      </w:r>
      <w:r w:rsidR="002013C3" w:rsidRPr="002013C3">
        <w:t xml:space="preserve"> existující mezery</w:t>
      </w:r>
      <w:r w:rsidR="002013C3">
        <w:t xml:space="preserve"> na trhu</w:t>
      </w:r>
      <w:r w:rsidR="00AA08FF">
        <w:t>.</w:t>
      </w:r>
      <w:r w:rsidR="004667A4">
        <w:t xml:space="preserve"> Zodpovědnost za zpracování ex-ante analýz mají jednotlivé ŘO a analýzou navrhované řešení musí být v souladu s těmito analýzami.</w:t>
      </w:r>
    </w:p>
    <w:p w:rsidR="00AA08FF" w:rsidRDefault="00951C81" w:rsidP="0049720A">
      <w:pPr>
        <w:pStyle w:val="Odskoknadpis4"/>
      </w:pPr>
      <w:r>
        <w:t xml:space="preserve">Výše zmíněné mezery na trhu přitom </w:t>
      </w:r>
      <w:r w:rsidR="002013C3">
        <w:t>vznikly z důvodu neoptimálních</w:t>
      </w:r>
      <w:r w:rsidR="002013C3" w:rsidRPr="002013C3">
        <w:t xml:space="preserve"> počátečních faktorů a</w:t>
      </w:r>
      <w:r w:rsidR="00D30D90">
        <w:t> </w:t>
      </w:r>
      <w:r w:rsidR="002013C3" w:rsidRPr="002013C3">
        <w:t>za</w:t>
      </w:r>
      <w:r w:rsidR="00D30D90">
        <w:t> </w:t>
      </w:r>
      <w:r w:rsidR="002013C3" w:rsidRPr="002013C3">
        <w:t xml:space="preserve">jedinečných okolností, jako je například celkové zhoršení ekonomického </w:t>
      </w:r>
      <w:r w:rsidR="002013C3">
        <w:t>stavu (finanční krize 2008)</w:t>
      </w:r>
      <w:r w:rsidR="002013C3" w:rsidRPr="002013C3">
        <w:t xml:space="preserve">. Dalším takovým prvotním faktorem může být nerozvinutý kapitálový trh </w:t>
      </w:r>
      <w:r w:rsidR="002013C3" w:rsidRPr="002013C3">
        <w:lastRenderedPageBreak/>
        <w:t>a</w:t>
      </w:r>
      <w:r w:rsidR="00D30D90">
        <w:t> </w:t>
      </w:r>
      <w:r w:rsidR="002013C3" w:rsidRPr="002013C3">
        <w:t xml:space="preserve">nepřirozená dominance jistých forem financování, díky níž je takové financování dražší a méně dostupné. </w:t>
      </w:r>
      <w:r w:rsidR="000F5B40">
        <w:t xml:space="preserve">To je případ </w:t>
      </w:r>
      <w:r w:rsidR="0018767D">
        <w:t>ČR</w:t>
      </w:r>
      <w:r w:rsidR="000F5B40">
        <w:t xml:space="preserve"> v oblasti kapitálových zdrojů. </w:t>
      </w:r>
      <w:r w:rsidR="002013C3" w:rsidRPr="002013C3">
        <w:t xml:space="preserve">Úkolem </w:t>
      </w:r>
      <w:r w:rsidR="00420428">
        <w:t>IFN</w:t>
      </w:r>
      <w:r w:rsidR="002013C3" w:rsidRPr="002013C3">
        <w:t xml:space="preserve"> je</w:t>
      </w:r>
      <w:r>
        <w:t xml:space="preserve"> proto také</w:t>
      </w:r>
      <w:r w:rsidR="002013C3" w:rsidRPr="002013C3">
        <w:t xml:space="preserve"> optimalizovat počáteční podmínky a prostředí pro rozvoj ekonomické aktivity a nikoli dotování samotné aktivity.</w:t>
      </w:r>
      <w:r w:rsidR="002013C3">
        <w:t xml:space="preserve"> </w:t>
      </w:r>
      <w:r w:rsidR="00C10166">
        <w:t>P</w:t>
      </w:r>
      <w:r w:rsidR="002013C3">
        <w:t>rojekt financovaný</w:t>
      </w:r>
      <w:r w:rsidR="00C10166">
        <w:t xml:space="preserve"> na základě běžných ekonomických zvyklostí</w:t>
      </w:r>
      <w:r>
        <w:t>,</w:t>
      </w:r>
      <w:r w:rsidR="00C10166">
        <w:t xml:space="preserve"> tj. na základě propočtu ekonomické efektivity</w:t>
      </w:r>
      <w:r>
        <w:t>,</w:t>
      </w:r>
      <w:r w:rsidR="00C10166">
        <w:t xml:space="preserve"> je životaschopnější, méně </w:t>
      </w:r>
      <w:r w:rsidR="00D9083D">
        <w:t>pokřivuje</w:t>
      </w:r>
      <w:r w:rsidR="00C10166">
        <w:t xml:space="preserve"> trh,</w:t>
      </w:r>
      <w:r w:rsidR="001948AD">
        <w:t xml:space="preserve"> a nutí </w:t>
      </w:r>
      <w:r w:rsidR="00D37E5E">
        <w:t xml:space="preserve">konečného </w:t>
      </w:r>
      <w:r w:rsidR="00C10166">
        <w:t xml:space="preserve">příjemce </w:t>
      </w:r>
      <w:r w:rsidR="00420428">
        <w:t>IFN</w:t>
      </w:r>
      <w:r w:rsidR="00C10166">
        <w:t xml:space="preserve"> více přemýšlet o tom, zda má pro něj nástroj cenu (u </w:t>
      </w:r>
      <w:r w:rsidR="00640B60">
        <w:t>dotace</w:t>
      </w:r>
      <w:r w:rsidR="00C10166">
        <w:t xml:space="preserve"> se jedná o </w:t>
      </w:r>
      <w:r w:rsidR="00FF12D8">
        <w:t>nevratný příspěvek</w:t>
      </w:r>
      <w:r w:rsidR="00C10166">
        <w:t xml:space="preserve">, u </w:t>
      </w:r>
      <w:r w:rsidR="00420428">
        <w:t>IFN</w:t>
      </w:r>
      <w:r w:rsidR="00C10166">
        <w:t xml:space="preserve"> se vzdávám části podílu na projektu nebo přijímám závazek splatit dluh). Zapojení soukromých zdrojů ve finančních nástrojích snižuje neefektivitu díky tomu, že žádný soukromý subjekt nikdy nevloží své vlastní prostředky do formy </w:t>
      </w:r>
      <w:r w:rsidR="00420428">
        <w:t>IFN</w:t>
      </w:r>
      <w:r w:rsidR="00C10166">
        <w:t>, které nerozumí, nevěří nebo kde nebude mít možnost ovlivňovat, jak je s jeho prostředky nakládáno. Zkušenost</w:t>
      </w:r>
      <w:r w:rsidR="002B4D72">
        <w:t>i EK z</w:t>
      </w:r>
      <w:r w:rsidR="00D30D90">
        <w:t> </w:t>
      </w:r>
      <w:r w:rsidR="00787752">
        <w:t>programové</w:t>
      </w:r>
      <w:r w:rsidR="002B4D72">
        <w:t>ho období 200</w:t>
      </w:r>
      <w:r w:rsidR="00C10166">
        <w:t>7</w:t>
      </w:r>
      <w:r w:rsidR="001948AD">
        <w:t xml:space="preserve"> </w:t>
      </w:r>
      <w:r w:rsidR="00C10166">
        <w:t>-</w:t>
      </w:r>
      <w:r w:rsidR="001948AD">
        <w:t xml:space="preserve"> </w:t>
      </w:r>
      <w:r w:rsidR="00C10166">
        <w:t>2013 ukazují, že i přes určitou roztříštěnost a nejednoznačnost prováděcích nařízení k</w:t>
      </w:r>
      <w:r w:rsidR="001948AD">
        <w:t> </w:t>
      </w:r>
      <w:r w:rsidR="00420428">
        <w:t>IFN</w:t>
      </w:r>
      <w:r w:rsidR="001948AD">
        <w:t>,</w:t>
      </w:r>
      <w:r>
        <w:t xml:space="preserve"> mají </w:t>
      </w:r>
      <w:r w:rsidR="00C10166">
        <w:t xml:space="preserve">projekty financované </w:t>
      </w:r>
      <w:r w:rsidR="00420428">
        <w:t>IFN</w:t>
      </w:r>
      <w:r w:rsidR="00C10166">
        <w:t xml:space="preserve"> vyšší ek</w:t>
      </w:r>
      <w:r w:rsidR="00640B60">
        <w:t xml:space="preserve">onomickou míru návratnosti </w:t>
      </w:r>
      <w:r w:rsidR="00C10166">
        <w:t>a také pomáhají vytvářet více nových pracovních míst</w:t>
      </w:r>
      <w:r w:rsidR="00AA08FF">
        <w:t>.</w:t>
      </w:r>
    </w:p>
    <w:p w:rsidR="00C10166" w:rsidRPr="00640B60" w:rsidRDefault="00C10166" w:rsidP="00171265">
      <w:pPr>
        <w:pStyle w:val="Nadpis4"/>
      </w:pPr>
      <w:r w:rsidRPr="00640B60">
        <w:t>Nové zdroje expertízy a know how</w:t>
      </w:r>
    </w:p>
    <w:p w:rsidR="000C0B4C" w:rsidRDefault="00640B60" w:rsidP="0049720A">
      <w:pPr>
        <w:pStyle w:val="Odskoknadpis4"/>
      </w:pPr>
      <w:r w:rsidRPr="00640B60">
        <w:t xml:space="preserve">Veřejný sektor má do určité míry omezené kapacity z hlediska odbornosti ve všech oblastech ekonomické aktivity. </w:t>
      </w:r>
      <w:r w:rsidR="00A56B56">
        <w:t>IFN</w:t>
      </w:r>
      <w:r w:rsidRPr="00640B60">
        <w:t xml:space="preserve"> většinou počítají se zapojením soukromého sektoru, které s sebou přináší také dodatečné know-how a expertízu, což se projeví v účinku </w:t>
      </w:r>
      <w:r w:rsidR="00025050">
        <w:t>investovaných</w:t>
      </w:r>
      <w:r w:rsidRPr="00640B60">
        <w:t xml:space="preserve"> prostředků </w:t>
      </w:r>
      <w:r w:rsidR="00851EB1" w:rsidRPr="00640B60">
        <w:t>a</w:t>
      </w:r>
      <w:r w:rsidR="00851EB1">
        <w:t> </w:t>
      </w:r>
      <w:r w:rsidRPr="00640B60">
        <w:t xml:space="preserve">efektivitě jejich použití. Jde především o oblasti vyhledávání potenciální investice, rozhodování </w:t>
      </w:r>
      <w:r w:rsidR="00851EB1" w:rsidRPr="00640B60">
        <w:t>o</w:t>
      </w:r>
      <w:r w:rsidR="00851EB1">
        <w:t> </w:t>
      </w:r>
      <w:r w:rsidRPr="00640B60">
        <w:t>investicích, řízení obchodní činnosti</w:t>
      </w:r>
      <w:r w:rsidR="000F5B40">
        <w:t>, řízení rizik</w:t>
      </w:r>
      <w:r w:rsidRPr="00640B60">
        <w:t xml:space="preserve"> a schopnost dosahovat zisk. </w:t>
      </w:r>
      <w:r w:rsidRPr="00755E19">
        <w:t>Finanční</w:t>
      </w:r>
      <w:r w:rsidRPr="00640B60">
        <w:t xml:space="preserve"> zprostředkovatelé </w:t>
      </w:r>
      <w:r>
        <w:t>jsou schopni</w:t>
      </w:r>
      <w:r w:rsidRPr="00640B60">
        <w:t xml:space="preserve"> díky své dlouhodobé zkušenosti v dané oblasti prostředky implementovat často </w:t>
      </w:r>
      <w:r w:rsidR="0068732C" w:rsidRPr="00640B60">
        <w:t>účelněj</w:t>
      </w:r>
      <w:r w:rsidR="0068732C">
        <w:t xml:space="preserve">i </w:t>
      </w:r>
      <w:r w:rsidRPr="00640B60">
        <w:t xml:space="preserve">a </w:t>
      </w:r>
      <w:r w:rsidR="0068732C" w:rsidRPr="00640B60">
        <w:t>rychlej</w:t>
      </w:r>
      <w:r w:rsidR="0068732C">
        <w:t xml:space="preserve">i </w:t>
      </w:r>
      <w:r w:rsidRPr="00640B60">
        <w:t xml:space="preserve">prostřednictvím svých stávajících distribučních kanálů, přičemž nejsou zatíženi některými procesy charakteristickými pro subjekty veřejného sektoru. Zvláště ve vztahu k podpoře ekonomicky životaschopných projektů je pravděpodobné, </w:t>
      </w:r>
      <w:r w:rsidR="00851EB1" w:rsidRPr="00640B60">
        <w:t>že</w:t>
      </w:r>
      <w:r w:rsidR="00851EB1">
        <w:t> </w:t>
      </w:r>
      <w:r w:rsidRPr="00640B60">
        <w:t xml:space="preserve">soukromí finanční zprostředkovatelé, kteří jsou motivováni i komerčně, </w:t>
      </w:r>
      <w:r w:rsidR="00025050">
        <w:t>dokážou</w:t>
      </w:r>
      <w:r w:rsidRPr="00640B60">
        <w:t xml:space="preserve"> lépe identifikovat takové projekty.</w:t>
      </w:r>
      <w:r>
        <w:t xml:space="preserve"> </w:t>
      </w:r>
      <w:r w:rsidR="00C10166">
        <w:t xml:space="preserve">U </w:t>
      </w:r>
      <w:r>
        <w:t xml:space="preserve">přidělování </w:t>
      </w:r>
      <w:r w:rsidR="00C10166">
        <w:t xml:space="preserve">dotací dochází k subjektivnímu vyhodnocování žádostí o dotaci. U </w:t>
      </w:r>
      <w:r w:rsidR="00420428">
        <w:t>IFN</w:t>
      </w:r>
      <w:r w:rsidR="00C10166">
        <w:t xml:space="preserve"> musí existovat předchozí ekonomické propočty typového projektu a tak</w:t>
      </w:r>
      <w:r>
        <w:t>,</w:t>
      </w:r>
      <w:r w:rsidR="00C10166">
        <w:t xml:space="preserve"> místo na obsah žádosti o dotaci</w:t>
      </w:r>
      <w:r w:rsidR="008B1DA2">
        <w:t>,</w:t>
      </w:r>
      <w:r w:rsidR="00C10166">
        <w:t xml:space="preserve"> </w:t>
      </w:r>
      <w:r w:rsidR="008B1DA2">
        <w:t xml:space="preserve">se </w:t>
      </w:r>
      <w:r w:rsidR="00C10166">
        <w:t>konečný příjemce soustřed</w:t>
      </w:r>
      <w:r w:rsidR="008B1DA2">
        <w:t>í</w:t>
      </w:r>
      <w:r w:rsidR="00C10166">
        <w:t xml:space="preserve"> na efektivitu jeho vlastního projektu a schopnost generovat zisk a splácet dluhy. Kombinace různých nástrojů a jejich zapojení zároveň stimuluje </w:t>
      </w:r>
      <w:r w:rsidR="00085846">
        <w:t>ekonomické myšlení a skutečné řízení efektivity investic</w:t>
      </w:r>
      <w:r w:rsidR="00C10166">
        <w:t xml:space="preserve">. Nejedná </w:t>
      </w:r>
      <w:r w:rsidR="00851EB1">
        <w:t>se </w:t>
      </w:r>
      <w:r w:rsidR="00C10166">
        <w:t>pouze o odlišnou formu financování, ale také o odlišnou formu myšlení při financování.</w:t>
      </w:r>
    </w:p>
    <w:p w:rsidR="00C10166" w:rsidRPr="00AD4C0A" w:rsidRDefault="00C10166" w:rsidP="00171265">
      <w:pPr>
        <w:pStyle w:val="Nadpis4"/>
      </w:pPr>
      <w:r w:rsidRPr="00AD4C0A">
        <w:t>Rozvoj a modernizace finančních trhů</w:t>
      </w:r>
    </w:p>
    <w:p w:rsidR="00AA08FF" w:rsidRDefault="002013C3" w:rsidP="0049720A">
      <w:pPr>
        <w:pStyle w:val="Odskoknadpis4"/>
      </w:pPr>
      <w:r w:rsidRPr="002013C3">
        <w:t xml:space="preserve">Mezi další potenciální efekty využívání </w:t>
      </w:r>
      <w:r w:rsidR="00420428">
        <w:t>IFN</w:t>
      </w:r>
      <w:r w:rsidRPr="002013C3">
        <w:t xml:space="preserve"> může patřit například rozvoj kapitálového trhu. </w:t>
      </w:r>
      <w:r w:rsidR="00851EB1" w:rsidRPr="002013C3">
        <w:t>V</w:t>
      </w:r>
      <w:r w:rsidR="00851EB1">
        <w:t> </w:t>
      </w:r>
      <w:r w:rsidRPr="002013C3">
        <w:t xml:space="preserve">podmínkách ČR </w:t>
      </w:r>
      <w:r>
        <w:t xml:space="preserve">se </w:t>
      </w:r>
      <w:r w:rsidRPr="002013C3">
        <w:t>může jednat například o málo rozvinutý rizikový kapitál</w:t>
      </w:r>
      <w:r>
        <w:t>, zavedení forem projektového financování veřejnými prostředky či zvýšení role alternativních investičních fondů a to především s ohledem na kumulaci dlouhodobého investičního kapitálu.</w:t>
      </w:r>
      <w:r w:rsidRPr="002013C3">
        <w:t xml:space="preserve"> </w:t>
      </w:r>
      <w:r w:rsidR="000F5B40">
        <w:t xml:space="preserve">Významným krokem může být vytváření </w:t>
      </w:r>
      <w:r w:rsidR="00787752">
        <w:t>mechanizm</w:t>
      </w:r>
      <w:r w:rsidR="000F5B40">
        <w:t>ů projektových dluhopisů obdobně, jak to plánuje EK pro oblast infrastruktury</w:t>
      </w:r>
      <w:r w:rsidR="000F5B40">
        <w:rPr>
          <w:rStyle w:val="Znakapoznpodarou"/>
        </w:rPr>
        <w:footnoteReference w:id="61"/>
      </w:r>
      <w:r w:rsidR="000F5B40">
        <w:t xml:space="preserve">. </w:t>
      </w:r>
      <w:r w:rsidRPr="002013C3">
        <w:t xml:space="preserve">Dalším nepřímým účinkem využívání </w:t>
      </w:r>
      <w:r w:rsidR="00420428">
        <w:t>IFN</w:t>
      </w:r>
      <w:r w:rsidRPr="002013C3">
        <w:t xml:space="preserve"> je rozšíření povědomí o ČR mezi zahraničními investory, jejichž kapitál dané nástroje přitáhly. Tito investoři se mohou začít zajímat i</w:t>
      </w:r>
      <w:r>
        <w:t xml:space="preserve"> </w:t>
      </w:r>
      <w:r w:rsidRPr="002013C3">
        <w:t>o jiné investiční příležitosti v ČR. Příchod velkých institucionálních investorů by také mohl stimulovat budoucí</w:t>
      </w:r>
      <w:r>
        <w:t xml:space="preserve"> rozvoj prostředí pro takové investory, kteří </w:t>
      </w:r>
      <w:r w:rsidR="009D5CAD">
        <w:t>zároveň vytváří trh</w:t>
      </w:r>
      <w:r w:rsidRPr="002013C3">
        <w:t xml:space="preserve"> vysoce efektivní oblast</w:t>
      </w:r>
      <w:r>
        <w:t>i</w:t>
      </w:r>
      <w:r w:rsidRPr="002013C3">
        <w:t xml:space="preserve"> ekonomiky</w:t>
      </w:r>
      <w:r>
        <w:t xml:space="preserve"> (služby v oblasti administrace </w:t>
      </w:r>
      <w:r w:rsidR="00420428">
        <w:t>IFN</w:t>
      </w:r>
      <w:r>
        <w:t>, aplikovaný výzkum, technologie</w:t>
      </w:r>
      <w:r w:rsidR="000F5B40">
        <w:t>, infrastrukturní projekty</w:t>
      </w:r>
      <w:r>
        <w:t xml:space="preserve"> atd.).</w:t>
      </w:r>
      <w:r w:rsidRPr="002013C3">
        <w:t xml:space="preserve"> V neposlední řadě je možné do provádění </w:t>
      </w:r>
      <w:r w:rsidR="00420428">
        <w:t>IFN</w:t>
      </w:r>
      <w:r w:rsidRPr="002013C3">
        <w:t xml:space="preserve"> zapojovat národní finanční instituce </w:t>
      </w:r>
      <w:r>
        <w:t>a stimulovat</w:t>
      </w:r>
      <w:r w:rsidRPr="002013C3">
        <w:t xml:space="preserve"> rozvoj silných </w:t>
      </w:r>
      <w:r w:rsidR="009D5CAD">
        <w:t>finančních mechanizmů</w:t>
      </w:r>
      <w:r w:rsidRPr="002013C3">
        <w:t xml:space="preserve"> podle příkladů v jiných </w:t>
      </w:r>
      <w:r w:rsidRPr="002013C3">
        <w:lastRenderedPageBreak/>
        <w:t>zemích EU</w:t>
      </w:r>
      <w:r>
        <w:rPr>
          <w:rStyle w:val="Znakapoznpodarou"/>
        </w:rPr>
        <w:footnoteReference w:id="62"/>
      </w:r>
      <w:r w:rsidRPr="002013C3">
        <w:t>.</w:t>
      </w:r>
      <w:r>
        <w:t xml:space="preserve"> </w:t>
      </w:r>
      <w:r w:rsidR="00C10166">
        <w:t xml:space="preserve">Vzhledem k tomu, že </w:t>
      </w:r>
      <w:r w:rsidR="00A56B56">
        <w:t>IFN</w:t>
      </w:r>
      <w:r w:rsidR="00C10166">
        <w:t xml:space="preserve"> mají být koncipovány jako kapitálové a dluhové platformy, je zřejmé, že řada z nich </w:t>
      </w:r>
      <w:r w:rsidR="00C22B34">
        <w:t xml:space="preserve">může </w:t>
      </w:r>
      <w:r w:rsidR="00C10166">
        <w:t xml:space="preserve">přímo či nepřímo vstupovat na kapitálové a finanční trhy. Jako příklad </w:t>
      </w:r>
      <w:r w:rsidR="007A7D3D">
        <w:t xml:space="preserve">lze </w:t>
      </w:r>
      <w:r w:rsidR="00C10166">
        <w:t>uvést vstup inovativních firem na burzu ve formě primárních emisí, projektové dluhopisy, sekuritizaci budoucích výnosů atd</w:t>
      </w:r>
      <w:r w:rsidR="00AA08FF">
        <w:t>.</w:t>
      </w:r>
    </w:p>
    <w:p w:rsidR="00C10166" w:rsidRPr="00AD4C0A" w:rsidRDefault="00C10166" w:rsidP="00171265">
      <w:pPr>
        <w:pStyle w:val="Nadpis4"/>
      </w:pPr>
      <w:r w:rsidRPr="00AD4C0A">
        <w:t>Vzájemná kombinovatelnost a šíře zapojení</w:t>
      </w:r>
    </w:p>
    <w:p w:rsidR="00C10166" w:rsidRDefault="00C10166" w:rsidP="0049720A">
      <w:pPr>
        <w:pStyle w:val="Odskoknadpis4"/>
      </w:pPr>
      <w:r>
        <w:t xml:space="preserve">V </w:t>
      </w:r>
      <w:r w:rsidR="00787752">
        <w:t>programové</w:t>
      </w:r>
      <w:r>
        <w:t>m období 2014</w:t>
      </w:r>
      <w:r w:rsidR="00C22B34">
        <w:t xml:space="preserve"> </w:t>
      </w:r>
      <w:r>
        <w:t>-</w:t>
      </w:r>
      <w:r w:rsidR="00C22B34">
        <w:t xml:space="preserve"> </w:t>
      </w:r>
      <w:r>
        <w:t xml:space="preserve">2020 bude umožněno zapojení </w:t>
      </w:r>
      <w:r w:rsidR="00420428">
        <w:t>IFN</w:t>
      </w:r>
      <w:r>
        <w:t xml:space="preserve"> ve všech operačních programech na podporu </w:t>
      </w:r>
      <w:r w:rsidR="009D5CAD">
        <w:t xml:space="preserve">jakýchkoliv </w:t>
      </w:r>
      <w:r>
        <w:t xml:space="preserve">opatření sledovaných v </w:t>
      </w:r>
      <w:r w:rsidR="00787752">
        <w:t>programové</w:t>
      </w:r>
      <w:r>
        <w:t>m období 2014</w:t>
      </w:r>
      <w:r w:rsidR="00C22B34">
        <w:t xml:space="preserve"> </w:t>
      </w:r>
      <w:r>
        <w:t>-</w:t>
      </w:r>
      <w:r w:rsidR="00C22B34">
        <w:t xml:space="preserve"> </w:t>
      </w:r>
      <w:r>
        <w:t xml:space="preserve">2020. </w:t>
      </w:r>
      <w:r w:rsidR="00A56B56">
        <w:t>IFN</w:t>
      </w:r>
      <w:r>
        <w:t xml:space="preserve"> budou moci být využity ve všech </w:t>
      </w:r>
      <w:r w:rsidR="00755E19">
        <w:t>ESI</w:t>
      </w:r>
      <w:r w:rsidR="009D5CAD">
        <w:t>F</w:t>
      </w:r>
      <w:r w:rsidR="00755E19">
        <w:t xml:space="preserve"> fondech</w:t>
      </w:r>
      <w:r>
        <w:t xml:space="preserve">. Koneční příjemci mohou přijímat i další formy podpory </w:t>
      </w:r>
      <w:r w:rsidR="00593E8B">
        <w:t>v kombinaci s </w:t>
      </w:r>
      <w:r w:rsidR="00420428">
        <w:t>IFN</w:t>
      </w:r>
      <w:r w:rsidR="00593E8B">
        <w:t xml:space="preserve"> </w:t>
      </w:r>
      <w:r>
        <w:t xml:space="preserve">a to v případě, že nasazení </w:t>
      </w:r>
      <w:r w:rsidR="00420428">
        <w:t>IFN</w:t>
      </w:r>
      <w:r>
        <w:t xml:space="preserve"> nepostačuje k požadované míře ekonomické rentability</w:t>
      </w:r>
      <w:r w:rsidR="00593E8B">
        <w:t xml:space="preserve"> nebo dalších důvodů</w:t>
      </w:r>
      <w:r>
        <w:t>.</w:t>
      </w:r>
    </w:p>
    <w:p w:rsidR="00C10166" w:rsidRPr="002013C3" w:rsidRDefault="002013C3" w:rsidP="00171265">
      <w:pPr>
        <w:pStyle w:val="Nadpis4"/>
      </w:pPr>
      <w:r w:rsidRPr="002013C3">
        <w:t>Ochrana a transparentnost</w:t>
      </w:r>
    </w:p>
    <w:p w:rsidR="00AA08FF" w:rsidRDefault="00C10166" w:rsidP="0049720A">
      <w:pPr>
        <w:pStyle w:val="Odskoknadpis4"/>
      </w:pPr>
      <w:r>
        <w:t xml:space="preserve">Vzhledem k charakteru </w:t>
      </w:r>
      <w:r w:rsidR="00420428">
        <w:t>IFN</w:t>
      </w:r>
      <w:r>
        <w:t xml:space="preserve"> a odlišným kontrolním mechanizmům definují nařízení EK požadavek, aby při vytváření, správě a monitorování </w:t>
      </w:r>
      <w:r w:rsidR="00420428">
        <w:t>IFN</w:t>
      </w:r>
      <w:r>
        <w:t xml:space="preserve"> byly využity standardizované finanční mechanizmy a zapojeny převážně finanční instituce a to z důvodu toho, aby byl uplatňován tzv</w:t>
      </w:r>
      <w:r w:rsidR="00851EB1">
        <w:t>. </w:t>
      </w:r>
      <w:r>
        <w:t xml:space="preserve">„sound financial management“. V praxi to znamená, že by při tvorbě, implementaci a správě měly být (v závislosti na charakteru </w:t>
      </w:r>
      <w:r w:rsidR="00420428">
        <w:t>IFN</w:t>
      </w:r>
      <w:r>
        <w:t>) zapojeny banky a profesionální licencovaní správci aktiv (alternativní investiční fondy dle evropských směrnic). Tyto finanční instituce jsou licencovány, regulovány a mají ze zákona a evropských směrnic upraveny parametry jako je risk management, asset ma</w:t>
      </w:r>
      <w:r w:rsidR="003272C3">
        <w:t>nagement, compliance, kapitálová</w:t>
      </w:r>
      <w:r>
        <w:t xml:space="preserve"> přiměřenost, reporting</w:t>
      </w:r>
      <w:r w:rsidR="0081599D">
        <w:t xml:space="preserve"> </w:t>
      </w:r>
      <w:r>
        <w:t>atd</w:t>
      </w:r>
      <w:r w:rsidR="00AA08FF">
        <w:t>.</w:t>
      </w:r>
    </w:p>
    <w:p w:rsidR="00AD4C0A" w:rsidRDefault="0081599D" w:rsidP="0049720A">
      <w:pPr>
        <w:pStyle w:val="Odskoknadpis4"/>
      </w:pPr>
      <w:r>
        <w:t>Významnou v</w:t>
      </w:r>
      <w:r w:rsidR="00AD4C0A">
        <w:t>ýhodou je také</w:t>
      </w:r>
      <w:r>
        <w:t xml:space="preserve"> fakt</w:t>
      </w:r>
      <w:r w:rsidR="00AD4C0A">
        <w:t xml:space="preserve">, že všechny tyto instituce podléhají pravidlům </w:t>
      </w:r>
      <w:r w:rsidR="006B5A7F">
        <w:t>boje proti praní špinavých peněz</w:t>
      </w:r>
      <w:r w:rsidR="00AD4C0A">
        <w:rPr>
          <w:rStyle w:val="Znakapoznpodarou"/>
        </w:rPr>
        <w:footnoteReference w:id="63"/>
      </w:r>
      <w:r w:rsidR="00C2125D">
        <w:t>,</w:t>
      </w:r>
      <w:r w:rsidR="00AD4C0A">
        <w:t xml:space="preserve"> a tak je de facto znemožněno zapojení pochybných investorů či kapitálu z neprověřených zdrojů</w:t>
      </w:r>
      <w:r w:rsidR="00E0501C">
        <w:rPr>
          <w:rStyle w:val="Znakapoznpodarou"/>
        </w:rPr>
        <w:footnoteReference w:id="64"/>
      </w:r>
      <w:r w:rsidR="00AD4C0A">
        <w:t>.</w:t>
      </w:r>
    </w:p>
    <w:p w:rsidR="00C10166" w:rsidRDefault="00C10166" w:rsidP="00171265">
      <w:pPr>
        <w:pStyle w:val="Nadpis4"/>
      </w:pPr>
      <w:r>
        <w:t>Zrychlené čerpání a nižší nároky na národní zdroje</w:t>
      </w:r>
    </w:p>
    <w:p w:rsidR="00AA08FF" w:rsidRDefault="00C9085B" w:rsidP="0049720A">
      <w:pPr>
        <w:pStyle w:val="Odskoknadpis4"/>
      </w:pPr>
      <w:r>
        <w:t>V procesu rozdělování dotací</w:t>
      </w:r>
      <w:r w:rsidR="00C10166">
        <w:t xml:space="preserve"> existuje dlouhý </w:t>
      </w:r>
      <w:r w:rsidR="006B5A7F">
        <w:t xml:space="preserve">časový úsek nutný k </w:t>
      </w:r>
      <w:r w:rsidR="00C10166">
        <w:t>výběru projektu na základě hodnocení souladu s výzvou, jeho faktické přípravě, naplnění</w:t>
      </w:r>
      <w:r w:rsidR="006B5A7F">
        <w:t xml:space="preserve"> a </w:t>
      </w:r>
      <w:r w:rsidR="00C10166">
        <w:t>realizaci</w:t>
      </w:r>
      <w:r w:rsidR="006B5A7F">
        <w:t xml:space="preserve">. Po celou tuto dobu </w:t>
      </w:r>
      <w:r w:rsidR="00B80FD0">
        <w:t>(</w:t>
      </w:r>
      <w:r w:rsidR="00851EB1">
        <w:t>po </w:t>
      </w:r>
      <w:r w:rsidR="00B80FD0">
        <w:t xml:space="preserve">dobu etapy) </w:t>
      </w:r>
      <w:r w:rsidR="006B5A7F">
        <w:t xml:space="preserve">je celý projekt financován </w:t>
      </w:r>
      <w:r w:rsidR="00C10166">
        <w:t xml:space="preserve">z </w:t>
      </w:r>
      <w:r w:rsidR="006469B8">
        <w:t xml:space="preserve">vlastních zdrojů </w:t>
      </w:r>
      <w:r w:rsidR="00D37E5E">
        <w:t xml:space="preserve">konečného </w:t>
      </w:r>
      <w:r w:rsidR="006469B8">
        <w:t>příjemce, resp</w:t>
      </w:r>
      <w:r w:rsidR="00851EB1">
        <w:t>. po </w:t>
      </w:r>
      <w:r w:rsidR="006469B8">
        <w:t xml:space="preserve">proplacení žádosti o platbu z národních a regionálních </w:t>
      </w:r>
      <w:r w:rsidR="00C10166">
        <w:t xml:space="preserve">zdrojů. Evropské zdroje jsou uvolněny teprve </w:t>
      </w:r>
      <w:r w:rsidR="00BA5521">
        <w:t>na souhrnn</w:t>
      </w:r>
      <w:r w:rsidR="006469B8">
        <w:t xml:space="preserve">ou žádost o platbu po </w:t>
      </w:r>
      <w:r w:rsidR="00C10166">
        <w:t xml:space="preserve">dokončení a prokázání oprávněnosti a souladu </w:t>
      </w:r>
      <w:r w:rsidR="006B5A7F">
        <w:t xml:space="preserve">projektu </w:t>
      </w:r>
      <w:r w:rsidR="00851EB1">
        <w:t>s </w:t>
      </w:r>
      <w:r w:rsidR="00C10166">
        <w:t>výzvou a dodržení všech podmínek</w:t>
      </w:r>
      <w:r w:rsidR="00AA08FF">
        <w:t>.</w:t>
      </w:r>
    </w:p>
    <w:p w:rsidR="000C0B4C" w:rsidRPr="00171265" w:rsidRDefault="00B16F90" w:rsidP="00171265">
      <w:pPr>
        <w:pStyle w:val="Odstavecseseznamem"/>
        <w:numPr>
          <w:ilvl w:val="0"/>
          <w:numId w:val="32"/>
        </w:numPr>
        <w:rPr>
          <w:b/>
          <w:color w:val="548DD4"/>
        </w:rPr>
      </w:pPr>
      <w:r w:rsidRPr="00171265">
        <w:rPr>
          <w:b/>
          <w:color w:val="548DD4"/>
        </w:rPr>
        <w:t>Průběh procesu při přidělení dotace</w:t>
      </w:r>
      <w:r w:rsidR="001D03B3" w:rsidRPr="00171265">
        <w:rPr>
          <w:rStyle w:val="Znakapoznpodarou"/>
          <w:b/>
          <w:color w:val="548DD4"/>
        </w:rPr>
        <w:footnoteReference w:id="65"/>
      </w:r>
    </w:p>
    <w:p w:rsidR="00C70BF2" w:rsidRPr="0049720A" w:rsidRDefault="00C70BF2" w:rsidP="0049720A">
      <w:pPr>
        <w:pStyle w:val="Odskoknadpis4"/>
        <w:rPr>
          <w:b/>
        </w:rPr>
      </w:pPr>
      <w:r w:rsidRPr="0049720A">
        <w:rPr>
          <w:b/>
        </w:rPr>
        <w:t>Vyhlášení výzvy</w:t>
      </w:r>
      <w:r w:rsidRPr="0049720A">
        <w:rPr>
          <w:rStyle w:val="Znakapoznpodarou"/>
          <w:b/>
        </w:rPr>
        <w:footnoteReference w:id="66"/>
      </w:r>
    </w:p>
    <w:p w:rsidR="00C70BF2" w:rsidRDefault="00C70BF2" w:rsidP="0049720A">
      <w:pPr>
        <w:pStyle w:val="Odskoknadpis4"/>
      </w:pPr>
      <w:r>
        <w:t>ŘO</w:t>
      </w:r>
      <w:r w:rsidR="00E25C1F">
        <w:t>/</w:t>
      </w:r>
      <w:r>
        <w:t>ZS vyhlašují pravidelně časově vymezené výzvy k předkládání žádostí o podporu v rámci jednotlivých prioritních os a oblastí podpory.</w:t>
      </w:r>
    </w:p>
    <w:p w:rsidR="00C70BF2" w:rsidRPr="0049720A" w:rsidRDefault="00C70BF2" w:rsidP="0049720A">
      <w:pPr>
        <w:pStyle w:val="Odskoknadpis4"/>
        <w:rPr>
          <w:b/>
        </w:rPr>
      </w:pPr>
      <w:r w:rsidRPr="0049720A">
        <w:rPr>
          <w:b/>
        </w:rPr>
        <w:t>Hodnocení a výběr projektu</w:t>
      </w:r>
    </w:p>
    <w:p w:rsidR="00C70BF2" w:rsidRDefault="00C70BF2" w:rsidP="0049720A">
      <w:pPr>
        <w:pStyle w:val="Odskoknadpis4"/>
      </w:pPr>
      <w:r>
        <w:lastRenderedPageBreak/>
        <w:t>V termínech vyhlášených výzev jsou na ŘO</w:t>
      </w:r>
      <w:r w:rsidR="00E25C1F">
        <w:t>/</w:t>
      </w:r>
      <w:r>
        <w:t xml:space="preserve">ZS podávány žádosti o podporu, které musí být </w:t>
      </w:r>
      <w:r w:rsidR="00851EB1">
        <w:t>v </w:t>
      </w:r>
      <w:r>
        <w:t>souladu s cíli daného OP, z něhož chce žadatel prostředky čerpat. Podrobné podmínky finanční podpory jsou přesně nadefinovány ve vyhlášené výzvě. V rámci schvalovacího procesu ŘO</w:t>
      </w:r>
      <w:r w:rsidR="00E25C1F">
        <w:t>/</w:t>
      </w:r>
      <w:r>
        <w:t xml:space="preserve">ZS hodnotí podané žádosti a na základě předem definovaných výběrových kritérií vybírá projekty, jimž bude dotace udělena. </w:t>
      </w:r>
      <w:r w:rsidR="00FF5C49">
        <w:t>Ž</w:t>
      </w:r>
      <w:r>
        <w:t xml:space="preserve">adateli, jejichž žádosti splní stanovená kritéria, je </w:t>
      </w:r>
      <w:r w:rsidR="00FF5C49">
        <w:t>poskytnuta podpora formou</w:t>
      </w:r>
      <w:r w:rsidR="00AA08FF">
        <w:t xml:space="preserve"> </w:t>
      </w:r>
      <w:r>
        <w:t>právní</w:t>
      </w:r>
      <w:r w:rsidR="00FF5C49">
        <w:t>ho</w:t>
      </w:r>
      <w:r>
        <w:t xml:space="preserve"> akt</w:t>
      </w:r>
      <w:r w:rsidR="00FF5C49">
        <w:t>u</w:t>
      </w:r>
      <w:r>
        <w:t xml:space="preserve"> o poskytnutí dotace.</w:t>
      </w:r>
    </w:p>
    <w:p w:rsidR="00C70BF2" w:rsidRPr="0049720A" w:rsidRDefault="00C70BF2" w:rsidP="0049720A">
      <w:pPr>
        <w:pStyle w:val="Odskoknadpis4"/>
        <w:rPr>
          <w:b/>
        </w:rPr>
      </w:pPr>
      <w:r w:rsidRPr="0049720A">
        <w:rPr>
          <w:b/>
        </w:rPr>
        <w:t>Realizace a proplácení</w:t>
      </w:r>
    </w:p>
    <w:p w:rsidR="00C70BF2" w:rsidRDefault="00C70BF2" w:rsidP="0049720A">
      <w:pPr>
        <w:pStyle w:val="Odskoknadpis4"/>
      </w:pPr>
      <w:r>
        <w:t xml:space="preserve">Platby </w:t>
      </w:r>
      <w:r w:rsidR="00D37E5E">
        <w:t xml:space="preserve">konečným </w:t>
      </w:r>
      <w:r>
        <w:t xml:space="preserve">příjemcům podpory se realizují na základě žádostí o platbu, které </w:t>
      </w:r>
      <w:r w:rsidR="00D37E5E">
        <w:t xml:space="preserve">konečný </w:t>
      </w:r>
      <w:r>
        <w:t>příjemce předkládá na ŘO</w:t>
      </w:r>
      <w:r w:rsidR="00E25C1F">
        <w:t>/</w:t>
      </w:r>
      <w:r>
        <w:t xml:space="preserve">ZS. Platby </w:t>
      </w:r>
      <w:r w:rsidR="00D37E5E">
        <w:t xml:space="preserve">konečným </w:t>
      </w:r>
      <w:r>
        <w:t xml:space="preserve">příjemcům probíhají formou ex-post plateb (následné proplacení výdajů již vynaložených </w:t>
      </w:r>
      <w:r w:rsidR="00D37E5E">
        <w:t xml:space="preserve">konečným </w:t>
      </w:r>
      <w:r>
        <w:t xml:space="preserve">příjemcem) či formou ex-ante plateb (formou poskytnutí prostředků </w:t>
      </w:r>
      <w:r w:rsidR="00D37E5E">
        <w:t xml:space="preserve">konečnému </w:t>
      </w:r>
      <w:r>
        <w:t xml:space="preserve">příjemci před realizací jeho výdajů na projekt). Rozhodnutí o formě plateb </w:t>
      </w:r>
      <w:r w:rsidR="00D37E5E">
        <w:t xml:space="preserve">konečnému </w:t>
      </w:r>
      <w:r>
        <w:t xml:space="preserve">příjemci je plně v kompetenci ŘO po dohodě se správcem kapitoly státního rozpočtu. Při předkládání žádostí o platby </w:t>
      </w:r>
      <w:r w:rsidR="00D37E5E">
        <w:t xml:space="preserve">koneční </w:t>
      </w:r>
      <w:r>
        <w:t xml:space="preserve">příjemci odůvodní předkládané výdaje a prokážou, že odpovídají podmínkám realizace projektů obsažených </w:t>
      </w:r>
      <w:r w:rsidR="00851EB1">
        <w:t>v </w:t>
      </w:r>
      <w:r>
        <w:t>Rozhodnutí o poskytnutí dotace. Veškeré platební nároky musí být podloženy doklady, které prokážou, že se jedná o prostředky vynaložené efektivně, hospodárně, účelně a transparentně. Doklady o projektech musí být kdykoliv k dispozici pro kontroly a auditní šetření.</w:t>
      </w:r>
    </w:p>
    <w:p w:rsidR="00C70BF2" w:rsidRPr="0049720A" w:rsidRDefault="00C70BF2" w:rsidP="0049720A">
      <w:pPr>
        <w:pStyle w:val="Odskoknadpis4"/>
        <w:rPr>
          <w:b/>
        </w:rPr>
      </w:pPr>
      <w:r w:rsidRPr="0049720A">
        <w:rPr>
          <w:b/>
        </w:rPr>
        <w:t>Certifikace</w:t>
      </w:r>
    </w:p>
    <w:p w:rsidR="00AA08FF" w:rsidRDefault="00C70BF2" w:rsidP="0049720A">
      <w:pPr>
        <w:pStyle w:val="Odskoknadpis4"/>
      </w:pPr>
      <w:r>
        <w:t xml:space="preserve">Systém finančních toků (prostředků z rozpočtu EU) je založen na principu předfinancování </w:t>
      </w:r>
      <w:r w:rsidR="00851EB1">
        <w:t>ze </w:t>
      </w:r>
      <w:r>
        <w:t xml:space="preserve">státního rozpočtu (dále SR). To znamená, že podíl EU (až 85 %), který je určen </w:t>
      </w:r>
      <w:r w:rsidR="00851EB1">
        <w:t>na </w:t>
      </w:r>
      <w:r>
        <w:t xml:space="preserve">spolufinancování OP, je nejprve předfinancován z rozpočtu jednotlivých kapitol SR (ŘO) </w:t>
      </w:r>
      <w:r w:rsidR="00851EB1">
        <w:t>a až </w:t>
      </w:r>
      <w:r>
        <w:t xml:space="preserve">poté je podíl EU refundován zpět do dané kapitoly SR ze zdrojového účtu Platebního </w:t>
      </w:r>
      <w:r w:rsidR="00851EB1">
        <w:t>a </w:t>
      </w:r>
      <w:r>
        <w:t>certifikačního orgánu (dále PCO; odbor Národní fond MF). Aby bylo možné podíl EU předfinancovat ze SR, je nutné, aby jednotlivé kapitoly SR (ŘO) měly ve svém rozpočtu na daný rok dostatečné množství finančních prostředků</w:t>
      </w:r>
      <w:r w:rsidR="00AA08FF">
        <w:t>.</w:t>
      </w:r>
    </w:p>
    <w:p w:rsidR="00436E1E" w:rsidRDefault="00C70BF2" w:rsidP="0049720A">
      <w:pPr>
        <w:pStyle w:val="Odskoknadpis4"/>
      </w:pPr>
      <w:r>
        <w:t xml:space="preserve">Prostředky podílu národního financování ze zdrojů SR (15 %) jsou </w:t>
      </w:r>
      <w:r w:rsidR="00D37E5E">
        <w:t xml:space="preserve">konečným </w:t>
      </w:r>
      <w:r>
        <w:t>příjemcům uvolňovány stejným způsobem jako prostředky SR na předfinancování podílu EU (85 %)</w:t>
      </w:r>
    </w:p>
    <w:p w:rsidR="00021F68" w:rsidRPr="00D371A3" w:rsidRDefault="002921B3" w:rsidP="00636988">
      <w:pPr>
        <w:pStyle w:val="Titulek"/>
      </w:pPr>
      <w:bookmarkStart w:id="32" w:name="_Toc409446416"/>
      <w:r>
        <w:lastRenderedPageBreak/>
        <w:t xml:space="preserve">Schéma </w:t>
      </w:r>
      <w:fldSimple w:instr=" SEQ Schéma \* ARABIC ">
        <w:r w:rsidR="006C5EA3">
          <w:rPr>
            <w:noProof/>
          </w:rPr>
          <w:t>8</w:t>
        </w:r>
      </w:fldSimple>
      <w:r w:rsidR="0006108B">
        <w:t>:</w:t>
      </w:r>
      <w:r w:rsidR="0006108B">
        <w:tab/>
        <w:t>Finanční toky</w:t>
      </w:r>
      <w:r w:rsidR="00021F68">
        <w:t xml:space="preserve"> </w:t>
      </w:r>
      <w:r w:rsidR="00D106C4">
        <w:t xml:space="preserve">vztažené </w:t>
      </w:r>
      <w:r w:rsidR="00021F68">
        <w:t xml:space="preserve">k projektu žadatele prostřednictvím </w:t>
      </w:r>
      <w:r w:rsidR="00021F68" w:rsidRPr="00D371A3">
        <w:t>dotace</w:t>
      </w:r>
      <w:r w:rsidR="00021F68">
        <w:t xml:space="preserve"> (v případě platby ex post)</w:t>
      </w:r>
      <w:bookmarkEnd w:id="32"/>
    </w:p>
    <w:p w:rsidR="005C20A1" w:rsidRDefault="0055330E" w:rsidP="0006108B">
      <w:pPr>
        <w:pStyle w:val="Odskoknadpis4"/>
        <w:jc w:val="center"/>
      </w:pPr>
      <w:r>
        <w:rPr>
          <w:noProof/>
          <w:lang w:eastAsia="cs-CZ"/>
        </w:rPr>
        <w:drawing>
          <wp:inline distT="0" distB="0" distL="0" distR="0" wp14:anchorId="5BD6A680" wp14:editId="54BE633A">
            <wp:extent cx="4596130" cy="4993640"/>
            <wp:effectExtent l="19050" t="0" r="0" b="0"/>
            <wp:docPr id="9"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9"/>
                    <a:srcRect/>
                    <a:stretch>
                      <a:fillRect/>
                    </a:stretch>
                  </pic:blipFill>
                  <pic:spPr bwMode="auto">
                    <a:xfrm>
                      <a:off x="0" y="0"/>
                      <a:ext cx="4596130" cy="4993640"/>
                    </a:xfrm>
                    <a:prstGeom prst="rect">
                      <a:avLst/>
                    </a:prstGeom>
                    <a:noFill/>
                    <a:ln w="9525">
                      <a:noFill/>
                      <a:miter lim="800000"/>
                      <a:headEnd/>
                      <a:tailEnd/>
                    </a:ln>
                  </pic:spPr>
                </pic:pic>
              </a:graphicData>
            </a:graphic>
          </wp:inline>
        </w:drawing>
      </w:r>
    </w:p>
    <w:p w:rsidR="0006108B" w:rsidRPr="0006108B" w:rsidRDefault="0006108B" w:rsidP="0006108B">
      <w:pPr>
        <w:pStyle w:val="Odskoknadpis4"/>
        <w:rPr>
          <w:i/>
          <w:color w:val="548DD4"/>
        </w:rPr>
      </w:pPr>
      <w:r w:rsidRPr="0006108B">
        <w:rPr>
          <w:i/>
          <w:color w:val="548DD4"/>
        </w:rPr>
        <w:t>Zdroj: Ministerstvo pro m</w:t>
      </w:r>
      <w:r w:rsidR="00A25665">
        <w:rPr>
          <w:i/>
          <w:color w:val="548DD4"/>
        </w:rPr>
        <w:t>í</w:t>
      </w:r>
      <w:r w:rsidRPr="0006108B">
        <w:rPr>
          <w:i/>
          <w:color w:val="548DD4"/>
        </w:rPr>
        <w:t>stní rozvoj</w:t>
      </w:r>
    </w:p>
    <w:p w:rsidR="00B16F90" w:rsidRPr="00171265" w:rsidRDefault="00B16F90" w:rsidP="00171265">
      <w:pPr>
        <w:pStyle w:val="Odstavecseseznamem"/>
        <w:keepNext/>
        <w:numPr>
          <w:ilvl w:val="0"/>
          <w:numId w:val="32"/>
        </w:numPr>
        <w:ind w:left="924" w:hanging="357"/>
        <w:rPr>
          <w:b/>
          <w:color w:val="548DD4"/>
        </w:rPr>
      </w:pPr>
      <w:r w:rsidRPr="00171265">
        <w:rPr>
          <w:b/>
          <w:color w:val="548DD4"/>
        </w:rPr>
        <w:t>Průběh procesu při vytvoření finančního nástroje</w:t>
      </w:r>
    </w:p>
    <w:p w:rsidR="00884141" w:rsidRPr="0049720A" w:rsidRDefault="00884141" w:rsidP="0006108B">
      <w:pPr>
        <w:pStyle w:val="Odskoknadpis4"/>
        <w:keepNext/>
        <w:rPr>
          <w:b/>
        </w:rPr>
      </w:pPr>
      <w:r w:rsidRPr="0049720A">
        <w:rPr>
          <w:b/>
        </w:rPr>
        <w:t xml:space="preserve">Vytvoření </w:t>
      </w:r>
      <w:r w:rsidR="006B1653">
        <w:rPr>
          <w:b/>
        </w:rPr>
        <w:t>IFN</w:t>
      </w:r>
    </w:p>
    <w:p w:rsidR="009259FE" w:rsidRDefault="009259FE" w:rsidP="00171265">
      <w:pPr>
        <w:pStyle w:val="Odskoknadpis4"/>
        <w:keepNext/>
      </w:pPr>
      <w:r>
        <w:t>ŘO</w:t>
      </w:r>
      <w:r w:rsidR="00E25C1F">
        <w:t>/</w:t>
      </w:r>
      <w:r>
        <w:t xml:space="preserve">ZS vytváří </w:t>
      </w:r>
      <w:r w:rsidR="00787752">
        <w:t>mechanizm</w:t>
      </w:r>
      <w:r>
        <w:t xml:space="preserve">us </w:t>
      </w:r>
      <w:r w:rsidR="006B1653">
        <w:t>IFN</w:t>
      </w:r>
      <w:r>
        <w:t xml:space="preserve"> na základě </w:t>
      </w:r>
      <w:r w:rsidRPr="009C67E4">
        <w:t>ex-ante</w:t>
      </w:r>
      <w:r>
        <w:t xml:space="preserve"> analýzy tj</w:t>
      </w:r>
      <w:r w:rsidR="0089495C">
        <w:t>. definuje</w:t>
      </w:r>
      <w:r>
        <w:t xml:space="preserve"> obsah, konečného příjemce, typ </w:t>
      </w:r>
      <w:r w:rsidR="006B1653">
        <w:t>IFN</w:t>
      </w:r>
      <w:r>
        <w:t xml:space="preserve"> a jeho parametry, zapojení dalších finančních zdrojů, kontrolní </w:t>
      </w:r>
      <w:r w:rsidR="00787752">
        <w:t>mechanizm</w:t>
      </w:r>
      <w:r>
        <w:t xml:space="preserve">y </w:t>
      </w:r>
      <w:r w:rsidR="00851EB1">
        <w:t>a </w:t>
      </w:r>
      <w:r w:rsidR="00884141">
        <w:t xml:space="preserve">způsob distribuce </w:t>
      </w:r>
      <w:r w:rsidR="006B1653">
        <w:t>IFN</w:t>
      </w:r>
      <w:r w:rsidR="00884141">
        <w:t xml:space="preserve"> konečnému příjemci</w:t>
      </w:r>
      <w:r>
        <w:t>.</w:t>
      </w:r>
    </w:p>
    <w:p w:rsidR="00884141" w:rsidRDefault="00884141" w:rsidP="0049720A">
      <w:pPr>
        <w:pStyle w:val="Odskoknadpis4"/>
      </w:pPr>
      <w:r>
        <w:t xml:space="preserve">Dále řídící orgán vkládá do </w:t>
      </w:r>
      <w:r w:rsidR="00420428">
        <w:t>IFN</w:t>
      </w:r>
      <w:r>
        <w:t xml:space="preserve"> své rozpočtové prostředky.</w:t>
      </w:r>
    </w:p>
    <w:p w:rsidR="00884141" w:rsidRPr="0049720A" w:rsidRDefault="00884141" w:rsidP="0049720A">
      <w:pPr>
        <w:pStyle w:val="Odskoknadpis4"/>
        <w:rPr>
          <w:b/>
        </w:rPr>
      </w:pPr>
      <w:r w:rsidRPr="0049720A">
        <w:rPr>
          <w:b/>
        </w:rPr>
        <w:t>Refundace do státního rozpočtu a certifikace</w:t>
      </w:r>
    </w:p>
    <w:p w:rsidR="00884141" w:rsidRDefault="00884141" w:rsidP="0049720A">
      <w:pPr>
        <w:pStyle w:val="Odskoknadpis4"/>
      </w:pPr>
      <w:r>
        <w:t>V</w:t>
      </w:r>
      <w:r w:rsidR="006B1653">
        <w:t> </w:t>
      </w:r>
      <w:r>
        <w:t>okamžiku</w:t>
      </w:r>
      <w:r w:rsidR="006B1653">
        <w:t>,</w:t>
      </w:r>
      <w:r>
        <w:t xml:space="preserve"> kdy došlo k založení </w:t>
      </w:r>
      <w:r w:rsidR="006B1653">
        <w:t>IFN</w:t>
      </w:r>
      <w:r>
        <w:t xml:space="preserve"> a jeho faktickému naplnění vložením finančních zdrojů </w:t>
      </w:r>
      <w:r w:rsidR="00851EB1">
        <w:t>ze </w:t>
      </w:r>
      <w:r>
        <w:t xml:space="preserve">zdrojů ŘO, dochází k žádosti o proplacení ze státního rozpočtu a následně také k certifikaci </w:t>
      </w:r>
      <w:r w:rsidR="00851EB1">
        <w:t>ze </w:t>
      </w:r>
      <w:r>
        <w:t xml:space="preserve">zdrojového účtu Platebního a certifikačního orgánu (dále PCO; odbor Národní fond MF). Platí zde tedy stejné pravidlo jako u dotačních titulů, kdy první platby jsou vždy předfinancovány </w:t>
      </w:r>
      <w:r w:rsidR="00851EB1">
        <w:t>a </w:t>
      </w:r>
      <w:r>
        <w:t>následně propláceny ze SR</w:t>
      </w:r>
      <w:r w:rsidR="006B1653">
        <w:t>,</w:t>
      </w:r>
      <w:r>
        <w:t xml:space="preserve"> případně pak z EU rozpočtu</w:t>
      </w:r>
      <w:r w:rsidR="00212CAA">
        <w:t>.</w:t>
      </w:r>
      <w:r>
        <w:t xml:space="preserve"> </w:t>
      </w:r>
      <w:r w:rsidR="00212CAA">
        <w:t>T</w:t>
      </w:r>
      <w:r>
        <w:t>ento proces je</w:t>
      </w:r>
      <w:r w:rsidR="00212CAA">
        <w:t xml:space="preserve"> ovšem</w:t>
      </w:r>
      <w:r>
        <w:t xml:space="preserve"> mnohonásobně kratší, protože k naplnění nejdelšího časového úseku v podobě realizace projektů dochází </w:t>
      </w:r>
      <w:r w:rsidR="00851EB1">
        <w:t>až </w:t>
      </w:r>
      <w:r>
        <w:t>následně a již ze zdrojů plně proplacených z EU.</w:t>
      </w:r>
    </w:p>
    <w:p w:rsidR="00884141" w:rsidRPr="0049720A" w:rsidRDefault="00884141" w:rsidP="0049720A">
      <w:pPr>
        <w:pStyle w:val="Odskoknadpis4"/>
        <w:rPr>
          <w:b/>
        </w:rPr>
      </w:pPr>
      <w:r w:rsidRPr="0049720A">
        <w:rPr>
          <w:b/>
        </w:rPr>
        <w:t>Realizace projektů</w:t>
      </w:r>
    </w:p>
    <w:p w:rsidR="00884141" w:rsidRDefault="00884141" w:rsidP="0049720A">
      <w:pPr>
        <w:pStyle w:val="Odskoknadpis4"/>
      </w:pPr>
      <w:r>
        <w:lastRenderedPageBreak/>
        <w:t xml:space="preserve">Platby </w:t>
      </w:r>
      <w:r w:rsidR="004667A4">
        <w:t xml:space="preserve">konečným </w:t>
      </w:r>
      <w:r>
        <w:t xml:space="preserve">příjemcům </w:t>
      </w:r>
      <w:r w:rsidR="0089495C">
        <w:t>z </w:t>
      </w:r>
      <w:r w:rsidR="006B1653">
        <w:t>IFN</w:t>
      </w:r>
      <w:r>
        <w:t xml:space="preserve"> se realizují na základě žádostí o platbu,</w:t>
      </w:r>
      <w:r w:rsidR="006B1653">
        <w:t xml:space="preserve"> které </w:t>
      </w:r>
      <w:r w:rsidR="004667A4">
        <w:t xml:space="preserve">konečný </w:t>
      </w:r>
      <w:r w:rsidR="006B1653">
        <w:t>příjemce předkládá na ŘO</w:t>
      </w:r>
      <w:r w:rsidR="00E25C1F">
        <w:t>/</w:t>
      </w:r>
      <w:r>
        <w:t xml:space="preserve">ZS. </w:t>
      </w:r>
      <w:r w:rsidR="0089495C">
        <w:t xml:space="preserve">Nicméně tyto platby jsou poskytovány přímo řídícím orgánem, finančním zprostředkovatelem (bankou) nebo samotným </w:t>
      </w:r>
      <w:r w:rsidR="006B1653">
        <w:t>IFN</w:t>
      </w:r>
      <w:r w:rsidR="0089495C">
        <w:t xml:space="preserve"> (pokud je zřízen v podobě právnické osoby a chová se jako samosprávný subjekt – například investiční fond). </w:t>
      </w:r>
      <w:r>
        <w:t xml:space="preserve">Platby </w:t>
      </w:r>
      <w:r w:rsidR="004667A4">
        <w:t xml:space="preserve">konečným </w:t>
      </w:r>
      <w:r>
        <w:t>př</w:t>
      </w:r>
      <w:r w:rsidR="0089495C">
        <w:t xml:space="preserve">íjemcům probíhají formou </w:t>
      </w:r>
      <w:r w:rsidR="0089495C" w:rsidRPr="009C67E4">
        <w:t>ex-ante</w:t>
      </w:r>
      <w:r w:rsidR="0089495C">
        <w:t xml:space="preserve"> </w:t>
      </w:r>
      <w:r>
        <w:t xml:space="preserve">plateb </w:t>
      </w:r>
      <w:r w:rsidR="0089495C">
        <w:t>(kapitálový vklad, úvěr atd.).</w:t>
      </w:r>
      <w:r>
        <w:t xml:space="preserve"> Při</w:t>
      </w:r>
      <w:r w:rsidR="00D30D90">
        <w:t> </w:t>
      </w:r>
      <w:r>
        <w:t xml:space="preserve">předkládání žádostí o platby </w:t>
      </w:r>
      <w:r w:rsidR="004667A4">
        <w:t xml:space="preserve">koneční </w:t>
      </w:r>
      <w:r>
        <w:t>příjemci odůvodní předkládané výdaje a prokážou, že</w:t>
      </w:r>
      <w:r w:rsidR="00D30D90">
        <w:t> </w:t>
      </w:r>
      <w:r>
        <w:t>odpovídají podmínkám realizace projektů obsažených v</w:t>
      </w:r>
      <w:r w:rsidR="0089495C">
        <w:t xml:space="preserve"> definici </w:t>
      </w:r>
      <w:r w:rsidR="006B1653">
        <w:t>IFN</w:t>
      </w:r>
      <w:r>
        <w:t>. Veškeré platební nároky musí být podloženy doklady, které prokážou, že se jedná o prostředky vynaložené efektivně, hospodárně, účelně a transparentně. Doklady o projektech musí být kdykoliv k dispozici pro</w:t>
      </w:r>
      <w:r w:rsidR="00D30D90">
        <w:t> </w:t>
      </w:r>
      <w:r>
        <w:t>kontroly a auditní šetření.</w:t>
      </w:r>
    </w:p>
    <w:p w:rsidR="0049018B" w:rsidRPr="00D371A3" w:rsidRDefault="002921B3" w:rsidP="00636988">
      <w:pPr>
        <w:pStyle w:val="Titulek"/>
      </w:pPr>
      <w:bookmarkStart w:id="33" w:name="_Toc409446417"/>
      <w:r>
        <w:t xml:space="preserve">Schéma </w:t>
      </w:r>
      <w:fldSimple w:instr=" SEQ Schéma \* ARABIC ">
        <w:r w:rsidR="006C5EA3">
          <w:rPr>
            <w:noProof/>
          </w:rPr>
          <w:t>9</w:t>
        </w:r>
      </w:fldSimple>
      <w:r w:rsidR="0006108B">
        <w:t>:</w:t>
      </w:r>
      <w:r w:rsidR="0006108B">
        <w:tab/>
        <w:t>Finanční toky</w:t>
      </w:r>
      <w:r w:rsidR="0049018B" w:rsidRPr="00D371A3">
        <w:t xml:space="preserve"> </w:t>
      </w:r>
      <w:r w:rsidR="0006108B">
        <w:t>IFN</w:t>
      </w:r>
      <w:bookmarkEnd w:id="33"/>
    </w:p>
    <w:p w:rsidR="0089495C" w:rsidRDefault="00666204" w:rsidP="00171265">
      <w:pPr>
        <w:pStyle w:val="Odskoknadpis4"/>
        <w:jc w:val="center"/>
      </w:pPr>
      <w:r>
        <w:rPr>
          <w:noProof/>
          <w:lang w:eastAsia="cs-CZ"/>
        </w:rPr>
        <w:drawing>
          <wp:inline distT="0" distB="0" distL="0" distR="0" wp14:anchorId="384450AE" wp14:editId="2FD803A5">
            <wp:extent cx="4254371" cy="3751521"/>
            <wp:effectExtent l="19050" t="0" r="0" b="0"/>
            <wp:docPr id="4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54003" cy="3751197"/>
                    </a:xfrm>
                    <a:prstGeom prst="rect">
                      <a:avLst/>
                    </a:prstGeom>
                    <a:noFill/>
                    <a:ln w="9525">
                      <a:noFill/>
                      <a:miter lim="800000"/>
                      <a:headEnd/>
                      <a:tailEnd/>
                    </a:ln>
                  </pic:spPr>
                </pic:pic>
              </a:graphicData>
            </a:graphic>
          </wp:inline>
        </w:drawing>
      </w:r>
    </w:p>
    <w:p w:rsidR="00C10166" w:rsidRDefault="00C10166" w:rsidP="0049720A">
      <w:pPr>
        <w:pStyle w:val="Odskoknadpis4"/>
      </w:pPr>
      <w:r>
        <w:t xml:space="preserve">U </w:t>
      </w:r>
      <w:r w:rsidR="0089495C">
        <w:t>IFN</w:t>
      </w:r>
      <w:r>
        <w:t xml:space="preserve"> je </w:t>
      </w:r>
      <w:r w:rsidR="0089495C">
        <w:t>certifikace a žádost o proplacení z EU zdrojů možná již v okamžiku vzniku IFN</w:t>
      </w:r>
      <w:r w:rsidR="00DD64FB">
        <w:t>,</w:t>
      </w:r>
      <w:r w:rsidR="0089495C">
        <w:t xml:space="preserve"> </w:t>
      </w:r>
      <w:r w:rsidR="00DD64FB">
        <w:t xml:space="preserve">čili </w:t>
      </w:r>
      <w:r w:rsidR="0089495C">
        <w:t>před zahájením jeho faktické činnosti.</w:t>
      </w:r>
      <w:r>
        <w:t xml:space="preserve"> </w:t>
      </w:r>
      <w:r w:rsidR="00B80FD0">
        <w:t>Doba na proplacení ze zdrojů EK se tak významně urychluje a IFN po proplacení zdrojů z EU již poskytuje prostředky projektům</w:t>
      </w:r>
      <w:r w:rsidR="0096458A">
        <w:t>,</w:t>
      </w:r>
      <w:r w:rsidR="00B80FD0">
        <w:t xml:space="preserve"> bez nutnosti </w:t>
      </w:r>
      <w:r w:rsidR="0096458A">
        <w:t>vykrývat dobu projektu z národních zdrojů</w:t>
      </w:r>
      <w:r w:rsidR="006B1653">
        <w:t>.</w:t>
      </w:r>
      <w:r>
        <w:t xml:space="preserve"> </w:t>
      </w:r>
      <w:r w:rsidR="0081599D">
        <w:t xml:space="preserve">Zrychlené zapojení evropských zdrojů </w:t>
      </w:r>
      <w:r>
        <w:t xml:space="preserve">snižuje nároky jak na rozpočet ČR, tak i na rozpočty konečných příjemců. EK si je vědoma toho, že by mohla existovat snaha jednotlivých zemí k okamžitému převedení prostředků do </w:t>
      </w:r>
      <w:r w:rsidR="00420428">
        <w:t>IFN</w:t>
      </w:r>
      <w:r>
        <w:t xml:space="preserve">, což by vedlo </w:t>
      </w:r>
      <w:r w:rsidR="00851EB1">
        <w:t>k </w:t>
      </w:r>
      <w:r>
        <w:t xml:space="preserve">neúměrnému tlaku na rozpočet EU. Proto musí být prostředky do </w:t>
      </w:r>
      <w:r w:rsidR="00420428">
        <w:t>IFN</w:t>
      </w:r>
      <w:r>
        <w:t xml:space="preserve"> vkládány alespoň </w:t>
      </w:r>
      <w:r w:rsidR="00851EB1">
        <w:t>ve 4 </w:t>
      </w:r>
      <w:r>
        <w:t>tranších a teprve v okamžiku, kdy došlo k vyčerpání většiny prostředků z první tranše, je</w:t>
      </w:r>
      <w:r w:rsidR="00D30D90">
        <w:t> </w:t>
      </w:r>
      <w:r>
        <w:t>možné do nástroje poskytnout další tranši</w:t>
      </w:r>
      <w:r w:rsidR="00B80FD0">
        <w:rPr>
          <w:rStyle w:val="Znakapoznpodarou"/>
        </w:rPr>
        <w:footnoteReference w:id="67"/>
      </w:r>
      <w:r>
        <w:t>. To však nijak nezmenšuje klad tohoto principu jako celku a také dává delší prostor pro efektivní zapojení prostředků u konečných příjemců bez tlaku na dodržení pravidla N+</w:t>
      </w:r>
      <w:r w:rsidR="00755E19">
        <w:t>3.</w:t>
      </w:r>
    </w:p>
    <w:p w:rsidR="00C10166" w:rsidRPr="00AD4C0A" w:rsidRDefault="0066560A" w:rsidP="00171265">
      <w:pPr>
        <w:pStyle w:val="Nadpis4"/>
      </w:pPr>
      <w:r>
        <w:lastRenderedPageBreak/>
        <w:t>I</w:t>
      </w:r>
      <w:r w:rsidR="0089495C">
        <w:t xml:space="preserve">nvestiční </w:t>
      </w:r>
      <w:r w:rsidR="00C10166" w:rsidRPr="00AD4C0A">
        <w:t>riziko zapojení ze strany státu</w:t>
      </w:r>
    </w:p>
    <w:p w:rsidR="00C10166" w:rsidRDefault="00C10166" w:rsidP="0049720A">
      <w:pPr>
        <w:pStyle w:val="Odskoknadpis4"/>
      </w:pPr>
      <w:r>
        <w:t xml:space="preserve">Vzhledem k tomu, že </w:t>
      </w:r>
      <w:r w:rsidR="00A56B56">
        <w:t>IFN</w:t>
      </w:r>
      <w:r>
        <w:t xml:space="preserve"> jsou</w:t>
      </w:r>
      <w:r w:rsidR="00021F68">
        <w:t xml:space="preserve"> omezeny</w:t>
      </w:r>
      <w:r>
        <w:t xml:space="preserve"> velikostí alokace prostředků do jednoho </w:t>
      </w:r>
      <w:r w:rsidR="00420428">
        <w:t>IFN</w:t>
      </w:r>
      <w:r w:rsidR="0081599D">
        <w:t xml:space="preserve"> z</w:t>
      </w:r>
      <w:r w:rsidR="00DD64FB">
        <w:t>e</w:t>
      </w:r>
      <w:r w:rsidR="0081599D">
        <w:t>  zdrojů</w:t>
      </w:r>
      <w:r w:rsidR="00DD64FB" w:rsidRPr="00DD64FB">
        <w:t xml:space="preserve"> </w:t>
      </w:r>
      <w:r w:rsidR="00DD64FB">
        <w:t>EU</w:t>
      </w:r>
      <w:r>
        <w:t xml:space="preserve">, </w:t>
      </w:r>
      <w:r w:rsidR="006B5A7F">
        <w:t xml:space="preserve">odpovídá </w:t>
      </w:r>
      <w:r>
        <w:t>maximální riziko, které nese stát</w:t>
      </w:r>
      <w:r w:rsidR="006B5A7F">
        <w:t>,</w:t>
      </w:r>
      <w:r>
        <w:t xml:space="preserve"> </w:t>
      </w:r>
      <w:r w:rsidR="006B5A7F">
        <w:t xml:space="preserve">pouze </w:t>
      </w:r>
      <w:r>
        <w:t>velikost</w:t>
      </w:r>
      <w:r w:rsidR="006B5A7F">
        <w:t>i</w:t>
      </w:r>
      <w:r>
        <w:t xml:space="preserve"> </w:t>
      </w:r>
      <w:r w:rsidR="00E25934">
        <w:t>částky, kterou stát vloží do IFN z národních zdrojů</w:t>
      </w:r>
      <w:r w:rsidR="0089495C">
        <w:rPr>
          <w:rStyle w:val="Znakapoznpodarou"/>
        </w:rPr>
        <w:footnoteReference w:id="68"/>
      </w:r>
      <w:r w:rsidR="006B5A7F">
        <w:t>. Nejsou tedy třeba žádné</w:t>
      </w:r>
      <w:r>
        <w:t xml:space="preserve"> další dodatečné státní záruky, které by mohly mít případně negativní vliv na státní rozpočet. </w:t>
      </w:r>
      <w:r w:rsidR="00DD64FB">
        <w:t>V</w:t>
      </w:r>
      <w:r>
        <w:t xml:space="preserve">zhledem k zapojení jednoho nástroje do mnoha projektů, </w:t>
      </w:r>
      <w:r w:rsidR="0081599D">
        <w:t>dochází k tvorbě celého portfolia finančních toků a vzniká t</w:t>
      </w:r>
      <w:r>
        <w:t>ak diverzifikované riziko investic</w:t>
      </w:r>
      <w:r w:rsidR="0081599D">
        <w:t>,</w:t>
      </w:r>
      <w:r>
        <w:t xml:space="preserve"> což významně snižuje celkové riziko nasazení</w:t>
      </w:r>
      <w:r w:rsidR="00AD4C0A">
        <w:t xml:space="preserve"> nástroje a prodělku prostředků</w:t>
      </w:r>
      <w:r w:rsidR="0081599D">
        <w:rPr>
          <w:rStyle w:val="Znakapoznpodarou"/>
        </w:rPr>
        <w:footnoteReference w:id="69"/>
      </w:r>
      <w:r>
        <w:t>.</w:t>
      </w:r>
    </w:p>
    <w:p w:rsidR="000C0B4C" w:rsidRDefault="0089495C" w:rsidP="0049720A">
      <w:pPr>
        <w:pStyle w:val="Odskoknadpis4"/>
      </w:pPr>
      <w:r>
        <w:t xml:space="preserve">Toto ovšem platí, pokud samotný IFN a jeho správce neporuší své povinnosti, tj. nedojde k porušení pravidel EK při čerpání prostředků. Pokud </w:t>
      </w:r>
      <w:r w:rsidR="00236256">
        <w:t>k porušení pravidel dojde</w:t>
      </w:r>
      <w:r w:rsidR="009A3FEA">
        <w:t>, riziko dodatečných plateb ze státního rozpočtu za IFN jako celek</w:t>
      </w:r>
      <w:r w:rsidR="009A3FEA" w:rsidDel="00236256">
        <w:t xml:space="preserve"> </w:t>
      </w:r>
      <w:r>
        <w:t>se naopak zvyšuje. Vzhledem k tomu, že IFN musí být před jejich spuštěním notifikovány ze strany EK (pokud nejde o off-the-shelf IFN</w:t>
      </w:r>
      <w:r w:rsidR="008E048E">
        <w:t xml:space="preserve"> nebo jiné pravidlo např. de minimis nebo blokovou výjimku GEBR a podobně</w:t>
      </w:r>
      <w:r>
        <w:t>) je třeba, aby celé řízení bylo co nejrobus</w:t>
      </w:r>
      <w:r w:rsidR="00780976">
        <w:t>t</w:t>
      </w:r>
      <w:r>
        <w:t xml:space="preserve">nější. EK proto zdůrazňuje zvýšenou míru transparentnosti a řízení </w:t>
      </w:r>
      <w:r w:rsidR="00420428">
        <w:t>IFN</w:t>
      </w:r>
      <w:r>
        <w:t xml:space="preserve"> z důvodu odlišných principů oproti dotačním schématům (zapojení regulovaných finančních institucí a sound financial management).</w:t>
      </w:r>
    </w:p>
    <w:p w:rsidR="009D4E1C" w:rsidRDefault="0066560A" w:rsidP="0049720A">
      <w:pPr>
        <w:pStyle w:val="Odskoknadpis4"/>
      </w:pPr>
      <w:r>
        <w:t xml:space="preserve">Klíčové je tedy samotné nastavení, realizace a také správa IFN tak, aby vše bylo v souladu s nařízeními a pravidly EK a nedocházelo tak ke korekcím čerpání ESIF s následným krytím těchto situací ze státního rozpočtu. V případě, že bude tomuto faktu věnována dostatečná pozornost, potom již z pohledu státu není tolik rozhodující, </w:t>
      </w:r>
      <w:r w:rsidR="00A8769C">
        <w:t>k</w:t>
      </w:r>
      <w:r>
        <w:t>olik prostředků se z IFN zpět vrátí ve prospěch ČR, ale jaké celkové množství investičních zdrojů se zapojí díky IFN do podpory hospodářského růstu a jednotlivých témat. Zjednodušeně řečeno, v případě poskytování dotací se</w:t>
      </w:r>
      <w:r w:rsidR="00851EB1">
        <w:t> </w:t>
      </w:r>
      <w:r>
        <w:t>zpět ČR nevrací žádná část poskytnutých dotací z </w:t>
      </w:r>
      <w:r w:rsidR="009817ED">
        <w:t>ESIF</w:t>
      </w:r>
      <w:r>
        <w:t>. Pokud ale ESIF např. iniciují zapojení 15</w:t>
      </w:r>
      <w:r w:rsidR="009D4E1C">
        <w:t>-</w:t>
      </w:r>
      <w:r>
        <w:t xml:space="preserve">ti násobku dalších investičních zdrojů, pak je pro ČR a celou EU podstatný makroekonomický dopad masivních investic více, než suma prostředků, která se z EU zdrojů v podobě </w:t>
      </w:r>
      <w:r w:rsidR="009817ED">
        <w:t>ESIF</w:t>
      </w:r>
      <w:r>
        <w:t xml:space="preserve"> vrátí zpět k opětovnému použití. Charakter IFN tak, jak ho navrhla EK</w:t>
      </w:r>
      <w:r w:rsidR="009D4E1C">
        <w:t>,</w:t>
      </w:r>
      <w:r>
        <w:t xml:space="preserve"> má vyrovnávat sub</w:t>
      </w:r>
      <w:r w:rsidR="009D4E1C">
        <w:t>-</w:t>
      </w:r>
      <w:r>
        <w:t>optimální investiční situace na trhu a brát na sebe větší investiční rizika. Z pohledu ČR je ale podstatné, že</w:t>
      </w:r>
      <w:r w:rsidR="00D30D90">
        <w:t> </w:t>
      </w:r>
      <w:r>
        <w:t>tato rizika jsou vázána na zdroje poskytnuté ČR z </w:t>
      </w:r>
      <w:r w:rsidR="009D4E1C">
        <w:t>e</w:t>
      </w:r>
      <w:r>
        <w:t xml:space="preserve">vropského rozpočtu a není kladen požadavek, aby </w:t>
      </w:r>
      <w:r w:rsidR="009D4E1C">
        <w:t xml:space="preserve">na sebe </w:t>
      </w:r>
      <w:r>
        <w:t>tato rizika brala přímo ČR. Z investičního pohledu je to pro ČR velmi příznivá situace, kdy na krytí rizik jsou poskytnuty EU zdroje, a</w:t>
      </w:r>
      <w:r w:rsidR="00851EB1">
        <w:t> </w:t>
      </w:r>
      <w:r>
        <w:t xml:space="preserve">vhodné nastavení IFN může iniciovat další dodatečné investice. </w:t>
      </w:r>
    </w:p>
    <w:p w:rsidR="00AE0372" w:rsidRDefault="0066560A" w:rsidP="0049720A">
      <w:pPr>
        <w:pStyle w:val="Odskoknadpis4"/>
      </w:pPr>
      <w:r>
        <w:t xml:space="preserve">Z pohledu ČR tak zůstává klíčová odpovědnost za precizní </w:t>
      </w:r>
      <w:r w:rsidR="00346684">
        <w:t>nastavení</w:t>
      </w:r>
      <w:r>
        <w:t xml:space="preserve"> implementačních struktur jednotlivých IFN a řízení IFN jako celku, tak, aby vše bylo v souladu s pravidly a nařízeními EK a nedocházelo tak ke korekcím při čerpání na vrub státního rozpočtu ČR.</w:t>
      </w:r>
      <w:r w:rsidR="009D4E1C">
        <w:t xml:space="preserve"> </w:t>
      </w:r>
      <w:r w:rsidR="00AE0372">
        <w:t>Příkladem může být porušení pravidel EK v programovém období 2007-2013 ze strany implementace IFN prostřednictvím ČMZRB, které znamenalo korekce v čerpání a následný dopad na SR</w:t>
      </w:r>
      <w:r w:rsidR="00AE0372">
        <w:rPr>
          <w:rStyle w:val="Znakapoznpodarou"/>
        </w:rPr>
        <w:footnoteReference w:id="70"/>
      </w:r>
      <w:r w:rsidR="00AE0372">
        <w:t>.</w:t>
      </w:r>
    </w:p>
    <w:p w:rsidR="000F0F6F" w:rsidRPr="00D371A3" w:rsidRDefault="002921B3" w:rsidP="00636988">
      <w:pPr>
        <w:pStyle w:val="Titulek"/>
      </w:pPr>
      <w:bookmarkStart w:id="34" w:name="_Toc409446418"/>
      <w:r>
        <w:lastRenderedPageBreak/>
        <w:t xml:space="preserve">Schéma </w:t>
      </w:r>
      <w:fldSimple w:instr=" SEQ Schéma \* ARABIC ">
        <w:r w:rsidR="006C5EA3">
          <w:rPr>
            <w:noProof/>
          </w:rPr>
          <w:t>10</w:t>
        </w:r>
      </w:fldSimple>
      <w:r w:rsidR="0006108B">
        <w:t>:</w:t>
      </w:r>
      <w:r w:rsidR="0006108B">
        <w:tab/>
        <w:t>P</w:t>
      </w:r>
      <w:r w:rsidR="000F0F6F" w:rsidRPr="00D371A3">
        <w:t>růběh dotace</w:t>
      </w:r>
      <w:bookmarkEnd w:id="34"/>
    </w:p>
    <w:p w:rsidR="003B564E" w:rsidRDefault="004C114B" w:rsidP="003B564E">
      <w:pPr>
        <w:pStyle w:val="Odskoknadpis4"/>
        <w:jc w:val="center"/>
      </w:pPr>
      <w:r>
        <w:rPr>
          <w:noProof/>
          <w:lang w:eastAsia="cs-CZ"/>
        </w:rPr>
        <w:drawing>
          <wp:inline distT="0" distB="0" distL="0" distR="0" wp14:anchorId="171C8936" wp14:editId="3CC89710">
            <wp:extent cx="4921068" cy="2059317"/>
            <wp:effectExtent l="1905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a:srcRect/>
                    <a:stretch>
                      <a:fillRect/>
                    </a:stretch>
                  </pic:blipFill>
                  <pic:spPr bwMode="auto">
                    <a:xfrm>
                      <a:off x="0" y="0"/>
                      <a:ext cx="4919997" cy="2058869"/>
                    </a:xfrm>
                    <a:prstGeom prst="rect">
                      <a:avLst/>
                    </a:prstGeom>
                    <a:noFill/>
                    <a:ln w="9525">
                      <a:noFill/>
                      <a:miter lim="800000"/>
                      <a:headEnd/>
                      <a:tailEnd/>
                    </a:ln>
                  </pic:spPr>
                </pic:pic>
              </a:graphicData>
            </a:graphic>
          </wp:inline>
        </w:drawing>
      </w:r>
    </w:p>
    <w:p w:rsidR="009900D0" w:rsidRPr="00D371A3" w:rsidRDefault="002921B3" w:rsidP="00636988">
      <w:pPr>
        <w:pStyle w:val="Titulek"/>
      </w:pPr>
      <w:bookmarkStart w:id="35" w:name="_Toc409446419"/>
      <w:r>
        <w:t xml:space="preserve">Schéma </w:t>
      </w:r>
      <w:fldSimple w:instr=" SEQ Schéma \* ARABIC ">
        <w:r w:rsidR="006C5EA3">
          <w:rPr>
            <w:noProof/>
          </w:rPr>
          <w:t>11</w:t>
        </w:r>
      </w:fldSimple>
      <w:r w:rsidR="009900D0">
        <w:t>:</w:t>
      </w:r>
      <w:r w:rsidR="009900D0">
        <w:tab/>
        <w:t>P</w:t>
      </w:r>
      <w:r w:rsidR="009900D0" w:rsidRPr="00D371A3">
        <w:t xml:space="preserve">růběh </w:t>
      </w:r>
      <w:r w:rsidR="009900D0">
        <w:t>IFN</w:t>
      </w:r>
      <w:bookmarkEnd w:id="35"/>
    </w:p>
    <w:p w:rsidR="003B564E" w:rsidRDefault="004C114B" w:rsidP="003B564E">
      <w:pPr>
        <w:pStyle w:val="Odskoknadpis4"/>
        <w:jc w:val="center"/>
      </w:pPr>
      <w:r>
        <w:rPr>
          <w:noProof/>
          <w:lang w:eastAsia="cs-CZ"/>
        </w:rPr>
        <w:drawing>
          <wp:inline distT="0" distB="0" distL="0" distR="0" wp14:anchorId="70CEE7F5" wp14:editId="4CA5A487">
            <wp:extent cx="4942564" cy="1802251"/>
            <wp:effectExtent l="1905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a:srcRect/>
                    <a:stretch>
                      <a:fillRect/>
                    </a:stretch>
                  </pic:blipFill>
                  <pic:spPr bwMode="auto">
                    <a:xfrm>
                      <a:off x="0" y="0"/>
                      <a:ext cx="4941489" cy="1801859"/>
                    </a:xfrm>
                    <a:prstGeom prst="rect">
                      <a:avLst/>
                    </a:prstGeom>
                    <a:noFill/>
                    <a:ln w="9525">
                      <a:noFill/>
                      <a:miter lim="800000"/>
                      <a:headEnd/>
                      <a:tailEnd/>
                    </a:ln>
                  </pic:spPr>
                </pic:pic>
              </a:graphicData>
            </a:graphic>
          </wp:inline>
        </w:drawing>
      </w:r>
    </w:p>
    <w:p w:rsidR="00AD4C0A" w:rsidRDefault="00AD4C0A" w:rsidP="00171265">
      <w:pPr>
        <w:pStyle w:val="Nadpis3"/>
      </w:pPr>
      <w:bookmarkStart w:id="36" w:name="_Toc405824820"/>
      <w:bookmarkStart w:id="37" w:name="_Toc410115450"/>
      <w:bookmarkEnd w:id="36"/>
      <w:r>
        <w:t>Zásadní změny pro roky 2014 – 2020</w:t>
      </w:r>
      <w:r w:rsidR="00544185">
        <w:rPr>
          <w:rStyle w:val="Znakapoznpodarou"/>
        </w:rPr>
        <w:footnoteReference w:id="71"/>
      </w:r>
      <w:bookmarkEnd w:id="37"/>
    </w:p>
    <w:p w:rsidR="00677C4B" w:rsidRDefault="00677C4B" w:rsidP="00677C4B">
      <w:r>
        <w:t xml:space="preserve">Politická podpora EK na širší využití </w:t>
      </w:r>
      <w:r w:rsidR="00420428">
        <w:t>IFN</w:t>
      </w:r>
      <w:r>
        <w:t xml:space="preserve"> v programovém období 2014 - 2020 se projevila také </w:t>
      </w:r>
      <w:r w:rsidR="00851EB1">
        <w:t>v </w:t>
      </w:r>
      <w:r>
        <w:t xml:space="preserve">legislativních změnách pro programové období 2014 </w:t>
      </w:r>
      <w:r w:rsidR="003C356A">
        <w:t>–</w:t>
      </w:r>
      <w:r>
        <w:t xml:space="preserve"> 2020</w:t>
      </w:r>
      <w:r w:rsidR="003C356A">
        <w:t>.</w:t>
      </w:r>
      <w:r>
        <w:t xml:space="preserve"> Obecně byly tyto změny zaměřeny na značně rozšířenou flexibilitu provádění </w:t>
      </w:r>
      <w:r w:rsidR="00420428">
        <w:t>IFN</w:t>
      </w:r>
      <w:r>
        <w:t xml:space="preserve">, jasnější pravidla implementace </w:t>
      </w:r>
      <w:r w:rsidR="00851EB1">
        <w:t>a </w:t>
      </w:r>
      <w:r>
        <w:t xml:space="preserve">celkově efektivnější a vhodnější implementaci. Mezi klíčové změny patří: </w:t>
      </w:r>
    </w:p>
    <w:p w:rsidR="00677C4B" w:rsidRDefault="00677C4B" w:rsidP="00793AE5">
      <w:pPr>
        <w:pStyle w:val="Odstavecseseznamem"/>
        <w:numPr>
          <w:ilvl w:val="0"/>
          <w:numId w:val="4"/>
        </w:numPr>
        <w:ind w:left="1281" w:hanging="357"/>
        <w:contextualSpacing w:val="0"/>
      </w:pPr>
      <w:r>
        <w:t xml:space="preserve">rozšíření možností využití </w:t>
      </w:r>
      <w:r w:rsidR="00420428">
        <w:t>IFN</w:t>
      </w:r>
      <w:r>
        <w:t xml:space="preserve"> na všechny tematické cíle (v minulosti jen podpora malých a středních podniků, energetické účinnosti a městského rozvoje) a na prostředky ze všech ESIF (v minulosti pouze strukturální fondy - ERDF a ESF); </w:t>
      </w:r>
    </w:p>
    <w:p w:rsidR="00677C4B" w:rsidRDefault="00677C4B" w:rsidP="003A0A84">
      <w:pPr>
        <w:pStyle w:val="Odstavecseseznamem"/>
        <w:numPr>
          <w:ilvl w:val="0"/>
          <w:numId w:val="4"/>
        </w:numPr>
        <w:ind w:left="1281" w:hanging="357"/>
        <w:contextualSpacing w:val="0"/>
      </w:pPr>
      <w:r>
        <w:t xml:space="preserve">zvýšená flexibilita implementace prostřednictvím nástrojů šitých na míru (tailor-made), umožňujících aplikaci jakýchkoliv národních nebo lokálních specifik nebo prostřednictvím nástrojů připravených EK (off-the-shelf), které umožňují rychlejší implementaci díky připravenému nastavení; </w:t>
      </w:r>
    </w:p>
    <w:p w:rsidR="00677C4B" w:rsidRDefault="00677C4B" w:rsidP="00793AE5">
      <w:pPr>
        <w:pStyle w:val="Odstavecseseznamem"/>
        <w:numPr>
          <w:ilvl w:val="0"/>
          <w:numId w:val="4"/>
        </w:numPr>
        <w:ind w:left="1281" w:hanging="357"/>
        <w:contextualSpacing w:val="0"/>
      </w:pPr>
      <w:r>
        <w:t xml:space="preserve">potřeba </w:t>
      </w:r>
      <w:r w:rsidRPr="009C67E4">
        <w:t>ex-ante</w:t>
      </w:r>
      <w:r>
        <w:t xml:space="preserve"> hodnocení pro </w:t>
      </w:r>
      <w:r w:rsidR="00EA2C3F">
        <w:t>IFN</w:t>
      </w:r>
      <w:r>
        <w:t xml:space="preserve"> stanovena přímo v nařízení - podle článku 37 obecného nařízení pro programové období 2014 - 2020, které identifikuje existující mezeru na trhu, její rozměr a způsoby jejího odstranění, včetně nastavení nástroje pro</w:t>
      </w:r>
      <w:r w:rsidR="00D30D90">
        <w:t> </w:t>
      </w:r>
      <w:r>
        <w:t xml:space="preserve">přilákání dodatečných prostředků z dalších zdrojů; </w:t>
      </w:r>
    </w:p>
    <w:p w:rsidR="00677C4B" w:rsidRDefault="00677C4B" w:rsidP="00793AE5">
      <w:pPr>
        <w:pStyle w:val="Odstavecseseznamem"/>
        <w:numPr>
          <w:ilvl w:val="0"/>
          <w:numId w:val="4"/>
        </w:numPr>
        <w:ind w:left="1281" w:hanging="357"/>
        <w:contextualSpacing w:val="0"/>
      </w:pPr>
      <w:r>
        <w:lastRenderedPageBreak/>
        <w:t xml:space="preserve">postupné zařazování vyčleněné alokace operačního programu pro </w:t>
      </w:r>
      <w:r w:rsidR="00EA2C3F">
        <w:t>IFN</w:t>
      </w:r>
      <w:r>
        <w:t xml:space="preserve"> do průběžné žádosti o platbu EK podle článku 41 obecného nařízení pro programové období 2014 - 2020 minimálně do čtyř žádostí o platbu (do jedné žádosti o platbu je možné zahrnout maximálně 25</w:t>
      </w:r>
      <w:r w:rsidR="00FB589B">
        <w:t xml:space="preserve"> </w:t>
      </w:r>
      <w:r>
        <w:t xml:space="preserve">% celkové alokace operačního programu pro </w:t>
      </w:r>
      <w:r w:rsidR="00EA2C3F">
        <w:t>IFN</w:t>
      </w:r>
      <w:r>
        <w:t>) v závislosti na</w:t>
      </w:r>
      <w:r w:rsidR="00D30D90">
        <w:t> </w:t>
      </w:r>
      <w:r>
        <w:t xml:space="preserve">skutečném použití prostředků (druhá žádost o platbu může být předložena EK </w:t>
      </w:r>
      <w:r w:rsidR="00851EB1">
        <w:t>až po </w:t>
      </w:r>
      <w:r>
        <w:t>použití 60</w:t>
      </w:r>
      <w:r w:rsidR="00FB589B">
        <w:t xml:space="preserve"> </w:t>
      </w:r>
      <w:r>
        <w:t xml:space="preserve">% částky zahrnuté do první žádosti o platbu, třetí a následující žádosti </w:t>
      </w:r>
      <w:r w:rsidR="00851EB1">
        <w:t>o </w:t>
      </w:r>
      <w:r>
        <w:t>platbu až po použití 85</w:t>
      </w:r>
      <w:r w:rsidR="00FB589B">
        <w:t xml:space="preserve"> </w:t>
      </w:r>
      <w:r>
        <w:t xml:space="preserve">% částek v předchozích žádostech o platbu); </w:t>
      </w:r>
    </w:p>
    <w:p w:rsidR="00677C4B" w:rsidRDefault="00677C4B" w:rsidP="00793AE5">
      <w:pPr>
        <w:pStyle w:val="Odstavecseseznamem"/>
        <w:numPr>
          <w:ilvl w:val="0"/>
          <w:numId w:val="4"/>
        </w:numPr>
        <w:ind w:left="1281" w:hanging="357"/>
        <w:contextualSpacing w:val="0"/>
      </w:pPr>
      <w:r>
        <w:t xml:space="preserve">možnost kombinace </w:t>
      </w:r>
      <w:r w:rsidR="00420428">
        <w:t>IFN</w:t>
      </w:r>
      <w:r>
        <w:t xml:space="preserve"> s dalšími formami podpory, jako jsou dotace, dotace úrokových sazeb a dotace záručních sazeb podle článku 37 obecného nařízení pro programové období 2014 - 2020; </w:t>
      </w:r>
    </w:p>
    <w:p w:rsidR="00677C4B" w:rsidRDefault="00677C4B" w:rsidP="00793AE5">
      <w:pPr>
        <w:pStyle w:val="Odstavecseseznamem"/>
        <w:numPr>
          <w:ilvl w:val="0"/>
          <w:numId w:val="4"/>
        </w:numPr>
        <w:ind w:left="1281" w:hanging="357"/>
        <w:contextualSpacing w:val="0"/>
      </w:pPr>
      <w:r>
        <w:t xml:space="preserve">možnost započtení finančních </w:t>
      </w:r>
      <w:r w:rsidR="00420428">
        <w:t>prostředků soukromého sektoru v</w:t>
      </w:r>
      <w:r>
        <w:t xml:space="preserve"> </w:t>
      </w:r>
      <w:r w:rsidR="00420428">
        <w:t>IFN</w:t>
      </w:r>
      <w:r>
        <w:t xml:space="preserve"> do národního spolufinancování podle článku 38 obecného nařízení pro programové období 2014 - 2020, a tedy možnost </w:t>
      </w:r>
      <w:r w:rsidR="00C921D6">
        <w:t xml:space="preserve">nižšího </w:t>
      </w:r>
      <w:r>
        <w:t xml:space="preserve">zapojení SR v rámci povinného národního spolufinancování; </w:t>
      </w:r>
    </w:p>
    <w:p w:rsidR="00AD4C0A" w:rsidRDefault="00677C4B" w:rsidP="00793AE5">
      <w:pPr>
        <w:pStyle w:val="Odstavecseseznamem"/>
        <w:numPr>
          <w:ilvl w:val="0"/>
          <w:numId w:val="4"/>
        </w:numPr>
      </w:pPr>
      <w:r>
        <w:t xml:space="preserve">lepší systém motivace implementujících institucí formou poplatku za řízení tohoto nástroje složeného ze základního poplatku pokrývajícího nejzákladnější náklady </w:t>
      </w:r>
      <w:r w:rsidR="00851EB1">
        <w:t>na </w:t>
      </w:r>
      <w:r>
        <w:t>správu prostředků a z poplatku odvíjejícího se od výkonu</w:t>
      </w:r>
      <w:r w:rsidR="0096458A">
        <w:t xml:space="preserve"> (výnosu)</w:t>
      </w:r>
      <w:r>
        <w:t xml:space="preserve">, a tedy </w:t>
      </w:r>
      <w:r w:rsidR="0096458A">
        <w:t xml:space="preserve">efektivity poskytování </w:t>
      </w:r>
      <w:r>
        <w:t xml:space="preserve">prostředků </w:t>
      </w:r>
      <w:r w:rsidR="0096458A">
        <w:t>konečným</w:t>
      </w:r>
      <w:r>
        <w:t xml:space="preserve"> příjemců</w:t>
      </w:r>
      <w:r w:rsidR="0096458A">
        <w:t>m</w:t>
      </w:r>
      <w:r>
        <w:t>.</w:t>
      </w:r>
    </w:p>
    <w:p w:rsidR="00A1208F" w:rsidRDefault="002921B3" w:rsidP="005144FD">
      <w:pPr>
        <w:pStyle w:val="Titulek"/>
      </w:pPr>
      <w:r>
        <w:lastRenderedPageBreak/>
        <w:t xml:space="preserve">Tabulka </w:t>
      </w:r>
      <w:fldSimple w:instr=" SEQ Tabulka \* ARABIC ">
        <w:r w:rsidR="006C5EA3">
          <w:rPr>
            <w:noProof/>
          </w:rPr>
          <w:t>1</w:t>
        </w:r>
      </w:fldSimple>
      <w:r w:rsidR="00A1208F">
        <w:rPr>
          <w:spacing w:val="-1"/>
        </w:rPr>
        <w:t>:</w:t>
      </w:r>
      <w:r w:rsidR="00A1208F">
        <w:rPr>
          <w:spacing w:val="-1"/>
        </w:rPr>
        <w:tab/>
      </w:r>
      <w:r w:rsidR="00A93D0C">
        <w:rPr>
          <w:spacing w:val="-1"/>
        </w:rPr>
        <w:t>H</w:t>
      </w:r>
      <w:r w:rsidR="00A93D0C">
        <w:t>l</w:t>
      </w:r>
      <w:r w:rsidR="00A93D0C">
        <w:rPr>
          <w:spacing w:val="-1"/>
        </w:rPr>
        <w:t>a</w:t>
      </w:r>
      <w:r w:rsidR="00A93D0C">
        <w:rPr>
          <w:spacing w:val="2"/>
        </w:rPr>
        <w:t>v</w:t>
      </w:r>
      <w:r w:rsidR="00A93D0C">
        <w:rPr>
          <w:spacing w:val="-1"/>
        </w:rPr>
        <w:t>n</w:t>
      </w:r>
      <w:r w:rsidR="00A93D0C">
        <w:t>í</w:t>
      </w:r>
      <w:r w:rsidR="00A93D0C">
        <w:rPr>
          <w:spacing w:val="-5"/>
        </w:rPr>
        <w:t xml:space="preserve"> </w:t>
      </w:r>
      <w:r w:rsidR="00A1208F">
        <w:t>z</w:t>
      </w:r>
      <w:r w:rsidR="00A1208F">
        <w:rPr>
          <w:spacing w:val="2"/>
        </w:rPr>
        <w:t>m</w:t>
      </w:r>
      <w:r w:rsidR="00A1208F">
        <w:rPr>
          <w:spacing w:val="-1"/>
        </w:rPr>
        <w:t>ěn</w:t>
      </w:r>
      <w:r w:rsidR="00A1208F">
        <w:t>y</w:t>
      </w:r>
      <w:r w:rsidR="00A1208F">
        <w:rPr>
          <w:spacing w:val="-6"/>
        </w:rPr>
        <w:t xml:space="preserve"> </w:t>
      </w:r>
      <w:r w:rsidR="00A1208F">
        <w:t>op</w:t>
      </w:r>
      <w:r w:rsidR="00A1208F">
        <w:rPr>
          <w:spacing w:val="2"/>
        </w:rPr>
        <w:t>r</w:t>
      </w:r>
      <w:r w:rsidR="00A1208F">
        <w:t>oti</w:t>
      </w:r>
      <w:r w:rsidR="00A1208F">
        <w:rPr>
          <w:spacing w:val="-7"/>
        </w:rPr>
        <w:t xml:space="preserve"> </w:t>
      </w:r>
      <w:r w:rsidR="00A1208F">
        <w:t>prog</w:t>
      </w:r>
      <w:r w:rsidR="00A1208F">
        <w:rPr>
          <w:spacing w:val="2"/>
        </w:rPr>
        <w:t>r</w:t>
      </w:r>
      <w:r w:rsidR="00A1208F">
        <w:t>a</w:t>
      </w:r>
      <w:r w:rsidR="00A1208F">
        <w:rPr>
          <w:spacing w:val="-1"/>
        </w:rPr>
        <w:t>m</w:t>
      </w:r>
      <w:r w:rsidR="00A1208F">
        <w:t>ové</w:t>
      </w:r>
      <w:r w:rsidR="00A1208F">
        <w:rPr>
          <w:spacing w:val="-1"/>
        </w:rPr>
        <w:t>m</w:t>
      </w:r>
      <w:r w:rsidR="00A1208F">
        <w:t>u období</w:t>
      </w:r>
      <w:r w:rsidR="00A1208F">
        <w:rPr>
          <w:spacing w:val="-8"/>
        </w:rPr>
        <w:t xml:space="preserve"> </w:t>
      </w:r>
      <w:r w:rsidR="00A1208F">
        <w:t>2</w:t>
      </w:r>
      <w:r w:rsidR="00A1208F">
        <w:rPr>
          <w:spacing w:val="2"/>
        </w:rPr>
        <w:t>0</w:t>
      </w:r>
      <w:r w:rsidR="00A1208F">
        <w:t>07</w:t>
      </w:r>
      <w:r w:rsidR="00A1208F">
        <w:rPr>
          <w:spacing w:val="-5"/>
        </w:rPr>
        <w:t xml:space="preserve"> </w:t>
      </w:r>
      <w:r w:rsidR="00A1208F">
        <w:t>– 201</w:t>
      </w:r>
      <w:r w:rsidR="00CB0B24">
        <w:rPr>
          <w:spacing w:val="3"/>
        </w:rPr>
        <w:t>3</w:t>
      </w:r>
      <w:r w:rsidR="00A1208F">
        <w:t>,</w:t>
      </w:r>
      <w:r w:rsidR="00A1208F">
        <w:rPr>
          <w:spacing w:val="-6"/>
        </w:rPr>
        <w:t xml:space="preserve"> </w:t>
      </w:r>
      <w:r w:rsidR="00A1208F">
        <w:t>týka</w:t>
      </w:r>
      <w:r w:rsidR="00A1208F">
        <w:rPr>
          <w:spacing w:val="-1"/>
        </w:rPr>
        <w:t>jí</w:t>
      </w:r>
      <w:r w:rsidR="00A1208F">
        <w:t>cí</w:t>
      </w:r>
      <w:r w:rsidR="00A1208F">
        <w:rPr>
          <w:spacing w:val="-7"/>
        </w:rPr>
        <w:t xml:space="preserve"> </w:t>
      </w:r>
      <w:r w:rsidR="00A1208F">
        <w:t>se f</w:t>
      </w:r>
      <w:r w:rsidR="00A1208F">
        <w:rPr>
          <w:spacing w:val="-1"/>
        </w:rPr>
        <w:t>i</w:t>
      </w:r>
      <w:r w:rsidR="00A1208F">
        <w:t>n</w:t>
      </w:r>
      <w:r w:rsidR="00A1208F">
        <w:rPr>
          <w:spacing w:val="3"/>
        </w:rPr>
        <w:t>a</w:t>
      </w:r>
      <w:r w:rsidR="00A1208F">
        <w:t>nčn</w:t>
      </w:r>
      <w:r w:rsidR="00A1208F">
        <w:rPr>
          <w:spacing w:val="-1"/>
        </w:rPr>
        <w:t>í</w:t>
      </w:r>
      <w:r w:rsidR="00A1208F">
        <w:t>ch</w:t>
      </w:r>
      <w:r w:rsidR="00A1208F">
        <w:rPr>
          <w:spacing w:val="-8"/>
        </w:rPr>
        <w:t xml:space="preserve"> </w:t>
      </w:r>
      <w:r w:rsidR="00A1208F">
        <w:t>nástro</w:t>
      </w:r>
      <w:r w:rsidR="00A1208F">
        <w:rPr>
          <w:spacing w:val="-1"/>
        </w:rPr>
        <w:t>j</w:t>
      </w:r>
      <w:r w:rsidR="00A1208F">
        <w:t>ů</w:t>
      </w:r>
      <w:r w:rsidR="00A1208F">
        <w:rPr>
          <w:spacing w:val="-4"/>
        </w:rPr>
        <w:t xml:space="preserve"> </w:t>
      </w:r>
      <w:r w:rsidR="00A1208F">
        <w:t>v</w:t>
      </w:r>
      <w:r w:rsidR="00A1208F">
        <w:rPr>
          <w:spacing w:val="-2"/>
        </w:rPr>
        <w:t xml:space="preserve"> </w:t>
      </w:r>
      <w:r w:rsidR="00A1208F">
        <w:t>rámci</w:t>
      </w:r>
      <w:r w:rsidR="00A1208F">
        <w:rPr>
          <w:spacing w:val="-4"/>
        </w:rPr>
        <w:t xml:space="preserve"> </w:t>
      </w:r>
      <w:r w:rsidR="00A1208F">
        <w:t>ESF,</w:t>
      </w:r>
      <w:r w:rsidR="00A1208F">
        <w:rPr>
          <w:spacing w:val="-3"/>
        </w:rPr>
        <w:t xml:space="preserve"> </w:t>
      </w:r>
      <w:r w:rsidR="00A1208F">
        <w:t>E</w:t>
      </w:r>
      <w:r w:rsidR="00A1208F">
        <w:rPr>
          <w:spacing w:val="-1"/>
        </w:rPr>
        <w:t>R</w:t>
      </w:r>
      <w:r w:rsidR="00A1208F">
        <w:t>DF</w:t>
      </w:r>
      <w:r w:rsidR="00A1208F">
        <w:rPr>
          <w:spacing w:val="-5"/>
        </w:rPr>
        <w:t xml:space="preserve"> </w:t>
      </w:r>
      <w:r w:rsidR="00A1208F">
        <w:t>a</w:t>
      </w:r>
      <w:r w:rsidR="00A1208F">
        <w:rPr>
          <w:spacing w:val="2"/>
        </w:rPr>
        <w:t xml:space="preserve"> </w:t>
      </w:r>
      <w:r w:rsidR="00A1208F">
        <w:t>EAF</w:t>
      </w:r>
      <w:r w:rsidR="00A1208F">
        <w:rPr>
          <w:spacing w:val="2"/>
        </w:rPr>
        <w:t>R</w:t>
      </w:r>
      <w:r w:rsidR="00A1208F">
        <w:t>D</w:t>
      </w:r>
      <w:r w:rsidR="00895FDE">
        <w:rPr>
          <w:rStyle w:val="Znakapoznpodarou"/>
        </w:rPr>
        <w:footnoteReference w:id="72"/>
      </w:r>
    </w:p>
    <w:tbl>
      <w:tblPr>
        <w:tblW w:w="7794" w:type="dxa"/>
        <w:tblInd w:w="1426" w:type="dxa"/>
        <w:tblLayout w:type="fixed"/>
        <w:tblCellMar>
          <w:left w:w="0" w:type="dxa"/>
          <w:right w:w="0" w:type="dxa"/>
        </w:tblCellMar>
        <w:tblLook w:val="01E0" w:firstRow="1" w:lastRow="1" w:firstColumn="1" w:lastColumn="1" w:noHBand="0" w:noVBand="0"/>
      </w:tblPr>
      <w:tblGrid>
        <w:gridCol w:w="1843"/>
        <w:gridCol w:w="2975"/>
        <w:gridCol w:w="2976"/>
      </w:tblGrid>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4F81BD"/>
          </w:tcPr>
          <w:p w:rsidR="00A1208F" w:rsidRPr="009900D0" w:rsidRDefault="00A1208F" w:rsidP="009900D0">
            <w:pPr>
              <w:keepNext/>
              <w:spacing w:before="120" w:line="240" w:lineRule="auto"/>
              <w:ind w:left="0"/>
              <w:jc w:val="center"/>
              <w:rPr>
                <w:rFonts w:ascii="Calibri" w:eastAsia="Georgia" w:hAnsi="Calibri"/>
                <w:sz w:val="20"/>
                <w:szCs w:val="20"/>
              </w:rPr>
            </w:pPr>
            <w:r w:rsidRPr="009900D0">
              <w:rPr>
                <w:rFonts w:ascii="Calibri" w:eastAsia="Georgia" w:hAnsi="Calibri"/>
                <w:b/>
                <w:color w:val="FFFFFF"/>
                <w:sz w:val="20"/>
                <w:szCs w:val="20"/>
              </w:rPr>
              <w:t>ER</w:t>
            </w:r>
            <w:r w:rsidRPr="009900D0">
              <w:rPr>
                <w:rFonts w:ascii="Calibri" w:eastAsia="Georgia" w:hAnsi="Calibri"/>
                <w:b/>
                <w:color w:val="FFFFFF"/>
                <w:spacing w:val="1"/>
                <w:sz w:val="20"/>
                <w:szCs w:val="20"/>
              </w:rPr>
              <w:t>D</w:t>
            </w:r>
            <w:r w:rsidRPr="009900D0">
              <w:rPr>
                <w:rFonts w:ascii="Calibri" w:eastAsia="Georgia" w:hAnsi="Calibri"/>
                <w:b/>
                <w:color w:val="FFFFFF"/>
                <w:sz w:val="20"/>
                <w:szCs w:val="20"/>
              </w:rPr>
              <w:t>F</w:t>
            </w:r>
            <w:r w:rsidRPr="009900D0">
              <w:rPr>
                <w:rFonts w:ascii="Calibri" w:eastAsia="Georgia" w:hAnsi="Calibri"/>
                <w:b/>
                <w:color w:val="FFFFFF"/>
                <w:spacing w:val="-1"/>
                <w:sz w:val="20"/>
                <w:szCs w:val="20"/>
              </w:rPr>
              <w:t xml:space="preserve"> </w:t>
            </w:r>
            <w:r w:rsidRPr="009900D0">
              <w:rPr>
                <w:rFonts w:ascii="Calibri" w:eastAsia="Georgia" w:hAnsi="Calibri"/>
                <w:b/>
                <w:color w:val="FFFFFF"/>
                <w:sz w:val="20"/>
                <w:szCs w:val="20"/>
              </w:rPr>
              <w:t>a</w:t>
            </w:r>
            <w:r w:rsidRPr="009900D0">
              <w:rPr>
                <w:rFonts w:ascii="Calibri" w:eastAsia="Georgia" w:hAnsi="Calibri"/>
                <w:b/>
                <w:color w:val="FFFFFF"/>
                <w:spacing w:val="1"/>
                <w:sz w:val="20"/>
                <w:szCs w:val="20"/>
              </w:rPr>
              <w:t xml:space="preserve"> </w:t>
            </w:r>
            <w:r w:rsidRPr="009900D0">
              <w:rPr>
                <w:rFonts w:ascii="Calibri" w:eastAsia="Georgia" w:hAnsi="Calibri"/>
                <w:b/>
                <w:color w:val="FFFFFF"/>
                <w:sz w:val="20"/>
                <w:szCs w:val="20"/>
              </w:rPr>
              <w:t>E</w:t>
            </w:r>
            <w:r w:rsidRPr="009900D0">
              <w:rPr>
                <w:rFonts w:ascii="Calibri" w:eastAsia="Georgia" w:hAnsi="Calibri"/>
                <w:b/>
                <w:color w:val="FFFFFF"/>
                <w:spacing w:val="1"/>
                <w:sz w:val="20"/>
                <w:szCs w:val="20"/>
              </w:rPr>
              <w:t>S</w:t>
            </w:r>
            <w:r w:rsidRPr="009900D0">
              <w:rPr>
                <w:rFonts w:ascii="Calibri" w:eastAsia="Georgia" w:hAnsi="Calibri"/>
                <w:b/>
                <w:color w:val="FFFFFF"/>
                <w:sz w:val="20"/>
                <w:szCs w:val="20"/>
              </w:rPr>
              <w:t>F</w:t>
            </w:r>
          </w:p>
        </w:tc>
        <w:tc>
          <w:tcPr>
            <w:tcW w:w="2975" w:type="dxa"/>
            <w:tcBorders>
              <w:top w:val="single" w:sz="6" w:space="0" w:color="4F81BD"/>
              <w:left w:val="single" w:sz="6" w:space="0" w:color="4F81BD"/>
              <w:bottom w:val="single" w:sz="6" w:space="0" w:color="4F81BD"/>
              <w:right w:val="single" w:sz="6" w:space="0" w:color="4F81BD"/>
            </w:tcBorders>
            <w:shd w:val="clear" w:color="auto" w:fill="4F81BD"/>
          </w:tcPr>
          <w:p w:rsidR="00A1208F" w:rsidRPr="009900D0" w:rsidRDefault="00A1208F" w:rsidP="009900D0">
            <w:pPr>
              <w:keepNext/>
              <w:spacing w:before="120" w:line="240" w:lineRule="auto"/>
              <w:ind w:left="0"/>
              <w:jc w:val="center"/>
              <w:rPr>
                <w:rFonts w:ascii="Calibri" w:eastAsia="Georgia" w:hAnsi="Calibri"/>
                <w:sz w:val="20"/>
                <w:szCs w:val="20"/>
              </w:rPr>
            </w:pPr>
            <w:r w:rsidRPr="009900D0">
              <w:rPr>
                <w:rFonts w:ascii="Calibri" w:eastAsia="Georgia" w:hAnsi="Calibri"/>
                <w:b/>
                <w:color w:val="FFFFFF"/>
                <w:sz w:val="20"/>
                <w:szCs w:val="20"/>
              </w:rPr>
              <w:t>2</w:t>
            </w:r>
            <w:r w:rsidRPr="009900D0">
              <w:rPr>
                <w:rFonts w:ascii="Calibri" w:eastAsia="Georgia" w:hAnsi="Calibri"/>
                <w:b/>
                <w:color w:val="FFFFFF"/>
                <w:spacing w:val="1"/>
                <w:sz w:val="20"/>
                <w:szCs w:val="20"/>
              </w:rPr>
              <w:t>007</w:t>
            </w:r>
            <w:r w:rsidR="00021F68" w:rsidRPr="009900D0">
              <w:rPr>
                <w:rFonts w:ascii="Calibri" w:eastAsia="Georgia" w:hAnsi="Calibri"/>
                <w:b/>
                <w:color w:val="FFFFFF"/>
                <w:spacing w:val="-1"/>
                <w:sz w:val="20"/>
                <w:szCs w:val="20"/>
              </w:rPr>
              <w:t xml:space="preserve"> </w:t>
            </w:r>
            <w:r w:rsidR="00A44807">
              <w:rPr>
                <w:rFonts w:ascii="Calibri" w:eastAsia="Georgia" w:hAnsi="Calibri"/>
                <w:b/>
                <w:color w:val="FFFFFF"/>
                <w:spacing w:val="-1"/>
                <w:sz w:val="20"/>
                <w:szCs w:val="20"/>
              </w:rPr>
              <w:t>–</w:t>
            </w:r>
            <w:r w:rsidR="00CB0B24">
              <w:rPr>
                <w:rFonts w:ascii="Calibri" w:eastAsia="Georgia" w:hAnsi="Calibri"/>
                <w:b/>
                <w:color w:val="FFFFFF"/>
                <w:spacing w:val="-1"/>
                <w:sz w:val="20"/>
                <w:szCs w:val="20"/>
              </w:rPr>
              <w:t xml:space="preserve"> </w:t>
            </w:r>
            <w:r w:rsidR="00021F68" w:rsidRPr="009900D0">
              <w:rPr>
                <w:rFonts w:ascii="Calibri" w:eastAsia="Georgia" w:hAnsi="Calibri"/>
                <w:b/>
                <w:color w:val="FFFFFF"/>
                <w:spacing w:val="-1"/>
                <w:sz w:val="20"/>
                <w:szCs w:val="20"/>
              </w:rPr>
              <w:t>2</w:t>
            </w:r>
            <w:r w:rsidRPr="009900D0">
              <w:rPr>
                <w:rFonts w:ascii="Calibri" w:eastAsia="Georgia" w:hAnsi="Calibri"/>
                <w:b/>
                <w:color w:val="FFFFFF"/>
                <w:spacing w:val="-1"/>
                <w:sz w:val="20"/>
                <w:szCs w:val="20"/>
              </w:rPr>
              <w:t>0</w:t>
            </w:r>
            <w:r w:rsidRPr="009900D0">
              <w:rPr>
                <w:rFonts w:ascii="Calibri" w:eastAsia="Georgia" w:hAnsi="Calibri"/>
                <w:b/>
                <w:color w:val="FFFFFF"/>
                <w:spacing w:val="1"/>
                <w:sz w:val="20"/>
                <w:szCs w:val="20"/>
              </w:rPr>
              <w:t>1</w:t>
            </w:r>
            <w:r w:rsidRPr="009900D0">
              <w:rPr>
                <w:rFonts w:ascii="Calibri" w:eastAsia="Georgia" w:hAnsi="Calibri"/>
                <w:b/>
                <w:color w:val="FFFFFF"/>
                <w:sz w:val="20"/>
                <w:szCs w:val="20"/>
              </w:rPr>
              <w:t>3</w:t>
            </w:r>
          </w:p>
        </w:tc>
        <w:tc>
          <w:tcPr>
            <w:tcW w:w="2976" w:type="dxa"/>
            <w:tcBorders>
              <w:top w:val="single" w:sz="6" w:space="0" w:color="4F81BD"/>
              <w:left w:val="single" w:sz="6" w:space="0" w:color="4F81BD"/>
              <w:bottom w:val="single" w:sz="6" w:space="0" w:color="4F81BD"/>
              <w:right w:val="single" w:sz="6" w:space="0" w:color="4F81BD"/>
            </w:tcBorders>
            <w:shd w:val="clear" w:color="auto" w:fill="4F81BD"/>
          </w:tcPr>
          <w:p w:rsidR="00A1208F" w:rsidRPr="009900D0" w:rsidRDefault="00A1208F" w:rsidP="009900D0">
            <w:pPr>
              <w:keepNext/>
              <w:spacing w:before="120" w:line="240" w:lineRule="auto"/>
              <w:ind w:left="128" w:right="-2"/>
              <w:jc w:val="center"/>
              <w:rPr>
                <w:rFonts w:ascii="Calibri" w:eastAsia="Georgia" w:hAnsi="Calibri"/>
                <w:sz w:val="20"/>
                <w:szCs w:val="20"/>
              </w:rPr>
            </w:pPr>
            <w:r w:rsidRPr="009900D0">
              <w:rPr>
                <w:rFonts w:ascii="Calibri" w:eastAsia="Georgia" w:hAnsi="Calibri"/>
                <w:b/>
                <w:color w:val="FFFFFF"/>
                <w:sz w:val="20"/>
                <w:szCs w:val="20"/>
              </w:rPr>
              <w:t>2</w:t>
            </w:r>
            <w:r w:rsidRPr="009900D0">
              <w:rPr>
                <w:rFonts w:ascii="Calibri" w:eastAsia="Georgia" w:hAnsi="Calibri"/>
                <w:b/>
                <w:color w:val="FFFFFF"/>
                <w:spacing w:val="1"/>
                <w:sz w:val="20"/>
                <w:szCs w:val="20"/>
              </w:rPr>
              <w:t>014</w:t>
            </w:r>
            <w:r w:rsidRPr="009900D0">
              <w:rPr>
                <w:rFonts w:ascii="Calibri" w:eastAsia="Georgia" w:hAnsi="Calibri"/>
                <w:b/>
                <w:color w:val="FFFFFF"/>
                <w:spacing w:val="-1"/>
                <w:sz w:val="20"/>
                <w:szCs w:val="20"/>
              </w:rPr>
              <w:t>-</w:t>
            </w:r>
            <w:r w:rsidRPr="009900D0">
              <w:rPr>
                <w:rFonts w:ascii="Calibri" w:eastAsia="Georgia" w:hAnsi="Calibri"/>
                <w:b/>
                <w:color w:val="FFFFFF"/>
                <w:sz w:val="20"/>
                <w:szCs w:val="20"/>
              </w:rPr>
              <w:t>2</w:t>
            </w:r>
            <w:r w:rsidRPr="009900D0">
              <w:rPr>
                <w:rFonts w:ascii="Calibri" w:eastAsia="Georgia" w:hAnsi="Calibri"/>
                <w:b/>
                <w:color w:val="FFFFFF"/>
                <w:spacing w:val="1"/>
                <w:sz w:val="20"/>
                <w:szCs w:val="20"/>
              </w:rPr>
              <w:t>0</w:t>
            </w:r>
            <w:r w:rsidRPr="009900D0">
              <w:rPr>
                <w:rFonts w:ascii="Calibri" w:eastAsia="Georgia" w:hAnsi="Calibri"/>
                <w:b/>
                <w:color w:val="FFFFFF"/>
                <w:sz w:val="20"/>
                <w:szCs w:val="20"/>
              </w:rPr>
              <w:t>20</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sz w:val="20"/>
                <w:szCs w:val="20"/>
              </w:rPr>
            </w:pPr>
            <w:r w:rsidRPr="009900D0">
              <w:rPr>
                <w:rFonts w:ascii="Calibri" w:eastAsia="Georgia" w:hAnsi="Calibri"/>
                <w:b/>
                <w:color w:val="FFFFFF"/>
                <w:sz w:val="20"/>
                <w:szCs w:val="20"/>
              </w:rPr>
              <w:t>R</w:t>
            </w:r>
            <w:r w:rsidRPr="009900D0">
              <w:rPr>
                <w:rFonts w:ascii="Calibri" w:eastAsia="Georgia" w:hAnsi="Calibri"/>
                <w:b/>
                <w:color w:val="FFFFFF"/>
                <w:spacing w:val="1"/>
                <w:sz w:val="20"/>
                <w:szCs w:val="20"/>
              </w:rPr>
              <w:t>á</w:t>
            </w:r>
            <w:r w:rsidRPr="009900D0">
              <w:rPr>
                <w:rFonts w:ascii="Calibri" w:eastAsia="Georgia" w:hAnsi="Calibri"/>
                <w:b/>
                <w:color w:val="FFFFFF"/>
                <w:sz w:val="20"/>
                <w:szCs w:val="20"/>
              </w:rPr>
              <w:t>mec</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D30D90">
            <w:pPr>
              <w:keepNext/>
              <w:spacing w:before="120" w:line="240" w:lineRule="auto"/>
              <w:ind w:left="62" w:right="113"/>
              <w:jc w:val="left"/>
              <w:rPr>
                <w:rFonts w:ascii="Calibri" w:eastAsia="Georgia" w:hAnsi="Calibri"/>
                <w:sz w:val="20"/>
                <w:szCs w:val="20"/>
              </w:rPr>
            </w:pPr>
            <w:r w:rsidRPr="009900D0">
              <w:rPr>
                <w:rFonts w:ascii="Calibri" w:eastAsia="Georgia" w:hAnsi="Calibri"/>
                <w:spacing w:val="1"/>
                <w:sz w:val="20"/>
                <w:szCs w:val="20"/>
              </w:rPr>
              <w:t>P</w:t>
            </w:r>
            <w:r w:rsidRPr="009900D0">
              <w:rPr>
                <w:rFonts w:ascii="Calibri" w:eastAsia="Georgia" w:hAnsi="Calibri"/>
                <w:spacing w:val="-1"/>
                <w:sz w:val="20"/>
                <w:szCs w:val="20"/>
              </w:rPr>
              <w:t>o</w:t>
            </w:r>
            <w:r w:rsidRPr="009900D0">
              <w:rPr>
                <w:rFonts w:ascii="Calibri" w:eastAsia="Georgia" w:hAnsi="Calibri"/>
                <w:sz w:val="20"/>
                <w:szCs w:val="20"/>
              </w:rPr>
              <w:t>dp</w:t>
            </w:r>
            <w:r w:rsidRPr="009900D0">
              <w:rPr>
                <w:rFonts w:ascii="Calibri" w:eastAsia="Georgia" w:hAnsi="Calibri"/>
                <w:spacing w:val="-1"/>
                <w:sz w:val="20"/>
                <w:szCs w:val="20"/>
              </w:rPr>
              <w:t>o</w:t>
            </w:r>
            <w:r w:rsidRPr="009900D0">
              <w:rPr>
                <w:rFonts w:ascii="Calibri" w:eastAsia="Georgia" w:hAnsi="Calibri"/>
                <w:spacing w:val="1"/>
                <w:sz w:val="20"/>
                <w:szCs w:val="20"/>
              </w:rPr>
              <w:t>r</w:t>
            </w:r>
            <w:r w:rsidRPr="009900D0">
              <w:rPr>
                <w:rFonts w:ascii="Calibri" w:eastAsia="Georgia" w:hAnsi="Calibri"/>
                <w:sz w:val="20"/>
                <w:szCs w:val="20"/>
              </w:rPr>
              <w:t>a p</w:t>
            </w:r>
            <w:r w:rsidRPr="009900D0">
              <w:rPr>
                <w:rFonts w:ascii="Calibri" w:eastAsia="Georgia" w:hAnsi="Calibri"/>
                <w:spacing w:val="1"/>
                <w:sz w:val="20"/>
                <w:szCs w:val="20"/>
              </w:rPr>
              <w:t>r</w:t>
            </w:r>
            <w:r w:rsidRPr="009900D0">
              <w:rPr>
                <w:rFonts w:ascii="Calibri" w:eastAsia="Georgia" w:hAnsi="Calibri"/>
                <w:sz w:val="20"/>
                <w:szCs w:val="20"/>
              </w:rPr>
              <w:t>o</w:t>
            </w:r>
            <w:r w:rsidRPr="009900D0">
              <w:rPr>
                <w:rFonts w:ascii="Calibri" w:eastAsia="Georgia" w:hAnsi="Calibri"/>
                <w:spacing w:val="-1"/>
                <w:sz w:val="20"/>
                <w:szCs w:val="20"/>
              </w:rPr>
              <w:t xml:space="preserve"> s</w:t>
            </w:r>
            <w:r w:rsidRPr="009900D0">
              <w:rPr>
                <w:rFonts w:ascii="Calibri" w:eastAsia="Georgia" w:hAnsi="Calibri"/>
                <w:sz w:val="20"/>
                <w:szCs w:val="20"/>
              </w:rPr>
              <w:t>p</w:t>
            </w:r>
            <w:r w:rsidRPr="009900D0">
              <w:rPr>
                <w:rFonts w:ascii="Calibri" w:eastAsia="Georgia" w:hAnsi="Calibri"/>
                <w:spacing w:val="-1"/>
                <w:sz w:val="20"/>
                <w:szCs w:val="20"/>
              </w:rPr>
              <w:t>o</w:t>
            </w:r>
            <w:r w:rsidRPr="009900D0">
              <w:rPr>
                <w:rFonts w:ascii="Calibri" w:eastAsia="Georgia" w:hAnsi="Calibri"/>
                <w:spacing w:val="1"/>
                <w:sz w:val="20"/>
                <w:szCs w:val="20"/>
              </w:rPr>
              <w:t>l</w:t>
            </w:r>
            <w:r w:rsidRPr="009900D0">
              <w:rPr>
                <w:rFonts w:ascii="Calibri" w:eastAsia="Georgia" w:hAnsi="Calibri"/>
                <w:spacing w:val="-1"/>
                <w:sz w:val="20"/>
                <w:szCs w:val="20"/>
              </w:rPr>
              <w:t>e</w:t>
            </w:r>
            <w:r w:rsidRPr="009900D0">
              <w:rPr>
                <w:rFonts w:ascii="Calibri" w:eastAsia="Georgia" w:hAnsi="Calibri"/>
                <w:sz w:val="20"/>
                <w:szCs w:val="20"/>
              </w:rPr>
              <w:t>č</w:t>
            </w:r>
            <w:r w:rsidRPr="009900D0">
              <w:rPr>
                <w:rFonts w:ascii="Calibri" w:eastAsia="Georgia" w:hAnsi="Calibri"/>
                <w:spacing w:val="-1"/>
                <w:sz w:val="20"/>
                <w:szCs w:val="20"/>
              </w:rPr>
              <w:t>n</w:t>
            </w:r>
            <w:r w:rsidRPr="009900D0">
              <w:rPr>
                <w:rFonts w:ascii="Calibri" w:eastAsia="Georgia" w:hAnsi="Calibri"/>
                <w:spacing w:val="1"/>
                <w:sz w:val="20"/>
                <w:szCs w:val="20"/>
              </w:rPr>
              <w:t>o</w:t>
            </w:r>
            <w:r w:rsidRPr="009900D0">
              <w:rPr>
                <w:rFonts w:ascii="Calibri" w:eastAsia="Georgia" w:hAnsi="Calibri"/>
                <w:spacing w:val="-1"/>
                <w:sz w:val="20"/>
                <w:szCs w:val="20"/>
              </w:rPr>
              <w:t>s</w:t>
            </w:r>
            <w:r w:rsidRPr="009900D0">
              <w:rPr>
                <w:rFonts w:ascii="Calibri" w:eastAsia="Georgia" w:hAnsi="Calibri"/>
                <w:sz w:val="20"/>
                <w:szCs w:val="20"/>
              </w:rPr>
              <w:t>ti,</w:t>
            </w:r>
            <w:r w:rsidRPr="009900D0">
              <w:rPr>
                <w:rFonts w:ascii="Calibri" w:eastAsia="Georgia" w:hAnsi="Calibri"/>
                <w:spacing w:val="-1"/>
                <w:sz w:val="20"/>
                <w:szCs w:val="20"/>
              </w:rPr>
              <w:t xml:space="preserve"> </w:t>
            </w:r>
            <w:r w:rsidRPr="009900D0">
              <w:rPr>
                <w:rFonts w:ascii="Calibri" w:eastAsia="Georgia" w:hAnsi="Calibri"/>
                <w:sz w:val="20"/>
                <w:szCs w:val="20"/>
              </w:rPr>
              <w:t>u</w:t>
            </w:r>
            <w:r w:rsidRPr="009900D0">
              <w:rPr>
                <w:rFonts w:ascii="Calibri" w:eastAsia="Georgia" w:hAnsi="Calibri"/>
                <w:spacing w:val="1"/>
                <w:sz w:val="20"/>
                <w:szCs w:val="20"/>
              </w:rPr>
              <w:t>r</w:t>
            </w:r>
            <w:r w:rsidRPr="009900D0">
              <w:rPr>
                <w:rFonts w:ascii="Calibri" w:eastAsia="Georgia" w:hAnsi="Calibri"/>
                <w:sz w:val="20"/>
                <w:szCs w:val="20"/>
              </w:rPr>
              <w:t>b</w:t>
            </w:r>
            <w:r w:rsidRPr="009900D0">
              <w:rPr>
                <w:rFonts w:ascii="Calibri" w:eastAsia="Georgia" w:hAnsi="Calibri"/>
                <w:spacing w:val="3"/>
                <w:sz w:val="20"/>
                <w:szCs w:val="20"/>
              </w:rPr>
              <w:t>á</w:t>
            </w:r>
            <w:r w:rsidRPr="009900D0">
              <w:rPr>
                <w:rFonts w:ascii="Calibri" w:eastAsia="Georgia" w:hAnsi="Calibri"/>
                <w:spacing w:val="-1"/>
                <w:sz w:val="20"/>
                <w:szCs w:val="20"/>
              </w:rPr>
              <w:t>nn</w:t>
            </w:r>
            <w:r w:rsidRPr="009900D0">
              <w:rPr>
                <w:rFonts w:ascii="Calibri" w:eastAsia="Georgia" w:hAnsi="Calibri"/>
                <w:sz w:val="20"/>
                <w:szCs w:val="20"/>
              </w:rPr>
              <w:t xml:space="preserve">í </w:t>
            </w:r>
            <w:r w:rsidRPr="009900D0">
              <w:rPr>
                <w:rFonts w:ascii="Calibri" w:eastAsia="Georgia" w:hAnsi="Calibri"/>
                <w:spacing w:val="1"/>
                <w:sz w:val="20"/>
                <w:szCs w:val="20"/>
              </w:rPr>
              <w:t>r</w:t>
            </w:r>
            <w:r w:rsidRPr="009900D0">
              <w:rPr>
                <w:rFonts w:ascii="Calibri" w:eastAsia="Georgia" w:hAnsi="Calibri"/>
                <w:spacing w:val="-1"/>
                <w:sz w:val="20"/>
                <w:szCs w:val="20"/>
              </w:rPr>
              <w:t>oz</w:t>
            </w:r>
            <w:r w:rsidRPr="009900D0">
              <w:rPr>
                <w:rFonts w:ascii="Calibri" w:eastAsia="Georgia" w:hAnsi="Calibri"/>
                <w:spacing w:val="2"/>
                <w:sz w:val="20"/>
                <w:szCs w:val="20"/>
              </w:rPr>
              <w:t>v</w:t>
            </w:r>
            <w:r w:rsidRPr="009900D0">
              <w:rPr>
                <w:rFonts w:ascii="Calibri" w:eastAsia="Georgia" w:hAnsi="Calibri"/>
                <w:spacing w:val="-1"/>
                <w:sz w:val="20"/>
                <w:szCs w:val="20"/>
              </w:rPr>
              <w:t>o</w:t>
            </w:r>
            <w:r w:rsidRPr="009900D0">
              <w:rPr>
                <w:rFonts w:ascii="Calibri" w:eastAsia="Georgia" w:hAnsi="Calibri"/>
                <w:sz w:val="20"/>
                <w:szCs w:val="20"/>
              </w:rPr>
              <w:t xml:space="preserve">j, </w:t>
            </w:r>
            <w:r w:rsidRPr="009900D0">
              <w:rPr>
                <w:rFonts w:ascii="Calibri" w:eastAsia="Georgia" w:hAnsi="Calibri"/>
                <w:spacing w:val="-1"/>
                <w:sz w:val="20"/>
                <w:szCs w:val="20"/>
              </w:rPr>
              <w:t>ene</w:t>
            </w:r>
            <w:r w:rsidRPr="009900D0">
              <w:rPr>
                <w:rFonts w:ascii="Calibri" w:eastAsia="Georgia" w:hAnsi="Calibri"/>
                <w:spacing w:val="1"/>
                <w:sz w:val="20"/>
                <w:szCs w:val="20"/>
              </w:rPr>
              <w:t>r</w:t>
            </w:r>
            <w:r w:rsidRPr="009900D0">
              <w:rPr>
                <w:rFonts w:ascii="Calibri" w:eastAsia="Georgia" w:hAnsi="Calibri"/>
                <w:sz w:val="20"/>
                <w:szCs w:val="20"/>
              </w:rPr>
              <w:t>g</w:t>
            </w:r>
            <w:r w:rsidRPr="009900D0">
              <w:rPr>
                <w:rFonts w:ascii="Calibri" w:eastAsia="Georgia" w:hAnsi="Calibri"/>
                <w:spacing w:val="-1"/>
                <w:sz w:val="20"/>
                <w:szCs w:val="20"/>
              </w:rPr>
              <w:t>e</w:t>
            </w:r>
            <w:r w:rsidRPr="009900D0">
              <w:rPr>
                <w:rFonts w:ascii="Calibri" w:eastAsia="Georgia" w:hAnsi="Calibri"/>
                <w:sz w:val="20"/>
                <w:szCs w:val="20"/>
              </w:rPr>
              <w:t xml:space="preserve">tická </w:t>
            </w:r>
            <w:r w:rsidRPr="009900D0">
              <w:rPr>
                <w:rFonts w:ascii="Calibri" w:eastAsia="Georgia" w:hAnsi="Calibri"/>
                <w:spacing w:val="2"/>
                <w:sz w:val="20"/>
                <w:szCs w:val="20"/>
              </w:rPr>
              <w:t>e</w:t>
            </w:r>
            <w:r w:rsidRPr="009900D0">
              <w:rPr>
                <w:rFonts w:ascii="Calibri" w:eastAsia="Georgia" w:hAnsi="Calibri"/>
                <w:spacing w:val="-1"/>
                <w:sz w:val="20"/>
                <w:szCs w:val="20"/>
              </w:rPr>
              <w:t>fe</w:t>
            </w:r>
            <w:r w:rsidRPr="009900D0">
              <w:rPr>
                <w:rFonts w:ascii="Calibri" w:eastAsia="Georgia" w:hAnsi="Calibri"/>
                <w:sz w:val="20"/>
                <w:szCs w:val="20"/>
              </w:rPr>
              <w:t>kti</w:t>
            </w:r>
            <w:r w:rsidRPr="009900D0">
              <w:rPr>
                <w:rFonts w:ascii="Calibri" w:eastAsia="Georgia" w:hAnsi="Calibri"/>
                <w:spacing w:val="2"/>
                <w:sz w:val="20"/>
                <w:szCs w:val="20"/>
              </w:rPr>
              <w:t>v</w:t>
            </w:r>
            <w:r w:rsidRPr="009900D0">
              <w:rPr>
                <w:rFonts w:ascii="Calibri" w:eastAsia="Georgia" w:hAnsi="Calibri"/>
                <w:spacing w:val="-1"/>
                <w:sz w:val="20"/>
                <w:szCs w:val="20"/>
              </w:rPr>
              <w:t>nos</w:t>
            </w:r>
            <w:r w:rsidRPr="009900D0">
              <w:rPr>
                <w:rFonts w:ascii="Calibri" w:eastAsia="Georgia" w:hAnsi="Calibri"/>
                <w:sz w:val="20"/>
                <w:szCs w:val="20"/>
              </w:rPr>
              <w:t>t a</w:t>
            </w:r>
            <w:r w:rsidR="00D30D90">
              <w:rPr>
                <w:rFonts w:ascii="Calibri" w:eastAsia="Georgia" w:hAnsi="Calibri"/>
                <w:spacing w:val="3"/>
                <w:sz w:val="20"/>
                <w:szCs w:val="20"/>
              </w:rPr>
              <w:t> </w:t>
            </w:r>
            <w:r w:rsidRPr="009900D0">
              <w:rPr>
                <w:rFonts w:ascii="Calibri" w:eastAsia="Georgia" w:hAnsi="Calibri"/>
                <w:spacing w:val="-1"/>
                <w:sz w:val="20"/>
                <w:szCs w:val="20"/>
              </w:rPr>
              <w:t>o</w:t>
            </w:r>
            <w:r w:rsidRPr="009900D0">
              <w:rPr>
                <w:rFonts w:ascii="Calibri" w:eastAsia="Georgia" w:hAnsi="Calibri"/>
                <w:sz w:val="20"/>
                <w:szCs w:val="20"/>
              </w:rPr>
              <w:t>b</w:t>
            </w:r>
            <w:r w:rsidRPr="009900D0">
              <w:rPr>
                <w:rFonts w:ascii="Calibri" w:eastAsia="Georgia" w:hAnsi="Calibri"/>
                <w:spacing w:val="-1"/>
                <w:sz w:val="20"/>
                <w:szCs w:val="20"/>
              </w:rPr>
              <w:t>n</w:t>
            </w:r>
            <w:r w:rsidRPr="009900D0">
              <w:rPr>
                <w:rFonts w:ascii="Calibri" w:eastAsia="Georgia" w:hAnsi="Calibri"/>
                <w:spacing w:val="1"/>
                <w:sz w:val="20"/>
                <w:szCs w:val="20"/>
              </w:rPr>
              <w:t>o</w:t>
            </w:r>
            <w:r w:rsidRPr="009900D0">
              <w:rPr>
                <w:rFonts w:ascii="Calibri" w:eastAsia="Georgia" w:hAnsi="Calibri"/>
                <w:spacing w:val="-1"/>
                <w:sz w:val="20"/>
                <w:szCs w:val="20"/>
              </w:rPr>
              <w:t>v</w:t>
            </w:r>
            <w:r w:rsidRPr="009900D0">
              <w:rPr>
                <w:rFonts w:ascii="Calibri" w:eastAsia="Georgia" w:hAnsi="Calibri"/>
                <w:sz w:val="20"/>
                <w:szCs w:val="20"/>
              </w:rPr>
              <w:t>it</w:t>
            </w:r>
            <w:r w:rsidRPr="009900D0">
              <w:rPr>
                <w:rFonts w:ascii="Calibri" w:eastAsia="Georgia" w:hAnsi="Calibri"/>
                <w:spacing w:val="-1"/>
                <w:sz w:val="20"/>
                <w:szCs w:val="20"/>
              </w:rPr>
              <w:t>eln</w:t>
            </w:r>
            <w:r w:rsidRPr="009900D0">
              <w:rPr>
                <w:rFonts w:ascii="Calibri" w:eastAsia="Georgia" w:hAnsi="Calibri"/>
                <w:sz w:val="20"/>
                <w:szCs w:val="20"/>
              </w:rPr>
              <w:t xml:space="preserve">é </w:t>
            </w:r>
            <w:r w:rsidRPr="009900D0">
              <w:rPr>
                <w:rFonts w:ascii="Calibri" w:eastAsia="Georgia" w:hAnsi="Calibri"/>
                <w:spacing w:val="-1"/>
                <w:sz w:val="20"/>
                <w:szCs w:val="20"/>
              </w:rPr>
              <w:t>ene</w:t>
            </w:r>
            <w:r w:rsidRPr="009900D0">
              <w:rPr>
                <w:rFonts w:ascii="Calibri" w:eastAsia="Georgia" w:hAnsi="Calibri"/>
                <w:spacing w:val="1"/>
                <w:sz w:val="20"/>
                <w:szCs w:val="20"/>
              </w:rPr>
              <w:t>r</w:t>
            </w:r>
            <w:r w:rsidRPr="009900D0">
              <w:rPr>
                <w:rFonts w:ascii="Calibri" w:eastAsia="Georgia" w:hAnsi="Calibri"/>
                <w:sz w:val="20"/>
                <w:szCs w:val="20"/>
              </w:rPr>
              <w:t>gie</w:t>
            </w:r>
            <w:r w:rsidRPr="009900D0">
              <w:rPr>
                <w:rFonts w:ascii="Calibri" w:eastAsia="Georgia" w:hAnsi="Calibri"/>
                <w:spacing w:val="-1"/>
                <w:sz w:val="20"/>
                <w:szCs w:val="20"/>
              </w:rPr>
              <w:t xml:space="preserve"> </w:t>
            </w:r>
            <w:r w:rsidRPr="009900D0">
              <w:rPr>
                <w:rFonts w:ascii="Calibri" w:eastAsia="Georgia" w:hAnsi="Calibri"/>
                <w:sz w:val="20"/>
                <w:szCs w:val="20"/>
              </w:rPr>
              <w:t>v</w:t>
            </w:r>
            <w:r w:rsidR="00D30D90">
              <w:rPr>
                <w:rFonts w:ascii="Calibri" w:eastAsia="Georgia" w:hAnsi="Calibri"/>
                <w:spacing w:val="2"/>
                <w:sz w:val="20"/>
                <w:szCs w:val="20"/>
              </w:rPr>
              <w:t> </w:t>
            </w:r>
            <w:r w:rsidRPr="009900D0">
              <w:rPr>
                <w:rFonts w:ascii="Calibri" w:eastAsia="Georgia" w:hAnsi="Calibri"/>
                <w:spacing w:val="-1"/>
                <w:sz w:val="20"/>
                <w:szCs w:val="20"/>
              </w:rPr>
              <w:t>s</w:t>
            </w:r>
            <w:r w:rsidRPr="009900D0">
              <w:rPr>
                <w:rFonts w:ascii="Calibri" w:eastAsia="Georgia" w:hAnsi="Calibri"/>
                <w:sz w:val="20"/>
                <w:szCs w:val="20"/>
              </w:rPr>
              <w:t>ta</w:t>
            </w:r>
            <w:r w:rsidRPr="009900D0">
              <w:rPr>
                <w:rFonts w:ascii="Calibri" w:eastAsia="Georgia" w:hAnsi="Calibri"/>
                <w:spacing w:val="-1"/>
                <w:sz w:val="20"/>
                <w:szCs w:val="20"/>
              </w:rPr>
              <w:t>ve</w:t>
            </w:r>
            <w:r w:rsidRPr="009900D0">
              <w:rPr>
                <w:rFonts w:ascii="Calibri" w:eastAsia="Georgia" w:hAnsi="Calibri"/>
                <w:sz w:val="20"/>
                <w:szCs w:val="20"/>
              </w:rPr>
              <w:t>b</w:t>
            </w:r>
            <w:r w:rsidRPr="009900D0">
              <w:rPr>
                <w:rFonts w:ascii="Calibri" w:eastAsia="Georgia" w:hAnsi="Calibri"/>
                <w:spacing w:val="-1"/>
                <w:sz w:val="20"/>
                <w:szCs w:val="20"/>
              </w:rPr>
              <w:t>n</w:t>
            </w:r>
            <w:r w:rsidRPr="009900D0">
              <w:rPr>
                <w:rFonts w:ascii="Calibri" w:eastAsia="Georgia" w:hAnsi="Calibri"/>
                <w:sz w:val="20"/>
                <w:szCs w:val="20"/>
              </w:rPr>
              <w:t>ic</w:t>
            </w:r>
            <w:r w:rsidRPr="009900D0">
              <w:rPr>
                <w:rFonts w:ascii="Calibri" w:eastAsia="Georgia" w:hAnsi="Calibri"/>
                <w:spacing w:val="3"/>
                <w:sz w:val="20"/>
                <w:szCs w:val="20"/>
              </w:rPr>
              <w:t>t</w:t>
            </w:r>
            <w:r w:rsidRPr="009900D0">
              <w:rPr>
                <w:rFonts w:ascii="Calibri" w:eastAsia="Georgia" w:hAnsi="Calibri"/>
                <w:spacing w:val="-1"/>
                <w:sz w:val="20"/>
                <w:szCs w:val="20"/>
              </w:rPr>
              <w:t>v</w:t>
            </w:r>
            <w:r w:rsidRPr="009900D0">
              <w:rPr>
                <w:rFonts w:ascii="Calibri" w:eastAsia="Georgia" w:hAnsi="Calibri"/>
                <w:sz w:val="20"/>
                <w:szCs w:val="20"/>
              </w:rPr>
              <w:t>í</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pacing w:val="1"/>
                <w:sz w:val="20"/>
                <w:szCs w:val="20"/>
              </w:rPr>
              <w:t>P</w:t>
            </w:r>
            <w:r w:rsidRPr="009900D0">
              <w:rPr>
                <w:rFonts w:ascii="Calibri" w:eastAsia="Georgia" w:hAnsi="Calibri"/>
                <w:spacing w:val="-1"/>
                <w:sz w:val="20"/>
                <w:szCs w:val="20"/>
              </w:rPr>
              <w:t>o</w:t>
            </w:r>
            <w:r w:rsidRPr="009900D0">
              <w:rPr>
                <w:rFonts w:ascii="Calibri" w:eastAsia="Georgia" w:hAnsi="Calibri"/>
                <w:sz w:val="20"/>
                <w:szCs w:val="20"/>
              </w:rPr>
              <w:t>dp</w:t>
            </w:r>
            <w:r w:rsidRPr="009900D0">
              <w:rPr>
                <w:rFonts w:ascii="Calibri" w:eastAsia="Georgia" w:hAnsi="Calibri"/>
                <w:spacing w:val="-1"/>
                <w:sz w:val="20"/>
                <w:szCs w:val="20"/>
              </w:rPr>
              <w:t>o</w:t>
            </w:r>
            <w:r w:rsidRPr="009900D0">
              <w:rPr>
                <w:rFonts w:ascii="Calibri" w:eastAsia="Georgia" w:hAnsi="Calibri"/>
                <w:spacing w:val="1"/>
                <w:sz w:val="20"/>
                <w:szCs w:val="20"/>
              </w:rPr>
              <w:t>r</w:t>
            </w:r>
            <w:r w:rsidRPr="009900D0">
              <w:rPr>
                <w:rFonts w:ascii="Calibri" w:eastAsia="Georgia" w:hAnsi="Calibri"/>
                <w:sz w:val="20"/>
                <w:szCs w:val="20"/>
              </w:rPr>
              <w:t>a p</w:t>
            </w:r>
            <w:r w:rsidRPr="009900D0">
              <w:rPr>
                <w:rFonts w:ascii="Calibri" w:eastAsia="Georgia" w:hAnsi="Calibri"/>
                <w:spacing w:val="1"/>
                <w:sz w:val="20"/>
                <w:szCs w:val="20"/>
              </w:rPr>
              <w:t>r</w:t>
            </w:r>
            <w:r w:rsidRPr="009900D0">
              <w:rPr>
                <w:rFonts w:ascii="Calibri" w:eastAsia="Georgia" w:hAnsi="Calibri"/>
                <w:sz w:val="20"/>
                <w:szCs w:val="20"/>
              </w:rPr>
              <w:t>o</w:t>
            </w:r>
            <w:r w:rsidRPr="009900D0">
              <w:rPr>
                <w:rFonts w:ascii="Calibri" w:eastAsia="Georgia" w:hAnsi="Calibri"/>
                <w:spacing w:val="-1"/>
                <w:sz w:val="20"/>
                <w:szCs w:val="20"/>
              </w:rPr>
              <w:t xml:space="preserve"> vše</w:t>
            </w:r>
            <w:r w:rsidRPr="009900D0">
              <w:rPr>
                <w:rFonts w:ascii="Calibri" w:eastAsia="Georgia" w:hAnsi="Calibri"/>
                <w:sz w:val="20"/>
                <w:szCs w:val="20"/>
              </w:rPr>
              <w:t>c</w:t>
            </w:r>
            <w:r w:rsidRPr="009900D0">
              <w:rPr>
                <w:rFonts w:ascii="Calibri" w:eastAsia="Georgia" w:hAnsi="Calibri"/>
                <w:spacing w:val="1"/>
                <w:sz w:val="20"/>
                <w:szCs w:val="20"/>
              </w:rPr>
              <w:t>h</w:t>
            </w:r>
            <w:r w:rsidRPr="009900D0">
              <w:rPr>
                <w:rFonts w:ascii="Calibri" w:eastAsia="Georgia" w:hAnsi="Calibri"/>
                <w:spacing w:val="-1"/>
                <w:sz w:val="20"/>
                <w:szCs w:val="20"/>
              </w:rPr>
              <w:t>n</w:t>
            </w:r>
            <w:r w:rsidRPr="009900D0">
              <w:rPr>
                <w:rFonts w:ascii="Calibri" w:eastAsia="Georgia" w:hAnsi="Calibri"/>
                <w:sz w:val="20"/>
                <w:szCs w:val="20"/>
              </w:rPr>
              <w:t>y t</w:t>
            </w:r>
            <w:r w:rsidRPr="009900D0">
              <w:rPr>
                <w:rFonts w:ascii="Calibri" w:eastAsia="Georgia" w:hAnsi="Calibri"/>
                <w:spacing w:val="-1"/>
                <w:sz w:val="20"/>
                <w:szCs w:val="20"/>
              </w:rPr>
              <w:t>e</w:t>
            </w:r>
            <w:r w:rsidRPr="009900D0">
              <w:rPr>
                <w:rFonts w:ascii="Calibri" w:eastAsia="Georgia" w:hAnsi="Calibri"/>
                <w:sz w:val="20"/>
                <w:szCs w:val="20"/>
              </w:rPr>
              <w:t>matic</w:t>
            </w:r>
            <w:r w:rsidRPr="009900D0">
              <w:rPr>
                <w:rFonts w:ascii="Calibri" w:eastAsia="Georgia" w:hAnsi="Calibri"/>
                <w:spacing w:val="2"/>
                <w:sz w:val="20"/>
                <w:szCs w:val="20"/>
              </w:rPr>
              <w:t>k</w:t>
            </w:r>
            <w:r w:rsidRPr="009900D0">
              <w:rPr>
                <w:rFonts w:ascii="Calibri" w:eastAsia="Georgia" w:hAnsi="Calibri"/>
                <w:sz w:val="20"/>
                <w:szCs w:val="20"/>
              </w:rPr>
              <w:t>é</w:t>
            </w:r>
            <w:r w:rsidRPr="009900D0">
              <w:rPr>
                <w:rFonts w:ascii="Calibri" w:eastAsia="Georgia" w:hAnsi="Calibri"/>
                <w:spacing w:val="-1"/>
                <w:sz w:val="20"/>
                <w:szCs w:val="20"/>
              </w:rPr>
              <w:t xml:space="preserve"> </w:t>
            </w:r>
            <w:r w:rsidRPr="009900D0">
              <w:rPr>
                <w:rFonts w:ascii="Calibri" w:eastAsia="Georgia" w:hAnsi="Calibri"/>
                <w:sz w:val="20"/>
                <w:szCs w:val="20"/>
              </w:rPr>
              <w:t>cí</w:t>
            </w:r>
            <w:r w:rsidRPr="009900D0">
              <w:rPr>
                <w:rFonts w:ascii="Calibri" w:eastAsia="Georgia" w:hAnsi="Calibri"/>
                <w:spacing w:val="-1"/>
                <w:sz w:val="20"/>
                <w:szCs w:val="20"/>
              </w:rPr>
              <w:t>l</w:t>
            </w:r>
            <w:r w:rsidRPr="009900D0">
              <w:rPr>
                <w:rFonts w:ascii="Calibri" w:eastAsia="Georgia" w:hAnsi="Calibri"/>
                <w:sz w:val="20"/>
                <w:szCs w:val="20"/>
              </w:rPr>
              <w:t>e v</w:t>
            </w:r>
            <w:r w:rsidRPr="009900D0">
              <w:rPr>
                <w:rFonts w:ascii="Calibri" w:eastAsia="Georgia" w:hAnsi="Calibri"/>
                <w:spacing w:val="-1"/>
                <w:sz w:val="20"/>
                <w:szCs w:val="20"/>
              </w:rPr>
              <w:t xml:space="preserve"> </w:t>
            </w:r>
            <w:r w:rsidRPr="009900D0">
              <w:rPr>
                <w:rFonts w:ascii="Calibri" w:eastAsia="Georgia" w:hAnsi="Calibri"/>
                <w:spacing w:val="1"/>
                <w:sz w:val="20"/>
                <w:szCs w:val="20"/>
              </w:rPr>
              <w:t>r</w:t>
            </w:r>
            <w:r w:rsidRPr="009900D0">
              <w:rPr>
                <w:rFonts w:ascii="Calibri" w:eastAsia="Georgia" w:hAnsi="Calibri"/>
                <w:sz w:val="20"/>
                <w:szCs w:val="20"/>
              </w:rPr>
              <w:t xml:space="preserve">ámci </w:t>
            </w:r>
            <w:r w:rsidRPr="009900D0">
              <w:rPr>
                <w:rFonts w:ascii="Calibri" w:eastAsia="Georgia" w:hAnsi="Calibri"/>
                <w:spacing w:val="1"/>
                <w:sz w:val="20"/>
                <w:szCs w:val="20"/>
              </w:rPr>
              <w:t>Pr</w:t>
            </w:r>
            <w:r w:rsidRPr="009900D0">
              <w:rPr>
                <w:rFonts w:ascii="Calibri" w:eastAsia="Georgia" w:hAnsi="Calibri"/>
                <w:spacing w:val="-1"/>
                <w:sz w:val="20"/>
                <w:szCs w:val="20"/>
              </w:rPr>
              <w:t>o</w:t>
            </w:r>
            <w:r w:rsidRPr="009900D0">
              <w:rPr>
                <w:rFonts w:ascii="Calibri" w:eastAsia="Georgia" w:hAnsi="Calibri"/>
                <w:sz w:val="20"/>
                <w:szCs w:val="20"/>
              </w:rPr>
              <w:t>g</w:t>
            </w:r>
            <w:r w:rsidRPr="009900D0">
              <w:rPr>
                <w:rFonts w:ascii="Calibri" w:eastAsia="Georgia" w:hAnsi="Calibri"/>
                <w:spacing w:val="1"/>
                <w:sz w:val="20"/>
                <w:szCs w:val="20"/>
              </w:rPr>
              <w:t>r</w:t>
            </w:r>
            <w:r w:rsidRPr="009900D0">
              <w:rPr>
                <w:rFonts w:ascii="Calibri" w:eastAsia="Georgia" w:hAnsi="Calibri"/>
                <w:sz w:val="20"/>
                <w:szCs w:val="20"/>
              </w:rPr>
              <w:t>amu</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sz w:val="20"/>
                <w:szCs w:val="20"/>
              </w:rPr>
            </w:pPr>
            <w:r w:rsidRPr="009900D0">
              <w:rPr>
                <w:rFonts w:ascii="Calibri" w:eastAsia="Georgia" w:hAnsi="Calibri"/>
                <w:b/>
                <w:color w:val="FFFFFF"/>
                <w:spacing w:val="1"/>
                <w:sz w:val="20"/>
                <w:szCs w:val="20"/>
              </w:rPr>
              <w:t>U</w:t>
            </w:r>
            <w:r w:rsidRPr="009900D0">
              <w:rPr>
                <w:rFonts w:ascii="Calibri" w:eastAsia="Georgia" w:hAnsi="Calibri"/>
                <w:b/>
                <w:color w:val="FFFFFF"/>
                <w:spacing w:val="-1"/>
                <w:sz w:val="20"/>
                <w:szCs w:val="20"/>
              </w:rPr>
              <w:t>sp</w:t>
            </w:r>
            <w:r w:rsidRPr="009900D0">
              <w:rPr>
                <w:rFonts w:ascii="Calibri" w:eastAsia="Georgia" w:hAnsi="Calibri"/>
                <w:b/>
                <w:color w:val="FFFFFF"/>
                <w:spacing w:val="1"/>
                <w:sz w:val="20"/>
                <w:szCs w:val="20"/>
              </w:rPr>
              <w:t>o</w:t>
            </w:r>
            <w:r w:rsidRPr="009900D0">
              <w:rPr>
                <w:rFonts w:ascii="Calibri" w:eastAsia="Georgia" w:hAnsi="Calibri"/>
                <w:b/>
                <w:color w:val="FFFFFF"/>
                <w:sz w:val="20"/>
                <w:szCs w:val="20"/>
              </w:rPr>
              <w:t>ř</w:t>
            </w:r>
            <w:r w:rsidRPr="009900D0">
              <w:rPr>
                <w:rFonts w:ascii="Calibri" w:eastAsia="Georgia" w:hAnsi="Calibri"/>
                <w:b/>
                <w:color w:val="FFFFFF"/>
                <w:spacing w:val="1"/>
                <w:sz w:val="20"/>
                <w:szCs w:val="20"/>
              </w:rPr>
              <w:t>ádá</w:t>
            </w:r>
            <w:r w:rsidRPr="009900D0">
              <w:rPr>
                <w:rFonts w:ascii="Calibri" w:eastAsia="Georgia" w:hAnsi="Calibri"/>
                <w:b/>
                <w:color w:val="FFFFFF"/>
                <w:spacing w:val="-2"/>
                <w:sz w:val="20"/>
                <w:szCs w:val="20"/>
              </w:rPr>
              <w:t>n</w:t>
            </w:r>
            <w:r w:rsidRPr="009900D0">
              <w:rPr>
                <w:rFonts w:ascii="Calibri" w:eastAsia="Georgia" w:hAnsi="Calibri"/>
                <w:b/>
                <w:color w:val="FFFFFF"/>
                <w:sz w:val="20"/>
                <w:szCs w:val="20"/>
              </w:rPr>
              <w:t>í</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D</w:t>
            </w:r>
            <w:r w:rsidRPr="009900D0">
              <w:rPr>
                <w:rFonts w:ascii="Calibri" w:eastAsia="Georgia" w:hAnsi="Calibri"/>
                <w:spacing w:val="-1"/>
                <w:sz w:val="20"/>
                <w:szCs w:val="20"/>
              </w:rPr>
              <w:t>o</w:t>
            </w:r>
            <w:r w:rsidRPr="009900D0">
              <w:rPr>
                <w:rFonts w:ascii="Calibri" w:eastAsia="Georgia" w:hAnsi="Calibri"/>
                <w:sz w:val="20"/>
                <w:szCs w:val="20"/>
              </w:rPr>
              <w:t>b</w:t>
            </w:r>
            <w:r w:rsidRPr="009900D0">
              <w:rPr>
                <w:rFonts w:ascii="Calibri" w:eastAsia="Georgia" w:hAnsi="Calibri"/>
                <w:spacing w:val="1"/>
                <w:sz w:val="20"/>
                <w:szCs w:val="20"/>
              </w:rPr>
              <w:t>r</w:t>
            </w:r>
            <w:r w:rsidRPr="009900D0">
              <w:rPr>
                <w:rFonts w:ascii="Calibri" w:eastAsia="Georgia" w:hAnsi="Calibri"/>
                <w:spacing w:val="-1"/>
                <w:sz w:val="20"/>
                <w:szCs w:val="20"/>
              </w:rPr>
              <w:t>ov</w:t>
            </w:r>
            <w:r w:rsidRPr="009900D0">
              <w:rPr>
                <w:rFonts w:ascii="Calibri" w:eastAsia="Georgia" w:hAnsi="Calibri"/>
                <w:spacing w:val="1"/>
                <w:sz w:val="20"/>
                <w:szCs w:val="20"/>
              </w:rPr>
              <w:t>o</w:t>
            </w:r>
            <w:r w:rsidRPr="009900D0">
              <w:rPr>
                <w:rFonts w:ascii="Calibri" w:eastAsia="Georgia" w:hAnsi="Calibri"/>
                <w:spacing w:val="-1"/>
                <w:sz w:val="20"/>
                <w:szCs w:val="20"/>
              </w:rPr>
              <w:t>ln</w:t>
            </w:r>
            <w:r w:rsidRPr="009900D0">
              <w:rPr>
                <w:rFonts w:ascii="Calibri" w:eastAsia="Georgia" w:hAnsi="Calibri"/>
                <w:sz w:val="20"/>
                <w:szCs w:val="20"/>
              </w:rPr>
              <w:t>á a</w:t>
            </w:r>
            <w:r w:rsidRPr="009900D0">
              <w:rPr>
                <w:rFonts w:ascii="Calibri" w:eastAsia="Georgia" w:hAnsi="Calibri"/>
                <w:spacing w:val="-1"/>
                <w:sz w:val="20"/>
                <w:szCs w:val="20"/>
              </w:rPr>
              <w:t>n</w:t>
            </w:r>
            <w:r w:rsidRPr="009900D0">
              <w:rPr>
                <w:rFonts w:ascii="Calibri" w:eastAsia="Georgia" w:hAnsi="Calibri"/>
                <w:sz w:val="20"/>
                <w:szCs w:val="20"/>
              </w:rPr>
              <w:t>a</w:t>
            </w:r>
            <w:r w:rsidRPr="009900D0">
              <w:rPr>
                <w:rFonts w:ascii="Calibri" w:eastAsia="Georgia" w:hAnsi="Calibri"/>
                <w:spacing w:val="-1"/>
                <w:sz w:val="20"/>
                <w:szCs w:val="20"/>
              </w:rPr>
              <w:t>l</w:t>
            </w:r>
            <w:r w:rsidRPr="009900D0">
              <w:rPr>
                <w:rFonts w:ascii="Calibri" w:eastAsia="Georgia" w:hAnsi="Calibri"/>
                <w:spacing w:val="3"/>
                <w:sz w:val="20"/>
                <w:szCs w:val="20"/>
              </w:rPr>
              <w:t>ý</w:t>
            </w:r>
            <w:r w:rsidRPr="009900D0">
              <w:rPr>
                <w:rFonts w:ascii="Calibri" w:eastAsia="Georgia" w:hAnsi="Calibri"/>
                <w:spacing w:val="-1"/>
                <w:sz w:val="20"/>
                <w:szCs w:val="20"/>
              </w:rPr>
              <w:t>z</w:t>
            </w:r>
            <w:r w:rsidRPr="009900D0">
              <w:rPr>
                <w:rFonts w:ascii="Calibri" w:eastAsia="Georgia" w:hAnsi="Calibri"/>
                <w:sz w:val="20"/>
                <w:szCs w:val="20"/>
              </w:rPr>
              <w:t>a m</w:t>
            </w:r>
            <w:r w:rsidRPr="009900D0">
              <w:rPr>
                <w:rFonts w:ascii="Calibri" w:eastAsia="Georgia" w:hAnsi="Calibri"/>
                <w:spacing w:val="-1"/>
                <w:sz w:val="20"/>
                <w:szCs w:val="20"/>
              </w:rPr>
              <w:t>eze</w:t>
            </w:r>
            <w:r w:rsidRPr="009900D0">
              <w:rPr>
                <w:rFonts w:ascii="Calibri" w:eastAsia="Georgia" w:hAnsi="Calibri"/>
                <w:spacing w:val="1"/>
                <w:sz w:val="20"/>
                <w:szCs w:val="20"/>
              </w:rPr>
              <w:t>r</w:t>
            </w:r>
            <w:r w:rsidRPr="009900D0">
              <w:rPr>
                <w:rFonts w:ascii="Calibri" w:eastAsia="Georgia" w:hAnsi="Calibri"/>
                <w:sz w:val="20"/>
                <w:szCs w:val="20"/>
              </w:rPr>
              <w:t>y p</w:t>
            </w:r>
            <w:r w:rsidRPr="009900D0">
              <w:rPr>
                <w:rFonts w:ascii="Calibri" w:eastAsia="Georgia" w:hAnsi="Calibri"/>
                <w:spacing w:val="3"/>
                <w:sz w:val="20"/>
                <w:szCs w:val="20"/>
              </w:rPr>
              <w:t>r</w:t>
            </w:r>
            <w:r w:rsidRPr="009900D0">
              <w:rPr>
                <w:rFonts w:ascii="Calibri" w:eastAsia="Georgia" w:hAnsi="Calibri"/>
                <w:sz w:val="20"/>
                <w:szCs w:val="20"/>
              </w:rPr>
              <w:t>o</w:t>
            </w:r>
            <w:r w:rsidRPr="009900D0">
              <w:rPr>
                <w:rFonts w:ascii="Calibri" w:eastAsia="Georgia" w:hAnsi="Calibri"/>
                <w:spacing w:val="-1"/>
                <w:sz w:val="20"/>
                <w:szCs w:val="20"/>
              </w:rPr>
              <w:t xml:space="preserve"> </w:t>
            </w:r>
            <w:r w:rsidRPr="009900D0">
              <w:rPr>
                <w:rFonts w:ascii="Calibri" w:eastAsia="Georgia" w:hAnsi="Calibri"/>
                <w:sz w:val="20"/>
                <w:szCs w:val="20"/>
              </w:rPr>
              <w:t>p</w:t>
            </w:r>
            <w:r w:rsidRPr="009900D0">
              <w:rPr>
                <w:rFonts w:ascii="Calibri" w:eastAsia="Georgia" w:hAnsi="Calibri"/>
                <w:spacing w:val="-1"/>
                <w:sz w:val="20"/>
                <w:szCs w:val="20"/>
              </w:rPr>
              <w:t>o</w:t>
            </w:r>
            <w:r w:rsidRPr="009900D0">
              <w:rPr>
                <w:rFonts w:ascii="Calibri" w:eastAsia="Georgia" w:hAnsi="Calibri"/>
                <w:sz w:val="20"/>
                <w:szCs w:val="20"/>
              </w:rPr>
              <w:t>d</w:t>
            </w:r>
            <w:r w:rsidRPr="009900D0">
              <w:rPr>
                <w:rFonts w:ascii="Calibri" w:eastAsia="Georgia" w:hAnsi="Calibri"/>
                <w:spacing w:val="-1"/>
                <w:sz w:val="20"/>
                <w:szCs w:val="20"/>
              </w:rPr>
              <w:t>n</w:t>
            </w:r>
            <w:r w:rsidRPr="009900D0">
              <w:rPr>
                <w:rFonts w:ascii="Calibri" w:eastAsia="Georgia" w:hAnsi="Calibri"/>
                <w:sz w:val="20"/>
                <w:szCs w:val="20"/>
              </w:rPr>
              <w:t xml:space="preserve">iky a </w:t>
            </w:r>
            <w:r w:rsidRPr="009900D0">
              <w:rPr>
                <w:rFonts w:ascii="Calibri" w:eastAsia="Georgia" w:hAnsi="Calibri"/>
                <w:spacing w:val="-1"/>
                <w:sz w:val="20"/>
                <w:szCs w:val="20"/>
              </w:rPr>
              <w:t>n</w:t>
            </w:r>
            <w:r w:rsidRPr="009900D0">
              <w:rPr>
                <w:rFonts w:ascii="Calibri" w:eastAsia="Georgia" w:hAnsi="Calibri"/>
                <w:sz w:val="20"/>
                <w:szCs w:val="20"/>
              </w:rPr>
              <w:t>a ú</w:t>
            </w:r>
            <w:r w:rsidRPr="009900D0">
              <w:rPr>
                <w:rFonts w:ascii="Calibri" w:eastAsia="Georgia" w:hAnsi="Calibri"/>
                <w:spacing w:val="1"/>
                <w:sz w:val="20"/>
                <w:szCs w:val="20"/>
              </w:rPr>
              <w:t>r</w:t>
            </w:r>
            <w:r w:rsidRPr="009900D0">
              <w:rPr>
                <w:rFonts w:ascii="Calibri" w:eastAsia="Georgia" w:hAnsi="Calibri"/>
                <w:spacing w:val="-1"/>
                <w:sz w:val="20"/>
                <w:szCs w:val="20"/>
              </w:rPr>
              <w:t>ovn</w:t>
            </w:r>
            <w:r w:rsidRPr="009900D0">
              <w:rPr>
                <w:rFonts w:ascii="Calibri" w:eastAsia="Georgia" w:hAnsi="Calibri"/>
                <w:sz w:val="20"/>
                <w:szCs w:val="20"/>
              </w:rPr>
              <w:t>i h</w:t>
            </w:r>
            <w:r w:rsidRPr="009900D0">
              <w:rPr>
                <w:rFonts w:ascii="Calibri" w:eastAsia="Georgia" w:hAnsi="Calibri"/>
                <w:spacing w:val="-1"/>
                <w:sz w:val="20"/>
                <w:szCs w:val="20"/>
              </w:rPr>
              <w:t>ol</w:t>
            </w:r>
            <w:r w:rsidRPr="009900D0">
              <w:rPr>
                <w:rFonts w:ascii="Calibri" w:eastAsia="Georgia" w:hAnsi="Calibri"/>
                <w:sz w:val="20"/>
                <w:szCs w:val="20"/>
              </w:rPr>
              <w:t>d</w:t>
            </w:r>
            <w:r w:rsidRPr="009900D0">
              <w:rPr>
                <w:rFonts w:ascii="Calibri" w:eastAsia="Georgia" w:hAnsi="Calibri"/>
                <w:spacing w:val="2"/>
                <w:sz w:val="20"/>
                <w:szCs w:val="20"/>
              </w:rPr>
              <w:t>i</w:t>
            </w:r>
            <w:r w:rsidRPr="009900D0">
              <w:rPr>
                <w:rFonts w:ascii="Calibri" w:eastAsia="Georgia" w:hAnsi="Calibri"/>
                <w:spacing w:val="-1"/>
                <w:sz w:val="20"/>
                <w:szCs w:val="20"/>
              </w:rPr>
              <w:t>n</w:t>
            </w:r>
            <w:r w:rsidRPr="009900D0">
              <w:rPr>
                <w:rFonts w:ascii="Calibri" w:eastAsia="Georgia" w:hAnsi="Calibri"/>
                <w:sz w:val="20"/>
                <w:szCs w:val="20"/>
              </w:rPr>
              <w:t>g</w:t>
            </w:r>
            <w:r w:rsidRPr="009900D0">
              <w:rPr>
                <w:rFonts w:ascii="Calibri" w:eastAsia="Georgia" w:hAnsi="Calibri"/>
                <w:spacing w:val="-1"/>
                <w:sz w:val="20"/>
                <w:szCs w:val="20"/>
              </w:rPr>
              <w:t>o</w:t>
            </w:r>
            <w:r w:rsidRPr="009900D0">
              <w:rPr>
                <w:rFonts w:ascii="Calibri" w:eastAsia="Georgia" w:hAnsi="Calibri"/>
                <w:spacing w:val="2"/>
                <w:sz w:val="20"/>
                <w:szCs w:val="20"/>
              </w:rPr>
              <w:t>v</w:t>
            </w:r>
            <w:r w:rsidRPr="009900D0">
              <w:rPr>
                <w:rFonts w:ascii="Calibri" w:eastAsia="Georgia" w:hAnsi="Calibri"/>
                <w:spacing w:val="-1"/>
                <w:sz w:val="20"/>
                <w:szCs w:val="20"/>
              </w:rPr>
              <w:t>é</w:t>
            </w:r>
            <w:r w:rsidRPr="009900D0">
              <w:rPr>
                <w:rFonts w:ascii="Calibri" w:eastAsia="Georgia" w:hAnsi="Calibri"/>
                <w:spacing w:val="1"/>
                <w:sz w:val="20"/>
                <w:szCs w:val="20"/>
              </w:rPr>
              <w:t>h</w:t>
            </w:r>
            <w:r w:rsidRPr="009900D0">
              <w:rPr>
                <w:rFonts w:ascii="Calibri" w:eastAsia="Georgia" w:hAnsi="Calibri"/>
                <w:sz w:val="20"/>
                <w:szCs w:val="20"/>
              </w:rPr>
              <w:t>o</w:t>
            </w:r>
            <w:r w:rsidRPr="009900D0">
              <w:rPr>
                <w:rFonts w:ascii="Calibri" w:eastAsia="Georgia" w:hAnsi="Calibri"/>
                <w:spacing w:val="-1"/>
                <w:sz w:val="20"/>
                <w:szCs w:val="20"/>
              </w:rPr>
              <w:t xml:space="preserve"> </w:t>
            </w:r>
            <w:r w:rsidRPr="009900D0">
              <w:rPr>
                <w:rFonts w:ascii="Calibri" w:eastAsia="Georgia" w:hAnsi="Calibri"/>
                <w:spacing w:val="1"/>
                <w:sz w:val="20"/>
                <w:szCs w:val="20"/>
              </w:rPr>
              <w:t>f</w:t>
            </w:r>
            <w:r w:rsidRPr="009900D0">
              <w:rPr>
                <w:rFonts w:ascii="Calibri" w:eastAsia="Georgia" w:hAnsi="Calibri"/>
                <w:spacing w:val="-1"/>
                <w:sz w:val="20"/>
                <w:szCs w:val="20"/>
              </w:rPr>
              <w:t>on</w:t>
            </w:r>
            <w:r w:rsidRPr="009900D0">
              <w:rPr>
                <w:rFonts w:ascii="Calibri" w:eastAsia="Georgia" w:hAnsi="Calibri"/>
                <w:sz w:val="20"/>
                <w:szCs w:val="20"/>
              </w:rPr>
              <w:t>du</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pacing w:val="1"/>
                <w:sz w:val="20"/>
                <w:szCs w:val="20"/>
              </w:rPr>
              <w:t>P</w:t>
            </w:r>
            <w:r w:rsidRPr="009900D0">
              <w:rPr>
                <w:rFonts w:ascii="Calibri" w:eastAsia="Georgia" w:hAnsi="Calibri"/>
                <w:spacing w:val="-1"/>
                <w:sz w:val="20"/>
                <w:szCs w:val="20"/>
              </w:rPr>
              <w:t>ov</w:t>
            </w:r>
            <w:r w:rsidRPr="009900D0">
              <w:rPr>
                <w:rFonts w:ascii="Calibri" w:eastAsia="Georgia" w:hAnsi="Calibri"/>
                <w:sz w:val="20"/>
                <w:szCs w:val="20"/>
              </w:rPr>
              <w:t>i</w:t>
            </w:r>
            <w:r w:rsidRPr="009900D0">
              <w:rPr>
                <w:rFonts w:ascii="Calibri" w:eastAsia="Georgia" w:hAnsi="Calibri"/>
                <w:spacing w:val="-1"/>
                <w:sz w:val="20"/>
                <w:szCs w:val="20"/>
              </w:rPr>
              <w:t>nn</w:t>
            </w:r>
            <w:r w:rsidRPr="009900D0">
              <w:rPr>
                <w:rFonts w:ascii="Calibri" w:eastAsia="Georgia" w:hAnsi="Calibri"/>
                <w:sz w:val="20"/>
                <w:szCs w:val="20"/>
              </w:rPr>
              <w:t>é</w:t>
            </w:r>
            <w:r w:rsidRPr="009900D0">
              <w:rPr>
                <w:rFonts w:ascii="Calibri" w:eastAsia="Georgia" w:hAnsi="Calibri"/>
                <w:spacing w:val="-1"/>
                <w:sz w:val="20"/>
                <w:szCs w:val="20"/>
              </w:rPr>
              <w:t xml:space="preserve"> </w:t>
            </w:r>
            <w:r w:rsidRPr="009900D0">
              <w:rPr>
                <w:rFonts w:ascii="Calibri" w:eastAsia="Georgia" w:hAnsi="Calibri"/>
                <w:sz w:val="20"/>
                <w:szCs w:val="20"/>
              </w:rPr>
              <w:t>p</w:t>
            </w:r>
            <w:r w:rsidRPr="009900D0">
              <w:rPr>
                <w:rFonts w:ascii="Calibri" w:eastAsia="Georgia" w:hAnsi="Calibri"/>
                <w:spacing w:val="1"/>
                <w:sz w:val="20"/>
                <w:szCs w:val="20"/>
              </w:rPr>
              <w:t>ř</w:t>
            </w:r>
            <w:r w:rsidRPr="009900D0">
              <w:rPr>
                <w:rFonts w:ascii="Calibri" w:eastAsia="Georgia" w:hAnsi="Calibri"/>
                <w:spacing w:val="-1"/>
                <w:sz w:val="20"/>
                <w:szCs w:val="20"/>
              </w:rPr>
              <w:t>e</w:t>
            </w:r>
            <w:r w:rsidRPr="009900D0">
              <w:rPr>
                <w:rFonts w:ascii="Calibri" w:eastAsia="Georgia" w:hAnsi="Calibri"/>
                <w:sz w:val="20"/>
                <w:szCs w:val="20"/>
              </w:rPr>
              <w:t>d</w:t>
            </w:r>
            <w:r w:rsidRPr="009900D0">
              <w:rPr>
                <w:rFonts w:ascii="Calibri" w:eastAsia="Georgia" w:hAnsi="Calibri"/>
                <w:spacing w:val="2"/>
                <w:sz w:val="20"/>
                <w:szCs w:val="20"/>
              </w:rPr>
              <w:t>b</w:t>
            </w:r>
            <w:r w:rsidRPr="009900D0">
              <w:rPr>
                <w:rFonts w:ascii="Calibri" w:eastAsia="Georgia" w:hAnsi="Calibri"/>
                <w:spacing w:val="-1"/>
                <w:sz w:val="20"/>
                <w:szCs w:val="20"/>
              </w:rPr>
              <w:t>ěžn</w:t>
            </w:r>
            <w:r w:rsidRPr="009900D0">
              <w:rPr>
                <w:rFonts w:ascii="Calibri" w:eastAsia="Georgia" w:hAnsi="Calibri"/>
                <w:sz w:val="20"/>
                <w:szCs w:val="20"/>
              </w:rPr>
              <w:t xml:space="preserve">í </w:t>
            </w:r>
            <w:r w:rsidRPr="009900D0">
              <w:rPr>
                <w:rFonts w:ascii="Calibri" w:eastAsia="Georgia" w:hAnsi="Calibri"/>
                <w:spacing w:val="3"/>
                <w:sz w:val="20"/>
                <w:szCs w:val="20"/>
              </w:rPr>
              <w:t>p</w:t>
            </w:r>
            <w:r w:rsidRPr="009900D0">
              <w:rPr>
                <w:rFonts w:ascii="Calibri" w:eastAsia="Georgia" w:hAnsi="Calibri"/>
                <w:spacing w:val="-1"/>
                <w:sz w:val="20"/>
                <w:szCs w:val="20"/>
              </w:rPr>
              <w:t>oso</w:t>
            </w:r>
            <w:r w:rsidRPr="009900D0">
              <w:rPr>
                <w:rFonts w:ascii="Calibri" w:eastAsia="Georgia" w:hAnsi="Calibri"/>
                <w:spacing w:val="2"/>
                <w:sz w:val="20"/>
                <w:szCs w:val="20"/>
              </w:rPr>
              <w:t>u</w:t>
            </w:r>
            <w:r w:rsidRPr="009900D0">
              <w:rPr>
                <w:rFonts w:ascii="Calibri" w:eastAsia="Georgia" w:hAnsi="Calibri"/>
                <w:spacing w:val="-1"/>
                <w:sz w:val="20"/>
                <w:szCs w:val="20"/>
              </w:rPr>
              <w:t>zen</w:t>
            </w:r>
            <w:r w:rsidRPr="009900D0">
              <w:rPr>
                <w:rFonts w:ascii="Calibri" w:eastAsia="Georgia" w:hAnsi="Calibri"/>
                <w:sz w:val="20"/>
                <w:szCs w:val="20"/>
              </w:rPr>
              <w:t>í</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sz w:val="20"/>
                <w:szCs w:val="20"/>
              </w:rPr>
            </w:pPr>
            <w:r w:rsidRPr="009900D0">
              <w:rPr>
                <w:rFonts w:ascii="Calibri" w:eastAsia="Georgia" w:hAnsi="Calibri"/>
                <w:b/>
                <w:color w:val="FFFFFF"/>
                <w:spacing w:val="1"/>
                <w:sz w:val="20"/>
                <w:szCs w:val="20"/>
              </w:rPr>
              <w:t>Mo</w:t>
            </w:r>
            <w:r w:rsidRPr="009900D0">
              <w:rPr>
                <w:rFonts w:ascii="Calibri" w:eastAsia="Georgia" w:hAnsi="Calibri"/>
                <w:b/>
                <w:color w:val="FFFFFF"/>
                <w:spacing w:val="-1"/>
                <w:sz w:val="20"/>
                <w:szCs w:val="20"/>
              </w:rPr>
              <w:t>ž</w:t>
            </w:r>
            <w:r w:rsidRPr="009900D0">
              <w:rPr>
                <w:rFonts w:ascii="Calibri" w:eastAsia="Georgia" w:hAnsi="Calibri"/>
                <w:b/>
                <w:color w:val="FFFFFF"/>
                <w:spacing w:val="1"/>
                <w:sz w:val="20"/>
                <w:szCs w:val="20"/>
              </w:rPr>
              <w:t>no</w:t>
            </w:r>
            <w:r w:rsidRPr="009900D0">
              <w:rPr>
                <w:rFonts w:ascii="Calibri" w:eastAsia="Georgia" w:hAnsi="Calibri"/>
                <w:b/>
                <w:color w:val="FFFFFF"/>
                <w:spacing w:val="-1"/>
                <w:sz w:val="20"/>
                <w:szCs w:val="20"/>
              </w:rPr>
              <w:t>s</w:t>
            </w:r>
            <w:r w:rsidRPr="009900D0">
              <w:rPr>
                <w:rFonts w:ascii="Calibri" w:eastAsia="Georgia" w:hAnsi="Calibri"/>
                <w:b/>
                <w:color w:val="FFFFFF"/>
                <w:sz w:val="20"/>
                <w:szCs w:val="20"/>
              </w:rPr>
              <w:t xml:space="preserve">ti </w:t>
            </w:r>
            <w:r w:rsidRPr="009900D0">
              <w:rPr>
                <w:rFonts w:ascii="Calibri" w:eastAsia="Georgia" w:hAnsi="Calibri"/>
                <w:b/>
                <w:color w:val="FFFFFF"/>
                <w:spacing w:val="1"/>
                <w:sz w:val="20"/>
                <w:szCs w:val="20"/>
              </w:rPr>
              <w:t>i</w:t>
            </w:r>
            <w:r w:rsidRPr="009900D0">
              <w:rPr>
                <w:rFonts w:ascii="Calibri" w:eastAsia="Georgia" w:hAnsi="Calibri"/>
                <w:b/>
                <w:color w:val="FFFFFF"/>
                <w:sz w:val="20"/>
                <w:szCs w:val="20"/>
              </w:rPr>
              <w:t>m</w:t>
            </w:r>
            <w:r w:rsidRPr="009900D0">
              <w:rPr>
                <w:rFonts w:ascii="Calibri" w:eastAsia="Georgia" w:hAnsi="Calibri"/>
                <w:b/>
                <w:color w:val="FFFFFF"/>
                <w:spacing w:val="-1"/>
                <w:sz w:val="20"/>
                <w:szCs w:val="20"/>
              </w:rPr>
              <w:t>p</w:t>
            </w:r>
            <w:r w:rsidRPr="009900D0">
              <w:rPr>
                <w:rFonts w:ascii="Calibri" w:eastAsia="Georgia" w:hAnsi="Calibri"/>
                <w:b/>
                <w:color w:val="FFFFFF"/>
                <w:sz w:val="20"/>
                <w:szCs w:val="20"/>
              </w:rPr>
              <w:t>leme</w:t>
            </w:r>
            <w:r w:rsidRPr="009900D0">
              <w:rPr>
                <w:rFonts w:ascii="Calibri" w:eastAsia="Georgia" w:hAnsi="Calibri"/>
                <w:b/>
                <w:color w:val="FFFFFF"/>
                <w:spacing w:val="1"/>
                <w:sz w:val="20"/>
                <w:szCs w:val="20"/>
              </w:rPr>
              <w:t>n</w:t>
            </w:r>
            <w:r w:rsidRPr="009900D0">
              <w:rPr>
                <w:rFonts w:ascii="Calibri" w:eastAsia="Georgia" w:hAnsi="Calibri"/>
                <w:b/>
                <w:color w:val="FFFFFF"/>
                <w:sz w:val="20"/>
                <w:szCs w:val="20"/>
              </w:rPr>
              <w:t>t</w:t>
            </w:r>
            <w:r w:rsidRPr="009900D0">
              <w:rPr>
                <w:rFonts w:ascii="Calibri" w:eastAsia="Georgia" w:hAnsi="Calibri"/>
                <w:b/>
                <w:color w:val="FFFFFF"/>
                <w:spacing w:val="1"/>
                <w:sz w:val="20"/>
                <w:szCs w:val="20"/>
              </w:rPr>
              <w:t>a</w:t>
            </w:r>
            <w:r w:rsidRPr="009900D0">
              <w:rPr>
                <w:rFonts w:ascii="Calibri" w:eastAsia="Georgia" w:hAnsi="Calibri"/>
                <w:b/>
                <w:color w:val="FFFFFF"/>
                <w:sz w:val="20"/>
                <w:szCs w:val="20"/>
              </w:rPr>
              <w:t>ce</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56B56"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IFN</w:t>
            </w:r>
            <w:r w:rsidR="00A1208F" w:rsidRPr="009900D0">
              <w:rPr>
                <w:rFonts w:ascii="Calibri" w:eastAsia="Georgia" w:hAnsi="Calibri"/>
                <w:spacing w:val="-1"/>
                <w:sz w:val="20"/>
                <w:szCs w:val="20"/>
              </w:rPr>
              <w:t xml:space="preserve"> n</w:t>
            </w:r>
            <w:r w:rsidR="00A1208F" w:rsidRPr="009900D0">
              <w:rPr>
                <w:rFonts w:ascii="Calibri" w:eastAsia="Georgia" w:hAnsi="Calibri"/>
                <w:sz w:val="20"/>
                <w:szCs w:val="20"/>
              </w:rPr>
              <w:t xml:space="preserve">a </w:t>
            </w:r>
            <w:r w:rsidR="00A1208F" w:rsidRPr="009900D0">
              <w:rPr>
                <w:rFonts w:ascii="Calibri" w:eastAsia="Georgia" w:hAnsi="Calibri"/>
                <w:spacing w:val="-1"/>
                <w:sz w:val="20"/>
                <w:szCs w:val="20"/>
              </w:rPr>
              <w:t>n</w:t>
            </w:r>
            <w:r w:rsidR="00A1208F" w:rsidRPr="009900D0">
              <w:rPr>
                <w:rFonts w:ascii="Calibri" w:eastAsia="Georgia" w:hAnsi="Calibri"/>
                <w:sz w:val="20"/>
                <w:szCs w:val="20"/>
              </w:rPr>
              <w:t>á</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w:t>
            </w:r>
            <w:r w:rsidR="00A1208F" w:rsidRPr="009900D0">
              <w:rPr>
                <w:rFonts w:ascii="Calibri" w:eastAsia="Georgia" w:hAnsi="Calibri"/>
                <w:sz w:val="20"/>
                <w:szCs w:val="20"/>
              </w:rPr>
              <w:t>d</w:t>
            </w:r>
            <w:r w:rsidR="00A1208F" w:rsidRPr="009900D0">
              <w:rPr>
                <w:rFonts w:ascii="Calibri" w:eastAsia="Georgia" w:hAnsi="Calibri"/>
                <w:spacing w:val="-1"/>
                <w:sz w:val="20"/>
                <w:szCs w:val="20"/>
              </w:rPr>
              <w:t>n</w:t>
            </w:r>
            <w:r w:rsidR="00A1208F" w:rsidRPr="009900D0">
              <w:rPr>
                <w:rFonts w:ascii="Calibri" w:eastAsia="Georgia" w:hAnsi="Calibri"/>
                <w:sz w:val="20"/>
                <w:szCs w:val="20"/>
              </w:rPr>
              <w:t>í</w:t>
            </w:r>
            <w:r w:rsidR="00A1208F" w:rsidRPr="009900D0">
              <w:rPr>
                <w:rFonts w:ascii="Calibri" w:eastAsia="Georgia" w:hAnsi="Calibri"/>
                <w:spacing w:val="5"/>
                <w:sz w:val="20"/>
                <w:szCs w:val="20"/>
              </w:rPr>
              <w:t xml:space="preserve"> </w:t>
            </w:r>
            <w:r w:rsidR="00A1208F" w:rsidRPr="009900D0">
              <w:rPr>
                <w:rFonts w:ascii="Calibri" w:eastAsia="Georgia" w:hAnsi="Calibri"/>
                <w:spacing w:val="-1"/>
                <w:sz w:val="20"/>
                <w:szCs w:val="20"/>
              </w:rPr>
              <w:t>ne</w:t>
            </w:r>
            <w:r w:rsidR="00A1208F" w:rsidRPr="009900D0">
              <w:rPr>
                <w:rFonts w:ascii="Calibri" w:eastAsia="Georgia" w:hAnsi="Calibri"/>
                <w:sz w:val="20"/>
                <w:szCs w:val="20"/>
              </w:rPr>
              <w:t xml:space="preserve">bo </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e</w:t>
            </w:r>
            <w:r w:rsidR="00A1208F" w:rsidRPr="009900D0">
              <w:rPr>
                <w:rFonts w:ascii="Calibri" w:eastAsia="Georgia" w:hAnsi="Calibri"/>
                <w:sz w:val="20"/>
                <w:szCs w:val="20"/>
              </w:rPr>
              <w:t>gi</w:t>
            </w:r>
            <w:r w:rsidR="00A1208F" w:rsidRPr="009900D0">
              <w:rPr>
                <w:rFonts w:ascii="Calibri" w:eastAsia="Georgia" w:hAnsi="Calibri"/>
                <w:spacing w:val="-1"/>
                <w:sz w:val="20"/>
                <w:szCs w:val="20"/>
              </w:rPr>
              <w:t>on</w:t>
            </w:r>
            <w:r w:rsidR="00A1208F" w:rsidRPr="009900D0">
              <w:rPr>
                <w:rFonts w:ascii="Calibri" w:eastAsia="Georgia" w:hAnsi="Calibri"/>
                <w:sz w:val="20"/>
                <w:szCs w:val="20"/>
              </w:rPr>
              <w:t>á</w:t>
            </w:r>
            <w:r w:rsidR="00A1208F" w:rsidRPr="009900D0">
              <w:rPr>
                <w:rFonts w:ascii="Calibri" w:eastAsia="Georgia" w:hAnsi="Calibri"/>
                <w:spacing w:val="-1"/>
                <w:sz w:val="20"/>
                <w:szCs w:val="20"/>
              </w:rPr>
              <w:t>ln</w:t>
            </w:r>
            <w:r w:rsidR="00A1208F" w:rsidRPr="009900D0">
              <w:rPr>
                <w:rFonts w:ascii="Calibri" w:eastAsia="Georgia" w:hAnsi="Calibri"/>
                <w:sz w:val="20"/>
                <w:szCs w:val="20"/>
              </w:rPr>
              <w:t>í</w:t>
            </w:r>
            <w:r w:rsidR="00A1208F" w:rsidRPr="009900D0">
              <w:rPr>
                <w:rFonts w:ascii="Calibri" w:eastAsia="Georgia" w:hAnsi="Calibri"/>
                <w:spacing w:val="2"/>
                <w:sz w:val="20"/>
                <w:szCs w:val="20"/>
              </w:rPr>
              <w:t xml:space="preserve"> </w:t>
            </w:r>
            <w:r w:rsidR="00A1208F" w:rsidRPr="009900D0">
              <w:rPr>
                <w:rFonts w:ascii="Calibri" w:eastAsia="Georgia" w:hAnsi="Calibri"/>
                <w:sz w:val="20"/>
                <w:szCs w:val="20"/>
              </w:rPr>
              <w:t>ú</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ovn</w:t>
            </w:r>
            <w:r w:rsidR="00A1208F" w:rsidRPr="009900D0">
              <w:rPr>
                <w:rFonts w:ascii="Calibri" w:eastAsia="Georgia" w:hAnsi="Calibri"/>
                <w:sz w:val="20"/>
                <w:szCs w:val="20"/>
              </w:rPr>
              <w:t>i</w:t>
            </w:r>
            <w:r w:rsidR="00A1208F" w:rsidRPr="009900D0">
              <w:rPr>
                <w:rFonts w:ascii="Calibri" w:eastAsia="Georgia" w:hAnsi="Calibri"/>
                <w:spacing w:val="2"/>
                <w:sz w:val="20"/>
                <w:szCs w:val="20"/>
              </w:rPr>
              <w:t xml:space="preserve"> </w:t>
            </w:r>
            <w:r w:rsidR="00A1208F" w:rsidRPr="009900D0">
              <w:rPr>
                <w:rFonts w:ascii="Calibri" w:eastAsia="Georgia" w:hAnsi="Calibri"/>
                <w:sz w:val="20"/>
                <w:szCs w:val="20"/>
              </w:rPr>
              <w:t>–</w:t>
            </w:r>
            <w:r w:rsidR="00A1208F" w:rsidRPr="009900D0">
              <w:rPr>
                <w:rFonts w:ascii="Calibri" w:eastAsia="Georgia" w:hAnsi="Calibri"/>
                <w:spacing w:val="-1"/>
                <w:sz w:val="20"/>
                <w:szCs w:val="20"/>
              </w:rPr>
              <w:t xml:space="preserve"> </w:t>
            </w:r>
            <w:r w:rsidR="00A1208F" w:rsidRPr="009900D0">
              <w:rPr>
                <w:rFonts w:ascii="Calibri" w:eastAsia="Georgia" w:hAnsi="Calibri"/>
                <w:sz w:val="20"/>
                <w:szCs w:val="20"/>
              </w:rPr>
              <w:t>j</w:t>
            </w:r>
            <w:r w:rsidR="00A1208F" w:rsidRPr="009900D0">
              <w:rPr>
                <w:rFonts w:ascii="Calibri" w:eastAsia="Georgia" w:hAnsi="Calibri"/>
                <w:spacing w:val="-1"/>
                <w:sz w:val="20"/>
                <w:szCs w:val="20"/>
              </w:rPr>
              <w:t>e</w:t>
            </w:r>
            <w:r w:rsidR="00A1208F" w:rsidRPr="009900D0">
              <w:rPr>
                <w:rFonts w:ascii="Calibri" w:eastAsia="Georgia" w:hAnsi="Calibri"/>
                <w:spacing w:val="2"/>
                <w:sz w:val="20"/>
                <w:szCs w:val="20"/>
              </w:rPr>
              <w:t>n</w:t>
            </w:r>
            <w:r w:rsidR="00A1208F" w:rsidRPr="009900D0">
              <w:rPr>
                <w:rFonts w:ascii="Calibri" w:eastAsia="Georgia" w:hAnsi="Calibri"/>
                <w:spacing w:val="-1"/>
                <w:sz w:val="20"/>
                <w:szCs w:val="20"/>
              </w:rPr>
              <w:t>o</w:t>
            </w:r>
            <w:r w:rsidR="00A1208F" w:rsidRPr="009900D0">
              <w:rPr>
                <w:rFonts w:ascii="Calibri" w:eastAsia="Georgia" w:hAnsi="Calibri"/>
                <w:sz w:val="20"/>
                <w:szCs w:val="20"/>
              </w:rPr>
              <w:t xml:space="preserve">m </w:t>
            </w:r>
            <w:r w:rsidR="00A1208F" w:rsidRPr="009900D0">
              <w:rPr>
                <w:rFonts w:ascii="Calibri" w:eastAsia="Georgia" w:hAnsi="Calibri"/>
                <w:spacing w:val="1"/>
                <w:sz w:val="20"/>
                <w:szCs w:val="20"/>
              </w:rPr>
              <w:t>„</w:t>
            </w:r>
            <w:r w:rsidR="00A1208F" w:rsidRPr="009900D0">
              <w:rPr>
                <w:rFonts w:ascii="Calibri" w:eastAsia="Georgia" w:hAnsi="Calibri"/>
                <w:spacing w:val="-1"/>
                <w:sz w:val="20"/>
                <w:szCs w:val="20"/>
              </w:rPr>
              <w:t>n</w:t>
            </w:r>
            <w:r w:rsidR="00A1208F" w:rsidRPr="009900D0">
              <w:rPr>
                <w:rFonts w:ascii="Calibri" w:eastAsia="Georgia" w:hAnsi="Calibri"/>
                <w:sz w:val="20"/>
                <w:szCs w:val="20"/>
              </w:rPr>
              <w:t>a</w:t>
            </w:r>
            <w:r w:rsidR="00A1208F" w:rsidRPr="009900D0">
              <w:rPr>
                <w:rFonts w:ascii="Calibri" w:eastAsia="Georgia" w:hAnsi="Calibri"/>
                <w:spacing w:val="3"/>
                <w:sz w:val="20"/>
                <w:szCs w:val="20"/>
              </w:rPr>
              <w:t xml:space="preserve"> </w:t>
            </w:r>
            <w:r w:rsidR="00A1208F" w:rsidRPr="009900D0">
              <w:rPr>
                <w:rFonts w:ascii="Calibri" w:eastAsia="Georgia" w:hAnsi="Calibri"/>
                <w:sz w:val="20"/>
                <w:szCs w:val="20"/>
              </w:rPr>
              <w:t>mí</w:t>
            </w:r>
            <w:r w:rsidR="00A1208F" w:rsidRPr="009900D0">
              <w:rPr>
                <w:rFonts w:ascii="Calibri" w:eastAsia="Georgia" w:hAnsi="Calibri"/>
                <w:spacing w:val="1"/>
                <w:sz w:val="20"/>
                <w:szCs w:val="20"/>
              </w:rPr>
              <w:t>r</w:t>
            </w:r>
            <w:r w:rsidR="00A1208F" w:rsidRPr="009900D0">
              <w:rPr>
                <w:rFonts w:ascii="Calibri" w:eastAsia="Georgia" w:hAnsi="Calibri"/>
                <w:sz w:val="20"/>
                <w:szCs w:val="20"/>
              </w:rPr>
              <w:t>u“</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56B56"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IFN</w:t>
            </w:r>
            <w:r w:rsidR="00A1208F" w:rsidRPr="009900D0">
              <w:rPr>
                <w:rFonts w:ascii="Calibri" w:eastAsia="Georgia" w:hAnsi="Calibri"/>
                <w:spacing w:val="-1"/>
                <w:sz w:val="20"/>
                <w:szCs w:val="20"/>
              </w:rPr>
              <w:t xml:space="preserve"> n</w:t>
            </w:r>
            <w:r w:rsidR="00A1208F" w:rsidRPr="009900D0">
              <w:rPr>
                <w:rFonts w:ascii="Calibri" w:eastAsia="Georgia" w:hAnsi="Calibri"/>
                <w:sz w:val="20"/>
                <w:szCs w:val="20"/>
              </w:rPr>
              <w:t xml:space="preserve">a </w:t>
            </w:r>
            <w:r w:rsidR="00A1208F" w:rsidRPr="009900D0">
              <w:rPr>
                <w:rFonts w:ascii="Calibri" w:eastAsia="Georgia" w:hAnsi="Calibri"/>
                <w:spacing w:val="-1"/>
                <w:sz w:val="20"/>
                <w:szCs w:val="20"/>
              </w:rPr>
              <w:t>n</w:t>
            </w:r>
            <w:r w:rsidR="00A1208F" w:rsidRPr="009900D0">
              <w:rPr>
                <w:rFonts w:ascii="Calibri" w:eastAsia="Georgia" w:hAnsi="Calibri"/>
                <w:sz w:val="20"/>
                <w:szCs w:val="20"/>
              </w:rPr>
              <w:t>á</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w:t>
            </w:r>
            <w:r w:rsidR="00A1208F" w:rsidRPr="009900D0">
              <w:rPr>
                <w:rFonts w:ascii="Calibri" w:eastAsia="Georgia" w:hAnsi="Calibri"/>
                <w:sz w:val="20"/>
                <w:szCs w:val="20"/>
              </w:rPr>
              <w:t>d</w:t>
            </w:r>
            <w:r w:rsidR="00A1208F" w:rsidRPr="009900D0">
              <w:rPr>
                <w:rFonts w:ascii="Calibri" w:eastAsia="Georgia" w:hAnsi="Calibri"/>
                <w:spacing w:val="-1"/>
                <w:sz w:val="20"/>
                <w:szCs w:val="20"/>
              </w:rPr>
              <w:t>n</w:t>
            </w:r>
            <w:r w:rsidR="00A1208F" w:rsidRPr="009900D0">
              <w:rPr>
                <w:rFonts w:ascii="Calibri" w:eastAsia="Georgia" w:hAnsi="Calibri"/>
                <w:spacing w:val="2"/>
                <w:sz w:val="20"/>
                <w:szCs w:val="20"/>
              </w:rPr>
              <w:t>í</w:t>
            </w:r>
            <w:r w:rsidR="00A1208F" w:rsidRPr="009900D0">
              <w:rPr>
                <w:rFonts w:ascii="Calibri" w:eastAsia="Georgia" w:hAnsi="Calibri"/>
                <w:sz w:val="20"/>
                <w:szCs w:val="20"/>
              </w:rPr>
              <w:t>,</w:t>
            </w:r>
            <w:r w:rsidR="00A1208F" w:rsidRPr="009900D0">
              <w:rPr>
                <w:rFonts w:ascii="Calibri" w:eastAsia="Georgia" w:hAnsi="Calibri"/>
                <w:spacing w:val="2"/>
                <w:sz w:val="20"/>
                <w:szCs w:val="20"/>
              </w:rPr>
              <w:t xml:space="preserve"> </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e</w:t>
            </w:r>
            <w:r w:rsidR="00A1208F" w:rsidRPr="009900D0">
              <w:rPr>
                <w:rFonts w:ascii="Calibri" w:eastAsia="Georgia" w:hAnsi="Calibri"/>
                <w:sz w:val="20"/>
                <w:szCs w:val="20"/>
              </w:rPr>
              <w:t>gi</w:t>
            </w:r>
            <w:r w:rsidR="00A1208F" w:rsidRPr="009900D0">
              <w:rPr>
                <w:rFonts w:ascii="Calibri" w:eastAsia="Georgia" w:hAnsi="Calibri"/>
                <w:spacing w:val="-1"/>
                <w:sz w:val="20"/>
                <w:szCs w:val="20"/>
              </w:rPr>
              <w:t>on</w:t>
            </w:r>
            <w:r w:rsidR="00A1208F" w:rsidRPr="009900D0">
              <w:rPr>
                <w:rFonts w:ascii="Calibri" w:eastAsia="Georgia" w:hAnsi="Calibri"/>
                <w:sz w:val="20"/>
                <w:szCs w:val="20"/>
              </w:rPr>
              <w:t>á</w:t>
            </w:r>
            <w:r w:rsidR="00A1208F" w:rsidRPr="009900D0">
              <w:rPr>
                <w:rFonts w:ascii="Calibri" w:eastAsia="Georgia" w:hAnsi="Calibri"/>
                <w:spacing w:val="-1"/>
                <w:sz w:val="20"/>
                <w:szCs w:val="20"/>
              </w:rPr>
              <w:t>ln</w:t>
            </w:r>
            <w:r w:rsidR="00A1208F" w:rsidRPr="009900D0">
              <w:rPr>
                <w:rFonts w:ascii="Calibri" w:eastAsia="Georgia" w:hAnsi="Calibri"/>
                <w:sz w:val="20"/>
                <w:szCs w:val="20"/>
              </w:rPr>
              <w:t>í</w:t>
            </w:r>
            <w:r w:rsidR="00887FD3" w:rsidRPr="009900D0">
              <w:rPr>
                <w:rFonts w:ascii="Calibri" w:eastAsia="Georgia" w:hAnsi="Calibri"/>
                <w:sz w:val="20"/>
                <w:szCs w:val="20"/>
              </w:rPr>
              <w:t xml:space="preserve"> </w:t>
            </w:r>
            <w:r w:rsidR="00A1208F" w:rsidRPr="009900D0">
              <w:rPr>
                <w:rFonts w:ascii="Calibri" w:eastAsia="Georgia" w:hAnsi="Calibri"/>
                <w:sz w:val="20"/>
                <w:szCs w:val="20"/>
              </w:rPr>
              <w:t>ú</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ovn</w:t>
            </w:r>
            <w:r w:rsidR="00A1208F" w:rsidRPr="009900D0">
              <w:rPr>
                <w:rFonts w:ascii="Calibri" w:eastAsia="Georgia" w:hAnsi="Calibri"/>
                <w:sz w:val="20"/>
                <w:szCs w:val="20"/>
              </w:rPr>
              <w:t>i,</w:t>
            </w:r>
            <w:r w:rsidR="00A1208F" w:rsidRPr="009900D0">
              <w:rPr>
                <w:rFonts w:ascii="Calibri" w:eastAsia="Georgia" w:hAnsi="Calibri"/>
                <w:spacing w:val="-1"/>
                <w:sz w:val="20"/>
                <w:szCs w:val="20"/>
              </w:rPr>
              <w:t xml:space="preserve"> n</w:t>
            </w:r>
            <w:r w:rsidR="00A1208F" w:rsidRPr="009900D0">
              <w:rPr>
                <w:rFonts w:ascii="Calibri" w:eastAsia="Georgia" w:hAnsi="Calibri"/>
                <w:sz w:val="20"/>
                <w:szCs w:val="20"/>
              </w:rPr>
              <w:t>a</w:t>
            </w:r>
            <w:r w:rsidR="00A1208F" w:rsidRPr="009900D0">
              <w:rPr>
                <w:rFonts w:ascii="Calibri" w:eastAsia="Georgia" w:hAnsi="Calibri"/>
                <w:spacing w:val="2"/>
                <w:sz w:val="20"/>
                <w:szCs w:val="20"/>
              </w:rPr>
              <w:t>d</w:t>
            </w:r>
            <w:r w:rsidR="00A1208F" w:rsidRPr="009900D0">
              <w:rPr>
                <w:rFonts w:ascii="Calibri" w:eastAsia="Georgia" w:hAnsi="Calibri"/>
                <w:spacing w:val="-1"/>
                <w:sz w:val="20"/>
                <w:szCs w:val="20"/>
              </w:rPr>
              <w:t>n</w:t>
            </w:r>
            <w:r w:rsidR="00A1208F" w:rsidRPr="009900D0">
              <w:rPr>
                <w:rFonts w:ascii="Calibri" w:eastAsia="Georgia" w:hAnsi="Calibri"/>
                <w:sz w:val="20"/>
                <w:szCs w:val="20"/>
              </w:rPr>
              <w:t>á</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w:t>
            </w:r>
            <w:r w:rsidR="00A1208F" w:rsidRPr="009900D0">
              <w:rPr>
                <w:rFonts w:ascii="Calibri" w:eastAsia="Georgia" w:hAnsi="Calibri"/>
                <w:sz w:val="20"/>
                <w:szCs w:val="20"/>
              </w:rPr>
              <w:t>d</w:t>
            </w:r>
            <w:r w:rsidR="00A1208F" w:rsidRPr="009900D0">
              <w:rPr>
                <w:rFonts w:ascii="Calibri" w:eastAsia="Georgia" w:hAnsi="Calibri"/>
                <w:spacing w:val="-1"/>
                <w:sz w:val="20"/>
                <w:szCs w:val="20"/>
              </w:rPr>
              <w:t>n</w:t>
            </w:r>
            <w:r w:rsidR="00A1208F" w:rsidRPr="009900D0">
              <w:rPr>
                <w:rFonts w:ascii="Calibri" w:eastAsia="Georgia" w:hAnsi="Calibri"/>
                <w:sz w:val="20"/>
                <w:szCs w:val="20"/>
              </w:rPr>
              <w:t>í a m</w:t>
            </w:r>
            <w:r w:rsidR="00A1208F" w:rsidRPr="009900D0">
              <w:rPr>
                <w:rFonts w:ascii="Calibri" w:eastAsia="Georgia" w:hAnsi="Calibri"/>
                <w:spacing w:val="2"/>
                <w:sz w:val="20"/>
                <w:szCs w:val="20"/>
              </w:rPr>
              <w:t>e</w:t>
            </w:r>
            <w:r w:rsidR="00A1208F" w:rsidRPr="009900D0">
              <w:rPr>
                <w:rFonts w:ascii="Calibri" w:eastAsia="Georgia" w:hAnsi="Calibri"/>
                <w:spacing w:val="-1"/>
                <w:sz w:val="20"/>
                <w:szCs w:val="20"/>
              </w:rPr>
              <w:t>z</w:t>
            </w:r>
            <w:r w:rsidR="00A1208F" w:rsidRPr="009900D0">
              <w:rPr>
                <w:rFonts w:ascii="Calibri" w:eastAsia="Georgia" w:hAnsi="Calibri"/>
                <w:sz w:val="20"/>
                <w:szCs w:val="20"/>
              </w:rPr>
              <w:t>i</w:t>
            </w:r>
            <w:r w:rsidR="00A1208F" w:rsidRPr="009900D0">
              <w:rPr>
                <w:rFonts w:ascii="Calibri" w:eastAsia="Georgia" w:hAnsi="Calibri"/>
                <w:spacing w:val="-1"/>
                <w:sz w:val="20"/>
                <w:szCs w:val="20"/>
              </w:rPr>
              <w:t>n</w:t>
            </w:r>
            <w:r w:rsidR="00A1208F" w:rsidRPr="009900D0">
              <w:rPr>
                <w:rFonts w:ascii="Calibri" w:eastAsia="Georgia" w:hAnsi="Calibri"/>
                <w:sz w:val="20"/>
                <w:szCs w:val="20"/>
              </w:rPr>
              <w:t>á</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w:t>
            </w:r>
            <w:r w:rsidR="00A1208F" w:rsidRPr="009900D0">
              <w:rPr>
                <w:rFonts w:ascii="Calibri" w:eastAsia="Georgia" w:hAnsi="Calibri"/>
                <w:sz w:val="20"/>
                <w:szCs w:val="20"/>
              </w:rPr>
              <w:t>d</w:t>
            </w:r>
            <w:r w:rsidR="00A1208F" w:rsidRPr="009900D0">
              <w:rPr>
                <w:rFonts w:ascii="Calibri" w:eastAsia="Georgia" w:hAnsi="Calibri"/>
                <w:spacing w:val="-1"/>
                <w:sz w:val="20"/>
                <w:szCs w:val="20"/>
              </w:rPr>
              <w:t>n</w:t>
            </w:r>
            <w:r w:rsidR="00A1208F" w:rsidRPr="009900D0">
              <w:rPr>
                <w:rFonts w:ascii="Calibri" w:eastAsia="Georgia" w:hAnsi="Calibri"/>
                <w:sz w:val="20"/>
                <w:szCs w:val="20"/>
              </w:rPr>
              <w:t>í ú</w:t>
            </w:r>
            <w:r w:rsidR="00A1208F" w:rsidRPr="009900D0">
              <w:rPr>
                <w:rFonts w:ascii="Calibri" w:eastAsia="Georgia" w:hAnsi="Calibri"/>
                <w:spacing w:val="1"/>
                <w:sz w:val="20"/>
                <w:szCs w:val="20"/>
              </w:rPr>
              <w:t>r</w:t>
            </w:r>
            <w:r w:rsidR="00A1208F" w:rsidRPr="009900D0">
              <w:rPr>
                <w:rFonts w:ascii="Calibri" w:eastAsia="Georgia" w:hAnsi="Calibri"/>
                <w:spacing w:val="-1"/>
                <w:sz w:val="20"/>
                <w:szCs w:val="20"/>
              </w:rPr>
              <w:t>ovn</w:t>
            </w:r>
            <w:r w:rsidR="00A1208F" w:rsidRPr="009900D0">
              <w:rPr>
                <w:rFonts w:ascii="Calibri" w:eastAsia="Georgia" w:hAnsi="Calibri"/>
                <w:sz w:val="20"/>
                <w:szCs w:val="20"/>
              </w:rPr>
              <w:t>i:</w:t>
            </w:r>
            <w:r w:rsidR="00A1208F" w:rsidRPr="009900D0">
              <w:rPr>
                <w:rFonts w:ascii="Calibri" w:eastAsia="Georgia" w:hAnsi="Calibri"/>
                <w:spacing w:val="-1"/>
                <w:sz w:val="20"/>
                <w:szCs w:val="20"/>
              </w:rPr>
              <w:t xml:space="preserve"> </w:t>
            </w:r>
            <w:r w:rsidR="00A1208F" w:rsidRPr="009900D0">
              <w:rPr>
                <w:rFonts w:ascii="Calibri" w:eastAsia="Georgia" w:hAnsi="Calibri"/>
                <w:spacing w:val="1"/>
                <w:sz w:val="20"/>
                <w:szCs w:val="20"/>
              </w:rPr>
              <w:t>„</w:t>
            </w:r>
            <w:r w:rsidR="00A1208F" w:rsidRPr="009900D0">
              <w:rPr>
                <w:rFonts w:ascii="Calibri" w:eastAsia="Georgia" w:hAnsi="Calibri"/>
                <w:spacing w:val="-1"/>
                <w:sz w:val="20"/>
                <w:szCs w:val="20"/>
              </w:rPr>
              <w:t>n</w:t>
            </w:r>
            <w:r w:rsidR="00A1208F" w:rsidRPr="009900D0">
              <w:rPr>
                <w:rFonts w:ascii="Calibri" w:eastAsia="Georgia" w:hAnsi="Calibri"/>
                <w:sz w:val="20"/>
                <w:szCs w:val="20"/>
              </w:rPr>
              <w:t>a mí</w:t>
            </w:r>
            <w:r w:rsidR="00A1208F" w:rsidRPr="009900D0">
              <w:rPr>
                <w:rFonts w:ascii="Calibri" w:eastAsia="Georgia" w:hAnsi="Calibri"/>
                <w:spacing w:val="1"/>
                <w:sz w:val="20"/>
                <w:szCs w:val="20"/>
              </w:rPr>
              <w:t>r</w:t>
            </w:r>
            <w:r w:rsidR="00A1208F" w:rsidRPr="009900D0">
              <w:rPr>
                <w:rFonts w:ascii="Calibri" w:eastAsia="Georgia" w:hAnsi="Calibri"/>
                <w:sz w:val="20"/>
                <w:szCs w:val="20"/>
              </w:rPr>
              <w:t xml:space="preserve">u“ </w:t>
            </w:r>
            <w:r w:rsidR="00A1208F" w:rsidRPr="009900D0">
              <w:rPr>
                <w:rFonts w:ascii="Calibri" w:eastAsia="Georgia" w:hAnsi="Calibri"/>
                <w:spacing w:val="2"/>
                <w:sz w:val="20"/>
                <w:szCs w:val="20"/>
              </w:rPr>
              <w:t>n</w:t>
            </w:r>
            <w:r w:rsidR="00A1208F" w:rsidRPr="009900D0">
              <w:rPr>
                <w:rFonts w:ascii="Calibri" w:eastAsia="Georgia" w:hAnsi="Calibri"/>
                <w:spacing w:val="-1"/>
                <w:sz w:val="20"/>
                <w:szCs w:val="20"/>
              </w:rPr>
              <w:t>e</w:t>
            </w:r>
            <w:r w:rsidR="00A1208F" w:rsidRPr="009900D0">
              <w:rPr>
                <w:rFonts w:ascii="Calibri" w:eastAsia="Georgia" w:hAnsi="Calibri"/>
                <w:sz w:val="20"/>
                <w:szCs w:val="20"/>
              </w:rPr>
              <w:t>bo</w:t>
            </w:r>
            <w:r w:rsidR="00A1208F" w:rsidRPr="009900D0">
              <w:rPr>
                <w:rFonts w:ascii="Calibri" w:eastAsia="Georgia" w:hAnsi="Calibri"/>
                <w:spacing w:val="1"/>
                <w:sz w:val="20"/>
                <w:szCs w:val="20"/>
              </w:rPr>
              <w:t xml:space="preserve"> </w:t>
            </w:r>
            <w:r w:rsidR="00A1208F" w:rsidRPr="009900D0">
              <w:rPr>
                <w:rFonts w:ascii="Calibri" w:eastAsia="Georgia" w:hAnsi="Calibri"/>
                <w:spacing w:val="-1"/>
                <w:sz w:val="20"/>
                <w:szCs w:val="20"/>
              </w:rPr>
              <w:t>s</w:t>
            </w:r>
            <w:r w:rsidR="00A1208F" w:rsidRPr="009900D0">
              <w:rPr>
                <w:rFonts w:ascii="Calibri" w:eastAsia="Georgia" w:hAnsi="Calibri"/>
                <w:sz w:val="20"/>
                <w:szCs w:val="20"/>
              </w:rPr>
              <w:t>ta</w:t>
            </w:r>
            <w:r w:rsidR="00A1208F" w:rsidRPr="009900D0">
              <w:rPr>
                <w:rFonts w:ascii="Calibri" w:eastAsia="Georgia" w:hAnsi="Calibri"/>
                <w:spacing w:val="-1"/>
                <w:sz w:val="20"/>
                <w:szCs w:val="20"/>
              </w:rPr>
              <w:t>n</w:t>
            </w:r>
            <w:r w:rsidR="00A1208F" w:rsidRPr="009900D0">
              <w:rPr>
                <w:rFonts w:ascii="Calibri" w:eastAsia="Georgia" w:hAnsi="Calibri"/>
                <w:sz w:val="20"/>
                <w:szCs w:val="20"/>
              </w:rPr>
              <w:t>da</w:t>
            </w:r>
            <w:r w:rsidR="00A1208F" w:rsidRPr="009900D0">
              <w:rPr>
                <w:rFonts w:ascii="Calibri" w:eastAsia="Georgia" w:hAnsi="Calibri"/>
                <w:spacing w:val="1"/>
                <w:sz w:val="20"/>
                <w:szCs w:val="20"/>
              </w:rPr>
              <w:t>r</w:t>
            </w:r>
            <w:r w:rsidR="00A1208F" w:rsidRPr="009900D0">
              <w:rPr>
                <w:rFonts w:ascii="Calibri" w:eastAsia="Georgia" w:hAnsi="Calibri"/>
                <w:sz w:val="20"/>
                <w:szCs w:val="20"/>
              </w:rPr>
              <w:t>di</w:t>
            </w:r>
            <w:r w:rsidR="00A1208F" w:rsidRPr="009900D0">
              <w:rPr>
                <w:rFonts w:ascii="Calibri" w:eastAsia="Georgia" w:hAnsi="Calibri"/>
                <w:spacing w:val="-1"/>
                <w:sz w:val="20"/>
                <w:szCs w:val="20"/>
              </w:rPr>
              <w:t>zov</w:t>
            </w:r>
            <w:r w:rsidR="00A1208F" w:rsidRPr="009900D0">
              <w:rPr>
                <w:rFonts w:ascii="Calibri" w:eastAsia="Georgia" w:hAnsi="Calibri"/>
                <w:sz w:val="20"/>
                <w:szCs w:val="20"/>
              </w:rPr>
              <w:t>a</w:t>
            </w:r>
            <w:r w:rsidR="00A1208F" w:rsidRPr="009900D0">
              <w:rPr>
                <w:rFonts w:ascii="Calibri" w:eastAsia="Georgia" w:hAnsi="Calibri"/>
                <w:spacing w:val="-1"/>
                <w:sz w:val="20"/>
                <w:szCs w:val="20"/>
              </w:rPr>
              <w:t>n</w:t>
            </w:r>
            <w:r w:rsidR="00A1208F" w:rsidRPr="009900D0">
              <w:rPr>
                <w:rFonts w:ascii="Calibri" w:eastAsia="Georgia" w:hAnsi="Calibri"/>
                <w:sz w:val="20"/>
                <w:szCs w:val="20"/>
              </w:rPr>
              <w:t>é (</w:t>
            </w:r>
            <w:r w:rsidR="00A1208F" w:rsidRPr="009900D0">
              <w:rPr>
                <w:rFonts w:ascii="Calibri" w:eastAsia="Georgia" w:hAnsi="Calibri"/>
                <w:spacing w:val="1"/>
                <w:sz w:val="20"/>
                <w:szCs w:val="20"/>
              </w:rPr>
              <w:t>„</w:t>
            </w:r>
            <w:r w:rsidR="00A1208F" w:rsidRPr="009900D0">
              <w:rPr>
                <w:rFonts w:ascii="Calibri" w:eastAsia="Georgia" w:hAnsi="Calibri"/>
                <w:spacing w:val="-1"/>
                <w:sz w:val="20"/>
                <w:szCs w:val="20"/>
              </w:rPr>
              <w:t>of</w:t>
            </w:r>
            <w:r w:rsidR="00A1208F" w:rsidRPr="009900D0">
              <w:rPr>
                <w:rFonts w:ascii="Calibri" w:eastAsia="Georgia" w:hAnsi="Calibri"/>
                <w:sz w:val="20"/>
                <w:szCs w:val="20"/>
              </w:rPr>
              <w:t>f</w:t>
            </w:r>
            <w:r w:rsidR="00A1208F" w:rsidRPr="009900D0">
              <w:rPr>
                <w:rFonts w:ascii="Calibri" w:eastAsia="Georgia" w:hAnsi="Calibri"/>
                <w:spacing w:val="-1"/>
                <w:sz w:val="20"/>
                <w:szCs w:val="20"/>
              </w:rPr>
              <w:t xml:space="preserve"> </w:t>
            </w:r>
            <w:r w:rsidR="00A1208F" w:rsidRPr="009900D0">
              <w:rPr>
                <w:rFonts w:ascii="Calibri" w:eastAsia="Georgia" w:hAnsi="Calibri"/>
                <w:sz w:val="20"/>
                <w:szCs w:val="20"/>
              </w:rPr>
              <w:t>t</w:t>
            </w:r>
            <w:r w:rsidR="00A1208F" w:rsidRPr="009900D0">
              <w:rPr>
                <w:rFonts w:ascii="Calibri" w:eastAsia="Georgia" w:hAnsi="Calibri"/>
                <w:spacing w:val="1"/>
                <w:sz w:val="20"/>
                <w:szCs w:val="20"/>
              </w:rPr>
              <w:t>h</w:t>
            </w:r>
            <w:r w:rsidR="00A1208F" w:rsidRPr="009900D0">
              <w:rPr>
                <w:rFonts w:ascii="Calibri" w:eastAsia="Georgia" w:hAnsi="Calibri"/>
                <w:spacing w:val="-1"/>
                <w:sz w:val="20"/>
                <w:szCs w:val="20"/>
              </w:rPr>
              <w:t>e</w:t>
            </w:r>
            <w:r w:rsidR="00A1208F" w:rsidRPr="009900D0">
              <w:rPr>
                <w:rFonts w:ascii="Calibri" w:eastAsia="Georgia" w:hAnsi="Calibri"/>
                <w:sz w:val="20"/>
                <w:szCs w:val="20"/>
              </w:rPr>
              <w:t>-</w:t>
            </w:r>
            <w:r w:rsidR="00A1208F" w:rsidRPr="009900D0">
              <w:rPr>
                <w:rFonts w:ascii="Calibri" w:eastAsia="Georgia" w:hAnsi="Calibri"/>
                <w:spacing w:val="-1"/>
                <w:sz w:val="20"/>
                <w:szCs w:val="20"/>
              </w:rPr>
              <w:t>s</w:t>
            </w:r>
            <w:r w:rsidR="00A1208F" w:rsidRPr="009900D0">
              <w:rPr>
                <w:rFonts w:ascii="Calibri" w:eastAsia="Georgia" w:hAnsi="Calibri"/>
                <w:spacing w:val="1"/>
                <w:sz w:val="20"/>
                <w:szCs w:val="20"/>
              </w:rPr>
              <w:t>h</w:t>
            </w:r>
            <w:r w:rsidR="00A1208F" w:rsidRPr="009900D0">
              <w:rPr>
                <w:rFonts w:ascii="Calibri" w:eastAsia="Georgia" w:hAnsi="Calibri"/>
                <w:spacing w:val="2"/>
                <w:sz w:val="20"/>
                <w:szCs w:val="20"/>
              </w:rPr>
              <w:t>e</w:t>
            </w:r>
            <w:r w:rsidR="00A1208F" w:rsidRPr="009900D0">
              <w:rPr>
                <w:rFonts w:ascii="Calibri" w:eastAsia="Georgia" w:hAnsi="Calibri"/>
                <w:spacing w:val="-1"/>
                <w:sz w:val="20"/>
                <w:szCs w:val="20"/>
              </w:rPr>
              <w:t>lf</w:t>
            </w:r>
            <w:r w:rsidR="00A1208F" w:rsidRPr="009900D0">
              <w:rPr>
                <w:rFonts w:ascii="Calibri" w:eastAsia="Georgia" w:hAnsi="Calibri"/>
                <w:spacing w:val="1"/>
                <w:sz w:val="20"/>
                <w:szCs w:val="20"/>
              </w:rPr>
              <w:t>“</w:t>
            </w:r>
            <w:r w:rsidR="00A1208F" w:rsidRPr="009900D0">
              <w:rPr>
                <w:rFonts w:ascii="Calibri" w:eastAsia="Georgia" w:hAnsi="Calibri"/>
                <w:sz w:val="20"/>
                <w:szCs w:val="20"/>
              </w:rPr>
              <w:t>)</w:t>
            </w:r>
            <w:r w:rsidR="00A1208F" w:rsidRPr="009900D0">
              <w:rPr>
                <w:rFonts w:ascii="Calibri" w:eastAsia="Georgia" w:hAnsi="Calibri"/>
                <w:spacing w:val="2"/>
                <w:sz w:val="20"/>
                <w:szCs w:val="20"/>
              </w:rPr>
              <w:t xml:space="preserve"> </w:t>
            </w:r>
            <w:r w:rsidR="00A1208F" w:rsidRPr="009900D0">
              <w:rPr>
                <w:rFonts w:ascii="Calibri" w:eastAsia="Georgia" w:hAnsi="Calibri"/>
                <w:spacing w:val="-1"/>
                <w:sz w:val="20"/>
                <w:szCs w:val="20"/>
              </w:rPr>
              <w:t>ne</w:t>
            </w:r>
            <w:r w:rsidR="00A1208F" w:rsidRPr="009900D0">
              <w:rPr>
                <w:rFonts w:ascii="Calibri" w:eastAsia="Georgia" w:hAnsi="Calibri"/>
                <w:sz w:val="20"/>
                <w:szCs w:val="20"/>
              </w:rPr>
              <w:t>bo</w:t>
            </w:r>
            <w:r w:rsidR="00D30D90">
              <w:rPr>
                <w:rFonts w:ascii="Calibri" w:eastAsia="Georgia" w:hAnsi="Calibri"/>
                <w:spacing w:val="1"/>
                <w:sz w:val="20"/>
                <w:szCs w:val="20"/>
              </w:rPr>
              <w:t> </w:t>
            </w:r>
            <w:r w:rsidR="00A1208F" w:rsidRPr="009900D0">
              <w:rPr>
                <w:rFonts w:ascii="Calibri" w:eastAsia="Georgia" w:hAnsi="Calibri"/>
                <w:sz w:val="20"/>
                <w:szCs w:val="20"/>
              </w:rPr>
              <w:t>ú</w:t>
            </w:r>
            <w:r w:rsidR="00A1208F" w:rsidRPr="009900D0">
              <w:rPr>
                <w:rFonts w:ascii="Calibri" w:eastAsia="Georgia" w:hAnsi="Calibri"/>
                <w:spacing w:val="-1"/>
                <w:sz w:val="20"/>
                <w:szCs w:val="20"/>
              </w:rPr>
              <w:t>vě</w:t>
            </w:r>
            <w:r w:rsidR="00A1208F" w:rsidRPr="009900D0">
              <w:rPr>
                <w:rFonts w:ascii="Calibri" w:eastAsia="Georgia" w:hAnsi="Calibri"/>
                <w:spacing w:val="1"/>
                <w:sz w:val="20"/>
                <w:szCs w:val="20"/>
              </w:rPr>
              <w:t>r</w:t>
            </w:r>
            <w:r w:rsidR="00A1208F" w:rsidRPr="009900D0">
              <w:rPr>
                <w:rFonts w:ascii="Calibri" w:eastAsia="Georgia" w:hAnsi="Calibri"/>
                <w:sz w:val="20"/>
                <w:szCs w:val="20"/>
              </w:rPr>
              <w:t>y/</w:t>
            </w:r>
            <w:r w:rsidR="00A1208F" w:rsidRPr="009900D0">
              <w:rPr>
                <w:rFonts w:ascii="Calibri" w:eastAsia="Georgia" w:hAnsi="Calibri"/>
                <w:spacing w:val="2"/>
                <w:sz w:val="20"/>
                <w:szCs w:val="20"/>
              </w:rPr>
              <w:t>z</w:t>
            </w:r>
            <w:r w:rsidR="00A1208F" w:rsidRPr="009900D0">
              <w:rPr>
                <w:rFonts w:ascii="Calibri" w:eastAsia="Georgia" w:hAnsi="Calibri"/>
                <w:sz w:val="20"/>
                <w:szCs w:val="20"/>
              </w:rPr>
              <w:t>á</w:t>
            </w:r>
            <w:r w:rsidR="00A1208F" w:rsidRPr="009900D0">
              <w:rPr>
                <w:rFonts w:ascii="Calibri" w:eastAsia="Georgia" w:hAnsi="Calibri"/>
                <w:spacing w:val="1"/>
                <w:sz w:val="20"/>
                <w:szCs w:val="20"/>
              </w:rPr>
              <w:t>r</w:t>
            </w:r>
            <w:r w:rsidR="00A1208F" w:rsidRPr="009900D0">
              <w:rPr>
                <w:rFonts w:ascii="Calibri" w:eastAsia="Georgia" w:hAnsi="Calibri"/>
                <w:sz w:val="20"/>
                <w:szCs w:val="20"/>
              </w:rPr>
              <w:t xml:space="preserve">uky </w:t>
            </w:r>
            <w:r w:rsidR="00A1208F" w:rsidRPr="009900D0">
              <w:rPr>
                <w:rFonts w:ascii="Calibri" w:eastAsia="Georgia" w:hAnsi="Calibri"/>
                <w:spacing w:val="-1"/>
                <w:sz w:val="20"/>
                <w:szCs w:val="20"/>
              </w:rPr>
              <w:t>s</w:t>
            </w:r>
            <w:r w:rsidR="00A1208F" w:rsidRPr="009900D0">
              <w:rPr>
                <w:rFonts w:ascii="Calibri" w:eastAsia="Georgia" w:hAnsi="Calibri"/>
                <w:sz w:val="20"/>
                <w:szCs w:val="20"/>
              </w:rPr>
              <w:t>p</w:t>
            </w:r>
            <w:r w:rsidR="00A1208F" w:rsidRPr="009900D0">
              <w:rPr>
                <w:rFonts w:ascii="Calibri" w:eastAsia="Georgia" w:hAnsi="Calibri"/>
                <w:spacing w:val="1"/>
                <w:sz w:val="20"/>
                <w:szCs w:val="20"/>
              </w:rPr>
              <w:t>r</w:t>
            </w:r>
            <w:r w:rsidR="00A1208F" w:rsidRPr="009900D0">
              <w:rPr>
                <w:rFonts w:ascii="Calibri" w:eastAsia="Georgia" w:hAnsi="Calibri"/>
                <w:sz w:val="20"/>
                <w:szCs w:val="20"/>
              </w:rPr>
              <w:t>a</w:t>
            </w:r>
            <w:r w:rsidR="00A1208F" w:rsidRPr="009900D0">
              <w:rPr>
                <w:rFonts w:ascii="Calibri" w:eastAsia="Georgia" w:hAnsi="Calibri"/>
                <w:spacing w:val="-1"/>
                <w:sz w:val="20"/>
                <w:szCs w:val="20"/>
              </w:rPr>
              <w:t>vov</w:t>
            </w:r>
            <w:r w:rsidR="00A1208F" w:rsidRPr="009900D0">
              <w:rPr>
                <w:rFonts w:ascii="Calibri" w:eastAsia="Georgia" w:hAnsi="Calibri"/>
                <w:sz w:val="20"/>
                <w:szCs w:val="20"/>
              </w:rPr>
              <w:t>a</w:t>
            </w:r>
            <w:r w:rsidR="00A1208F" w:rsidRPr="009900D0">
              <w:rPr>
                <w:rFonts w:ascii="Calibri" w:eastAsia="Georgia" w:hAnsi="Calibri"/>
                <w:spacing w:val="-1"/>
                <w:sz w:val="20"/>
                <w:szCs w:val="20"/>
              </w:rPr>
              <w:t>n</w:t>
            </w:r>
            <w:r w:rsidR="00A1208F" w:rsidRPr="009900D0">
              <w:rPr>
                <w:rFonts w:ascii="Calibri" w:eastAsia="Georgia" w:hAnsi="Calibri"/>
                <w:sz w:val="20"/>
                <w:szCs w:val="20"/>
              </w:rPr>
              <w:t>é</w:t>
            </w:r>
            <w:r w:rsidR="00A1208F" w:rsidRPr="009900D0">
              <w:rPr>
                <w:rFonts w:ascii="Calibri" w:eastAsia="Georgia" w:hAnsi="Calibri"/>
                <w:spacing w:val="-1"/>
                <w:sz w:val="20"/>
                <w:szCs w:val="20"/>
              </w:rPr>
              <w:t xml:space="preserve"> </w:t>
            </w:r>
            <w:r w:rsidR="00A1208F" w:rsidRPr="009900D0">
              <w:rPr>
                <w:rFonts w:ascii="Calibri" w:eastAsia="Georgia" w:hAnsi="Calibri"/>
                <w:sz w:val="20"/>
                <w:szCs w:val="20"/>
              </w:rPr>
              <w:t>p</w:t>
            </w:r>
            <w:r w:rsidR="00A1208F" w:rsidRPr="009900D0">
              <w:rPr>
                <w:rFonts w:ascii="Calibri" w:eastAsia="Georgia" w:hAnsi="Calibri"/>
                <w:spacing w:val="1"/>
                <w:sz w:val="20"/>
                <w:szCs w:val="20"/>
              </w:rPr>
              <w:t>ř</w:t>
            </w:r>
            <w:r w:rsidR="00A1208F" w:rsidRPr="009900D0">
              <w:rPr>
                <w:rFonts w:ascii="Calibri" w:eastAsia="Georgia" w:hAnsi="Calibri"/>
                <w:sz w:val="20"/>
                <w:szCs w:val="20"/>
              </w:rPr>
              <w:t>ímo</w:t>
            </w:r>
            <w:r w:rsidR="00A1208F" w:rsidRPr="009900D0">
              <w:rPr>
                <w:rFonts w:ascii="Calibri" w:eastAsia="Georgia" w:hAnsi="Calibri"/>
                <w:spacing w:val="-1"/>
                <w:sz w:val="20"/>
                <w:szCs w:val="20"/>
              </w:rPr>
              <w:t xml:space="preserve"> </w:t>
            </w:r>
            <w:r w:rsidR="00A1208F" w:rsidRPr="009900D0">
              <w:rPr>
                <w:rFonts w:ascii="Calibri" w:eastAsia="Georgia" w:hAnsi="Calibri"/>
                <w:spacing w:val="1"/>
                <w:sz w:val="20"/>
                <w:szCs w:val="20"/>
              </w:rPr>
              <w:t>Ř</w:t>
            </w:r>
            <w:r w:rsidR="00A1208F" w:rsidRPr="009900D0">
              <w:rPr>
                <w:rFonts w:ascii="Calibri" w:eastAsia="Georgia" w:hAnsi="Calibri"/>
                <w:sz w:val="20"/>
                <w:szCs w:val="20"/>
              </w:rPr>
              <w:t>O</w:t>
            </w:r>
          </w:p>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pacing w:val="1"/>
                <w:sz w:val="20"/>
                <w:szCs w:val="20"/>
              </w:rPr>
              <w:t>Př</w:t>
            </w:r>
            <w:r w:rsidRPr="009900D0">
              <w:rPr>
                <w:rFonts w:ascii="Calibri" w:eastAsia="Georgia" w:hAnsi="Calibri"/>
                <w:sz w:val="20"/>
                <w:szCs w:val="20"/>
              </w:rPr>
              <w:t>í</w:t>
            </w:r>
            <w:r w:rsidRPr="009900D0">
              <w:rPr>
                <w:rFonts w:ascii="Calibri" w:eastAsia="Georgia" w:hAnsi="Calibri"/>
                <w:spacing w:val="-1"/>
                <w:sz w:val="20"/>
                <w:szCs w:val="20"/>
              </w:rPr>
              <w:t>s</w:t>
            </w:r>
            <w:r w:rsidRPr="009900D0">
              <w:rPr>
                <w:rFonts w:ascii="Calibri" w:eastAsia="Georgia" w:hAnsi="Calibri"/>
                <w:sz w:val="20"/>
                <w:szCs w:val="20"/>
              </w:rPr>
              <w:t>p</w:t>
            </w:r>
            <w:r w:rsidRPr="009900D0">
              <w:rPr>
                <w:rFonts w:ascii="Calibri" w:eastAsia="Georgia" w:hAnsi="Calibri"/>
                <w:spacing w:val="-1"/>
                <w:sz w:val="20"/>
                <w:szCs w:val="20"/>
              </w:rPr>
              <w:t>ěve</w:t>
            </w:r>
            <w:r w:rsidRPr="009900D0">
              <w:rPr>
                <w:rFonts w:ascii="Calibri" w:eastAsia="Georgia" w:hAnsi="Calibri"/>
                <w:sz w:val="20"/>
                <w:szCs w:val="20"/>
              </w:rPr>
              <w:t>k</w:t>
            </w:r>
            <w:r w:rsidRPr="009900D0">
              <w:rPr>
                <w:rFonts w:ascii="Calibri" w:eastAsia="Georgia" w:hAnsi="Calibri"/>
                <w:spacing w:val="-1"/>
                <w:sz w:val="20"/>
                <w:szCs w:val="20"/>
              </w:rPr>
              <w:t xml:space="preserve"> </w:t>
            </w:r>
            <w:r w:rsidRPr="009900D0">
              <w:rPr>
                <w:rFonts w:ascii="Calibri" w:eastAsia="Georgia" w:hAnsi="Calibri"/>
                <w:sz w:val="20"/>
                <w:szCs w:val="20"/>
              </w:rPr>
              <w:t>k</w:t>
            </w:r>
            <w:r w:rsidRPr="009900D0">
              <w:rPr>
                <w:rFonts w:ascii="Calibri" w:eastAsia="Georgia" w:hAnsi="Calibri"/>
                <w:spacing w:val="-1"/>
                <w:sz w:val="20"/>
                <w:szCs w:val="20"/>
              </w:rPr>
              <w:t xml:space="preserve"> n</w:t>
            </w:r>
            <w:r w:rsidRPr="009900D0">
              <w:rPr>
                <w:rFonts w:ascii="Calibri" w:eastAsia="Georgia" w:hAnsi="Calibri"/>
                <w:spacing w:val="3"/>
                <w:sz w:val="20"/>
                <w:szCs w:val="20"/>
              </w:rPr>
              <w:t>á</w:t>
            </w:r>
            <w:r w:rsidRPr="009900D0">
              <w:rPr>
                <w:rFonts w:ascii="Calibri" w:eastAsia="Georgia" w:hAnsi="Calibri"/>
                <w:spacing w:val="-1"/>
                <w:sz w:val="20"/>
                <w:szCs w:val="20"/>
              </w:rPr>
              <w:t>s</w:t>
            </w:r>
            <w:r w:rsidRPr="009900D0">
              <w:rPr>
                <w:rFonts w:ascii="Calibri" w:eastAsia="Georgia" w:hAnsi="Calibri"/>
                <w:sz w:val="20"/>
                <w:szCs w:val="20"/>
              </w:rPr>
              <w:t>t</w:t>
            </w:r>
            <w:r w:rsidRPr="009900D0">
              <w:rPr>
                <w:rFonts w:ascii="Calibri" w:eastAsia="Georgia" w:hAnsi="Calibri"/>
                <w:spacing w:val="1"/>
                <w:sz w:val="20"/>
                <w:szCs w:val="20"/>
              </w:rPr>
              <w:t>r</w:t>
            </w:r>
            <w:r w:rsidRPr="009900D0">
              <w:rPr>
                <w:rFonts w:ascii="Calibri" w:eastAsia="Georgia" w:hAnsi="Calibri"/>
                <w:spacing w:val="-1"/>
                <w:sz w:val="20"/>
                <w:szCs w:val="20"/>
              </w:rPr>
              <w:t>o</w:t>
            </w:r>
            <w:r w:rsidRPr="009900D0">
              <w:rPr>
                <w:rFonts w:ascii="Calibri" w:eastAsia="Georgia" w:hAnsi="Calibri"/>
                <w:sz w:val="20"/>
                <w:szCs w:val="20"/>
              </w:rPr>
              <w:t xml:space="preserve">jům </w:t>
            </w:r>
            <w:r w:rsidRPr="009900D0">
              <w:rPr>
                <w:rFonts w:ascii="Calibri" w:eastAsia="Georgia" w:hAnsi="Calibri"/>
                <w:spacing w:val="-1"/>
                <w:sz w:val="20"/>
                <w:szCs w:val="20"/>
              </w:rPr>
              <w:t>n</w:t>
            </w:r>
            <w:r w:rsidRPr="009900D0">
              <w:rPr>
                <w:rFonts w:ascii="Calibri" w:eastAsia="Georgia" w:hAnsi="Calibri"/>
                <w:sz w:val="20"/>
                <w:szCs w:val="20"/>
              </w:rPr>
              <w:t>a ú</w:t>
            </w:r>
            <w:r w:rsidRPr="009900D0">
              <w:rPr>
                <w:rFonts w:ascii="Calibri" w:eastAsia="Georgia" w:hAnsi="Calibri"/>
                <w:spacing w:val="1"/>
                <w:sz w:val="20"/>
                <w:szCs w:val="20"/>
              </w:rPr>
              <w:t>ro</w:t>
            </w:r>
            <w:r w:rsidRPr="009900D0">
              <w:rPr>
                <w:rFonts w:ascii="Calibri" w:eastAsia="Georgia" w:hAnsi="Calibri"/>
                <w:spacing w:val="2"/>
                <w:sz w:val="20"/>
                <w:szCs w:val="20"/>
              </w:rPr>
              <w:t>v</w:t>
            </w:r>
            <w:r w:rsidRPr="009900D0">
              <w:rPr>
                <w:rFonts w:ascii="Calibri" w:eastAsia="Georgia" w:hAnsi="Calibri"/>
                <w:spacing w:val="-1"/>
                <w:sz w:val="20"/>
                <w:szCs w:val="20"/>
              </w:rPr>
              <w:t>n</w:t>
            </w:r>
            <w:r w:rsidRPr="009900D0">
              <w:rPr>
                <w:rFonts w:ascii="Calibri" w:eastAsia="Georgia" w:hAnsi="Calibri"/>
                <w:sz w:val="20"/>
                <w:szCs w:val="20"/>
              </w:rPr>
              <w:t>i EU</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b/>
                <w:color w:val="FFFFFF"/>
                <w:spacing w:val="1"/>
                <w:sz w:val="20"/>
                <w:szCs w:val="20"/>
              </w:rPr>
            </w:pPr>
            <w:r w:rsidRPr="009900D0">
              <w:rPr>
                <w:rFonts w:ascii="Calibri" w:eastAsia="Georgia" w:hAnsi="Calibri"/>
                <w:b/>
                <w:color w:val="FFFFFF"/>
                <w:spacing w:val="1"/>
                <w:sz w:val="20"/>
                <w:szCs w:val="20"/>
              </w:rPr>
              <w:t>Platby</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Možnost 100% platby do fondu – bez vazby na platby konečným příjemcům</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9900D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Dílčí platby v tranších navázaných na vyplacení konečnému příjemci. Očekávané národní spolufinancování může být součástí žádosti o průběžnou platbu.</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b/>
                <w:color w:val="FFFFFF"/>
                <w:spacing w:val="1"/>
                <w:sz w:val="20"/>
                <w:szCs w:val="20"/>
              </w:rPr>
            </w:pPr>
            <w:r w:rsidRPr="009900D0">
              <w:rPr>
                <w:rFonts w:ascii="Calibri" w:eastAsia="Georgia" w:hAnsi="Calibri"/>
                <w:b/>
                <w:color w:val="FFFFFF"/>
                <w:spacing w:val="1"/>
                <w:sz w:val="20"/>
                <w:szCs w:val="20"/>
              </w:rPr>
              <w:t>Náklady a poplatky na řízení, úroky, navrácené zdroje, odkázaný majetek</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D30D9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Právní základ stanovený v dodatcích směrnic a</w:t>
            </w:r>
            <w:r w:rsidR="00D30D90">
              <w:rPr>
                <w:rFonts w:ascii="Calibri" w:eastAsia="Georgia" w:hAnsi="Calibri"/>
                <w:sz w:val="20"/>
                <w:szCs w:val="20"/>
              </w:rPr>
              <w:t> </w:t>
            </w:r>
            <w:r w:rsidRPr="009900D0">
              <w:rPr>
                <w:rFonts w:ascii="Calibri" w:eastAsia="Georgia" w:hAnsi="Calibri"/>
                <w:sz w:val="20"/>
                <w:szCs w:val="20"/>
              </w:rPr>
              <w:t>doporučení/ interpretací vytýčené ve třech metodických sděleních COCOF.</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D30D9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Komplexní podmínky stanovené v</w:t>
            </w:r>
            <w:r w:rsidR="00D30D90">
              <w:rPr>
                <w:rFonts w:ascii="Calibri" w:eastAsia="Georgia" w:hAnsi="Calibri"/>
                <w:sz w:val="20"/>
                <w:szCs w:val="20"/>
              </w:rPr>
              <w:t> </w:t>
            </w:r>
            <w:r w:rsidRPr="009900D0">
              <w:rPr>
                <w:rFonts w:ascii="Calibri" w:eastAsia="Georgia" w:hAnsi="Calibri"/>
                <w:sz w:val="20"/>
                <w:szCs w:val="20"/>
              </w:rPr>
              <w:t>nařízeních, prováděcích aktech a aktech v přenesené pravomoci</w:t>
            </w:r>
          </w:p>
        </w:tc>
      </w:tr>
      <w:tr w:rsidR="00A1208F" w:rsidRPr="00FD4171" w:rsidTr="00636988">
        <w:trPr>
          <w:cantSplit/>
        </w:trPr>
        <w:tc>
          <w:tcPr>
            <w:tcW w:w="1843"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9900D0" w:rsidRDefault="00A1208F" w:rsidP="009900D0">
            <w:pPr>
              <w:keepNext/>
              <w:spacing w:before="120" w:line="240" w:lineRule="auto"/>
              <w:ind w:left="142" w:right="157"/>
              <w:jc w:val="center"/>
              <w:rPr>
                <w:rFonts w:ascii="Calibri" w:eastAsia="Georgia" w:hAnsi="Calibri"/>
                <w:b/>
                <w:color w:val="FFFFFF"/>
                <w:spacing w:val="1"/>
                <w:sz w:val="20"/>
                <w:szCs w:val="20"/>
              </w:rPr>
            </w:pPr>
            <w:r w:rsidRPr="009900D0">
              <w:rPr>
                <w:rFonts w:ascii="Calibri" w:eastAsia="Georgia" w:hAnsi="Calibri"/>
                <w:b/>
                <w:color w:val="FFFFFF"/>
                <w:spacing w:val="1"/>
                <w:sz w:val="20"/>
                <w:szCs w:val="20"/>
              </w:rPr>
              <w:t>Výkaznictví</w:t>
            </w:r>
          </w:p>
        </w:tc>
        <w:tc>
          <w:tcPr>
            <w:tcW w:w="2975"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D30D9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Povinné reportování jenom od</w:t>
            </w:r>
            <w:r w:rsidR="00D30D90">
              <w:rPr>
                <w:rFonts w:ascii="Calibri" w:eastAsia="Georgia" w:hAnsi="Calibri"/>
                <w:sz w:val="20"/>
                <w:szCs w:val="20"/>
              </w:rPr>
              <w:t> </w:t>
            </w:r>
            <w:r w:rsidRPr="009900D0">
              <w:rPr>
                <w:rFonts w:ascii="Calibri" w:eastAsia="Georgia" w:hAnsi="Calibri"/>
                <w:sz w:val="20"/>
                <w:szCs w:val="20"/>
              </w:rPr>
              <w:t>2011 a dále,</w:t>
            </w:r>
            <w:r w:rsidR="003D4705" w:rsidRPr="009900D0">
              <w:rPr>
                <w:rFonts w:ascii="Calibri" w:eastAsia="Georgia" w:hAnsi="Calibri"/>
                <w:sz w:val="20"/>
                <w:szCs w:val="20"/>
              </w:rPr>
              <w:t xml:space="preserve"> </w:t>
            </w:r>
            <w:r w:rsidRPr="009900D0">
              <w:rPr>
                <w:rFonts w:ascii="Calibri" w:eastAsia="Georgia" w:hAnsi="Calibri"/>
                <w:sz w:val="20"/>
                <w:szCs w:val="20"/>
              </w:rPr>
              <w:t>v limitovaném rozsahu indikátorů</w:t>
            </w:r>
          </w:p>
        </w:tc>
        <w:tc>
          <w:tcPr>
            <w:tcW w:w="2976" w:type="dxa"/>
            <w:tcBorders>
              <w:top w:val="single" w:sz="6" w:space="0" w:color="4F81BD"/>
              <w:left w:val="single" w:sz="6" w:space="0" w:color="4F81BD"/>
              <w:bottom w:val="single" w:sz="6" w:space="0" w:color="4F81BD"/>
              <w:right w:val="single" w:sz="6" w:space="0" w:color="4F81BD"/>
            </w:tcBorders>
            <w:vAlign w:val="center"/>
          </w:tcPr>
          <w:p w:rsidR="00A1208F" w:rsidRPr="009900D0" w:rsidRDefault="00A1208F" w:rsidP="00D30D90">
            <w:pPr>
              <w:keepNext/>
              <w:spacing w:before="120" w:line="240" w:lineRule="auto"/>
              <w:ind w:left="62" w:right="113"/>
              <w:jc w:val="left"/>
              <w:rPr>
                <w:rFonts w:ascii="Calibri" w:eastAsia="Georgia" w:hAnsi="Calibri"/>
                <w:sz w:val="20"/>
                <w:szCs w:val="20"/>
              </w:rPr>
            </w:pPr>
            <w:r w:rsidRPr="009900D0">
              <w:rPr>
                <w:rFonts w:ascii="Calibri" w:eastAsia="Georgia" w:hAnsi="Calibri"/>
                <w:sz w:val="20"/>
                <w:szCs w:val="20"/>
              </w:rPr>
              <w:t>Povinné výkaznictví od začátku, v</w:t>
            </w:r>
            <w:r w:rsidR="00D30D90">
              <w:rPr>
                <w:rFonts w:ascii="Calibri" w:eastAsia="Georgia" w:hAnsi="Calibri"/>
                <w:sz w:val="20"/>
                <w:szCs w:val="20"/>
              </w:rPr>
              <w:t> </w:t>
            </w:r>
            <w:r w:rsidRPr="009900D0">
              <w:rPr>
                <w:rFonts w:ascii="Calibri" w:eastAsia="Georgia" w:hAnsi="Calibri"/>
                <w:sz w:val="20"/>
                <w:szCs w:val="20"/>
              </w:rPr>
              <w:t>rozsahu indikátorů spojených s</w:t>
            </w:r>
            <w:r w:rsidR="00D30D90">
              <w:rPr>
                <w:rFonts w:ascii="Calibri" w:eastAsia="Georgia" w:hAnsi="Calibri"/>
                <w:sz w:val="20"/>
                <w:szCs w:val="20"/>
              </w:rPr>
              <w:t> </w:t>
            </w:r>
            <w:r w:rsidRPr="009900D0">
              <w:rPr>
                <w:rFonts w:ascii="Calibri" w:eastAsia="Georgia" w:hAnsi="Calibri"/>
                <w:sz w:val="20"/>
                <w:szCs w:val="20"/>
              </w:rPr>
              <w:t>finančním nařízením</w:t>
            </w:r>
          </w:p>
        </w:tc>
      </w:tr>
    </w:tbl>
    <w:p w:rsidR="00A1208F" w:rsidRDefault="002921B3" w:rsidP="005144FD">
      <w:pPr>
        <w:pStyle w:val="Titulek"/>
      </w:pPr>
      <w:r>
        <w:t xml:space="preserve">Tabulka </w:t>
      </w:r>
      <w:fldSimple w:instr=" SEQ Tabulka \* ARABIC ">
        <w:r w:rsidR="006C5EA3">
          <w:rPr>
            <w:noProof/>
          </w:rPr>
          <w:t>2</w:t>
        </w:r>
      </w:fldSimple>
      <w:r w:rsidR="00A1208F" w:rsidRPr="00A1208F">
        <w:t>:</w:t>
      </w:r>
      <w:r w:rsidR="00A1208F" w:rsidRPr="00A1208F">
        <w:tab/>
        <w:t xml:space="preserve">Hlavní rozdíly týkající se regulace finančních nástrojů z ERDF a ESF oproti programovému období </w:t>
      </w:r>
      <w:r w:rsidR="009817ED" w:rsidRPr="00A1208F">
        <w:t>20</w:t>
      </w:r>
      <w:r w:rsidR="009817ED">
        <w:t>07</w:t>
      </w:r>
      <w:r w:rsidR="009817ED" w:rsidRPr="00A1208F">
        <w:t xml:space="preserve"> </w:t>
      </w:r>
      <w:r w:rsidR="00A1208F" w:rsidRPr="00A1208F">
        <w:t xml:space="preserve">– </w:t>
      </w:r>
      <w:r w:rsidR="009817ED" w:rsidRPr="00A1208F">
        <w:t>20</w:t>
      </w:r>
      <w:r w:rsidR="009817ED">
        <w:t>13</w:t>
      </w:r>
      <w:r w:rsidR="00FF39A4">
        <w:rPr>
          <w:rStyle w:val="Znakapoznpodarou"/>
        </w:rPr>
        <w:footnoteReference w:id="73"/>
      </w:r>
    </w:p>
    <w:tbl>
      <w:tblPr>
        <w:tblW w:w="7794" w:type="dxa"/>
        <w:tblInd w:w="1426" w:type="dxa"/>
        <w:tblLayout w:type="fixed"/>
        <w:tblCellMar>
          <w:left w:w="0" w:type="dxa"/>
          <w:right w:w="0" w:type="dxa"/>
        </w:tblCellMar>
        <w:tblLook w:val="01E0" w:firstRow="1" w:lastRow="1" w:firstColumn="1" w:lastColumn="1" w:noHBand="0" w:noVBand="0"/>
      </w:tblPr>
      <w:tblGrid>
        <w:gridCol w:w="1701"/>
        <w:gridCol w:w="3046"/>
        <w:gridCol w:w="3047"/>
      </w:tblGrid>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4F81BD"/>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EZFRV</w:t>
            </w:r>
          </w:p>
        </w:tc>
        <w:tc>
          <w:tcPr>
            <w:tcW w:w="3046" w:type="dxa"/>
            <w:tcBorders>
              <w:top w:val="single" w:sz="6" w:space="0" w:color="4F81BD"/>
              <w:left w:val="single" w:sz="6" w:space="0" w:color="4F81BD"/>
              <w:bottom w:val="single" w:sz="6" w:space="0" w:color="4F81BD"/>
              <w:right w:val="single" w:sz="6" w:space="0" w:color="4F81BD"/>
            </w:tcBorders>
            <w:shd w:val="clear" w:color="auto" w:fill="4F81BD"/>
            <w:vAlign w:val="center"/>
          </w:tcPr>
          <w:p w:rsidR="00A1208F" w:rsidRPr="00171265" w:rsidRDefault="00A1208F" w:rsidP="009900D0">
            <w:pPr>
              <w:keepNext/>
              <w:spacing w:before="120" w:line="240" w:lineRule="auto"/>
              <w:ind w:left="57" w:right="113"/>
              <w:jc w:val="center"/>
              <w:rPr>
                <w:rFonts w:ascii="Calibri" w:eastAsia="Georgia" w:hAnsi="Calibri"/>
                <w:b/>
                <w:color w:val="FFFFFF"/>
                <w:sz w:val="20"/>
                <w:szCs w:val="20"/>
              </w:rPr>
            </w:pPr>
            <w:r w:rsidRPr="00171265">
              <w:rPr>
                <w:rFonts w:ascii="Calibri" w:eastAsia="Georgia" w:hAnsi="Calibri"/>
                <w:b/>
                <w:color w:val="FFFFFF"/>
                <w:sz w:val="20"/>
                <w:szCs w:val="20"/>
              </w:rPr>
              <w:t>2007 – 2013</w:t>
            </w:r>
          </w:p>
        </w:tc>
        <w:tc>
          <w:tcPr>
            <w:tcW w:w="3047" w:type="dxa"/>
            <w:tcBorders>
              <w:top w:val="single" w:sz="6" w:space="0" w:color="4F81BD"/>
              <w:left w:val="single" w:sz="6" w:space="0" w:color="4F81BD"/>
              <w:bottom w:val="single" w:sz="6" w:space="0" w:color="4F81BD"/>
              <w:right w:val="single" w:sz="6" w:space="0" w:color="4F81BD"/>
            </w:tcBorders>
            <w:shd w:val="clear" w:color="auto" w:fill="4F81BD"/>
            <w:vAlign w:val="center"/>
          </w:tcPr>
          <w:p w:rsidR="00A1208F" w:rsidRPr="00171265" w:rsidRDefault="00A1208F" w:rsidP="009900D0">
            <w:pPr>
              <w:keepNext/>
              <w:spacing w:before="120" w:line="240" w:lineRule="auto"/>
              <w:ind w:left="57" w:right="113"/>
              <w:jc w:val="center"/>
              <w:rPr>
                <w:rFonts w:ascii="Calibri" w:eastAsia="Georgia" w:hAnsi="Calibri"/>
                <w:b/>
                <w:color w:val="FFFFFF"/>
                <w:sz w:val="20"/>
                <w:szCs w:val="20"/>
              </w:rPr>
            </w:pPr>
            <w:r w:rsidRPr="00171265">
              <w:rPr>
                <w:rFonts w:ascii="Calibri" w:eastAsia="Georgia" w:hAnsi="Calibri"/>
                <w:b/>
                <w:color w:val="FFFFFF"/>
                <w:sz w:val="20"/>
                <w:szCs w:val="20"/>
              </w:rPr>
              <w:t>2014 – 2020</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Rámec</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Podpora pro všechny investice generující zisk pod Programem rozvoje venkova (PRV)</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Podpora pro všechny investice generující zisk pod Programem rozvoje venkova (PRV)</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Uspořádání</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D30D9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Předběžné posouzení jenom pro</w:t>
            </w:r>
            <w:r w:rsidR="00D30D90">
              <w:rPr>
                <w:rFonts w:ascii="Calibri" w:eastAsia="Georgia" w:hAnsi="Calibri"/>
                <w:sz w:val="20"/>
                <w:szCs w:val="20"/>
              </w:rPr>
              <w:t> </w:t>
            </w:r>
            <w:r w:rsidRPr="00171265">
              <w:rPr>
                <w:rFonts w:ascii="Calibri" w:eastAsia="Georgia" w:hAnsi="Calibri"/>
                <w:sz w:val="20"/>
                <w:szCs w:val="20"/>
              </w:rPr>
              <w:t>záruční</w:t>
            </w:r>
            <w:r w:rsidR="003D4705" w:rsidRPr="00171265">
              <w:rPr>
                <w:rFonts w:ascii="Calibri" w:eastAsia="Georgia" w:hAnsi="Calibri"/>
                <w:sz w:val="20"/>
                <w:szCs w:val="20"/>
              </w:rPr>
              <w:t xml:space="preserve"> </w:t>
            </w:r>
            <w:r w:rsidRPr="00171265">
              <w:rPr>
                <w:rFonts w:ascii="Calibri" w:eastAsia="Georgia" w:hAnsi="Calibri"/>
                <w:sz w:val="20"/>
                <w:szCs w:val="20"/>
              </w:rPr>
              <w:t>fondy</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D30D9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Povinné předběžné posouzené pro</w:t>
            </w:r>
            <w:r w:rsidR="00D30D90">
              <w:rPr>
                <w:rFonts w:ascii="Calibri" w:eastAsia="Georgia" w:hAnsi="Calibri"/>
                <w:sz w:val="20"/>
                <w:szCs w:val="20"/>
              </w:rPr>
              <w:t> </w:t>
            </w:r>
            <w:r w:rsidRPr="00171265">
              <w:rPr>
                <w:rFonts w:ascii="Calibri" w:eastAsia="Georgia" w:hAnsi="Calibri"/>
                <w:sz w:val="20"/>
                <w:szCs w:val="20"/>
              </w:rPr>
              <w:t>každý</w:t>
            </w:r>
            <w:r w:rsidR="003D4705" w:rsidRPr="00171265">
              <w:rPr>
                <w:rFonts w:ascii="Calibri" w:eastAsia="Georgia" w:hAnsi="Calibri"/>
                <w:sz w:val="20"/>
                <w:szCs w:val="20"/>
              </w:rPr>
              <w:t xml:space="preserve"> </w:t>
            </w:r>
            <w:r w:rsidR="00986EE0">
              <w:rPr>
                <w:rFonts w:ascii="Calibri" w:eastAsia="Georgia" w:hAnsi="Calibri"/>
                <w:sz w:val="20"/>
                <w:szCs w:val="20"/>
              </w:rPr>
              <w:t>IFN</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lastRenderedPageBreak/>
              <w:t>Možnosti implementace</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56B56"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IFN</w:t>
            </w:r>
            <w:r w:rsidR="00A1208F" w:rsidRPr="00171265">
              <w:rPr>
                <w:rFonts w:ascii="Calibri" w:eastAsia="Georgia" w:hAnsi="Calibri"/>
                <w:sz w:val="20"/>
                <w:szCs w:val="20"/>
              </w:rPr>
              <w:t xml:space="preserve"> na národní nebo regionální úrovni – jenom „na míru“</w:t>
            </w:r>
          </w:p>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Jenom úvěry, záruky a Venture Capital</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56B56"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IFN</w:t>
            </w:r>
            <w:r w:rsidR="00A1208F" w:rsidRPr="00171265">
              <w:rPr>
                <w:rFonts w:ascii="Calibri" w:eastAsia="Georgia" w:hAnsi="Calibri"/>
                <w:sz w:val="20"/>
                <w:szCs w:val="20"/>
              </w:rPr>
              <w:t xml:space="preserve"> na národní, regionální úrovni, nadnárodní a mezinárodní úrovni: „na míru“ nebo standardizované </w:t>
            </w:r>
            <w:r w:rsidR="00E87264" w:rsidRPr="009D5CAD">
              <w:rPr>
                <w:rFonts w:ascii="Calibri" w:eastAsia="Georgia" w:hAnsi="Calibri"/>
                <w:sz w:val="20"/>
                <w:szCs w:val="20"/>
              </w:rPr>
              <w:t>(„off the-shelf“) nebo</w:t>
            </w:r>
            <w:r w:rsidR="00A1208F" w:rsidRPr="00171265">
              <w:rPr>
                <w:rFonts w:ascii="Calibri" w:eastAsia="Georgia" w:hAnsi="Calibri"/>
                <w:sz w:val="20"/>
                <w:szCs w:val="20"/>
              </w:rPr>
              <w:t xml:space="preserve"> úvěry/záruky spravované přímo ŘO</w:t>
            </w:r>
          </w:p>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Příspěvek k nástrojům na úrovni EU</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Platby</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Možnost 100% platby do fondu – bez vazby na platby konečným příjemcům</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Dílčí platby v tranších navázaných na vyplacení konečnému příjemci.</w:t>
            </w:r>
          </w:p>
          <w:p w:rsidR="00A1208F" w:rsidRPr="00171265" w:rsidRDefault="00A1208F" w:rsidP="009900D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Očekávané národní spolufinancování může být součástí žádosti o průběžnou platbu.</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keepNext/>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Náklady a poplatky na řízení, úroky, vrácený zdroje, odkázaný majetek</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D30D9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Obecný právní základ uvedený v</w:t>
            </w:r>
            <w:r w:rsidR="00D30D90">
              <w:rPr>
                <w:rFonts w:ascii="Calibri" w:eastAsia="Georgia" w:hAnsi="Calibri"/>
                <w:sz w:val="20"/>
                <w:szCs w:val="20"/>
              </w:rPr>
              <w:t> </w:t>
            </w:r>
            <w:r w:rsidRPr="00171265">
              <w:rPr>
                <w:rFonts w:ascii="Calibri" w:eastAsia="Georgia" w:hAnsi="Calibri"/>
                <w:sz w:val="20"/>
                <w:szCs w:val="20"/>
              </w:rPr>
              <w:t>implementačních pravidlech</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D30D90">
            <w:pPr>
              <w:keepNext/>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Komplexní podmínky stanovené v</w:t>
            </w:r>
            <w:r w:rsidR="00D30D90">
              <w:rPr>
                <w:rFonts w:ascii="Calibri" w:eastAsia="Georgia" w:hAnsi="Calibri"/>
                <w:sz w:val="20"/>
                <w:szCs w:val="20"/>
              </w:rPr>
              <w:t> </w:t>
            </w:r>
            <w:r w:rsidRPr="00171265">
              <w:rPr>
                <w:rFonts w:ascii="Calibri" w:eastAsia="Georgia" w:hAnsi="Calibri"/>
                <w:sz w:val="20"/>
                <w:szCs w:val="20"/>
              </w:rPr>
              <w:t>nařízeních, prováděcích aktech a</w:t>
            </w:r>
            <w:r w:rsidR="00D30D90">
              <w:rPr>
                <w:rFonts w:ascii="Calibri" w:eastAsia="Georgia" w:hAnsi="Calibri"/>
                <w:sz w:val="20"/>
                <w:szCs w:val="20"/>
              </w:rPr>
              <w:t> </w:t>
            </w:r>
            <w:r w:rsidRPr="00171265">
              <w:rPr>
                <w:rFonts w:ascii="Calibri" w:eastAsia="Georgia" w:hAnsi="Calibri"/>
                <w:sz w:val="20"/>
                <w:szCs w:val="20"/>
              </w:rPr>
              <w:t>aktech v přenesené pravomoci</w:t>
            </w:r>
          </w:p>
        </w:tc>
      </w:tr>
      <w:tr w:rsidR="00A1208F" w:rsidRPr="00FD4171" w:rsidTr="00636988">
        <w:trPr>
          <w:cantSplit/>
        </w:trPr>
        <w:tc>
          <w:tcPr>
            <w:tcW w:w="1701" w:type="dxa"/>
            <w:tcBorders>
              <w:top w:val="single" w:sz="6" w:space="0" w:color="4F81BD"/>
              <w:left w:val="single" w:sz="6" w:space="0" w:color="4F81BD"/>
              <w:bottom w:val="single" w:sz="6" w:space="0" w:color="4F81BD"/>
              <w:right w:val="single" w:sz="6" w:space="0" w:color="4F81BD"/>
            </w:tcBorders>
            <w:shd w:val="clear" w:color="auto" w:fill="95B3D7"/>
            <w:vAlign w:val="center"/>
          </w:tcPr>
          <w:p w:rsidR="00A1208F" w:rsidRPr="00171265" w:rsidRDefault="00A1208F" w:rsidP="009900D0">
            <w:pPr>
              <w:spacing w:before="120" w:line="240" w:lineRule="auto"/>
              <w:ind w:left="57" w:right="113"/>
              <w:jc w:val="center"/>
              <w:rPr>
                <w:rFonts w:ascii="Calibri" w:eastAsia="Georgia" w:hAnsi="Calibri"/>
                <w:b/>
                <w:color w:val="FFFFFF"/>
                <w:spacing w:val="1"/>
                <w:sz w:val="20"/>
                <w:szCs w:val="20"/>
              </w:rPr>
            </w:pPr>
            <w:r w:rsidRPr="00171265">
              <w:rPr>
                <w:rFonts w:ascii="Calibri" w:eastAsia="Georgia" w:hAnsi="Calibri"/>
                <w:b/>
                <w:color w:val="FFFFFF"/>
                <w:spacing w:val="1"/>
                <w:sz w:val="20"/>
                <w:szCs w:val="20"/>
              </w:rPr>
              <w:t>Výkaznictví</w:t>
            </w:r>
          </w:p>
        </w:tc>
        <w:tc>
          <w:tcPr>
            <w:tcW w:w="3046"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9900D0">
            <w:pPr>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Nepovinné výkaznictví – část obecného ročního reportování implementace Programu</w:t>
            </w:r>
          </w:p>
        </w:tc>
        <w:tc>
          <w:tcPr>
            <w:tcW w:w="3047" w:type="dxa"/>
            <w:tcBorders>
              <w:top w:val="single" w:sz="6" w:space="0" w:color="4F81BD"/>
              <w:left w:val="single" w:sz="6" w:space="0" w:color="4F81BD"/>
              <w:bottom w:val="single" w:sz="6" w:space="0" w:color="4F81BD"/>
              <w:right w:val="single" w:sz="6" w:space="0" w:color="4F81BD"/>
            </w:tcBorders>
            <w:vAlign w:val="center"/>
          </w:tcPr>
          <w:p w:rsidR="00A1208F" w:rsidRPr="00171265" w:rsidRDefault="00A1208F" w:rsidP="00D30D90">
            <w:pPr>
              <w:spacing w:before="120" w:line="240" w:lineRule="auto"/>
              <w:ind w:left="57" w:right="113"/>
              <w:jc w:val="left"/>
              <w:rPr>
                <w:rFonts w:ascii="Calibri" w:eastAsia="Georgia" w:hAnsi="Calibri"/>
                <w:sz w:val="20"/>
                <w:szCs w:val="20"/>
              </w:rPr>
            </w:pPr>
            <w:r w:rsidRPr="00171265">
              <w:rPr>
                <w:rFonts w:ascii="Calibri" w:eastAsia="Georgia" w:hAnsi="Calibri"/>
                <w:sz w:val="20"/>
                <w:szCs w:val="20"/>
              </w:rPr>
              <w:t>Povinné výkaznictví od začátku, v</w:t>
            </w:r>
            <w:r w:rsidR="00D30D90">
              <w:rPr>
                <w:rFonts w:ascii="Calibri" w:eastAsia="Georgia" w:hAnsi="Calibri"/>
                <w:sz w:val="20"/>
                <w:szCs w:val="20"/>
              </w:rPr>
              <w:t> </w:t>
            </w:r>
            <w:r w:rsidRPr="00171265">
              <w:rPr>
                <w:rFonts w:ascii="Calibri" w:eastAsia="Georgia" w:hAnsi="Calibri"/>
                <w:sz w:val="20"/>
                <w:szCs w:val="20"/>
              </w:rPr>
              <w:t>rozsahu indikátorů spojených s</w:t>
            </w:r>
            <w:r w:rsidR="00D30D90">
              <w:rPr>
                <w:rFonts w:ascii="Calibri" w:eastAsia="Georgia" w:hAnsi="Calibri"/>
                <w:sz w:val="20"/>
                <w:szCs w:val="20"/>
              </w:rPr>
              <w:t> </w:t>
            </w:r>
            <w:r w:rsidRPr="00171265">
              <w:rPr>
                <w:rFonts w:ascii="Calibri" w:eastAsia="Georgia" w:hAnsi="Calibri"/>
                <w:sz w:val="20"/>
                <w:szCs w:val="20"/>
              </w:rPr>
              <w:t>finančním nařízením</w:t>
            </w:r>
          </w:p>
        </w:tc>
      </w:tr>
    </w:tbl>
    <w:p w:rsidR="00893FA4" w:rsidRDefault="00893FA4" w:rsidP="00171265">
      <w:pPr>
        <w:pStyle w:val="Nadpis3"/>
      </w:pPr>
      <w:bookmarkStart w:id="38" w:name="_Toc410115451"/>
      <w:r>
        <w:t xml:space="preserve">Typy </w:t>
      </w:r>
      <w:r w:rsidR="006B5A7F">
        <w:t xml:space="preserve">(inovativních) </w:t>
      </w:r>
      <w:r>
        <w:t>finančních nástrojů</w:t>
      </w:r>
      <w:bookmarkEnd w:id="38"/>
    </w:p>
    <w:p w:rsidR="00C11EDF" w:rsidRDefault="00EA2C3F" w:rsidP="009900D0">
      <w:pPr>
        <w:pStyle w:val="Odskoknadpis4"/>
        <w:keepNext/>
      </w:pPr>
      <w:r>
        <w:t>IFN</w:t>
      </w:r>
      <w:r w:rsidR="00C11EDF">
        <w:t xml:space="preserve"> mají za úkol transformovat zdroje EU v rámci </w:t>
      </w:r>
      <w:r>
        <w:t>ESIF</w:t>
      </w:r>
      <w:r w:rsidR="00C11EDF">
        <w:t xml:space="preserve"> do finančních produktů, jako jsou půjčky, záruky, </w:t>
      </w:r>
      <w:r w:rsidR="009D5CAD">
        <w:t xml:space="preserve">vklady </w:t>
      </w:r>
      <w:r w:rsidR="00C11EDF">
        <w:t xml:space="preserve">do vlastního kapitálu (kvazi kapitálu) a dalších </w:t>
      </w:r>
      <w:r w:rsidR="009D5CAD">
        <w:t xml:space="preserve">typů </w:t>
      </w:r>
      <w:r w:rsidR="00C11EDF">
        <w:t xml:space="preserve">rizikem zatížených </w:t>
      </w:r>
      <w:r w:rsidR="00787752">
        <w:t>mechanizm</w:t>
      </w:r>
      <w:r w:rsidR="00C11EDF">
        <w:t xml:space="preserve">ů. Ty jsou pak použity na podporu hospodářsky životaschopných projektů, které podporují cíle politiky EU. IFN mají za cíl, aby finanční prostředky EU byly využity na dobré </w:t>
      </w:r>
      <w:r w:rsidR="00851EB1">
        <w:t>a </w:t>
      </w:r>
      <w:r w:rsidR="00C11EDF">
        <w:t>efektivní projekty, což zajišťuje, že dotace jsou doplněny o další finanční produkty tak, aby finanční prostředky EU mohly být použity opětovně revolvingovým způsobem. IFN je možné kombinovat s technickou podporou nebo se zárukou/subvencí úrokových sazeb.</w:t>
      </w:r>
      <w:r w:rsidR="00C11EDF">
        <w:rPr>
          <w:rStyle w:val="Znakapoznpodarou"/>
        </w:rPr>
        <w:footnoteReference w:id="74"/>
      </w:r>
    </w:p>
    <w:p w:rsidR="00AA08FF" w:rsidRDefault="00A56B56" w:rsidP="0049720A">
      <w:pPr>
        <w:pStyle w:val="Odskoknadpis4"/>
      </w:pPr>
      <w:r>
        <w:t>IFN</w:t>
      </w:r>
      <w:r w:rsidR="005928D0">
        <w:t xml:space="preserve"> se řídí </w:t>
      </w:r>
      <w:r w:rsidR="00C11EDF">
        <w:t>tržním prostředím a pravidly finančních trhů</w:t>
      </w:r>
      <w:r w:rsidR="005928D0">
        <w:t xml:space="preserve"> a jejich konstrukce vyžaduje určitou flexibilitu, aby se vyrovna</w:t>
      </w:r>
      <w:r w:rsidR="00C11EDF">
        <w:t>ly s měnícími se potřebami trhu.</w:t>
      </w:r>
      <w:r w:rsidR="005928D0">
        <w:t xml:space="preserve"> </w:t>
      </w:r>
      <w:r w:rsidR="00C11EDF">
        <w:t xml:space="preserve">Zároveň </w:t>
      </w:r>
      <w:r w:rsidR="005928D0">
        <w:t>musí být zajištěn</w:t>
      </w:r>
      <w:r w:rsidR="00C11EDF">
        <w:t>o, aby generovaly</w:t>
      </w:r>
      <w:r w:rsidR="005928D0">
        <w:t xml:space="preserve"> </w:t>
      </w:r>
      <w:r w:rsidR="00C11EDF">
        <w:t>„evropskou přidanou hodnotu“</w:t>
      </w:r>
      <w:r w:rsidR="00C11EDF">
        <w:rPr>
          <w:rStyle w:val="Znakapoznpodarou"/>
        </w:rPr>
        <w:footnoteReference w:id="75"/>
      </w:r>
      <w:r w:rsidR="005928D0">
        <w:t xml:space="preserve"> a musí být úzce spjaty s cíli politiky EU. Tyto </w:t>
      </w:r>
      <w:r>
        <w:t>IFN</w:t>
      </w:r>
      <w:r w:rsidR="005928D0">
        <w:t xml:space="preserve"> musí mobilizovat tolik kapitálu</w:t>
      </w:r>
      <w:r w:rsidR="00082CC6">
        <w:t>,</w:t>
      </w:r>
      <w:r w:rsidR="005928D0">
        <w:t xml:space="preserve"> jak jen je to možné</w:t>
      </w:r>
      <w:r w:rsidR="00082CC6">
        <w:t>,</w:t>
      </w:r>
      <w:r w:rsidR="005928D0">
        <w:t xml:space="preserve"> k dosažení cílů EU, to znamená, že musí mít vysoký multiplikační efekt. </w:t>
      </w:r>
      <w:r w:rsidR="0096458A">
        <w:t>ŘO</w:t>
      </w:r>
      <w:r w:rsidR="005928D0">
        <w:t xml:space="preserve"> </w:t>
      </w:r>
      <w:r w:rsidR="00C11EDF">
        <w:t>mají být</w:t>
      </w:r>
      <w:r w:rsidR="005928D0">
        <w:t xml:space="preserve"> navrženy dluhové a kapitálové platformy důležité pro</w:t>
      </w:r>
      <w:r w:rsidR="00D30D90">
        <w:t> </w:t>
      </w:r>
      <w:r w:rsidR="005928D0">
        <w:t xml:space="preserve">zajištění účinného nasazení </w:t>
      </w:r>
      <w:r w:rsidR="00420428">
        <w:t>IFN</w:t>
      </w:r>
      <w:r w:rsidR="005928D0">
        <w:t xml:space="preserve">. Stupeň rizika </w:t>
      </w:r>
      <w:r w:rsidR="00420428">
        <w:t>IFN</w:t>
      </w:r>
      <w:r w:rsidR="00C11EDF">
        <w:t xml:space="preserve"> pak bude záviset </w:t>
      </w:r>
      <w:r w:rsidR="005928D0">
        <w:t xml:space="preserve">na </w:t>
      </w:r>
      <w:r w:rsidR="00C11EDF">
        <w:t xml:space="preserve">celkovém </w:t>
      </w:r>
      <w:r w:rsidR="005928D0">
        <w:t>implementačn</w:t>
      </w:r>
      <w:r w:rsidR="00BB5DBB">
        <w:t>ím rámci, který zahrnuje proces</w:t>
      </w:r>
      <w:r w:rsidR="005928D0">
        <w:t xml:space="preserve"> výb</w:t>
      </w:r>
      <w:r w:rsidR="00C11EDF">
        <w:t xml:space="preserve">ěru projektů, </w:t>
      </w:r>
      <w:r w:rsidR="003B5238">
        <w:t>struktury řízení</w:t>
      </w:r>
      <w:r w:rsidR="00C11EDF">
        <w:t xml:space="preserve">, struktury </w:t>
      </w:r>
      <w:r w:rsidR="00420428">
        <w:t>IFN</w:t>
      </w:r>
      <w:r w:rsidR="003B5238">
        <w:t xml:space="preserve"> </w:t>
      </w:r>
      <w:r w:rsidR="00851EB1">
        <w:t>a </w:t>
      </w:r>
      <w:r w:rsidR="005928D0">
        <w:t xml:space="preserve">rozhodování v rámci </w:t>
      </w:r>
      <w:r w:rsidR="0089053F">
        <w:t>výběru vhodných kapitálových nebo dluhových platforem</w:t>
      </w:r>
      <w:r w:rsidR="00AA08FF">
        <w:t>.</w:t>
      </w:r>
    </w:p>
    <w:p w:rsidR="000C0B4C" w:rsidRDefault="00B7645D" w:rsidP="0049720A">
      <w:pPr>
        <w:pStyle w:val="Odskoknadpis4"/>
      </w:pPr>
      <w:r>
        <w:t>Při vytváření IFN se nelze řídit pouze nařízeními EK k IFN. Ty stanovují pouze regulatorní pravidla jejich implementace, ale vůbec nezmiňují faktické konstrukce jednotlivých IFN</w:t>
      </w:r>
      <w:r w:rsidR="0089053F">
        <w:t xml:space="preserve"> (vyjma off-the-shelf, ale i ty mohou být nasazeny pouze po předchozím zjištění tržního selhání)</w:t>
      </w:r>
      <w:r>
        <w:t xml:space="preserve">. Podobná forma regulace se dá vysledovat ve směrnicích EK týkajících se finančních trhů, kdy </w:t>
      </w:r>
      <w:r>
        <w:lastRenderedPageBreak/>
        <w:t>směrnice popisují, co musí být splněno a zajištěno, ale již nechávají volnost na členských státech</w:t>
      </w:r>
      <w:r w:rsidR="004667A4">
        <w:t xml:space="preserve"> a řídících orgánech,</w:t>
      </w:r>
      <w:r>
        <w:t xml:space="preserve"> jaké subjekty, v jakém právním postavení budou v uvedených schématech fungovat. Důvodem je rozdílnost v národních úpravách korporátního práva, odlišnosti a zvyklosti v existujících právních strukturách podobně.</w:t>
      </w:r>
    </w:p>
    <w:p w:rsidR="000938CD" w:rsidRPr="001D03B3" w:rsidRDefault="002921B3" w:rsidP="00636988">
      <w:pPr>
        <w:pStyle w:val="Titulek"/>
      </w:pPr>
      <w:bookmarkStart w:id="39" w:name="_Toc409446420"/>
      <w:r>
        <w:t xml:space="preserve">Schéma </w:t>
      </w:r>
      <w:fldSimple w:instr=" SEQ Schéma \* ARABIC ">
        <w:r w:rsidR="006C5EA3">
          <w:rPr>
            <w:noProof/>
          </w:rPr>
          <w:t>12</w:t>
        </w:r>
      </w:fldSimple>
      <w:r w:rsidR="00563C78">
        <w:t>:</w:t>
      </w:r>
      <w:r w:rsidR="00563C78">
        <w:tab/>
        <w:t>Další oblasti</w:t>
      </w:r>
      <w:r w:rsidR="000938CD" w:rsidRPr="001D03B3">
        <w:t xml:space="preserve"> ovlivňujíc</w:t>
      </w:r>
      <w:r w:rsidR="00563C78">
        <w:t>í</w:t>
      </w:r>
      <w:r w:rsidR="000938CD" w:rsidRPr="001D03B3">
        <w:t xml:space="preserve"> vznik a řízení IFN:</w:t>
      </w:r>
      <w:bookmarkEnd w:id="39"/>
    </w:p>
    <w:p w:rsidR="00B7645D" w:rsidRDefault="0055330E" w:rsidP="00435883">
      <w:pPr>
        <w:pStyle w:val="Odskoknadpis4"/>
        <w:spacing w:before="360"/>
        <w:jc w:val="center"/>
      </w:pPr>
      <w:r>
        <w:rPr>
          <w:noProof/>
          <w:lang w:eastAsia="cs-CZ"/>
        </w:rPr>
        <w:drawing>
          <wp:inline distT="0" distB="0" distL="0" distR="0" wp14:anchorId="0E9DD1FE" wp14:editId="578DBEE9">
            <wp:extent cx="5224145" cy="3554095"/>
            <wp:effectExtent l="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3"/>
                    <a:srcRect/>
                    <a:stretch>
                      <a:fillRect/>
                    </a:stretch>
                  </pic:blipFill>
                  <pic:spPr bwMode="auto">
                    <a:xfrm>
                      <a:off x="0" y="0"/>
                      <a:ext cx="5224145" cy="3554095"/>
                    </a:xfrm>
                    <a:prstGeom prst="rect">
                      <a:avLst/>
                    </a:prstGeom>
                    <a:noFill/>
                    <a:ln w="9525">
                      <a:noFill/>
                      <a:miter lim="800000"/>
                      <a:headEnd/>
                      <a:tailEnd/>
                    </a:ln>
                  </pic:spPr>
                </pic:pic>
              </a:graphicData>
            </a:graphic>
          </wp:inline>
        </w:drawing>
      </w:r>
    </w:p>
    <w:p w:rsidR="00716BE0" w:rsidRPr="00716BE0" w:rsidRDefault="002921B3" w:rsidP="00636988">
      <w:pPr>
        <w:pStyle w:val="Titulek"/>
      </w:pPr>
      <w:bookmarkStart w:id="40" w:name="_Toc409446421"/>
      <w:r>
        <w:t xml:space="preserve">Schéma </w:t>
      </w:r>
      <w:fldSimple w:instr=" SEQ Schéma \* ARABIC ">
        <w:r w:rsidR="006C5EA3">
          <w:rPr>
            <w:noProof/>
          </w:rPr>
          <w:t>13</w:t>
        </w:r>
      </w:fldSimple>
      <w:r w:rsidR="00563C78">
        <w:t>:</w:t>
      </w:r>
      <w:r w:rsidR="00563C78">
        <w:tab/>
      </w:r>
      <w:r w:rsidR="00716BE0" w:rsidRPr="00716BE0">
        <w:t xml:space="preserve"> </w:t>
      </w:r>
      <w:r w:rsidR="00563C78">
        <w:t>Nové</w:t>
      </w:r>
      <w:r w:rsidR="00716BE0" w:rsidRPr="00716BE0">
        <w:t xml:space="preserve"> uspořádání IFN v letech 2014 </w:t>
      </w:r>
      <w:r w:rsidR="00977A11">
        <w:t>–</w:t>
      </w:r>
      <w:r w:rsidR="00716BE0" w:rsidRPr="00716BE0">
        <w:t xml:space="preserve"> 2020</w:t>
      </w:r>
      <w:bookmarkEnd w:id="40"/>
      <w:r w:rsidR="00977A11">
        <w:t xml:space="preserve"> </w:t>
      </w:r>
    </w:p>
    <w:p w:rsidR="003219A9" w:rsidRDefault="0055330E" w:rsidP="00A3450B">
      <w:pPr>
        <w:pStyle w:val="Odskoknadpis4"/>
        <w:jc w:val="center"/>
      </w:pPr>
      <w:r>
        <w:rPr>
          <w:noProof/>
          <w:lang w:eastAsia="cs-CZ"/>
        </w:rPr>
        <w:drawing>
          <wp:inline distT="0" distB="0" distL="0" distR="0" wp14:anchorId="2BE1CFDB" wp14:editId="10EFC8AC">
            <wp:extent cx="5088890" cy="2560320"/>
            <wp:effectExtent l="19050" t="0" r="0" b="0"/>
            <wp:docPr id="14"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24"/>
                    <a:srcRect/>
                    <a:stretch>
                      <a:fillRect/>
                    </a:stretch>
                  </pic:blipFill>
                  <pic:spPr bwMode="auto">
                    <a:xfrm>
                      <a:off x="0" y="0"/>
                      <a:ext cx="5088890" cy="2560320"/>
                    </a:xfrm>
                    <a:prstGeom prst="rect">
                      <a:avLst/>
                    </a:prstGeom>
                    <a:noFill/>
                    <a:ln w="9525">
                      <a:noFill/>
                      <a:miter lim="800000"/>
                      <a:headEnd/>
                      <a:tailEnd/>
                    </a:ln>
                  </pic:spPr>
                </pic:pic>
              </a:graphicData>
            </a:graphic>
          </wp:inline>
        </w:drawing>
      </w:r>
    </w:p>
    <w:p w:rsidR="00021F68" w:rsidRPr="00021F68" w:rsidRDefault="00021F68" w:rsidP="0049720A">
      <w:pPr>
        <w:pStyle w:val="Odskoknadpis4"/>
        <w:rPr>
          <w:i/>
          <w:color w:val="548DD4"/>
        </w:rPr>
      </w:pPr>
      <w:r w:rsidRPr="00021F68">
        <w:rPr>
          <w:i/>
          <w:color w:val="548DD4"/>
        </w:rPr>
        <w:t>Zdroj: přepis z prezentace Evropské komise -Jean-David Malo</w:t>
      </w:r>
    </w:p>
    <w:p w:rsidR="0049720A" w:rsidRDefault="00A56B56" w:rsidP="00301BFB">
      <w:pPr>
        <w:pStyle w:val="Odskoknadpis4"/>
        <w:keepNext/>
      </w:pPr>
      <w:r w:rsidRPr="00C137F3">
        <w:lastRenderedPageBreak/>
        <w:t>IFN</w:t>
      </w:r>
      <w:r w:rsidR="00E731F9" w:rsidRPr="00C137F3">
        <w:t xml:space="preserve"> představují velmi komplexní a komplikovanou množinu různých typů opatření</w:t>
      </w:r>
      <w:r w:rsidR="00716BE0" w:rsidRPr="00C137F3">
        <w:t xml:space="preserve"> </w:t>
      </w:r>
    </w:p>
    <w:p w:rsidR="00E731F9" w:rsidRPr="00435883" w:rsidRDefault="002921B3" w:rsidP="00636988">
      <w:pPr>
        <w:pStyle w:val="Titulek"/>
      </w:pPr>
      <w:bookmarkStart w:id="41" w:name="_Toc409446422"/>
      <w:r>
        <w:t xml:space="preserve">Schéma </w:t>
      </w:r>
      <w:fldSimple w:instr=" SEQ Schéma \* ARABIC ">
        <w:r w:rsidR="006C5EA3">
          <w:rPr>
            <w:noProof/>
          </w:rPr>
          <w:t>14</w:t>
        </w:r>
      </w:fldSimple>
      <w:r w:rsidR="00563C78" w:rsidRPr="00435883">
        <w:t>:</w:t>
      </w:r>
      <w:r w:rsidR="00563C78" w:rsidRPr="00435883">
        <w:tab/>
        <w:t>Tok</w:t>
      </w:r>
      <w:r w:rsidR="0049720A" w:rsidRPr="00435883">
        <w:t xml:space="preserve"> prostředků z rozpočtu EU prostřednictvím IFM</w:t>
      </w:r>
      <w:bookmarkEnd w:id="41"/>
      <w:r w:rsidR="0049720A" w:rsidRPr="00435883">
        <w:t xml:space="preserve"> </w:t>
      </w:r>
    </w:p>
    <w:p w:rsidR="00E731F9" w:rsidRDefault="0055330E" w:rsidP="00977A11">
      <w:pPr>
        <w:ind w:left="1134"/>
        <w:jc w:val="center"/>
      </w:pPr>
      <w:r>
        <w:rPr>
          <w:noProof/>
          <w:lang w:eastAsia="cs-CZ"/>
        </w:rPr>
        <w:drawing>
          <wp:inline distT="0" distB="0" distL="0" distR="0" wp14:anchorId="55AE8C16" wp14:editId="2440F8FE">
            <wp:extent cx="5057140" cy="3482975"/>
            <wp:effectExtent l="19050" t="0" r="0" b="0"/>
            <wp:docPr id="1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25"/>
                    <a:srcRect/>
                    <a:stretch>
                      <a:fillRect/>
                    </a:stretch>
                  </pic:blipFill>
                  <pic:spPr bwMode="auto">
                    <a:xfrm>
                      <a:off x="0" y="0"/>
                      <a:ext cx="5057140" cy="3482975"/>
                    </a:xfrm>
                    <a:prstGeom prst="rect">
                      <a:avLst/>
                    </a:prstGeom>
                    <a:noFill/>
                    <a:ln w="9525">
                      <a:noFill/>
                      <a:miter lim="800000"/>
                      <a:headEnd/>
                      <a:tailEnd/>
                    </a:ln>
                  </pic:spPr>
                </pic:pic>
              </a:graphicData>
            </a:graphic>
          </wp:inline>
        </w:drawing>
      </w:r>
    </w:p>
    <w:p w:rsidR="00021F68" w:rsidRPr="00021F68" w:rsidRDefault="00021F68" w:rsidP="00021F68">
      <w:pPr>
        <w:pStyle w:val="Odskoknadpis4"/>
        <w:rPr>
          <w:i/>
          <w:color w:val="548DD4"/>
        </w:rPr>
      </w:pPr>
      <w:r>
        <w:rPr>
          <w:i/>
          <w:color w:val="548DD4"/>
        </w:rPr>
        <w:t xml:space="preserve">Zdroj: </w:t>
      </w:r>
      <w:r w:rsidRPr="00021F68">
        <w:rPr>
          <w:i/>
          <w:color w:val="548DD4"/>
        </w:rPr>
        <w:t>přepis z prezentace Evropské komise – Jean-David Malo</w:t>
      </w:r>
    </w:p>
    <w:p w:rsidR="00073BDB" w:rsidRDefault="00073BDB" w:rsidP="00171265">
      <w:pPr>
        <w:pStyle w:val="Nadpis4"/>
      </w:pPr>
      <w:r w:rsidRPr="0049720A">
        <w:t>Nástroje</w:t>
      </w:r>
      <w:r>
        <w:t xml:space="preserve"> na evropské úrovni</w:t>
      </w:r>
    </w:p>
    <w:p w:rsidR="005928D0" w:rsidRDefault="005928D0" w:rsidP="00563C78">
      <w:pPr>
        <w:pStyle w:val="Odskoknadpis4"/>
        <w:keepNext/>
      </w:pPr>
      <w:r>
        <w:t xml:space="preserve">V souladu s cíli strategie Evropa 2020 EK navrhuje konsolidovat </w:t>
      </w:r>
      <w:r w:rsidR="00A56B56">
        <w:t>IFN</w:t>
      </w:r>
      <w:r>
        <w:t xml:space="preserve"> na evropské úrovni do šesti nástrojů. Tyto nástroje zahrnují vytvoření nového principu pro tzv. Risk Sharing Finance Facility (</w:t>
      </w:r>
      <w:r w:rsidR="00E25C1F">
        <w:t>„</w:t>
      </w:r>
      <w:r>
        <w:t>RSFF</w:t>
      </w:r>
      <w:r w:rsidR="00E25C1F">
        <w:t>“</w:t>
      </w:r>
      <w:r>
        <w:t>) pro podporu věd</w:t>
      </w:r>
      <w:r w:rsidR="00EA66DF">
        <w:t>y</w:t>
      </w:r>
      <w:r>
        <w:t xml:space="preserve"> a výzkum</w:t>
      </w:r>
      <w:r w:rsidR="00EA66DF">
        <w:t>u</w:t>
      </w:r>
      <w:r>
        <w:t xml:space="preserve">, kapitálové vstupy a garance pro inovativní malé </w:t>
      </w:r>
      <w:r w:rsidR="005321DF">
        <w:t>a </w:t>
      </w:r>
      <w:r>
        <w:t>střední firmy, mikropůjčky, podporu vzdělání a kult</w:t>
      </w:r>
      <w:r w:rsidR="00073BDB">
        <w:t>ury a také dopravy a energetiky</w:t>
      </w:r>
      <w:r>
        <w:t>.</w:t>
      </w:r>
    </w:p>
    <w:p w:rsidR="00D14106" w:rsidRDefault="00D14106" w:rsidP="0049720A">
      <w:pPr>
        <w:pStyle w:val="Odskoknadpis4"/>
      </w:pPr>
      <w:r w:rsidRPr="007B47D4">
        <w:rPr>
          <w:lang w:eastAsia="cs-CZ"/>
        </w:rPr>
        <w:t xml:space="preserve">Tyto </w:t>
      </w:r>
      <w:r w:rsidR="00A56B56">
        <w:rPr>
          <w:lang w:eastAsia="cs-CZ"/>
        </w:rPr>
        <w:t>IFN</w:t>
      </w:r>
      <w:r w:rsidRPr="007B47D4">
        <w:rPr>
          <w:lang w:eastAsia="cs-CZ"/>
        </w:rPr>
        <w:t xml:space="preserve"> pak EK realizuje na </w:t>
      </w:r>
      <w:r w:rsidRPr="00D14106">
        <w:rPr>
          <w:lang w:eastAsia="cs-CZ"/>
        </w:rPr>
        <w:t>evropské úrovni</w:t>
      </w:r>
      <w:r w:rsidRPr="007B47D4">
        <w:rPr>
          <w:rStyle w:val="Znakapoznpodarou"/>
          <w:rFonts w:ascii="Calibri" w:eastAsia="Times New Roman" w:hAnsi="Calibri"/>
          <w:color w:val="000000"/>
          <w:sz w:val="18"/>
          <w:szCs w:val="18"/>
          <w:lang w:eastAsia="cs-CZ"/>
        </w:rPr>
        <w:footnoteReference w:id="76"/>
      </w:r>
      <w:r w:rsidRPr="007B47D4">
        <w:rPr>
          <w:lang w:eastAsia="cs-CZ"/>
        </w:rPr>
        <w:t xml:space="preserve"> (Cosme</w:t>
      </w:r>
      <w:r w:rsidRPr="007B47D4">
        <w:rPr>
          <w:rStyle w:val="Znakapoznpodarou"/>
          <w:rFonts w:ascii="Calibri" w:eastAsia="Times New Roman" w:hAnsi="Calibri"/>
          <w:color w:val="000000"/>
          <w:sz w:val="18"/>
          <w:szCs w:val="18"/>
          <w:lang w:eastAsia="cs-CZ"/>
        </w:rPr>
        <w:footnoteReference w:id="77"/>
      </w:r>
      <w:r w:rsidRPr="007B47D4">
        <w:rPr>
          <w:lang w:eastAsia="cs-CZ"/>
        </w:rPr>
        <w:t xml:space="preserve">€2,4 </w:t>
      </w:r>
      <w:r w:rsidR="007A6D0C" w:rsidRPr="007B47D4">
        <w:rPr>
          <w:lang w:eastAsia="cs-CZ"/>
        </w:rPr>
        <w:t>mld.</w:t>
      </w:r>
      <w:r w:rsidRPr="007B47D4">
        <w:rPr>
          <w:lang w:eastAsia="cs-CZ"/>
        </w:rPr>
        <w:t>, Horizon</w:t>
      </w:r>
      <w:r w:rsidRPr="007B47D4">
        <w:rPr>
          <w:rStyle w:val="Znakapoznpodarou"/>
          <w:rFonts w:ascii="Calibri" w:eastAsia="Times New Roman" w:hAnsi="Calibri"/>
          <w:color w:val="000000"/>
          <w:sz w:val="18"/>
          <w:szCs w:val="18"/>
          <w:lang w:eastAsia="cs-CZ"/>
        </w:rPr>
        <w:footnoteReference w:id="78"/>
      </w:r>
      <w:r w:rsidRPr="007B47D4">
        <w:rPr>
          <w:lang w:eastAsia="cs-CZ"/>
        </w:rPr>
        <w:t xml:space="preserve"> €80 mld., </w:t>
      </w:r>
      <w:r>
        <w:rPr>
          <w:lang w:eastAsia="cs-CZ"/>
        </w:rPr>
        <w:t>CEF</w:t>
      </w:r>
      <w:r>
        <w:rPr>
          <w:rStyle w:val="Znakapoznpodarou"/>
          <w:lang w:eastAsia="cs-CZ"/>
        </w:rPr>
        <w:footnoteReference w:id="79"/>
      </w:r>
      <w:r w:rsidRPr="007B47D4">
        <w:rPr>
          <w:lang w:eastAsia="cs-CZ"/>
        </w:rPr>
        <w:t xml:space="preserve"> infrastrukturní projektové dluhopisy</w:t>
      </w:r>
      <w:r w:rsidRPr="007B47D4">
        <w:rPr>
          <w:rStyle w:val="Znakapoznpodarou"/>
          <w:rFonts w:ascii="Calibri" w:eastAsia="Times New Roman" w:hAnsi="Calibri"/>
          <w:color w:val="000000"/>
          <w:sz w:val="18"/>
          <w:szCs w:val="18"/>
          <w:lang w:eastAsia="cs-CZ"/>
        </w:rPr>
        <w:footnoteReference w:id="80"/>
      </w:r>
      <w:r>
        <w:rPr>
          <w:lang w:eastAsia="cs-CZ"/>
        </w:rPr>
        <w:t>,</w:t>
      </w:r>
      <w:r w:rsidR="000F11D2">
        <w:rPr>
          <w:lang w:eastAsia="cs-CZ"/>
        </w:rPr>
        <w:t xml:space="preserve"> Social Change and Innovation</w:t>
      </w:r>
      <w:r w:rsidR="000F11D2">
        <w:rPr>
          <w:rStyle w:val="Znakapoznpodarou"/>
          <w:lang w:eastAsia="cs-CZ"/>
        </w:rPr>
        <w:footnoteReference w:id="81"/>
      </w:r>
      <w:r w:rsidRPr="007B47D4">
        <w:rPr>
          <w:lang w:eastAsia="cs-CZ"/>
        </w:rPr>
        <w:t>)</w:t>
      </w:r>
    </w:p>
    <w:p w:rsidR="00C56180" w:rsidRDefault="00C56180" w:rsidP="0049720A">
      <w:pPr>
        <w:pStyle w:val="Odskoknadpis4"/>
      </w:pPr>
      <w:r>
        <w:rPr>
          <w:spacing w:val="-1"/>
        </w:rPr>
        <w:t>V</w:t>
      </w:r>
      <w:r>
        <w:t>ar</w:t>
      </w:r>
      <w:r>
        <w:rPr>
          <w:spacing w:val="-1"/>
        </w:rPr>
        <w:t>i</w:t>
      </w:r>
      <w:r>
        <w:t>an</w:t>
      </w:r>
      <w:r>
        <w:rPr>
          <w:spacing w:val="1"/>
        </w:rPr>
        <w:t>t</w:t>
      </w:r>
      <w:r>
        <w:t>a</w:t>
      </w:r>
      <w:r>
        <w:rPr>
          <w:spacing w:val="-5"/>
        </w:rPr>
        <w:t xml:space="preserve"> </w:t>
      </w:r>
      <w:r>
        <w:rPr>
          <w:spacing w:val="-1"/>
        </w:rPr>
        <w:t>p</w:t>
      </w:r>
      <w:r>
        <w:t>ř</w:t>
      </w:r>
      <w:r>
        <w:rPr>
          <w:spacing w:val="-1"/>
        </w:rPr>
        <w:t>í</w:t>
      </w:r>
      <w:r>
        <w:rPr>
          <w:spacing w:val="3"/>
        </w:rPr>
        <w:t>s</w:t>
      </w:r>
      <w:r>
        <w:rPr>
          <w:spacing w:val="-1"/>
        </w:rPr>
        <w:t>p</w:t>
      </w:r>
      <w:r>
        <w:rPr>
          <w:spacing w:val="2"/>
        </w:rPr>
        <w:t>ě</w:t>
      </w:r>
      <w:r>
        <w:rPr>
          <w:spacing w:val="-1"/>
        </w:rPr>
        <w:t>vk</w:t>
      </w:r>
      <w:r>
        <w:t>u</w:t>
      </w:r>
      <w:r>
        <w:rPr>
          <w:spacing w:val="-9"/>
        </w:rPr>
        <w:t xml:space="preserve"> </w:t>
      </w:r>
      <w:r>
        <w:t>z</w:t>
      </w:r>
      <w:r>
        <w:rPr>
          <w:spacing w:val="-1"/>
        </w:rPr>
        <w:t xml:space="preserve"> </w:t>
      </w:r>
      <w:r>
        <w:rPr>
          <w:spacing w:val="3"/>
        </w:rPr>
        <w:t>o</w:t>
      </w:r>
      <w:r>
        <w:rPr>
          <w:spacing w:val="-1"/>
        </w:rPr>
        <w:t>p</w:t>
      </w:r>
      <w:r>
        <w:t>er</w:t>
      </w:r>
      <w:r>
        <w:rPr>
          <w:spacing w:val="3"/>
        </w:rPr>
        <w:t>a</w:t>
      </w:r>
      <w:r>
        <w:rPr>
          <w:spacing w:val="1"/>
        </w:rPr>
        <w:t>č</w:t>
      </w:r>
      <w:r>
        <w:t>n</w:t>
      </w:r>
      <w:r>
        <w:rPr>
          <w:spacing w:val="-1"/>
        </w:rPr>
        <w:t>íh</w:t>
      </w:r>
      <w:r>
        <w:t>o</w:t>
      </w:r>
      <w:r>
        <w:rPr>
          <w:spacing w:val="-7"/>
        </w:rPr>
        <w:t xml:space="preserve"> </w:t>
      </w:r>
      <w:r>
        <w:rPr>
          <w:spacing w:val="-1"/>
        </w:rPr>
        <w:t>p</w:t>
      </w:r>
      <w:r>
        <w:t>r</w:t>
      </w:r>
      <w:r>
        <w:rPr>
          <w:spacing w:val="1"/>
        </w:rPr>
        <w:t>o</w:t>
      </w:r>
      <w:r>
        <w:rPr>
          <w:spacing w:val="-1"/>
        </w:rPr>
        <w:t>g</w:t>
      </w:r>
      <w:r>
        <w:t>r</w:t>
      </w:r>
      <w:r>
        <w:rPr>
          <w:spacing w:val="3"/>
        </w:rPr>
        <w:t>a</w:t>
      </w:r>
      <w:r>
        <w:t>mu</w:t>
      </w:r>
      <w:r>
        <w:rPr>
          <w:spacing w:val="-9"/>
        </w:rPr>
        <w:t xml:space="preserve"> </w:t>
      </w:r>
      <w:r>
        <w:rPr>
          <w:spacing w:val="1"/>
        </w:rPr>
        <w:t>d</w:t>
      </w:r>
      <w:r>
        <w:t>o</w:t>
      </w:r>
      <w:r>
        <w:rPr>
          <w:spacing w:val="-2"/>
        </w:rPr>
        <w:t xml:space="preserve"> </w:t>
      </w:r>
      <w:r w:rsidR="00420428">
        <w:t>IFN</w:t>
      </w:r>
      <w:r>
        <w:rPr>
          <w:spacing w:val="-7"/>
        </w:rPr>
        <w:t xml:space="preserve"> </w:t>
      </w:r>
      <w:r>
        <w:rPr>
          <w:spacing w:val="2"/>
        </w:rPr>
        <w:t>ř</w:t>
      </w:r>
      <w:r>
        <w:rPr>
          <w:spacing w:val="-1"/>
        </w:rPr>
        <w:t>í</w:t>
      </w:r>
      <w:r>
        <w:t>zený</w:t>
      </w:r>
      <w:r>
        <w:rPr>
          <w:spacing w:val="3"/>
        </w:rPr>
        <w:t>c</w:t>
      </w:r>
      <w:r>
        <w:t>h</w:t>
      </w:r>
      <w:r>
        <w:rPr>
          <w:spacing w:val="-8"/>
        </w:rPr>
        <w:t xml:space="preserve"> </w:t>
      </w:r>
      <w:r>
        <w:rPr>
          <w:spacing w:val="1"/>
        </w:rPr>
        <w:t>p</w:t>
      </w:r>
      <w:r>
        <w:t>ř</w:t>
      </w:r>
      <w:r>
        <w:rPr>
          <w:spacing w:val="-1"/>
        </w:rPr>
        <w:t>í</w:t>
      </w:r>
      <w:r>
        <w:t>mo</w:t>
      </w:r>
      <w:r>
        <w:rPr>
          <w:spacing w:val="-2"/>
        </w:rPr>
        <w:t xml:space="preserve"> </w:t>
      </w:r>
      <w:r>
        <w:t>na</w:t>
      </w:r>
      <w:r>
        <w:rPr>
          <w:spacing w:val="-2"/>
        </w:rPr>
        <w:t xml:space="preserve"> </w:t>
      </w:r>
      <w:r>
        <w:rPr>
          <w:spacing w:val="1"/>
        </w:rPr>
        <w:t>ú</w:t>
      </w:r>
      <w:r>
        <w:t>r</w:t>
      </w:r>
      <w:r>
        <w:rPr>
          <w:spacing w:val="1"/>
        </w:rPr>
        <w:t>o</w:t>
      </w:r>
      <w:r>
        <w:rPr>
          <w:spacing w:val="-1"/>
        </w:rPr>
        <w:t>v</w:t>
      </w:r>
      <w:r>
        <w:t>ni</w:t>
      </w:r>
      <w:r>
        <w:rPr>
          <w:spacing w:val="-5"/>
        </w:rPr>
        <w:t xml:space="preserve"> </w:t>
      </w:r>
      <w:r>
        <w:t xml:space="preserve">EU </w:t>
      </w:r>
      <w:r>
        <w:rPr>
          <w:spacing w:val="-1"/>
        </w:rPr>
        <w:t>j</w:t>
      </w:r>
      <w:r>
        <w:t>e</w:t>
      </w:r>
      <w:r>
        <w:rPr>
          <w:spacing w:val="-2"/>
        </w:rPr>
        <w:t xml:space="preserve"> </w:t>
      </w:r>
      <w:r>
        <w:rPr>
          <w:spacing w:val="2"/>
        </w:rPr>
        <w:t>v</w:t>
      </w:r>
      <w:r>
        <w:rPr>
          <w:spacing w:val="-1"/>
        </w:rPr>
        <w:t>h</w:t>
      </w:r>
      <w:r>
        <w:rPr>
          <w:spacing w:val="1"/>
        </w:rPr>
        <w:t>od</w:t>
      </w:r>
      <w:r>
        <w:t xml:space="preserve">ná </w:t>
      </w:r>
      <w:r>
        <w:rPr>
          <w:spacing w:val="-1"/>
        </w:rPr>
        <w:t>p</w:t>
      </w:r>
      <w:r>
        <w:t>ře</w:t>
      </w:r>
      <w:r>
        <w:rPr>
          <w:spacing w:val="1"/>
        </w:rPr>
        <w:t>d</w:t>
      </w:r>
      <w:r>
        <w:rPr>
          <w:spacing w:val="2"/>
        </w:rPr>
        <w:t>e</w:t>
      </w:r>
      <w:r>
        <w:rPr>
          <w:spacing w:val="-1"/>
        </w:rPr>
        <w:t>v</w:t>
      </w:r>
      <w:r>
        <w:t>š</w:t>
      </w:r>
      <w:r>
        <w:rPr>
          <w:spacing w:val="-1"/>
        </w:rPr>
        <w:t>í</w:t>
      </w:r>
      <w:r>
        <w:t>m</w:t>
      </w:r>
      <w:r>
        <w:rPr>
          <w:spacing w:val="-7"/>
        </w:rPr>
        <w:t xml:space="preserve"> </w:t>
      </w:r>
      <w:r w:rsidRPr="00C56180">
        <w:rPr>
          <w:spacing w:val="1"/>
        </w:rPr>
        <w:t>p</w:t>
      </w:r>
      <w:r w:rsidRPr="00C56180">
        <w:t>ro</w:t>
      </w:r>
      <w:r w:rsidRPr="00C56180">
        <w:rPr>
          <w:spacing w:val="-4"/>
        </w:rPr>
        <w:t xml:space="preserve"> </w:t>
      </w:r>
      <w:r w:rsidRPr="00C56180">
        <w:rPr>
          <w:spacing w:val="2"/>
        </w:rPr>
        <w:t>ř</w:t>
      </w:r>
      <w:r w:rsidRPr="00C56180">
        <w:rPr>
          <w:spacing w:val="-1"/>
        </w:rPr>
        <w:t>í</w:t>
      </w:r>
      <w:r w:rsidRPr="00C56180">
        <w:t>d</w:t>
      </w:r>
      <w:r w:rsidRPr="00C56180">
        <w:rPr>
          <w:spacing w:val="1"/>
        </w:rPr>
        <w:t>í</w:t>
      </w:r>
      <w:r w:rsidRPr="00C56180">
        <w:t>cí</w:t>
      </w:r>
      <w:r w:rsidRPr="00C56180">
        <w:rPr>
          <w:spacing w:val="-7"/>
        </w:rPr>
        <w:t xml:space="preserve"> </w:t>
      </w:r>
      <w:r w:rsidRPr="00C56180">
        <w:rPr>
          <w:spacing w:val="3"/>
        </w:rPr>
        <w:t>o</w:t>
      </w:r>
      <w:r w:rsidRPr="00C56180">
        <w:t>r</w:t>
      </w:r>
      <w:r w:rsidRPr="00C56180">
        <w:rPr>
          <w:spacing w:val="3"/>
        </w:rPr>
        <w:t>g</w:t>
      </w:r>
      <w:r w:rsidRPr="00C56180">
        <w:rPr>
          <w:spacing w:val="-1"/>
        </w:rPr>
        <w:t>án</w:t>
      </w:r>
      <w:r w:rsidRPr="00C56180">
        <w:rPr>
          <w:spacing w:val="1"/>
        </w:rPr>
        <w:t>y</w:t>
      </w:r>
      <w:r w:rsidRPr="00C56180">
        <w:t>,</w:t>
      </w:r>
      <w:r w:rsidRPr="00C56180">
        <w:rPr>
          <w:spacing w:val="-6"/>
        </w:rPr>
        <w:t xml:space="preserve"> </w:t>
      </w:r>
      <w:r w:rsidRPr="00C56180">
        <w:rPr>
          <w:spacing w:val="-1"/>
        </w:rPr>
        <w:t>k</w:t>
      </w:r>
      <w:r w:rsidRPr="00C56180">
        <w:rPr>
          <w:spacing w:val="3"/>
        </w:rPr>
        <w:t>t</w:t>
      </w:r>
      <w:r w:rsidRPr="00C56180">
        <w:rPr>
          <w:spacing w:val="-1"/>
        </w:rPr>
        <w:t>e</w:t>
      </w:r>
      <w:r w:rsidRPr="00C56180">
        <w:rPr>
          <w:spacing w:val="2"/>
        </w:rPr>
        <w:t>r</w:t>
      </w:r>
      <w:r w:rsidRPr="00C56180">
        <w:t>é</w:t>
      </w:r>
      <w:r w:rsidRPr="00C56180">
        <w:rPr>
          <w:spacing w:val="-6"/>
        </w:rPr>
        <w:t xml:space="preserve"> </w:t>
      </w:r>
      <w:r w:rsidRPr="00C56180">
        <w:rPr>
          <w:spacing w:val="1"/>
        </w:rPr>
        <w:t>p</w:t>
      </w:r>
      <w:r w:rsidRPr="00C56180">
        <w:rPr>
          <w:spacing w:val="2"/>
        </w:rPr>
        <w:t>r</w:t>
      </w:r>
      <w:r w:rsidRPr="00C56180">
        <w:rPr>
          <w:spacing w:val="-1"/>
        </w:rPr>
        <w:t>e</w:t>
      </w:r>
      <w:r w:rsidRPr="00C56180">
        <w:rPr>
          <w:spacing w:val="1"/>
        </w:rPr>
        <w:t>fe</w:t>
      </w:r>
      <w:r w:rsidRPr="00C56180">
        <w:t>ru</w:t>
      </w:r>
      <w:r w:rsidRPr="00C56180">
        <w:rPr>
          <w:spacing w:val="1"/>
        </w:rPr>
        <w:t>j</w:t>
      </w:r>
      <w:r w:rsidRPr="00C56180">
        <w:t>í</w:t>
      </w:r>
      <w:r w:rsidRPr="00C56180">
        <w:rPr>
          <w:spacing w:val="-8"/>
        </w:rPr>
        <w:t xml:space="preserve"> </w:t>
      </w:r>
      <w:r w:rsidRPr="00C56180">
        <w:rPr>
          <w:spacing w:val="2"/>
        </w:rPr>
        <w:t>n</w:t>
      </w:r>
      <w:r w:rsidRPr="00C56180">
        <w:rPr>
          <w:spacing w:val="-1"/>
        </w:rPr>
        <w:t>á</w:t>
      </w:r>
      <w:r w:rsidRPr="00C56180">
        <w:rPr>
          <w:spacing w:val="1"/>
        </w:rPr>
        <w:t>sl</w:t>
      </w:r>
      <w:r w:rsidRPr="00C56180">
        <w:rPr>
          <w:spacing w:val="-1"/>
        </w:rPr>
        <w:t>e</w:t>
      </w:r>
      <w:r w:rsidRPr="00C56180">
        <w:t>du</w:t>
      </w:r>
      <w:r w:rsidRPr="00C56180">
        <w:rPr>
          <w:spacing w:val="1"/>
        </w:rPr>
        <w:t>jí</w:t>
      </w:r>
      <w:r w:rsidRPr="00C56180">
        <w:t>cí</w:t>
      </w:r>
      <w:r w:rsidRPr="00C56180">
        <w:rPr>
          <w:spacing w:val="-12"/>
        </w:rPr>
        <w:t xml:space="preserve"> </w:t>
      </w:r>
      <w:r w:rsidRPr="0089495C">
        <w:rPr>
          <w:spacing w:val="1"/>
        </w:rPr>
        <w:t>výhody/zjednodušení</w:t>
      </w:r>
      <w:r>
        <w:rPr>
          <w:b/>
          <w:spacing w:val="-3"/>
          <w:w w:val="99"/>
        </w:rPr>
        <w:t xml:space="preserve"> </w:t>
      </w:r>
      <w:r>
        <w:rPr>
          <w:spacing w:val="3"/>
        </w:rPr>
        <w:t>o</w:t>
      </w:r>
      <w:r>
        <w:rPr>
          <w:spacing w:val="-1"/>
        </w:rPr>
        <w:t>p</w:t>
      </w:r>
      <w:r>
        <w:t>r</w:t>
      </w:r>
      <w:r>
        <w:rPr>
          <w:spacing w:val="1"/>
        </w:rPr>
        <w:t>ot</w:t>
      </w:r>
      <w:r>
        <w:t>i</w:t>
      </w:r>
      <w:r>
        <w:rPr>
          <w:spacing w:val="-6"/>
        </w:rPr>
        <w:t xml:space="preserve"> </w:t>
      </w:r>
      <w:r w:rsidR="00986EE0">
        <w:rPr>
          <w:spacing w:val="1"/>
        </w:rPr>
        <w:t>IFN</w:t>
      </w:r>
      <w:r>
        <w:t xml:space="preserve"> </w:t>
      </w:r>
      <w:r>
        <w:rPr>
          <w:spacing w:val="-1"/>
        </w:rPr>
        <w:t>i</w:t>
      </w:r>
      <w:r>
        <w:t>m</w:t>
      </w:r>
      <w:r>
        <w:rPr>
          <w:spacing w:val="-1"/>
        </w:rPr>
        <w:t>p</w:t>
      </w:r>
      <w:r>
        <w:rPr>
          <w:spacing w:val="3"/>
        </w:rPr>
        <w:t>l</w:t>
      </w:r>
      <w:r>
        <w:t>em</w:t>
      </w:r>
      <w:r>
        <w:rPr>
          <w:spacing w:val="2"/>
        </w:rPr>
        <w:t>e</w:t>
      </w:r>
      <w:r>
        <w:t>n</w:t>
      </w:r>
      <w:r>
        <w:rPr>
          <w:spacing w:val="1"/>
        </w:rPr>
        <w:t>to</w:t>
      </w:r>
      <w:r>
        <w:rPr>
          <w:spacing w:val="-1"/>
        </w:rPr>
        <w:t>v</w:t>
      </w:r>
      <w:r>
        <w:t>aný</w:t>
      </w:r>
      <w:r>
        <w:rPr>
          <w:spacing w:val="1"/>
        </w:rPr>
        <w:t>c</w:t>
      </w:r>
      <w:r>
        <w:t>h</w:t>
      </w:r>
      <w:r>
        <w:rPr>
          <w:spacing w:val="-16"/>
        </w:rPr>
        <w:t xml:space="preserve"> </w:t>
      </w:r>
      <w:r>
        <w:t>na</w:t>
      </w:r>
      <w:r>
        <w:rPr>
          <w:spacing w:val="-2"/>
        </w:rPr>
        <w:t xml:space="preserve"> </w:t>
      </w:r>
      <w:r>
        <w:rPr>
          <w:spacing w:val="1"/>
        </w:rPr>
        <w:t>d</w:t>
      </w:r>
      <w:r>
        <w:t>e</w:t>
      </w:r>
      <w:r>
        <w:rPr>
          <w:spacing w:val="1"/>
        </w:rPr>
        <w:t>c</w:t>
      </w:r>
      <w:r>
        <w:rPr>
          <w:spacing w:val="2"/>
        </w:rPr>
        <w:t>e</w:t>
      </w:r>
      <w:r>
        <w:t>n</w:t>
      </w:r>
      <w:r>
        <w:rPr>
          <w:spacing w:val="1"/>
        </w:rPr>
        <w:t>t</w:t>
      </w:r>
      <w:r>
        <w:t>ra</w:t>
      </w:r>
      <w:r>
        <w:rPr>
          <w:spacing w:val="1"/>
        </w:rPr>
        <w:t>l</w:t>
      </w:r>
      <w:r>
        <w:rPr>
          <w:spacing w:val="-1"/>
        </w:rPr>
        <w:t>i</w:t>
      </w:r>
      <w:r>
        <w:t>z</w:t>
      </w:r>
      <w:r>
        <w:rPr>
          <w:spacing w:val="1"/>
        </w:rPr>
        <w:t>o</w:t>
      </w:r>
      <w:r>
        <w:rPr>
          <w:spacing w:val="-1"/>
        </w:rPr>
        <w:t>v</w:t>
      </w:r>
      <w:r>
        <w:t>ané</w:t>
      </w:r>
      <w:r>
        <w:rPr>
          <w:spacing w:val="-16"/>
        </w:rPr>
        <w:t xml:space="preserve"> </w:t>
      </w:r>
      <w:r>
        <w:rPr>
          <w:spacing w:val="1"/>
        </w:rPr>
        <w:t>ú</w:t>
      </w:r>
      <w:r>
        <w:t>r</w:t>
      </w:r>
      <w:r>
        <w:rPr>
          <w:spacing w:val="3"/>
        </w:rPr>
        <w:t>o</w:t>
      </w:r>
      <w:r>
        <w:rPr>
          <w:spacing w:val="-1"/>
        </w:rPr>
        <w:t>v</w:t>
      </w:r>
      <w:r>
        <w:t>n</w:t>
      </w:r>
      <w:r>
        <w:rPr>
          <w:spacing w:val="-1"/>
        </w:rPr>
        <w:t>i</w:t>
      </w:r>
      <w:r>
        <w:t>:</w:t>
      </w:r>
      <w:r w:rsidR="00AD2BBE">
        <w:rPr>
          <w:rStyle w:val="Znakapoznpodarou"/>
        </w:rPr>
        <w:footnoteReference w:id="82"/>
      </w:r>
    </w:p>
    <w:p w:rsidR="000C0B4C" w:rsidRDefault="00C56180" w:rsidP="00755E19">
      <w:pPr>
        <w:pStyle w:val="Odstavecseseznamem"/>
        <w:numPr>
          <w:ilvl w:val="0"/>
          <w:numId w:val="6"/>
        </w:numPr>
        <w:ind w:left="1136" w:hanging="285"/>
        <w:contextualSpacing w:val="0"/>
      </w:pPr>
      <w:r>
        <w:t>J</w:t>
      </w:r>
      <w:r w:rsidRPr="00E227B1">
        <w:rPr>
          <w:spacing w:val="-1"/>
        </w:rPr>
        <w:t>i</w:t>
      </w:r>
      <w:r>
        <w:t>ž</w:t>
      </w:r>
      <w:r w:rsidRPr="00E227B1">
        <w:rPr>
          <w:spacing w:val="-3"/>
        </w:rPr>
        <w:t xml:space="preserve"> </w:t>
      </w:r>
      <w:r>
        <w:t>za</w:t>
      </w:r>
      <w:r w:rsidRPr="00E227B1">
        <w:rPr>
          <w:spacing w:val="-1"/>
        </w:rPr>
        <w:t>v</w:t>
      </w:r>
      <w:r>
        <w:t>e</w:t>
      </w:r>
      <w:r w:rsidRPr="00E227B1">
        <w:rPr>
          <w:spacing w:val="1"/>
        </w:rPr>
        <w:t>d</w:t>
      </w:r>
      <w:r w:rsidRPr="00E227B1">
        <w:rPr>
          <w:spacing w:val="2"/>
        </w:rPr>
        <w:t>e</w:t>
      </w:r>
      <w:r>
        <w:t>ný</w:t>
      </w:r>
      <w:r w:rsidRPr="00E227B1">
        <w:rPr>
          <w:spacing w:val="-8"/>
        </w:rPr>
        <w:t xml:space="preserve"> </w:t>
      </w:r>
      <w:r>
        <w:t>sys</w:t>
      </w:r>
      <w:r w:rsidRPr="00E227B1">
        <w:rPr>
          <w:spacing w:val="1"/>
        </w:rPr>
        <w:t>t</w:t>
      </w:r>
      <w:r>
        <w:t>ém</w:t>
      </w:r>
      <w:r w:rsidRPr="00E227B1">
        <w:rPr>
          <w:spacing w:val="-4"/>
        </w:rPr>
        <w:t xml:space="preserve"> </w:t>
      </w:r>
      <w:r w:rsidRPr="00E227B1">
        <w:rPr>
          <w:spacing w:val="-1"/>
        </w:rPr>
        <w:t>i</w:t>
      </w:r>
      <w:r w:rsidRPr="00E227B1">
        <w:rPr>
          <w:spacing w:val="2"/>
        </w:rPr>
        <w:t>m</w:t>
      </w:r>
      <w:r w:rsidRPr="00E227B1">
        <w:rPr>
          <w:spacing w:val="-1"/>
        </w:rPr>
        <w:t>p</w:t>
      </w:r>
      <w:r w:rsidRPr="00E227B1">
        <w:rPr>
          <w:spacing w:val="1"/>
        </w:rPr>
        <w:t>l</w:t>
      </w:r>
      <w:r w:rsidRPr="00E227B1">
        <w:rPr>
          <w:spacing w:val="2"/>
        </w:rPr>
        <w:t>e</w:t>
      </w:r>
      <w:r>
        <w:t>men</w:t>
      </w:r>
      <w:r w:rsidRPr="00E227B1">
        <w:rPr>
          <w:spacing w:val="1"/>
        </w:rPr>
        <w:t>t</w:t>
      </w:r>
      <w:r>
        <w:t>a</w:t>
      </w:r>
      <w:r w:rsidRPr="00E227B1">
        <w:rPr>
          <w:spacing w:val="1"/>
        </w:rPr>
        <w:t>c</w:t>
      </w:r>
      <w:r>
        <w:t>e</w:t>
      </w:r>
      <w:r w:rsidRPr="00E227B1">
        <w:rPr>
          <w:spacing w:val="-13"/>
        </w:rPr>
        <w:t xml:space="preserve"> </w:t>
      </w:r>
      <w:r w:rsidR="00986EE0">
        <w:rPr>
          <w:spacing w:val="1"/>
        </w:rPr>
        <w:t>IFN</w:t>
      </w:r>
      <w:r w:rsidRPr="00E227B1">
        <w:rPr>
          <w:spacing w:val="-2"/>
        </w:rPr>
        <w:t xml:space="preserve"> </w:t>
      </w:r>
      <w:r>
        <w:t>na</w:t>
      </w:r>
      <w:r w:rsidRPr="00E227B1">
        <w:rPr>
          <w:spacing w:val="-2"/>
        </w:rPr>
        <w:t xml:space="preserve"> </w:t>
      </w:r>
      <w:r w:rsidRPr="00E227B1">
        <w:rPr>
          <w:spacing w:val="1"/>
        </w:rPr>
        <w:t>ú</w:t>
      </w:r>
      <w:r>
        <w:t>r</w:t>
      </w:r>
      <w:r w:rsidRPr="00E227B1">
        <w:rPr>
          <w:spacing w:val="3"/>
        </w:rPr>
        <w:t>o</w:t>
      </w:r>
      <w:r w:rsidRPr="00E227B1">
        <w:rPr>
          <w:spacing w:val="-1"/>
        </w:rPr>
        <w:t>v</w:t>
      </w:r>
      <w:r>
        <w:t>ni</w:t>
      </w:r>
      <w:r w:rsidRPr="00E227B1">
        <w:rPr>
          <w:spacing w:val="-5"/>
        </w:rPr>
        <w:t xml:space="preserve"> </w:t>
      </w:r>
      <w:r>
        <w:t>E</w:t>
      </w:r>
      <w:r w:rsidRPr="00E227B1">
        <w:rPr>
          <w:spacing w:val="1"/>
        </w:rPr>
        <w:t>U</w:t>
      </w:r>
      <w:r>
        <w:t>,</w:t>
      </w:r>
      <w:r w:rsidRPr="00E227B1">
        <w:rPr>
          <w:spacing w:val="-2"/>
        </w:rPr>
        <w:t xml:space="preserve"> </w:t>
      </w:r>
      <w:r w:rsidRPr="00E227B1">
        <w:rPr>
          <w:spacing w:val="-1"/>
        </w:rPr>
        <w:t>k</w:t>
      </w:r>
      <w:r w:rsidRPr="00E227B1">
        <w:rPr>
          <w:spacing w:val="1"/>
        </w:rPr>
        <w:t>t</w:t>
      </w:r>
      <w:r>
        <w:t>erý</w:t>
      </w:r>
      <w:r w:rsidRPr="00E227B1">
        <w:rPr>
          <w:spacing w:val="-5"/>
        </w:rPr>
        <w:t xml:space="preserve"> </w:t>
      </w:r>
      <w:r>
        <w:t>ze</w:t>
      </w:r>
      <w:r w:rsidRPr="00E227B1">
        <w:rPr>
          <w:spacing w:val="-2"/>
        </w:rPr>
        <w:t xml:space="preserve"> </w:t>
      </w:r>
      <w:r>
        <w:t>s</w:t>
      </w:r>
      <w:r w:rsidRPr="00E227B1">
        <w:rPr>
          <w:spacing w:val="1"/>
        </w:rPr>
        <w:t>t</w:t>
      </w:r>
      <w:r>
        <w:t>ra</w:t>
      </w:r>
      <w:r w:rsidRPr="00E227B1">
        <w:rPr>
          <w:spacing w:val="2"/>
        </w:rPr>
        <w:t>n</w:t>
      </w:r>
      <w:r>
        <w:t>y</w:t>
      </w:r>
      <w:r w:rsidRPr="00E227B1">
        <w:rPr>
          <w:spacing w:val="-6"/>
        </w:rPr>
        <w:t xml:space="preserve"> </w:t>
      </w:r>
      <w:r w:rsidRPr="00E227B1">
        <w:rPr>
          <w:spacing w:val="-1"/>
        </w:rPr>
        <w:t>Ř</w:t>
      </w:r>
      <w:r>
        <w:t>O</w:t>
      </w:r>
      <w:r w:rsidRPr="00E227B1">
        <w:rPr>
          <w:spacing w:val="-3"/>
        </w:rPr>
        <w:t xml:space="preserve"> </w:t>
      </w:r>
      <w:r w:rsidRPr="00E227B1">
        <w:rPr>
          <w:spacing w:val="2"/>
        </w:rPr>
        <w:t>n</w:t>
      </w:r>
      <w:r>
        <w:t>e</w:t>
      </w:r>
      <w:r w:rsidRPr="00E227B1">
        <w:rPr>
          <w:spacing w:val="-1"/>
        </w:rPr>
        <w:t>v</w:t>
      </w:r>
      <w:r>
        <w:t>yža</w:t>
      </w:r>
      <w:r w:rsidRPr="00E227B1">
        <w:rPr>
          <w:spacing w:val="3"/>
        </w:rPr>
        <w:t>d</w:t>
      </w:r>
      <w:r w:rsidRPr="00E227B1">
        <w:rPr>
          <w:spacing w:val="1"/>
        </w:rPr>
        <w:t>u</w:t>
      </w:r>
      <w:r w:rsidRPr="00E227B1">
        <w:rPr>
          <w:spacing w:val="-1"/>
        </w:rPr>
        <w:t>j</w:t>
      </w:r>
      <w:r>
        <w:t>e</w:t>
      </w:r>
      <w:r w:rsidRPr="00E227B1">
        <w:rPr>
          <w:spacing w:val="-10"/>
        </w:rPr>
        <w:t xml:space="preserve"> </w:t>
      </w:r>
      <w:r>
        <w:t>n</w:t>
      </w:r>
      <w:r w:rsidRPr="00E227B1">
        <w:rPr>
          <w:spacing w:val="2"/>
        </w:rPr>
        <w:t>ě</w:t>
      </w:r>
      <w:r w:rsidRPr="00E227B1">
        <w:rPr>
          <w:spacing w:val="-1"/>
        </w:rPr>
        <w:t>k</w:t>
      </w:r>
      <w:r w:rsidRPr="00E227B1">
        <w:rPr>
          <w:spacing w:val="1"/>
        </w:rPr>
        <w:t>t</w:t>
      </w:r>
      <w:r>
        <w:t>eré</w:t>
      </w:r>
      <w:r w:rsidRPr="00E227B1">
        <w:rPr>
          <w:spacing w:val="-7"/>
        </w:rPr>
        <w:t xml:space="preserve"> </w:t>
      </w:r>
      <w:r w:rsidRPr="00E227B1">
        <w:rPr>
          <w:spacing w:val="1"/>
        </w:rPr>
        <w:t>č</w:t>
      </w:r>
      <w:r>
        <w:t>as</w:t>
      </w:r>
      <w:r w:rsidRPr="00E227B1">
        <w:rPr>
          <w:spacing w:val="3"/>
        </w:rPr>
        <w:t>o</w:t>
      </w:r>
      <w:r w:rsidRPr="00E227B1">
        <w:rPr>
          <w:spacing w:val="-1"/>
        </w:rPr>
        <w:t>v</w:t>
      </w:r>
      <w:r>
        <w:t>ě, a</w:t>
      </w:r>
      <w:r w:rsidRPr="00E227B1">
        <w:rPr>
          <w:spacing w:val="1"/>
        </w:rPr>
        <w:t>d</w:t>
      </w:r>
      <w:r>
        <w:t>m</w:t>
      </w:r>
      <w:r w:rsidRPr="00E227B1">
        <w:rPr>
          <w:spacing w:val="-1"/>
        </w:rPr>
        <w:t>i</w:t>
      </w:r>
      <w:r>
        <w:t>n</w:t>
      </w:r>
      <w:r w:rsidRPr="00E227B1">
        <w:rPr>
          <w:spacing w:val="-1"/>
        </w:rPr>
        <w:t>i</w:t>
      </w:r>
      <w:r>
        <w:t>s</w:t>
      </w:r>
      <w:r w:rsidRPr="00E227B1">
        <w:rPr>
          <w:spacing w:val="1"/>
        </w:rPr>
        <w:t>t</w:t>
      </w:r>
      <w:r>
        <w:t>ra</w:t>
      </w:r>
      <w:r w:rsidRPr="00E227B1">
        <w:rPr>
          <w:spacing w:val="1"/>
        </w:rPr>
        <w:t>t</w:t>
      </w:r>
      <w:r w:rsidRPr="00E227B1">
        <w:rPr>
          <w:spacing w:val="2"/>
        </w:rPr>
        <w:t>i</w:t>
      </w:r>
      <w:r w:rsidRPr="00E227B1">
        <w:rPr>
          <w:spacing w:val="-1"/>
        </w:rPr>
        <w:t>v</w:t>
      </w:r>
      <w:r>
        <w:t>ně</w:t>
      </w:r>
      <w:r w:rsidRPr="00E227B1">
        <w:rPr>
          <w:spacing w:val="-14"/>
        </w:rPr>
        <w:t xml:space="preserve"> </w:t>
      </w:r>
      <w:r>
        <w:t>a</w:t>
      </w:r>
      <w:r w:rsidRPr="00E227B1">
        <w:rPr>
          <w:spacing w:val="2"/>
        </w:rPr>
        <w:t xml:space="preserve"> </w:t>
      </w:r>
      <w:r>
        <w:t>f</w:t>
      </w:r>
      <w:r w:rsidRPr="00E227B1">
        <w:rPr>
          <w:spacing w:val="-1"/>
        </w:rPr>
        <w:t>i</w:t>
      </w:r>
      <w:r>
        <w:t>n</w:t>
      </w:r>
      <w:r w:rsidRPr="00E227B1">
        <w:rPr>
          <w:spacing w:val="3"/>
        </w:rPr>
        <w:t>a</w:t>
      </w:r>
      <w:r>
        <w:t>n</w:t>
      </w:r>
      <w:r w:rsidRPr="00E227B1">
        <w:rPr>
          <w:spacing w:val="1"/>
        </w:rPr>
        <w:t>č</w:t>
      </w:r>
      <w:r>
        <w:t>ně</w:t>
      </w:r>
      <w:r w:rsidRPr="00E227B1">
        <w:rPr>
          <w:spacing w:val="-6"/>
        </w:rPr>
        <w:t xml:space="preserve"> </w:t>
      </w:r>
      <w:r>
        <w:t>nár</w:t>
      </w:r>
      <w:r w:rsidRPr="00E227B1">
        <w:rPr>
          <w:spacing w:val="1"/>
        </w:rPr>
        <w:t>oč</w:t>
      </w:r>
      <w:r>
        <w:t>né</w:t>
      </w:r>
      <w:r w:rsidRPr="00E227B1">
        <w:rPr>
          <w:spacing w:val="-7"/>
        </w:rPr>
        <w:t xml:space="preserve"> </w:t>
      </w:r>
      <w:r w:rsidRPr="00E227B1">
        <w:rPr>
          <w:spacing w:val="1"/>
        </w:rPr>
        <w:t>ú</w:t>
      </w:r>
      <w:r w:rsidRPr="00E227B1">
        <w:rPr>
          <w:spacing w:val="-1"/>
        </w:rPr>
        <w:t>k</w:t>
      </w:r>
      <w:r w:rsidRPr="00E227B1">
        <w:rPr>
          <w:spacing w:val="3"/>
        </w:rPr>
        <w:t>o</w:t>
      </w:r>
      <w:r>
        <w:t>ny</w:t>
      </w:r>
      <w:r w:rsidRPr="00E227B1">
        <w:rPr>
          <w:spacing w:val="-5"/>
        </w:rPr>
        <w:t xml:space="preserve"> </w:t>
      </w:r>
      <w:r>
        <w:t>s</w:t>
      </w:r>
      <w:r w:rsidRPr="00E227B1">
        <w:rPr>
          <w:spacing w:val="-1"/>
        </w:rPr>
        <w:t>p</w:t>
      </w:r>
      <w:r w:rsidRPr="00E227B1">
        <w:rPr>
          <w:spacing w:val="3"/>
        </w:rPr>
        <w:t>o</w:t>
      </w:r>
      <w:r w:rsidRPr="00E227B1">
        <w:rPr>
          <w:spacing w:val="-1"/>
        </w:rPr>
        <w:t>j</w:t>
      </w:r>
      <w:r>
        <w:t>ené</w:t>
      </w:r>
      <w:r w:rsidRPr="00E227B1">
        <w:rPr>
          <w:spacing w:val="-7"/>
        </w:rPr>
        <w:t xml:space="preserve"> </w:t>
      </w:r>
      <w:r>
        <w:t>s</w:t>
      </w:r>
      <w:r w:rsidRPr="00E227B1">
        <w:rPr>
          <w:spacing w:val="2"/>
        </w:rPr>
        <w:t xml:space="preserve"> </w:t>
      </w:r>
      <w:r w:rsidRPr="00E227B1">
        <w:rPr>
          <w:spacing w:val="-1"/>
        </w:rPr>
        <w:t>p</w:t>
      </w:r>
      <w:r w:rsidRPr="00E227B1">
        <w:rPr>
          <w:spacing w:val="2"/>
        </w:rPr>
        <w:t>ř</w:t>
      </w:r>
      <w:r w:rsidRPr="00E227B1">
        <w:rPr>
          <w:spacing w:val="-1"/>
        </w:rPr>
        <w:t>íp</w:t>
      </w:r>
      <w:r>
        <w:t>r</w:t>
      </w:r>
      <w:r w:rsidRPr="00E227B1">
        <w:rPr>
          <w:spacing w:val="3"/>
        </w:rPr>
        <w:t>a</w:t>
      </w:r>
      <w:r w:rsidRPr="00E227B1">
        <w:rPr>
          <w:spacing w:val="-1"/>
        </w:rPr>
        <w:t>v</w:t>
      </w:r>
      <w:r w:rsidRPr="00E227B1">
        <w:rPr>
          <w:spacing w:val="1"/>
        </w:rPr>
        <w:t>o</w:t>
      </w:r>
      <w:r>
        <w:t>u</w:t>
      </w:r>
      <w:r w:rsidRPr="00E227B1">
        <w:rPr>
          <w:spacing w:val="-9"/>
        </w:rPr>
        <w:t xml:space="preserve"> </w:t>
      </w:r>
      <w:r w:rsidR="00420428">
        <w:t>IFN</w:t>
      </w:r>
      <w:r w:rsidRPr="00E227B1">
        <w:rPr>
          <w:spacing w:val="-4"/>
        </w:rPr>
        <w:t xml:space="preserve"> </w:t>
      </w:r>
      <w:r>
        <w:t>(</w:t>
      </w:r>
      <w:r w:rsidRPr="00E227B1">
        <w:rPr>
          <w:spacing w:val="-1"/>
        </w:rPr>
        <w:t>v</w:t>
      </w:r>
      <w:r>
        <w:t>ý</w:t>
      </w:r>
      <w:r w:rsidRPr="00E227B1">
        <w:rPr>
          <w:spacing w:val="1"/>
        </w:rPr>
        <w:t>b</w:t>
      </w:r>
      <w:r>
        <w:t>ěr</w:t>
      </w:r>
      <w:r w:rsidRPr="00E227B1">
        <w:rPr>
          <w:spacing w:val="-6"/>
        </w:rPr>
        <w:t xml:space="preserve"> </w:t>
      </w:r>
      <w:r w:rsidRPr="00E227B1">
        <w:rPr>
          <w:spacing w:val="3"/>
        </w:rPr>
        <w:t>s</w:t>
      </w:r>
      <w:r w:rsidRPr="00E227B1">
        <w:rPr>
          <w:spacing w:val="-1"/>
        </w:rPr>
        <w:t>p</w:t>
      </w:r>
      <w:r>
        <w:t>rá</w:t>
      </w:r>
      <w:r w:rsidRPr="00E227B1">
        <w:rPr>
          <w:spacing w:val="-1"/>
        </w:rPr>
        <w:t>v</w:t>
      </w:r>
      <w:r w:rsidRPr="00E227B1">
        <w:rPr>
          <w:spacing w:val="1"/>
        </w:rPr>
        <w:t>c</w:t>
      </w:r>
      <w:r>
        <w:t xml:space="preserve">e </w:t>
      </w:r>
      <w:r w:rsidRPr="00E227B1">
        <w:rPr>
          <w:spacing w:val="1"/>
        </w:rPr>
        <w:t>FF</w:t>
      </w:r>
      <w:r>
        <w:t>/</w:t>
      </w:r>
      <w:r w:rsidR="00986EE0">
        <w:rPr>
          <w:spacing w:val="1"/>
        </w:rPr>
        <w:t>IFN</w:t>
      </w:r>
      <w:r>
        <w:t>,</w:t>
      </w:r>
      <w:r w:rsidRPr="00E227B1">
        <w:rPr>
          <w:spacing w:val="-8"/>
        </w:rPr>
        <w:t xml:space="preserve"> </w:t>
      </w:r>
      <w:r w:rsidRPr="00E227B1">
        <w:rPr>
          <w:spacing w:val="-1"/>
        </w:rPr>
        <w:t>p</w:t>
      </w:r>
      <w:r w:rsidRPr="00E227B1">
        <w:rPr>
          <w:spacing w:val="2"/>
        </w:rPr>
        <w:t>ř</w:t>
      </w:r>
      <w:r w:rsidRPr="00E227B1">
        <w:rPr>
          <w:spacing w:val="-1"/>
        </w:rPr>
        <w:t>íp</w:t>
      </w:r>
      <w:r>
        <w:t>r</w:t>
      </w:r>
      <w:r w:rsidRPr="00E227B1">
        <w:rPr>
          <w:spacing w:val="3"/>
        </w:rPr>
        <w:t>a</w:t>
      </w:r>
      <w:r w:rsidRPr="00E227B1">
        <w:rPr>
          <w:spacing w:val="-1"/>
        </w:rPr>
        <w:t>v</w:t>
      </w:r>
      <w:r>
        <w:t>a</w:t>
      </w:r>
      <w:r w:rsidRPr="00E227B1">
        <w:rPr>
          <w:spacing w:val="-8"/>
        </w:rPr>
        <w:t xml:space="preserve"> </w:t>
      </w:r>
      <w:r>
        <w:t>D</w:t>
      </w:r>
      <w:r w:rsidRPr="00E227B1">
        <w:rPr>
          <w:spacing w:val="3"/>
        </w:rPr>
        <w:t>o</w:t>
      </w:r>
      <w:r w:rsidRPr="00E227B1">
        <w:rPr>
          <w:spacing w:val="-1"/>
        </w:rPr>
        <w:t>h</w:t>
      </w:r>
      <w:r w:rsidRPr="00E227B1">
        <w:rPr>
          <w:spacing w:val="1"/>
        </w:rPr>
        <w:t>od</w:t>
      </w:r>
      <w:r>
        <w:t>y</w:t>
      </w:r>
      <w:r w:rsidRPr="00E227B1">
        <w:rPr>
          <w:spacing w:val="-7"/>
        </w:rPr>
        <w:t xml:space="preserve"> </w:t>
      </w:r>
      <w:r>
        <w:t>o</w:t>
      </w:r>
      <w:r w:rsidRPr="00E227B1">
        <w:rPr>
          <w:spacing w:val="2"/>
        </w:rPr>
        <w:t xml:space="preserve"> </w:t>
      </w:r>
      <w:r>
        <w:t>f</w:t>
      </w:r>
      <w:r w:rsidRPr="00E227B1">
        <w:rPr>
          <w:spacing w:val="-1"/>
        </w:rPr>
        <w:t>i</w:t>
      </w:r>
      <w:r>
        <w:t>nan</w:t>
      </w:r>
      <w:r w:rsidRPr="00E227B1">
        <w:rPr>
          <w:spacing w:val="1"/>
        </w:rPr>
        <w:t>co</w:t>
      </w:r>
      <w:r w:rsidRPr="00E227B1">
        <w:rPr>
          <w:spacing w:val="-1"/>
        </w:rPr>
        <w:t>v</w:t>
      </w:r>
      <w:r>
        <w:t>á</w:t>
      </w:r>
      <w:r w:rsidRPr="00E227B1">
        <w:rPr>
          <w:spacing w:val="2"/>
        </w:rPr>
        <w:t>n</w:t>
      </w:r>
      <w:r>
        <w:t>í</w:t>
      </w:r>
      <w:r w:rsidRPr="00E227B1">
        <w:rPr>
          <w:spacing w:val="-11"/>
        </w:rPr>
        <w:t xml:space="preserve"> </w:t>
      </w:r>
      <w:r w:rsidRPr="00E227B1">
        <w:rPr>
          <w:spacing w:val="3"/>
        </w:rPr>
        <w:t>a</w:t>
      </w:r>
      <w:r w:rsidRPr="00E227B1">
        <w:rPr>
          <w:spacing w:val="-1"/>
        </w:rPr>
        <w:t>p</w:t>
      </w:r>
      <w:r w:rsidRPr="00E227B1">
        <w:rPr>
          <w:spacing w:val="1"/>
        </w:rPr>
        <w:t>od</w:t>
      </w:r>
      <w:r w:rsidRPr="00E227B1">
        <w:rPr>
          <w:spacing w:val="-1"/>
        </w:rPr>
        <w:t>.</w:t>
      </w:r>
      <w:r>
        <w:t>).</w:t>
      </w:r>
    </w:p>
    <w:p w:rsidR="000C0B4C" w:rsidRDefault="00C56180" w:rsidP="00755E19">
      <w:pPr>
        <w:pStyle w:val="Odstavecseseznamem"/>
        <w:numPr>
          <w:ilvl w:val="0"/>
          <w:numId w:val="5"/>
        </w:numPr>
        <w:ind w:left="1136" w:hanging="285"/>
        <w:contextualSpacing w:val="0"/>
      </w:pPr>
      <w:r>
        <w:t>Z</w:t>
      </w:r>
      <w:r w:rsidRPr="00C56180">
        <w:rPr>
          <w:spacing w:val="-1"/>
        </w:rPr>
        <w:t>p</w:t>
      </w:r>
      <w:r>
        <w:t>r</w:t>
      </w:r>
      <w:r w:rsidRPr="00C56180">
        <w:rPr>
          <w:spacing w:val="1"/>
        </w:rPr>
        <w:t>o</w:t>
      </w:r>
      <w:r>
        <w:t>š</w:t>
      </w:r>
      <w:r w:rsidRPr="00C56180">
        <w:rPr>
          <w:spacing w:val="1"/>
        </w:rPr>
        <w:t>t</w:t>
      </w:r>
      <w:r>
        <w:t>ě</w:t>
      </w:r>
      <w:r w:rsidRPr="00C56180">
        <w:rPr>
          <w:spacing w:val="2"/>
        </w:rPr>
        <w:t>n</w:t>
      </w:r>
      <w:r>
        <w:t>í</w:t>
      </w:r>
      <w:r w:rsidRPr="00C56180">
        <w:rPr>
          <w:spacing w:val="-10"/>
        </w:rPr>
        <w:t xml:space="preserve"> </w:t>
      </w:r>
      <w:r w:rsidRPr="00C56180">
        <w:rPr>
          <w:spacing w:val="-1"/>
        </w:rPr>
        <w:t>p</w:t>
      </w:r>
      <w:r w:rsidRPr="00C56180">
        <w:rPr>
          <w:spacing w:val="3"/>
        </w:rPr>
        <w:t>o</w:t>
      </w:r>
      <w:r w:rsidRPr="00C56180">
        <w:rPr>
          <w:spacing w:val="-1"/>
        </w:rPr>
        <w:t>vi</w:t>
      </w:r>
      <w:r>
        <w:t>nn</w:t>
      </w:r>
      <w:r w:rsidRPr="00C56180">
        <w:rPr>
          <w:spacing w:val="1"/>
        </w:rPr>
        <w:t>o</w:t>
      </w:r>
      <w:r>
        <w:t>s</w:t>
      </w:r>
      <w:r w:rsidRPr="00C56180">
        <w:rPr>
          <w:spacing w:val="3"/>
        </w:rPr>
        <w:t>t</w:t>
      </w:r>
      <w:r>
        <w:t>i</w:t>
      </w:r>
      <w:r w:rsidRPr="00C56180">
        <w:rPr>
          <w:spacing w:val="-10"/>
        </w:rPr>
        <w:t xml:space="preserve"> </w:t>
      </w:r>
      <w:r>
        <w:t>ř</w:t>
      </w:r>
      <w:r w:rsidRPr="00C56180">
        <w:rPr>
          <w:spacing w:val="-1"/>
        </w:rPr>
        <w:t>í</w:t>
      </w:r>
      <w:r w:rsidRPr="00C56180">
        <w:rPr>
          <w:spacing w:val="3"/>
        </w:rPr>
        <w:t>d</w:t>
      </w:r>
      <w:r w:rsidRPr="00C56180">
        <w:rPr>
          <w:spacing w:val="-1"/>
        </w:rPr>
        <w:t>í</w:t>
      </w:r>
      <w:r w:rsidRPr="00C56180">
        <w:rPr>
          <w:spacing w:val="1"/>
        </w:rPr>
        <w:t>c</w:t>
      </w:r>
      <w:r w:rsidRPr="00C56180">
        <w:rPr>
          <w:spacing w:val="-1"/>
        </w:rPr>
        <w:t>í</w:t>
      </w:r>
      <w:r w:rsidRPr="00C56180">
        <w:rPr>
          <w:spacing w:val="3"/>
        </w:rPr>
        <w:t>c</w:t>
      </w:r>
      <w:r>
        <w:t>h</w:t>
      </w:r>
      <w:r w:rsidRPr="00C56180">
        <w:rPr>
          <w:spacing w:val="-8"/>
        </w:rPr>
        <w:t xml:space="preserve"> </w:t>
      </w:r>
      <w:r w:rsidRPr="00C56180">
        <w:rPr>
          <w:spacing w:val="1"/>
        </w:rPr>
        <w:t>o</w:t>
      </w:r>
      <w:r>
        <w:t>r</w:t>
      </w:r>
      <w:r w:rsidRPr="00C56180">
        <w:rPr>
          <w:spacing w:val="-1"/>
        </w:rPr>
        <w:t>g</w:t>
      </w:r>
      <w:r>
        <w:t>ánů</w:t>
      </w:r>
      <w:r w:rsidRPr="00C56180">
        <w:rPr>
          <w:spacing w:val="-3"/>
        </w:rPr>
        <w:t xml:space="preserve"> </w:t>
      </w:r>
      <w:r w:rsidRPr="00C56180">
        <w:rPr>
          <w:spacing w:val="-1"/>
        </w:rPr>
        <w:t>p</w:t>
      </w:r>
      <w:r>
        <w:t>r</w:t>
      </w:r>
      <w:r w:rsidRPr="00C56180">
        <w:rPr>
          <w:spacing w:val="1"/>
        </w:rPr>
        <w:t>o</w:t>
      </w:r>
      <w:r w:rsidRPr="00C56180">
        <w:rPr>
          <w:spacing w:val="-1"/>
        </w:rPr>
        <w:t>v</w:t>
      </w:r>
      <w:r>
        <w:t>á</w:t>
      </w:r>
      <w:r w:rsidRPr="00C56180">
        <w:rPr>
          <w:spacing w:val="3"/>
        </w:rPr>
        <w:t>d</w:t>
      </w:r>
      <w:r>
        <w:t>ět</w:t>
      </w:r>
      <w:r w:rsidRPr="00C56180">
        <w:rPr>
          <w:spacing w:val="-7"/>
        </w:rPr>
        <w:t xml:space="preserve"> </w:t>
      </w:r>
      <w:r w:rsidRPr="00C56180">
        <w:rPr>
          <w:spacing w:val="-1"/>
        </w:rPr>
        <w:t>k</w:t>
      </w:r>
      <w:r w:rsidRPr="00C56180">
        <w:rPr>
          <w:spacing w:val="1"/>
        </w:rPr>
        <w:t>o</w:t>
      </w:r>
      <w:r>
        <w:t>n</w:t>
      </w:r>
      <w:r w:rsidRPr="00C56180">
        <w:rPr>
          <w:spacing w:val="1"/>
        </w:rPr>
        <w:t>t</w:t>
      </w:r>
      <w:r>
        <w:t>r</w:t>
      </w:r>
      <w:r w:rsidRPr="00C56180">
        <w:rPr>
          <w:spacing w:val="1"/>
        </w:rPr>
        <w:t>ol</w:t>
      </w:r>
      <w:r>
        <w:t>y</w:t>
      </w:r>
      <w:r w:rsidRPr="00C56180">
        <w:rPr>
          <w:spacing w:val="-4"/>
        </w:rPr>
        <w:t xml:space="preserve"> </w:t>
      </w:r>
      <w:r>
        <w:t>na</w:t>
      </w:r>
      <w:r w:rsidRPr="00C56180">
        <w:rPr>
          <w:spacing w:val="-2"/>
        </w:rPr>
        <w:t xml:space="preserve"> </w:t>
      </w:r>
      <w:r>
        <w:t>m</w:t>
      </w:r>
      <w:r w:rsidRPr="00C56180">
        <w:rPr>
          <w:spacing w:val="-1"/>
        </w:rPr>
        <w:t>í</w:t>
      </w:r>
      <w:r>
        <w:t>s</w:t>
      </w:r>
      <w:r w:rsidRPr="00C56180">
        <w:rPr>
          <w:spacing w:val="1"/>
        </w:rPr>
        <w:t>t</w:t>
      </w:r>
      <w:r>
        <w:t>ě</w:t>
      </w:r>
      <w:r w:rsidRPr="00C56180">
        <w:rPr>
          <w:spacing w:val="-5"/>
        </w:rPr>
        <w:t xml:space="preserve"> </w:t>
      </w:r>
      <w:r>
        <w:t>u</w:t>
      </w:r>
      <w:r w:rsidRPr="00C56180">
        <w:rPr>
          <w:spacing w:val="-1"/>
        </w:rPr>
        <w:t xml:space="preserve"> </w:t>
      </w:r>
      <w:r>
        <w:t>s</w:t>
      </w:r>
      <w:r w:rsidRPr="00C56180">
        <w:rPr>
          <w:spacing w:val="3"/>
        </w:rPr>
        <w:t>u</w:t>
      </w:r>
      <w:r w:rsidRPr="00C56180">
        <w:rPr>
          <w:spacing w:val="-1"/>
        </w:rPr>
        <w:t>b</w:t>
      </w:r>
      <w:r w:rsidRPr="00C56180">
        <w:rPr>
          <w:spacing w:val="2"/>
        </w:rPr>
        <w:t>j</w:t>
      </w:r>
      <w:r>
        <w:t>e</w:t>
      </w:r>
      <w:r w:rsidRPr="00C56180">
        <w:rPr>
          <w:spacing w:val="-1"/>
        </w:rPr>
        <w:t>k</w:t>
      </w:r>
      <w:r w:rsidRPr="00C56180">
        <w:rPr>
          <w:spacing w:val="1"/>
        </w:rPr>
        <w:t>t</w:t>
      </w:r>
      <w:r>
        <w:t>ů</w:t>
      </w:r>
      <w:r w:rsidRPr="00C56180">
        <w:rPr>
          <w:spacing w:val="-5"/>
        </w:rPr>
        <w:t xml:space="preserve"> </w:t>
      </w:r>
      <w:r w:rsidRPr="00C56180">
        <w:rPr>
          <w:spacing w:val="-1"/>
        </w:rPr>
        <w:t>p</w:t>
      </w:r>
      <w:r>
        <w:t>r</w:t>
      </w:r>
      <w:r w:rsidRPr="00C56180">
        <w:rPr>
          <w:spacing w:val="1"/>
        </w:rPr>
        <w:t>o</w:t>
      </w:r>
      <w:r w:rsidRPr="00C56180">
        <w:rPr>
          <w:spacing w:val="-1"/>
        </w:rPr>
        <w:t>v</w:t>
      </w:r>
      <w:r>
        <w:t>á</w:t>
      </w:r>
      <w:r w:rsidRPr="00C56180">
        <w:rPr>
          <w:spacing w:val="3"/>
        </w:rPr>
        <w:t>d</w:t>
      </w:r>
      <w:r>
        <w:t>ě</w:t>
      </w:r>
      <w:r w:rsidRPr="00C56180">
        <w:rPr>
          <w:spacing w:val="-1"/>
        </w:rPr>
        <w:t>jí</w:t>
      </w:r>
      <w:r w:rsidRPr="00C56180">
        <w:rPr>
          <w:spacing w:val="1"/>
        </w:rPr>
        <w:t>c</w:t>
      </w:r>
      <w:r w:rsidRPr="00C56180">
        <w:rPr>
          <w:spacing w:val="-1"/>
        </w:rPr>
        <w:t>í</w:t>
      </w:r>
      <w:r w:rsidRPr="00C56180">
        <w:rPr>
          <w:spacing w:val="3"/>
        </w:rPr>
        <w:t>c</w:t>
      </w:r>
      <w:r>
        <w:t>h</w:t>
      </w:r>
      <w:r w:rsidRPr="00C56180">
        <w:rPr>
          <w:spacing w:val="-13"/>
        </w:rPr>
        <w:t xml:space="preserve"> </w:t>
      </w:r>
      <w:r w:rsidR="00E87264" w:rsidRPr="00E25C1F">
        <w:rPr>
          <w:spacing w:val="1"/>
        </w:rPr>
        <w:t>FF</w:t>
      </w:r>
      <w:r w:rsidR="00E87264" w:rsidRPr="00E25C1F">
        <w:t>/</w:t>
      </w:r>
      <w:r w:rsidR="00E87264" w:rsidRPr="00E25C1F">
        <w:rPr>
          <w:spacing w:val="1"/>
        </w:rPr>
        <w:t>IFN</w:t>
      </w:r>
      <w:r>
        <w:t>, z</w:t>
      </w:r>
      <w:r w:rsidRPr="00C56180">
        <w:rPr>
          <w:spacing w:val="-1"/>
        </w:rPr>
        <w:t>p</w:t>
      </w:r>
      <w:r>
        <w:t>r</w:t>
      </w:r>
      <w:r w:rsidRPr="00C56180">
        <w:rPr>
          <w:spacing w:val="1"/>
        </w:rPr>
        <w:t>o</w:t>
      </w:r>
      <w:r>
        <w:t>š</w:t>
      </w:r>
      <w:r w:rsidRPr="00C56180">
        <w:rPr>
          <w:spacing w:val="1"/>
        </w:rPr>
        <w:t>t</w:t>
      </w:r>
      <w:r>
        <w:t>ění</w:t>
      </w:r>
      <w:r w:rsidRPr="00C56180">
        <w:rPr>
          <w:spacing w:val="-7"/>
        </w:rPr>
        <w:t xml:space="preserve"> </w:t>
      </w:r>
      <w:r w:rsidRPr="00C56180">
        <w:rPr>
          <w:spacing w:val="-1"/>
        </w:rPr>
        <w:t>p</w:t>
      </w:r>
      <w:r w:rsidRPr="00C56180">
        <w:rPr>
          <w:spacing w:val="1"/>
        </w:rPr>
        <w:t>o</w:t>
      </w:r>
      <w:r w:rsidRPr="00C56180">
        <w:rPr>
          <w:spacing w:val="2"/>
        </w:rPr>
        <w:t>v</w:t>
      </w:r>
      <w:r w:rsidRPr="00C56180">
        <w:rPr>
          <w:spacing w:val="-1"/>
        </w:rPr>
        <w:t>i</w:t>
      </w:r>
      <w:r>
        <w:t>nn</w:t>
      </w:r>
      <w:r w:rsidRPr="00C56180">
        <w:rPr>
          <w:spacing w:val="1"/>
        </w:rPr>
        <w:t>o</w:t>
      </w:r>
      <w:r>
        <w:t>s</w:t>
      </w:r>
      <w:r w:rsidRPr="00C56180">
        <w:rPr>
          <w:spacing w:val="1"/>
        </w:rPr>
        <w:t>t</w:t>
      </w:r>
      <w:r>
        <w:t>i</w:t>
      </w:r>
      <w:r w:rsidRPr="00C56180">
        <w:rPr>
          <w:spacing w:val="-8"/>
        </w:rPr>
        <w:t xml:space="preserve"> </w:t>
      </w:r>
      <w:r>
        <w:t>a</w:t>
      </w:r>
      <w:r w:rsidRPr="00C56180">
        <w:rPr>
          <w:spacing w:val="1"/>
        </w:rPr>
        <w:t>ud</w:t>
      </w:r>
      <w:r w:rsidRPr="00C56180">
        <w:rPr>
          <w:spacing w:val="-1"/>
        </w:rPr>
        <w:t>i</w:t>
      </w:r>
      <w:r w:rsidRPr="00C56180">
        <w:rPr>
          <w:spacing w:val="1"/>
        </w:rPr>
        <w:t>t</w:t>
      </w:r>
      <w:r w:rsidRPr="00C56180">
        <w:rPr>
          <w:spacing w:val="2"/>
        </w:rPr>
        <w:t>n</w:t>
      </w:r>
      <w:r w:rsidRPr="00C56180">
        <w:rPr>
          <w:spacing w:val="-1"/>
        </w:rPr>
        <w:t>íh</w:t>
      </w:r>
      <w:r>
        <w:t>o</w:t>
      </w:r>
      <w:r w:rsidRPr="00C56180">
        <w:rPr>
          <w:spacing w:val="-9"/>
        </w:rPr>
        <w:t xml:space="preserve"> </w:t>
      </w:r>
      <w:r w:rsidRPr="00C56180">
        <w:rPr>
          <w:spacing w:val="1"/>
        </w:rPr>
        <w:t>o</w:t>
      </w:r>
      <w:r>
        <w:t>r</w:t>
      </w:r>
      <w:r w:rsidRPr="00C56180">
        <w:rPr>
          <w:spacing w:val="-1"/>
        </w:rPr>
        <w:t>g</w:t>
      </w:r>
      <w:r w:rsidRPr="00C56180">
        <w:rPr>
          <w:spacing w:val="3"/>
        </w:rPr>
        <w:t>á</w:t>
      </w:r>
      <w:r>
        <w:t>nu</w:t>
      </w:r>
      <w:r w:rsidRPr="00C56180">
        <w:rPr>
          <w:spacing w:val="-6"/>
        </w:rPr>
        <w:t xml:space="preserve"> </w:t>
      </w:r>
      <w:r w:rsidRPr="00C56180">
        <w:rPr>
          <w:spacing w:val="-1"/>
        </w:rPr>
        <w:t>p</w:t>
      </w:r>
      <w:r>
        <w:t>r</w:t>
      </w:r>
      <w:r w:rsidRPr="00C56180">
        <w:rPr>
          <w:spacing w:val="3"/>
        </w:rPr>
        <w:t>o</w:t>
      </w:r>
      <w:r w:rsidRPr="00C56180">
        <w:rPr>
          <w:spacing w:val="-1"/>
        </w:rPr>
        <w:t>v</w:t>
      </w:r>
      <w:r>
        <w:t>á</w:t>
      </w:r>
      <w:r w:rsidRPr="00C56180">
        <w:rPr>
          <w:spacing w:val="1"/>
        </w:rPr>
        <w:t>d</w:t>
      </w:r>
      <w:r>
        <w:t>ět</w:t>
      </w:r>
      <w:r w:rsidRPr="00C56180">
        <w:rPr>
          <w:spacing w:val="-7"/>
        </w:rPr>
        <w:t xml:space="preserve"> </w:t>
      </w:r>
      <w:r>
        <w:t>a</w:t>
      </w:r>
      <w:r w:rsidRPr="00C56180">
        <w:rPr>
          <w:spacing w:val="1"/>
        </w:rPr>
        <w:t>ud</w:t>
      </w:r>
      <w:r w:rsidRPr="00C56180">
        <w:rPr>
          <w:spacing w:val="-1"/>
        </w:rPr>
        <w:t>i</w:t>
      </w:r>
      <w:r w:rsidRPr="00C56180">
        <w:rPr>
          <w:spacing w:val="1"/>
        </w:rPr>
        <w:t>t</w:t>
      </w:r>
      <w:r>
        <w:t>y</w:t>
      </w:r>
      <w:r w:rsidRPr="00C56180">
        <w:rPr>
          <w:spacing w:val="-3"/>
        </w:rPr>
        <w:t xml:space="preserve"> </w:t>
      </w:r>
      <w:r w:rsidRPr="00C56180">
        <w:rPr>
          <w:spacing w:val="1"/>
        </w:rPr>
        <w:t>o</w:t>
      </w:r>
      <w:r w:rsidRPr="00C56180">
        <w:rPr>
          <w:spacing w:val="-1"/>
        </w:rPr>
        <w:t>p</w:t>
      </w:r>
      <w:r>
        <w:t>era</w:t>
      </w:r>
      <w:r w:rsidRPr="00C56180">
        <w:rPr>
          <w:spacing w:val="1"/>
        </w:rPr>
        <w:t>c</w:t>
      </w:r>
      <w:r>
        <w:t>í</w:t>
      </w:r>
      <w:r w:rsidRPr="00C56180">
        <w:rPr>
          <w:spacing w:val="-5"/>
        </w:rPr>
        <w:t xml:space="preserve"> </w:t>
      </w:r>
      <w:r>
        <w:t>i</w:t>
      </w:r>
      <w:r w:rsidRPr="00C56180">
        <w:rPr>
          <w:spacing w:val="-2"/>
        </w:rPr>
        <w:t xml:space="preserve"> </w:t>
      </w:r>
      <w:r>
        <w:t>ř</w:t>
      </w:r>
      <w:r w:rsidRPr="00C56180">
        <w:rPr>
          <w:spacing w:val="-1"/>
        </w:rPr>
        <w:t>í</w:t>
      </w:r>
      <w:r w:rsidRPr="00C56180">
        <w:rPr>
          <w:spacing w:val="3"/>
        </w:rPr>
        <w:t>d</w:t>
      </w:r>
      <w:r w:rsidRPr="00C56180">
        <w:rPr>
          <w:spacing w:val="-1"/>
        </w:rPr>
        <w:t>í</w:t>
      </w:r>
      <w:r w:rsidRPr="00C56180">
        <w:rPr>
          <w:spacing w:val="1"/>
        </w:rPr>
        <w:t>c</w:t>
      </w:r>
      <w:r w:rsidRPr="00C56180">
        <w:rPr>
          <w:spacing w:val="-1"/>
        </w:rPr>
        <w:t>í</w:t>
      </w:r>
      <w:r w:rsidRPr="00C56180">
        <w:rPr>
          <w:spacing w:val="1"/>
        </w:rPr>
        <w:t>c</w:t>
      </w:r>
      <w:r>
        <w:t>h</w:t>
      </w:r>
      <w:r w:rsidRPr="00C56180">
        <w:rPr>
          <w:spacing w:val="-8"/>
        </w:rPr>
        <w:t xml:space="preserve"> </w:t>
      </w:r>
      <w:r w:rsidR="00851EB1">
        <w:t>a</w:t>
      </w:r>
      <w:r w:rsidR="00851EB1">
        <w:rPr>
          <w:spacing w:val="2"/>
        </w:rPr>
        <w:t> </w:t>
      </w:r>
      <w:r w:rsidRPr="00C56180">
        <w:rPr>
          <w:spacing w:val="-1"/>
        </w:rPr>
        <w:t>k</w:t>
      </w:r>
      <w:r w:rsidRPr="00C56180">
        <w:rPr>
          <w:spacing w:val="1"/>
        </w:rPr>
        <w:t>o</w:t>
      </w:r>
      <w:r>
        <w:t>n</w:t>
      </w:r>
      <w:r w:rsidRPr="00C56180">
        <w:rPr>
          <w:spacing w:val="1"/>
        </w:rPr>
        <w:t>t</w:t>
      </w:r>
      <w:r>
        <w:t>r</w:t>
      </w:r>
      <w:r w:rsidRPr="00C56180">
        <w:rPr>
          <w:spacing w:val="1"/>
        </w:rPr>
        <w:t>ol</w:t>
      </w:r>
      <w:r w:rsidRPr="00C56180">
        <w:rPr>
          <w:spacing w:val="2"/>
        </w:rPr>
        <w:t>n</w:t>
      </w:r>
      <w:r w:rsidRPr="00C56180">
        <w:rPr>
          <w:spacing w:val="-1"/>
        </w:rPr>
        <w:t>í</w:t>
      </w:r>
      <w:r w:rsidRPr="00C56180">
        <w:rPr>
          <w:spacing w:val="1"/>
        </w:rPr>
        <w:t>c</w:t>
      </w:r>
      <w:r>
        <w:t>h</w:t>
      </w:r>
      <w:r w:rsidRPr="00C56180">
        <w:rPr>
          <w:spacing w:val="-11"/>
        </w:rPr>
        <w:t xml:space="preserve"> </w:t>
      </w:r>
      <w:r>
        <w:t>sys</w:t>
      </w:r>
      <w:r w:rsidRPr="00C56180">
        <w:rPr>
          <w:spacing w:val="1"/>
        </w:rPr>
        <w:t>t</w:t>
      </w:r>
      <w:r>
        <w:t>ém</w:t>
      </w:r>
      <w:r w:rsidRPr="00C56180">
        <w:rPr>
          <w:spacing w:val="3"/>
        </w:rPr>
        <w:t>ů</w:t>
      </w:r>
      <w:r w:rsidRPr="00C56180">
        <w:rPr>
          <w:spacing w:val="1"/>
        </w:rPr>
        <w:t>.</w:t>
      </w:r>
      <w:r>
        <w:rPr>
          <w:rStyle w:val="Znakapoznpodarou"/>
        </w:rPr>
        <w:footnoteReference w:id="83"/>
      </w:r>
    </w:p>
    <w:p w:rsidR="000C0B4C" w:rsidRDefault="00C56180" w:rsidP="00755E19">
      <w:pPr>
        <w:pStyle w:val="Odstavecseseznamem"/>
        <w:numPr>
          <w:ilvl w:val="0"/>
          <w:numId w:val="5"/>
        </w:numPr>
        <w:ind w:left="1136" w:hanging="285"/>
      </w:pPr>
      <w:r>
        <w:lastRenderedPageBreak/>
        <w:t>Je</w:t>
      </w:r>
      <w:r w:rsidRPr="00C56180">
        <w:rPr>
          <w:spacing w:val="1"/>
        </w:rPr>
        <w:t>d</w:t>
      </w:r>
      <w:r>
        <w:t>en</w:t>
      </w:r>
      <w:r w:rsidRPr="00C56180">
        <w:rPr>
          <w:spacing w:val="-5"/>
        </w:rPr>
        <w:t xml:space="preserve"> </w:t>
      </w:r>
      <w:r w:rsidR="00EA2C3F">
        <w:t>IFN</w:t>
      </w:r>
      <w:r w:rsidRPr="00C56180">
        <w:rPr>
          <w:spacing w:val="-7"/>
        </w:rPr>
        <w:t xml:space="preserve"> </w:t>
      </w:r>
      <w:r>
        <w:t>na</w:t>
      </w:r>
      <w:r w:rsidRPr="00C56180">
        <w:rPr>
          <w:spacing w:val="-2"/>
        </w:rPr>
        <w:t xml:space="preserve"> </w:t>
      </w:r>
      <w:r w:rsidRPr="00C56180">
        <w:rPr>
          <w:spacing w:val="3"/>
        </w:rPr>
        <w:t>ú</w:t>
      </w:r>
      <w:r>
        <w:t>r</w:t>
      </w:r>
      <w:r w:rsidRPr="00C56180">
        <w:rPr>
          <w:spacing w:val="1"/>
        </w:rPr>
        <w:t>o</w:t>
      </w:r>
      <w:r w:rsidRPr="00C56180">
        <w:rPr>
          <w:spacing w:val="-1"/>
        </w:rPr>
        <w:t>v</w:t>
      </w:r>
      <w:r>
        <w:t>ni</w:t>
      </w:r>
      <w:r w:rsidRPr="00C56180">
        <w:rPr>
          <w:spacing w:val="-5"/>
        </w:rPr>
        <w:t xml:space="preserve"> </w:t>
      </w:r>
      <w:r>
        <w:t>EU</w:t>
      </w:r>
      <w:r w:rsidRPr="00C56180">
        <w:rPr>
          <w:spacing w:val="-3"/>
        </w:rPr>
        <w:t xml:space="preserve"> </w:t>
      </w:r>
      <w:r>
        <w:t>m</w:t>
      </w:r>
      <w:r w:rsidRPr="00C56180">
        <w:rPr>
          <w:spacing w:val="1"/>
        </w:rPr>
        <w:t>ů</w:t>
      </w:r>
      <w:r>
        <w:t>že</w:t>
      </w:r>
      <w:r w:rsidRPr="00C56180">
        <w:rPr>
          <w:spacing w:val="-3"/>
        </w:rPr>
        <w:t xml:space="preserve"> </w:t>
      </w:r>
      <w:r>
        <w:t>za</w:t>
      </w:r>
      <w:r w:rsidRPr="00C56180">
        <w:rPr>
          <w:spacing w:val="-1"/>
        </w:rPr>
        <w:t>h</w:t>
      </w:r>
      <w:r>
        <w:t>rn</w:t>
      </w:r>
      <w:r w:rsidRPr="00C56180">
        <w:rPr>
          <w:spacing w:val="3"/>
        </w:rPr>
        <w:t>o</w:t>
      </w:r>
      <w:r w:rsidRPr="00C56180">
        <w:rPr>
          <w:spacing w:val="-1"/>
        </w:rPr>
        <w:t>v</w:t>
      </w:r>
      <w:r>
        <w:t>at</w:t>
      </w:r>
      <w:r w:rsidRPr="00C56180">
        <w:rPr>
          <w:spacing w:val="-8"/>
        </w:rPr>
        <w:t xml:space="preserve"> </w:t>
      </w:r>
      <w:r w:rsidRPr="00C56180">
        <w:rPr>
          <w:spacing w:val="2"/>
        </w:rPr>
        <w:t>n</w:t>
      </w:r>
      <w:r>
        <w:t>ě</w:t>
      </w:r>
      <w:r w:rsidRPr="00C56180">
        <w:rPr>
          <w:spacing w:val="-1"/>
        </w:rPr>
        <w:t>k</w:t>
      </w:r>
      <w:r w:rsidRPr="00C56180">
        <w:rPr>
          <w:spacing w:val="1"/>
        </w:rPr>
        <w:t>ol</w:t>
      </w:r>
      <w:r w:rsidRPr="00C56180">
        <w:rPr>
          <w:spacing w:val="2"/>
        </w:rPr>
        <w:t>i</w:t>
      </w:r>
      <w:r>
        <w:t>k</w:t>
      </w:r>
      <w:r w:rsidRPr="00C56180">
        <w:rPr>
          <w:spacing w:val="-8"/>
        </w:rPr>
        <w:t xml:space="preserve"> </w:t>
      </w:r>
      <w:r w:rsidRPr="00C56180">
        <w:rPr>
          <w:spacing w:val="1"/>
        </w:rPr>
        <w:t>o</w:t>
      </w:r>
      <w:r w:rsidRPr="00C56180">
        <w:rPr>
          <w:spacing w:val="-1"/>
        </w:rPr>
        <w:t>b</w:t>
      </w:r>
      <w:r w:rsidRPr="00C56180">
        <w:rPr>
          <w:spacing w:val="1"/>
        </w:rPr>
        <w:t>l</w:t>
      </w:r>
      <w:r>
        <w:t>as</w:t>
      </w:r>
      <w:r w:rsidRPr="00C56180">
        <w:rPr>
          <w:spacing w:val="1"/>
        </w:rPr>
        <w:t>t</w:t>
      </w:r>
      <w:r w:rsidRPr="00C56180">
        <w:rPr>
          <w:spacing w:val="2"/>
        </w:rPr>
        <w:t>í</w:t>
      </w:r>
      <w:r>
        <w:t>,</w:t>
      </w:r>
      <w:r w:rsidRPr="00C56180">
        <w:rPr>
          <w:spacing w:val="-7"/>
        </w:rPr>
        <w:t xml:space="preserve"> </w:t>
      </w:r>
      <w:r w:rsidRPr="00C56180">
        <w:rPr>
          <w:spacing w:val="1"/>
        </w:rPr>
        <w:t>č</w:t>
      </w:r>
      <w:r w:rsidRPr="00C56180">
        <w:rPr>
          <w:spacing w:val="2"/>
        </w:rPr>
        <w:t>í</w:t>
      </w:r>
      <w:r>
        <w:t>mž</w:t>
      </w:r>
      <w:r w:rsidRPr="00C56180">
        <w:rPr>
          <w:spacing w:val="-4"/>
        </w:rPr>
        <w:t xml:space="preserve"> </w:t>
      </w:r>
      <w:r w:rsidRPr="00C56180">
        <w:rPr>
          <w:spacing w:val="1"/>
        </w:rPr>
        <w:t>l</w:t>
      </w:r>
      <w:r>
        <w:t xml:space="preserve">ze </w:t>
      </w:r>
      <w:r w:rsidRPr="00C56180">
        <w:rPr>
          <w:spacing w:val="-1"/>
        </w:rPr>
        <w:t>p</w:t>
      </w:r>
      <w:r w:rsidRPr="00C56180">
        <w:rPr>
          <w:spacing w:val="1"/>
        </w:rPr>
        <w:t>o</w:t>
      </w:r>
      <w:r w:rsidRPr="00C56180">
        <w:rPr>
          <w:spacing w:val="2"/>
        </w:rPr>
        <w:t>j</w:t>
      </w:r>
      <w:r>
        <w:t>m</w:t>
      </w:r>
      <w:r w:rsidRPr="00C56180">
        <w:rPr>
          <w:spacing w:val="1"/>
        </w:rPr>
        <w:t>ou</w:t>
      </w:r>
      <w:r>
        <w:t>t</w:t>
      </w:r>
      <w:r w:rsidRPr="00C56180">
        <w:rPr>
          <w:spacing w:val="-6"/>
        </w:rPr>
        <w:t xml:space="preserve"> </w:t>
      </w:r>
      <w:r>
        <w:t>zna</w:t>
      </w:r>
      <w:r w:rsidRPr="00C56180">
        <w:rPr>
          <w:spacing w:val="1"/>
        </w:rPr>
        <w:t>č</w:t>
      </w:r>
      <w:r>
        <w:t>ný</w:t>
      </w:r>
      <w:r w:rsidRPr="00C56180">
        <w:rPr>
          <w:spacing w:val="-6"/>
        </w:rPr>
        <w:t xml:space="preserve"> </w:t>
      </w:r>
      <w:r w:rsidRPr="00C56180">
        <w:rPr>
          <w:spacing w:val="1"/>
        </w:rPr>
        <w:t>ob</w:t>
      </w:r>
      <w:r w:rsidRPr="00C56180">
        <w:rPr>
          <w:spacing w:val="-1"/>
        </w:rPr>
        <w:t>j</w:t>
      </w:r>
      <w:r>
        <w:t xml:space="preserve">em </w:t>
      </w:r>
      <w:r w:rsidRPr="00C56180">
        <w:rPr>
          <w:spacing w:val="-1"/>
          <w:position w:val="-1"/>
        </w:rPr>
        <w:t>p</w:t>
      </w:r>
      <w:r w:rsidRPr="00C56180">
        <w:rPr>
          <w:spacing w:val="1"/>
          <w:position w:val="-1"/>
        </w:rPr>
        <w:t>od</w:t>
      </w:r>
      <w:r w:rsidRPr="00C56180">
        <w:rPr>
          <w:spacing w:val="-1"/>
          <w:position w:val="-1"/>
        </w:rPr>
        <w:t>p</w:t>
      </w:r>
      <w:r w:rsidRPr="00C56180">
        <w:rPr>
          <w:spacing w:val="1"/>
          <w:position w:val="-1"/>
        </w:rPr>
        <w:t>o</w:t>
      </w:r>
      <w:r w:rsidRPr="00C56180">
        <w:rPr>
          <w:position w:val="-1"/>
        </w:rPr>
        <w:t>ry</w:t>
      </w:r>
      <w:r w:rsidRPr="00C56180">
        <w:rPr>
          <w:spacing w:val="-4"/>
          <w:position w:val="-1"/>
        </w:rPr>
        <w:t xml:space="preserve"> </w:t>
      </w:r>
      <w:r w:rsidRPr="00C56180">
        <w:rPr>
          <w:spacing w:val="-1"/>
          <w:position w:val="-1"/>
        </w:rPr>
        <w:t>p</w:t>
      </w:r>
      <w:r w:rsidRPr="00C56180">
        <w:rPr>
          <w:spacing w:val="1"/>
          <w:position w:val="-1"/>
        </w:rPr>
        <w:t>o</w:t>
      </w:r>
      <w:r w:rsidRPr="00C56180">
        <w:rPr>
          <w:position w:val="-1"/>
        </w:rPr>
        <w:t>d</w:t>
      </w:r>
      <w:r w:rsidRPr="00C56180">
        <w:rPr>
          <w:spacing w:val="-2"/>
          <w:position w:val="-1"/>
        </w:rPr>
        <w:t xml:space="preserve"> </w:t>
      </w:r>
      <w:r w:rsidRPr="00C56180">
        <w:rPr>
          <w:spacing w:val="-1"/>
          <w:position w:val="-1"/>
        </w:rPr>
        <w:t>j</w:t>
      </w:r>
      <w:r w:rsidRPr="00C56180">
        <w:rPr>
          <w:position w:val="-1"/>
        </w:rPr>
        <w:t>e</w:t>
      </w:r>
      <w:r w:rsidRPr="00C56180">
        <w:rPr>
          <w:spacing w:val="1"/>
          <w:position w:val="-1"/>
        </w:rPr>
        <w:t>d</w:t>
      </w:r>
      <w:r w:rsidRPr="00C56180">
        <w:rPr>
          <w:spacing w:val="2"/>
          <w:position w:val="-1"/>
        </w:rPr>
        <w:t>e</w:t>
      </w:r>
      <w:r w:rsidRPr="00C56180">
        <w:rPr>
          <w:position w:val="-1"/>
        </w:rPr>
        <w:t>n</w:t>
      </w:r>
      <w:r w:rsidRPr="00C56180">
        <w:rPr>
          <w:spacing w:val="-5"/>
          <w:position w:val="-1"/>
        </w:rPr>
        <w:t xml:space="preserve"> </w:t>
      </w:r>
      <w:r w:rsidRPr="00C56180">
        <w:rPr>
          <w:position w:val="-1"/>
        </w:rPr>
        <w:t>nás</w:t>
      </w:r>
      <w:r w:rsidRPr="00C56180">
        <w:rPr>
          <w:spacing w:val="1"/>
          <w:position w:val="-1"/>
        </w:rPr>
        <w:t>t</w:t>
      </w:r>
      <w:r w:rsidRPr="00C56180">
        <w:rPr>
          <w:position w:val="-1"/>
        </w:rPr>
        <w:t>r</w:t>
      </w:r>
      <w:r w:rsidRPr="00C56180">
        <w:rPr>
          <w:spacing w:val="1"/>
          <w:position w:val="-1"/>
        </w:rPr>
        <w:t>o</w:t>
      </w:r>
      <w:r w:rsidRPr="00C56180">
        <w:rPr>
          <w:spacing w:val="2"/>
          <w:position w:val="-1"/>
        </w:rPr>
        <w:t>j</w:t>
      </w:r>
      <w:r w:rsidRPr="00C56180">
        <w:rPr>
          <w:position w:val="-1"/>
        </w:rPr>
        <w:t>,</w:t>
      </w:r>
      <w:r w:rsidRPr="00C56180">
        <w:rPr>
          <w:spacing w:val="-6"/>
          <w:position w:val="-1"/>
        </w:rPr>
        <w:t xml:space="preserve"> </w:t>
      </w:r>
      <w:r w:rsidRPr="00C56180">
        <w:rPr>
          <w:position w:val="-1"/>
        </w:rPr>
        <w:t>a</w:t>
      </w:r>
      <w:r w:rsidRPr="00C56180">
        <w:rPr>
          <w:spacing w:val="-1"/>
          <w:position w:val="-1"/>
        </w:rPr>
        <w:t xml:space="preserve"> </w:t>
      </w:r>
      <w:r w:rsidRPr="00C56180">
        <w:rPr>
          <w:spacing w:val="1"/>
          <w:position w:val="-1"/>
        </w:rPr>
        <w:t>do</w:t>
      </w:r>
      <w:r w:rsidRPr="00C56180">
        <w:rPr>
          <w:position w:val="-1"/>
        </w:rPr>
        <w:t>sá</w:t>
      </w:r>
      <w:r w:rsidRPr="00C56180">
        <w:rPr>
          <w:spacing w:val="-1"/>
          <w:position w:val="-1"/>
        </w:rPr>
        <w:t>h</w:t>
      </w:r>
      <w:r w:rsidRPr="00C56180">
        <w:rPr>
          <w:position w:val="-1"/>
        </w:rPr>
        <w:t>n</w:t>
      </w:r>
      <w:r w:rsidRPr="00C56180">
        <w:rPr>
          <w:spacing w:val="1"/>
          <w:position w:val="-1"/>
        </w:rPr>
        <w:t>ou</w:t>
      </w:r>
      <w:r w:rsidRPr="00C56180">
        <w:rPr>
          <w:position w:val="-1"/>
        </w:rPr>
        <w:t>t</w:t>
      </w:r>
      <w:r w:rsidRPr="00C56180">
        <w:rPr>
          <w:spacing w:val="-8"/>
          <w:position w:val="-1"/>
        </w:rPr>
        <w:t xml:space="preserve"> </w:t>
      </w:r>
      <w:r w:rsidRPr="00C56180">
        <w:rPr>
          <w:spacing w:val="1"/>
          <w:position w:val="-1"/>
        </w:rPr>
        <w:t>t</w:t>
      </w:r>
      <w:r w:rsidRPr="00C56180">
        <w:rPr>
          <w:position w:val="-1"/>
        </w:rPr>
        <w:t>ak</w:t>
      </w:r>
      <w:r w:rsidRPr="00C56180">
        <w:rPr>
          <w:spacing w:val="-4"/>
          <w:position w:val="-1"/>
        </w:rPr>
        <w:t xml:space="preserve"> </w:t>
      </w:r>
      <w:r w:rsidRPr="00C56180">
        <w:rPr>
          <w:spacing w:val="1"/>
          <w:position w:val="-1"/>
        </w:rPr>
        <w:t>ú</w:t>
      </w:r>
      <w:r w:rsidRPr="00C56180">
        <w:rPr>
          <w:position w:val="-1"/>
        </w:rPr>
        <w:t>s</w:t>
      </w:r>
      <w:r w:rsidRPr="00C56180">
        <w:rPr>
          <w:spacing w:val="-1"/>
          <w:position w:val="-1"/>
        </w:rPr>
        <w:t>p</w:t>
      </w:r>
      <w:r w:rsidRPr="00C56180">
        <w:rPr>
          <w:spacing w:val="3"/>
          <w:position w:val="-1"/>
        </w:rPr>
        <w:t>o</w:t>
      </w:r>
      <w:r w:rsidRPr="00C56180">
        <w:rPr>
          <w:position w:val="-1"/>
        </w:rPr>
        <w:t>r</w:t>
      </w:r>
      <w:r w:rsidRPr="00C56180">
        <w:rPr>
          <w:spacing w:val="-5"/>
          <w:position w:val="-1"/>
        </w:rPr>
        <w:t xml:space="preserve"> </w:t>
      </w:r>
      <w:r w:rsidRPr="00C56180">
        <w:rPr>
          <w:position w:val="-1"/>
        </w:rPr>
        <w:t>z</w:t>
      </w:r>
      <w:r w:rsidRPr="00C56180">
        <w:rPr>
          <w:spacing w:val="-1"/>
          <w:position w:val="-1"/>
        </w:rPr>
        <w:t xml:space="preserve"> </w:t>
      </w:r>
      <w:r w:rsidRPr="00C56180">
        <w:rPr>
          <w:position w:val="-1"/>
        </w:rPr>
        <w:t>r</w:t>
      </w:r>
      <w:r w:rsidRPr="00C56180">
        <w:rPr>
          <w:spacing w:val="1"/>
          <w:position w:val="-1"/>
        </w:rPr>
        <w:t>o</w:t>
      </w:r>
      <w:r w:rsidRPr="00C56180">
        <w:rPr>
          <w:spacing w:val="3"/>
          <w:position w:val="-1"/>
        </w:rPr>
        <w:t>z</w:t>
      </w:r>
      <w:r w:rsidRPr="00C56180">
        <w:rPr>
          <w:position w:val="-1"/>
        </w:rPr>
        <w:t>sa</w:t>
      </w:r>
      <w:r w:rsidRPr="00C56180">
        <w:rPr>
          <w:spacing w:val="-1"/>
          <w:position w:val="-1"/>
        </w:rPr>
        <w:t>h</w:t>
      </w:r>
      <w:r w:rsidRPr="00C56180">
        <w:rPr>
          <w:spacing w:val="1"/>
          <w:position w:val="-1"/>
        </w:rPr>
        <w:t>u</w:t>
      </w:r>
      <w:r w:rsidRPr="00C56180">
        <w:rPr>
          <w:position w:val="-1"/>
        </w:rPr>
        <w:t>.</w:t>
      </w:r>
    </w:p>
    <w:p w:rsidR="00AA08FF" w:rsidRDefault="00C56180" w:rsidP="0049720A">
      <w:pPr>
        <w:pStyle w:val="Odskoknadpis4"/>
      </w:pPr>
      <w:r w:rsidRPr="004F6D16">
        <w:rPr>
          <w:spacing w:val="1"/>
        </w:rPr>
        <w:t>St</w:t>
      </w:r>
      <w:r w:rsidRPr="004F6D16">
        <w:t>e</w:t>
      </w:r>
      <w:r w:rsidRPr="004F6D16">
        <w:rPr>
          <w:spacing w:val="-1"/>
        </w:rPr>
        <w:t>j</w:t>
      </w:r>
      <w:r w:rsidRPr="004F6D16">
        <w:t>ně</w:t>
      </w:r>
      <w:r w:rsidRPr="004F6D16">
        <w:rPr>
          <w:spacing w:val="-5"/>
        </w:rPr>
        <w:t xml:space="preserve"> </w:t>
      </w:r>
      <w:r w:rsidRPr="004F6D16">
        <w:rPr>
          <w:spacing w:val="-1"/>
        </w:rPr>
        <w:t>j</w:t>
      </w:r>
      <w:r w:rsidRPr="004F6D16">
        <w:rPr>
          <w:spacing w:val="3"/>
        </w:rPr>
        <w:t>a</w:t>
      </w:r>
      <w:r w:rsidRPr="004F6D16">
        <w:rPr>
          <w:spacing w:val="-1"/>
        </w:rPr>
        <w:t>k</w:t>
      </w:r>
      <w:r w:rsidRPr="004F6D16">
        <w:t>o</w:t>
      </w:r>
      <w:r w:rsidRPr="004F6D16">
        <w:rPr>
          <w:spacing w:val="-4"/>
        </w:rPr>
        <w:t xml:space="preserve"> </w:t>
      </w:r>
      <w:r w:rsidRPr="004F6D16">
        <w:t>v</w:t>
      </w:r>
      <w:r w:rsidRPr="004F6D16">
        <w:rPr>
          <w:spacing w:val="1"/>
        </w:rPr>
        <w:t xml:space="preserve"> </w:t>
      </w:r>
      <w:r w:rsidRPr="004F6D16">
        <w:rPr>
          <w:spacing w:val="-1"/>
        </w:rPr>
        <w:t>p</w:t>
      </w:r>
      <w:r w:rsidRPr="004F6D16">
        <w:t>ř</w:t>
      </w:r>
      <w:r w:rsidRPr="004F6D16">
        <w:rPr>
          <w:spacing w:val="2"/>
        </w:rPr>
        <w:t>í</w:t>
      </w:r>
      <w:r w:rsidRPr="004F6D16">
        <w:rPr>
          <w:spacing w:val="-1"/>
        </w:rPr>
        <w:t>p</w:t>
      </w:r>
      <w:r w:rsidRPr="004F6D16">
        <w:t>a</w:t>
      </w:r>
      <w:r w:rsidRPr="004F6D16">
        <w:rPr>
          <w:spacing w:val="1"/>
        </w:rPr>
        <w:t>d</w:t>
      </w:r>
      <w:r w:rsidRPr="004F6D16">
        <w:t>ě</w:t>
      </w:r>
      <w:r w:rsidRPr="004F6D16">
        <w:rPr>
          <w:spacing w:val="-7"/>
        </w:rPr>
        <w:t xml:space="preserve"> </w:t>
      </w:r>
      <w:r w:rsidRPr="004F6D16">
        <w:rPr>
          <w:spacing w:val="1"/>
        </w:rPr>
        <w:t>o</w:t>
      </w:r>
      <w:r w:rsidRPr="004F6D16">
        <w:t>s</w:t>
      </w:r>
      <w:r w:rsidRPr="004F6D16">
        <w:rPr>
          <w:spacing w:val="1"/>
        </w:rPr>
        <w:t>t</w:t>
      </w:r>
      <w:r w:rsidRPr="004F6D16">
        <w:t>a</w:t>
      </w:r>
      <w:r w:rsidRPr="004F6D16">
        <w:rPr>
          <w:spacing w:val="1"/>
        </w:rPr>
        <w:t>t</w:t>
      </w:r>
      <w:r w:rsidRPr="004F6D16">
        <w:rPr>
          <w:spacing w:val="2"/>
        </w:rPr>
        <w:t>n</w:t>
      </w:r>
      <w:r w:rsidRPr="004F6D16">
        <w:rPr>
          <w:spacing w:val="-1"/>
        </w:rPr>
        <w:t>í</w:t>
      </w:r>
      <w:r w:rsidRPr="004F6D16">
        <w:rPr>
          <w:spacing w:val="1"/>
        </w:rPr>
        <w:t>c</w:t>
      </w:r>
      <w:r w:rsidRPr="004F6D16">
        <w:t>h</w:t>
      </w:r>
      <w:r w:rsidRPr="004F6D16">
        <w:rPr>
          <w:spacing w:val="-9"/>
        </w:rPr>
        <w:t xml:space="preserve"> </w:t>
      </w:r>
      <w:r w:rsidRPr="004F6D16">
        <w:rPr>
          <w:spacing w:val="1"/>
        </w:rPr>
        <w:t>ú</w:t>
      </w:r>
      <w:r w:rsidRPr="004F6D16">
        <w:t>r</w:t>
      </w:r>
      <w:r w:rsidRPr="004F6D16">
        <w:rPr>
          <w:spacing w:val="1"/>
        </w:rPr>
        <w:t>o</w:t>
      </w:r>
      <w:r w:rsidRPr="004F6D16">
        <w:rPr>
          <w:spacing w:val="-1"/>
        </w:rPr>
        <w:t>v</w:t>
      </w:r>
      <w:r w:rsidRPr="004F6D16">
        <w:rPr>
          <w:spacing w:val="2"/>
        </w:rPr>
        <w:t>n</w:t>
      </w:r>
      <w:r w:rsidRPr="004F6D16">
        <w:t>í</w:t>
      </w:r>
      <w:r w:rsidRPr="004F6D16">
        <w:rPr>
          <w:spacing w:val="-7"/>
        </w:rPr>
        <w:t xml:space="preserve"> </w:t>
      </w:r>
      <w:r w:rsidRPr="004F6D16">
        <w:rPr>
          <w:spacing w:val="2"/>
        </w:rPr>
        <w:t>i</w:t>
      </w:r>
      <w:r w:rsidRPr="004F6D16">
        <w:t>m</w:t>
      </w:r>
      <w:r w:rsidRPr="004F6D16">
        <w:rPr>
          <w:spacing w:val="-1"/>
        </w:rPr>
        <w:t>p</w:t>
      </w:r>
      <w:r w:rsidRPr="004F6D16">
        <w:rPr>
          <w:spacing w:val="3"/>
        </w:rPr>
        <w:t>l</w:t>
      </w:r>
      <w:r w:rsidRPr="004F6D16">
        <w:t>em</w:t>
      </w:r>
      <w:r w:rsidRPr="004F6D16">
        <w:rPr>
          <w:spacing w:val="2"/>
        </w:rPr>
        <w:t>e</w:t>
      </w:r>
      <w:r w:rsidRPr="004F6D16">
        <w:t>n</w:t>
      </w:r>
      <w:r w:rsidRPr="004F6D16">
        <w:rPr>
          <w:spacing w:val="1"/>
        </w:rPr>
        <w:t>t</w:t>
      </w:r>
      <w:r w:rsidRPr="004F6D16">
        <w:t>a</w:t>
      </w:r>
      <w:r w:rsidRPr="004F6D16">
        <w:rPr>
          <w:spacing w:val="1"/>
        </w:rPr>
        <w:t>c</w:t>
      </w:r>
      <w:r w:rsidRPr="004F6D16">
        <w:t>e</w:t>
      </w:r>
      <w:r w:rsidRPr="004F6D16">
        <w:rPr>
          <w:spacing w:val="-13"/>
        </w:rPr>
        <w:t xml:space="preserve"> </w:t>
      </w:r>
      <w:r w:rsidR="00420428">
        <w:t>IFN</w:t>
      </w:r>
      <w:r w:rsidRPr="004F6D16">
        <w:rPr>
          <w:spacing w:val="-7"/>
        </w:rPr>
        <w:t xml:space="preserve"> </w:t>
      </w:r>
      <w:r w:rsidRPr="004F6D16">
        <w:rPr>
          <w:spacing w:val="1"/>
        </w:rPr>
        <w:t>z</w:t>
      </w:r>
      <w:r w:rsidRPr="004F6D16">
        <w:t>ů</w:t>
      </w:r>
      <w:r w:rsidRPr="004F6D16">
        <w:rPr>
          <w:spacing w:val="1"/>
        </w:rPr>
        <w:t>s</w:t>
      </w:r>
      <w:r w:rsidRPr="004F6D16">
        <w:rPr>
          <w:spacing w:val="3"/>
        </w:rPr>
        <w:t>t</w:t>
      </w:r>
      <w:r w:rsidRPr="004F6D16">
        <w:rPr>
          <w:spacing w:val="-1"/>
        </w:rPr>
        <w:t>á</w:t>
      </w:r>
      <w:r w:rsidRPr="004F6D16">
        <w:t>vá</w:t>
      </w:r>
      <w:r w:rsidRPr="004F6D16">
        <w:rPr>
          <w:spacing w:val="-7"/>
        </w:rPr>
        <w:t xml:space="preserve"> </w:t>
      </w:r>
      <w:r w:rsidRPr="004F6D16">
        <w:t>ř</w:t>
      </w:r>
      <w:r w:rsidRPr="004F6D16">
        <w:rPr>
          <w:spacing w:val="-1"/>
        </w:rPr>
        <w:t>í</w:t>
      </w:r>
      <w:r w:rsidRPr="004F6D16">
        <w:rPr>
          <w:spacing w:val="2"/>
        </w:rPr>
        <w:t>d</w:t>
      </w:r>
      <w:r w:rsidRPr="004F6D16">
        <w:rPr>
          <w:spacing w:val="-1"/>
        </w:rPr>
        <w:t>í</w:t>
      </w:r>
      <w:r w:rsidRPr="004F6D16">
        <w:t>c</w:t>
      </w:r>
      <w:r w:rsidRPr="004F6D16">
        <w:rPr>
          <w:spacing w:val="1"/>
        </w:rPr>
        <w:t>í</w:t>
      </w:r>
      <w:r w:rsidRPr="004F6D16">
        <w:t>m</w:t>
      </w:r>
      <w:r w:rsidRPr="004F6D16">
        <w:rPr>
          <w:spacing w:val="-9"/>
        </w:rPr>
        <w:t xml:space="preserve"> </w:t>
      </w:r>
      <w:r w:rsidRPr="004F6D16">
        <w:rPr>
          <w:spacing w:val="3"/>
        </w:rPr>
        <w:t>o</w:t>
      </w:r>
      <w:r w:rsidRPr="004F6D16">
        <w:t>rg</w:t>
      </w:r>
      <w:r w:rsidRPr="004F6D16">
        <w:rPr>
          <w:spacing w:val="1"/>
        </w:rPr>
        <w:t>á</w:t>
      </w:r>
      <w:r w:rsidRPr="004F6D16">
        <w:rPr>
          <w:spacing w:val="-1"/>
        </w:rPr>
        <w:t>n</w:t>
      </w:r>
      <w:r w:rsidRPr="004F6D16">
        <w:rPr>
          <w:spacing w:val="2"/>
        </w:rPr>
        <w:t>ů</w:t>
      </w:r>
      <w:r w:rsidRPr="004F6D16">
        <w:t xml:space="preserve">m </w:t>
      </w:r>
      <w:r w:rsidRPr="004F6D16">
        <w:rPr>
          <w:spacing w:val="1"/>
        </w:rPr>
        <w:t>po</w:t>
      </w:r>
      <w:r w:rsidRPr="004F6D16">
        <w:t>v</w:t>
      </w:r>
      <w:r w:rsidRPr="004F6D16">
        <w:rPr>
          <w:spacing w:val="-1"/>
        </w:rPr>
        <w:t>i</w:t>
      </w:r>
      <w:r w:rsidRPr="004F6D16">
        <w:rPr>
          <w:spacing w:val="2"/>
        </w:rPr>
        <w:t>n</w:t>
      </w:r>
      <w:r w:rsidRPr="004F6D16">
        <w:rPr>
          <w:spacing w:val="-1"/>
        </w:rPr>
        <w:t>n</w:t>
      </w:r>
      <w:r w:rsidRPr="004F6D16">
        <w:rPr>
          <w:spacing w:val="1"/>
        </w:rPr>
        <w:t>os</w:t>
      </w:r>
      <w:r w:rsidRPr="004F6D16">
        <w:t>t</w:t>
      </w:r>
      <w:r w:rsidRPr="004F6D16">
        <w:rPr>
          <w:spacing w:val="-10"/>
        </w:rPr>
        <w:t xml:space="preserve"> </w:t>
      </w:r>
      <w:r w:rsidRPr="004F6D16">
        <w:rPr>
          <w:spacing w:val="1"/>
        </w:rPr>
        <w:t>o</w:t>
      </w:r>
      <w:r w:rsidRPr="004F6D16">
        <w:rPr>
          <w:spacing w:val="-1"/>
        </w:rPr>
        <w:t>v</w:t>
      </w:r>
      <w:r w:rsidRPr="004F6D16">
        <w:t>ě</w:t>
      </w:r>
      <w:r w:rsidRPr="004F6D16">
        <w:rPr>
          <w:spacing w:val="2"/>
        </w:rPr>
        <w:t>ř</w:t>
      </w:r>
      <w:r w:rsidRPr="004F6D16">
        <w:rPr>
          <w:spacing w:val="-1"/>
        </w:rPr>
        <w:t>i</w:t>
      </w:r>
      <w:r w:rsidRPr="004F6D16">
        <w:t>t</w:t>
      </w:r>
      <w:r w:rsidRPr="004F6D16">
        <w:rPr>
          <w:spacing w:val="-4"/>
        </w:rPr>
        <w:t xml:space="preserve"> </w:t>
      </w:r>
      <w:r w:rsidRPr="004F6D16">
        <w:rPr>
          <w:spacing w:val="1"/>
        </w:rPr>
        <w:t>tut</w:t>
      </w:r>
      <w:r w:rsidRPr="004F6D16">
        <w:t>o</w:t>
      </w:r>
      <w:r w:rsidRPr="004F6D16">
        <w:rPr>
          <w:spacing w:val="-4"/>
        </w:rPr>
        <w:t xml:space="preserve"> </w:t>
      </w:r>
      <w:r w:rsidRPr="004F6D16">
        <w:rPr>
          <w:spacing w:val="-1"/>
        </w:rPr>
        <w:t>v</w:t>
      </w:r>
      <w:r w:rsidRPr="004F6D16">
        <w:t>ar</w:t>
      </w:r>
      <w:r w:rsidRPr="004F6D16">
        <w:rPr>
          <w:spacing w:val="2"/>
        </w:rPr>
        <w:t>i</w:t>
      </w:r>
      <w:r w:rsidRPr="004F6D16">
        <w:t>an</w:t>
      </w:r>
      <w:r w:rsidRPr="004F6D16">
        <w:rPr>
          <w:spacing w:val="1"/>
        </w:rPr>
        <w:t>t</w:t>
      </w:r>
      <w:r w:rsidRPr="004F6D16">
        <w:t>u</w:t>
      </w:r>
      <w:r w:rsidRPr="004F6D16">
        <w:rPr>
          <w:spacing w:val="-7"/>
        </w:rPr>
        <w:t xml:space="preserve"> </w:t>
      </w:r>
      <w:r w:rsidRPr="004F6D16">
        <w:rPr>
          <w:spacing w:val="-1"/>
        </w:rPr>
        <w:t>i</w:t>
      </w:r>
      <w:r w:rsidRPr="004F6D16">
        <w:t>m</w:t>
      </w:r>
      <w:r w:rsidRPr="004F6D16">
        <w:rPr>
          <w:spacing w:val="-1"/>
        </w:rPr>
        <w:t>p</w:t>
      </w:r>
      <w:r w:rsidRPr="004F6D16">
        <w:rPr>
          <w:spacing w:val="3"/>
        </w:rPr>
        <w:t>l</w:t>
      </w:r>
      <w:r w:rsidRPr="004F6D16">
        <w:t>em</w:t>
      </w:r>
      <w:r w:rsidRPr="004F6D16">
        <w:rPr>
          <w:spacing w:val="2"/>
        </w:rPr>
        <w:t>e</w:t>
      </w:r>
      <w:r w:rsidRPr="004F6D16">
        <w:t>n</w:t>
      </w:r>
      <w:r w:rsidRPr="004F6D16">
        <w:rPr>
          <w:spacing w:val="1"/>
        </w:rPr>
        <w:t>t</w:t>
      </w:r>
      <w:r w:rsidRPr="004F6D16">
        <w:t>a</w:t>
      </w:r>
      <w:r w:rsidRPr="004F6D16">
        <w:rPr>
          <w:spacing w:val="1"/>
        </w:rPr>
        <w:t>c</w:t>
      </w:r>
      <w:r w:rsidRPr="004F6D16">
        <w:t>e</w:t>
      </w:r>
      <w:r w:rsidRPr="004F6D16">
        <w:rPr>
          <w:spacing w:val="-13"/>
        </w:rPr>
        <w:t xml:space="preserve"> </w:t>
      </w:r>
      <w:r w:rsidRPr="004F6D16">
        <w:rPr>
          <w:spacing w:val="-1"/>
        </w:rPr>
        <w:t>p</w:t>
      </w:r>
      <w:r w:rsidRPr="004F6D16">
        <w:t>r</w:t>
      </w:r>
      <w:r w:rsidRPr="004F6D16">
        <w:rPr>
          <w:spacing w:val="1"/>
        </w:rPr>
        <w:t>o</w:t>
      </w:r>
      <w:r w:rsidRPr="004F6D16">
        <w:t>s</w:t>
      </w:r>
      <w:r w:rsidRPr="004F6D16">
        <w:rPr>
          <w:spacing w:val="1"/>
        </w:rPr>
        <w:t>t</w:t>
      </w:r>
      <w:r w:rsidRPr="004F6D16">
        <w:t>ř</w:t>
      </w:r>
      <w:r w:rsidRPr="004F6D16">
        <w:rPr>
          <w:spacing w:val="2"/>
        </w:rPr>
        <w:t>e</w:t>
      </w:r>
      <w:r w:rsidRPr="004F6D16">
        <w:rPr>
          <w:spacing w:val="1"/>
        </w:rPr>
        <w:t>d</w:t>
      </w:r>
      <w:r w:rsidRPr="004F6D16">
        <w:t>n</w:t>
      </w:r>
      <w:r w:rsidRPr="004F6D16">
        <w:rPr>
          <w:spacing w:val="-1"/>
        </w:rPr>
        <w:t>i</w:t>
      </w:r>
      <w:r w:rsidRPr="004F6D16">
        <w:rPr>
          <w:spacing w:val="1"/>
        </w:rPr>
        <w:t>ct</w:t>
      </w:r>
      <w:r w:rsidRPr="004F6D16">
        <w:rPr>
          <w:spacing w:val="-1"/>
        </w:rPr>
        <w:t>ví</w:t>
      </w:r>
      <w:r w:rsidRPr="004F6D16">
        <w:t>m</w:t>
      </w:r>
      <w:r w:rsidRPr="004F6D16">
        <w:rPr>
          <w:spacing w:val="-14"/>
        </w:rPr>
        <w:t xml:space="preserve"> </w:t>
      </w:r>
      <w:r w:rsidRPr="004F6D16">
        <w:rPr>
          <w:spacing w:val="3"/>
        </w:rPr>
        <w:t>p</w:t>
      </w:r>
      <w:r w:rsidRPr="004F6D16">
        <w:t>ř</w:t>
      </w:r>
      <w:r w:rsidRPr="004F6D16">
        <w:rPr>
          <w:spacing w:val="1"/>
        </w:rPr>
        <w:t>e</w:t>
      </w:r>
      <w:r w:rsidRPr="004F6D16">
        <w:t>d</w:t>
      </w:r>
      <w:r w:rsidRPr="004F6D16">
        <w:rPr>
          <w:spacing w:val="1"/>
        </w:rPr>
        <w:t>b</w:t>
      </w:r>
      <w:r w:rsidRPr="004F6D16">
        <w:rPr>
          <w:spacing w:val="-1"/>
        </w:rPr>
        <w:t>ě</w:t>
      </w:r>
      <w:r w:rsidRPr="004F6D16">
        <w:rPr>
          <w:spacing w:val="1"/>
        </w:rPr>
        <w:t>ž</w:t>
      </w:r>
      <w:r w:rsidRPr="004F6D16">
        <w:rPr>
          <w:spacing w:val="2"/>
        </w:rPr>
        <w:t>n</w:t>
      </w:r>
      <w:r w:rsidRPr="004F6D16">
        <w:rPr>
          <w:spacing w:val="1"/>
        </w:rPr>
        <w:t>é</w:t>
      </w:r>
      <w:r w:rsidRPr="004F6D16">
        <w:rPr>
          <w:spacing w:val="-1"/>
        </w:rPr>
        <w:t>h</w:t>
      </w:r>
      <w:r w:rsidRPr="004F6D16">
        <w:t>o</w:t>
      </w:r>
      <w:r w:rsidRPr="004F6D16">
        <w:rPr>
          <w:spacing w:val="-13"/>
        </w:rPr>
        <w:t xml:space="preserve"> </w:t>
      </w:r>
      <w:r w:rsidRPr="004F6D16">
        <w:rPr>
          <w:spacing w:val="1"/>
        </w:rPr>
        <w:t>poso</w:t>
      </w:r>
      <w:r w:rsidRPr="004F6D16">
        <w:t>u</w:t>
      </w:r>
      <w:r w:rsidRPr="004F6D16">
        <w:rPr>
          <w:spacing w:val="1"/>
        </w:rPr>
        <w:t>z</w:t>
      </w:r>
      <w:r w:rsidRPr="004F6D16">
        <w:rPr>
          <w:spacing w:val="-1"/>
        </w:rPr>
        <w:t>en</w:t>
      </w:r>
      <w:r w:rsidRPr="004F6D16">
        <w:rPr>
          <w:spacing w:val="1"/>
        </w:rPr>
        <w:t>í</w:t>
      </w:r>
      <w:r w:rsidR="00AA08FF">
        <w:t>.</w:t>
      </w:r>
    </w:p>
    <w:p w:rsidR="005928D0" w:rsidRDefault="005928D0" w:rsidP="00171265">
      <w:pPr>
        <w:pStyle w:val="Nadpis4"/>
      </w:pPr>
      <w:r>
        <w:t xml:space="preserve">Inovativní finanční nástroje v rámci </w:t>
      </w:r>
      <w:r w:rsidR="00EA2C3F">
        <w:t>ESIF</w:t>
      </w:r>
      <w:r w:rsidR="00521923">
        <w:rPr>
          <w:rStyle w:val="Znakapoznpodarou"/>
        </w:rPr>
        <w:footnoteReference w:id="84"/>
      </w:r>
    </w:p>
    <w:p w:rsidR="005928D0" w:rsidRDefault="005928D0" w:rsidP="0049720A">
      <w:pPr>
        <w:pStyle w:val="Odskoknadpis4"/>
      </w:pPr>
      <w:r>
        <w:t xml:space="preserve">V </w:t>
      </w:r>
      <w:r w:rsidR="00787752">
        <w:t>programové</w:t>
      </w:r>
      <w:r>
        <w:t>m období 2007</w:t>
      </w:r>
      <w:r w:rsidR="00AC7569">
        <w:t xml:space="preserve"> </w:t>
      </w:r>
      <w:r>
        <w:t>-</w:t>
      </w:r>
      <w:r w:rsidR="00AC7569">
        <w:t xml:space="preserve"> </w:t>
      </w:r>
      <w:r>
        <w:t xml:space="preserve">2013 proto EK připravila řadu iniciativ pro zjednodušení těchto procesů a vytvořila </w:t>
      </w:r>
      <w:r w:rsidR="00021F68">
        <w:t xml:space="preserve">programy </w:t>
      </w:r>
      <w:r>
        <w:t xml:space="preserve">JEREMIE, JESSICA, JASPERS </w:t>
      </w:r>
      <w:r w:rsidR="00021F68">
        <w:t>a</w:t>
      </w:r>
      <w:r>
        <w:t xml:space="preserve"> JASMINE. Nicméně legislativní rámec finančních instrumentů v tomto období nebyl příliš podrobný a proto EK doplnila řadu dalších nařízení zjednodušujících nasazení </w:t>
      </w:r>
      <w:r w:rsidR="00420428">
        <w:t>IFN</w:t>
      </w:r>
      <w:r>
        <w:t xml:space="preserve">. V příštím </w:t>
      </w:r>
      <w:r w:rsidR="00787752">
        <w:t>programové</w:t>
      </w:r>
      <w:r>
        <w:t>m o</w:t>
      </w:r>
      <w:r w:rsidR="00021F68">
        <w:t>bdobí budou existovat tzv. „off-the-</w:t>
      </w:r>
      <w:r>
        <w:t>shelf“ nástroje</w:t>
      </w:r>
      <w:r w:rsidR="00834E4C">
        <w:t xml:space="preserve"> (standardní)</w:t>
      </w:r>
      <w:r>
        <w:t>, tedy nástroje připravené ve struktuře k okamžitému použití anebo nástroje, které budou vytvářeny řídícími orgány tak, aby byly ušity na míru potřebám konkrétních oblastí a opatření</w:t>
      </w:r>
      <w:r w:rsidR="00021F68">
        <w:t xml:space="preserve"> („tai</w:t>
      </w:r>
      <w:r w:rsidR="00834E4C">
        <w:t>lor made“)</w:t>
      </w:r>
      <w:r>
        <w:t>.</w:t>
      </w:r>
    </w:p>
    <w:p w:rsidR="00C56180" w:rsidRPr="0049720A" w:rsidRDefault="0089495C" w:rsidP="0049720A">
      <w:pPr>
        <w:pStyle w:val="Odskoknadpis4"/>
        <w:rPr>
          <w:b/>
          <w:u w:val="single"/>
        </w:rPr>
      </w:pPr>
      <w:r w:rsidRPr="0049720A">
        <w:rPr>
          <w:b/>
          <w:u w:val="single"/>
        </w:rPr>
        <w:t>Off-</w:t>
      </w:r>
      <w:r w:rsidR="00C56180" w:rsidRPr="0049720A">
        <w:rPr>
          <w:b/>
          <w:u w:val="single"/>
        </w:rPr>
        <w:t>the</w:t>
      </w:r>
      <w:r w:rsidRPr="0049720A">
        <w:rPr>
          <w:b/>
          <w:u w:val="single"/>
        </w:rPr>
        <w:t>-</w:t>
      </w:r>
      <w:r w:rsidR="00C56180" w:rsidRPr="0049720A">
        <w:rPr>
          <w:b/>
          <w:u w:val="single"/>
        </w:rPr>
        <w:t>shelf nástroje</w:t>
      </w:r>
      <w:r w:rsidR="00E227B1" w:rsidRPr="0049720A">
        <w:rPr>
          <w:rStyle w:val="Znakapoznpodarou"/>
          <w:b/>
          <w:u w:val="single"/>
        </w:rPr>
        <w:footnoteReference w:id="85"/>
      </w:r>
      <w:r w:rsidR="005321DF">
        <w:rPr>
          <w:b/>
          <w:u w:val="single"/>
        </w:rPr>
        <w:t>,</w:t>
      </w:r>
      <w:r w:rsidR="005321DF">
        <w:rPr>
          <w:rStyle w:val="Znakapoznpodarou"/>
          <w:b/>
          <w:u w:val="single"/>
        </w:rPr>
        <w:footnoteReference w:id="86"/>
      </w:r>
    </w:p>
    <w:p w:rsidR="00BD7734" w:rsidRPr="00BD7734" w:rsidRDefault="00BD7734" w:rsidP="0049720A">
      <w:pPr>
        <w:pStyle w:val="Odskoknadpis4"/>
      </w:pPr>
      <w:r w:rsidRPr="00BD7734">
        <w:t>Evropská komise připravila pro ob</w:t>
      </w:r>
      <w:r w:rsidR="0089495C">
        <w:t>dobí 2014 – 2020 nově tzv. „off-the-</w:t>
      </w:r>
      <w:r w:rsidRPr="00BD7734">
        <w:t xml:space="preserve">shelf“ </w:t>
      </w:r>
      <w:r w:rsidR="00A56B56">
        <w:t>IFN</w:t>
      </w:r>
      <w:r w:rsidRPr="00BD7734">
        <w:t xml:space="preserve"> s</w:t>
      </w:r>
      <w:r w:rsidR="0081599D">
        <w:t> </w:t>
      </w:r>
      <w:r w:rsidRPr="00BD7734">
        <w:t>cílem</w:t>
      </w:r>
      <w:r w:rsidR="0081599D">
        <w:t xml:space="preserve"> </w:t>
      </w:r>
      <w:r w:rsidRPr="00BD7734">
        <w:t xml:space="preserve">zjednodušit řídícím orgánům přípravu </w:t>
      </w:r>
      <w:r w:rsidR="00420428">
        <w:t>IFN</w:t>
      </w:r>
      <w:r w:rsidRPr="00BD7734">
        <w:t xml:space="preserve"> a zároveň usnadnit řízení využívání několika</w:t>
      </w:r>
      <w:r>
        <w:t xml:space="preserve"> </w:t>
      </w:r>
      <w:r w:rsidRPr="00BD7734">
        <w:t>nejpoužívanějších finančních produktů v rámci ESIF v těch oblastech, ve kterých lze předpokládat, že tato</w:t>
      </w:r>
      <w:r>
        <w:t xml:space="preserve"> </w:t>
      </w:r>
      <w:r w:rsidRPr="00BD7734">
        <w:t xml:space="preserve">forma podpory může hrát důležitou roli. </w:t>
      </w:r>
      <w:r>
        <w:t>Of</w:t>
      </w:r>
      <w:r w:rsidRPr="00BD7734">
        <w:t>f</w:t>
      </w:r>
      <w:r>
        <w:t>-th</w:t>
      </w:r>
      <w:r w:rsidRPr="00BD7734">
        <w:t>e</w:t>
      </w:r>
      <w:r>
        <w:t>-she</w:t>
      </w:r>
      <w:r w:rsidRPr="00BD7734">
        <w:t>l</w:t>
      </w:r>
      <w:r>
        <w:t>f</w:t>
      </w:r>
      <w:r w:rsidRPr="00BD7734">
        <w:t xml:space="preserve"> </w:t>
      </w:r>
      <w:r>
        <w:t>nástroje</w:t>
      </w:r>
      <w:r w:rsidRPr="00BD7734">
        <w:t xml:space="preserve"> </w:t>
      </w:r>
      <w:r>
        <w:t>pok</w:t>
      </w:r>
      <w:r w:rsidRPr="00BD7734">
        <w:t>r</w:t>
      </w:r>
      <w:r>
        <w:t>ý</w:t>
      </w:r>
      <w:r w:rsidRPr="00BD7734">
        <w:t>v</w:t>
      </w:r>
      <w:r>
        <w:t>ají</w:t>
      </w:r>
      <w:r w:rsidRPr="00BD7734">
        <w:t xml:space="preserve"> </w:t>
      </w:r>
      <w:r>
        <w:t>jak</w:t>
      </w:r>
      <w:r w:rsidRPr="00BD7734">
        <w:t xml:space="preserve"> </w:t>
      </w:r>
      <w:r>
        <w:t>kap</w:t>
      </w:r>
      <w:r w:rsidRPr="00BD7734">
        <w:t>i</w:t>
      </w:r>
      <w:r>
        <w:t>tál</w:t>
      </w:r>
      <w:r w:rsidRPr="00BD7734">
        <w:t>ov</w:t>
      </w:r>
      <w:r>
        <w:t>é,</w:t>
      </w:r>
      <w:r w:rsidRPr="00BD7734">
        <w:t xml:space="preserve"> </w:t>
      </w:r>
      <w:r>
        <w:t>tak</w:t>
      </w:r>
      <w:r w:rsidRPr="00BD7734">
        <w:t xml:space="preserve"> </w:t>
      </w:r>
      <w:r>
        <w:t>d</w:t>
      </w:r>
      <w:r w:rsidRPr="00BD7734">
        <w:t>l</w:t>
      </w:r>
      <w:r>
        <w:t>uh</w:t>
      </w:r>
      <w:r w:rsidRPr="00BD7734">
        <w:t>ov</w:t>
      </w:r>
      <w:r>
        <w:t>é</w:t>
      </w:r>
      <w:r w:rsidRPr="00BD7734">
        <w:t xml:space="preserve"> </w:t>
      </w:r>
      <w:r>
        <w:t>a</w:t>
      </w:r>
      <w:r w:rsidRPr="00BD7734">
        <w:t xml:space="preserve"> </w:t>
      </w:r>
      <w:r>
        <w:t>ga</w:t>
      </w:r>
      <w:r w:rsidRPr="00BD7734">
        <w:t>r</w:t>
      </w:r>
      <w:r>
        <w:t>an</w:t>
      </w:r>
      <w:r w:rsidRPr="00BD7734">
        <w:t>č</w:t>
      </w:r>
      <w:r>
        <w:t>ní</w:t>
      </w:r>
      <w:r w:rsidRPr="00BD7734">
        <w:t xml:space="preserve"> </w:t>
      </w:r>
      <w:r>
        <w:t>nástro</w:t>
      </w:r>
      <w:r w:rsidRPr="00BD7734">
        <w:t>je</w:t>
      </w:r>
      <w:r>
        <w:t>.</w:t>
      </w:r>
    </w:p>
    <w:p w:rsidR="00BD7734" w:rsidRPr="00BD7734" w:rsidRDefault="000C0B4C" w:rsidP="0049720A">
      <w:pPr>
        <w:pStyle w:val="Odskoknadpis4"/>
      </w:pPr>
      <w:r>
        <w:t>V tuto chvíli jsou definovány první tři z</w:t>
      </w:r>
      <w:r w:rsidR="00BD7734" w:rsidRPr="00BD7734">
        <w:t xml:space="preserve"> následujících pět</w:t>
      </w:r>
      <w:r>
        <w:t>i</w:t>
      </w:r>
      <w:r w:rsidR="00BD7734" w:rsidRPr="00BD7734">
        <w:t xml:space="preserve"> „off</w:t>
      </w:r>
      <w:r w:rsidR="00BD7734" w:rsidRPr="00BD7734">
        <w:rPr>
          <w:spacing w:val="15"/>
        </w:rPr>
        <w:t xml:space="preserve"> </w:t>
      </w:r>
      <w:r w:rsidR="00BD7734" w:rsidRPr="00BD7734">
        <w:t xml:space="preserve">the shelf“ </w:t>
      </w:r>
      <w:r w:rsidR="00420428">
        <w:t>IFN</w:t>
      </w:r>
      <w:r w:rsidR="00BD7734" w:rsidRPr="00BD7734">
        <w:t>:</w:t>
      </w:r>
    </w:p>
    <w:p w:rsidR="00BD7734" w:rsidRPr="00BD7734" w:rsidRDefault="00BD7734" w:rsidP="003942C6">
      <w:pPr>
        <w:pStyle w:val="Odskoknadpis4"/>
        <w:numPr>
          <w:ilvl w:val="0"/>
          <w:numId w:val="14"/>
        </w:numPr>
        <w:ind w:left="1418"/>
      </w:pPr>
      <w:r w:rsidRPr="00BD7734">
        <w:t xml:space="preserve">Úvěry pro malé a střední podniky na bázi sdíleného rizika úvěrového portfolia (Portfolio </w:t>
      </w:r>
      <w:r w:rsidR="007F6D55">
        <w:t>R</w:t>
      </w:r>
      <w:r w:rsidRPr="00BD7734">
        <w:t xml:space="preserve">isk </w:t>
      </w:r>
      <w:r w:rsidR="007F6D55">
        <w:t>S</w:t>
      </w:r>
      <w:r w:rsidR="00E25C1F">
        <w:t>h</w:t>
      </w:r>
      <w:r w:rsidR="00B7645D">
        <w:t xml:space="preserve">aring </w:t>
      </w:r>
      <w:r w:rsidR="007F6D55">
        <w:t>M</w:t>
      </w:r>
      <w:r w:rsidRPr="00BD7734">
        <w:t>odel);</w:t>
      </w:r>
    </w:p>
    <w:p w:rsidR="00BD7734" w:rsidRPr="00BD7734" w:rsidRDefault="00BD7734" w:rsidP="003942C6">
      <w:pPr>
        <w:pStyle w:val="Odskoknadpis4"/>
        <w:numPr>
          <w:ilvl w:val="0"/>
          <w:numId w:val="14"/>
        </w:numPr>
        <w:ind w:left="1418"/>
      </w:pPr>
      <w:r w:rsidRPr="00BD7734">
        <w:t xml:space="preserve">Záruky pro malé a střední podniky (Capped </w:t>
      </w:r>
      <w:r w:rsidR="007F6D55">
        <w:t>P</w:t>
      </w:r>
      <w:r w:rsidRPr="00BD7734">
        <w:t>ortfolio Guarantee);</w:t>
      </w:r>
    </w:p>
    <w:p w:rsidR="00BD7734" w:rsidRPr="00BD7734" w:rsidRDefault="00BD7734" w:rsidP="003942C6">
      <w:pPr>
        <w:pStyle w:val="Odskoknadpis4"/>
        <w:numPr>
          <w:ilvl w:val="0"/>
          <w:numId w:val="14"/>
        </w:numPr>
        <w:ind w:left="1418"/>
      </w:pPr>
      <w:r w:rsidRPr="00BD7734">
        <w:t>Úvěry v oblasti energetické účinnosti a obnovitelných zdrojů v obytných budovách (Renovation Loan);</w:t>
      </w:r>
    </w:p>
    <w:p w:rsidR="00BD7734" w:rsidRPr="00BD7734" w:rsidRDefault="00BD7734" w:rsidP="003942C6">
      <w:pPr>
        <w:pStyle w:val="Odskoknadpis4"/>
        <w:numPr>
          <w:ilvl w:val="0"/>
          <w:numId w:val="14"/>
        </w:numPr>
        <w:ind w:left="1418"/>
      </w:pPr>
      <w:r w:rsidRPr="00BD7734">
        <w:t xml:space="preserve">Investiční fond pro poskytování kapitálu formou equity pro malé a střední podniky </w:t>
      </w:r>
      <w:r w:rsidR="00851EB1" w:rsidRPr="00BD7734">
        <w:t>a</w:t>
      </w:r>
      <w:r w:rsidR="00851EB1">
        <w:t> </w:t>
      </w:r>
      <w:r w:rsidRPr="00BD7734">
        <w:t>start</w:t>
      </w:r>
      <w:r w:rsidR="007F6D55">
        <w:t>-</w:t>
      </w:r>
      <w:r w:rsidRPr="00BD7734">
        <w:t>upy (Co-Investment Facility);</w:t>
      </w:r>
    </w:p>
    <w:p w:rsidR="00BD7734" w:rsidRPr="00BD7734" w:rsidRDefault="00BD7734" w:rsidP="003942C6">
      <w:pPr>
        <w:pStyle w:val="Odskoknadpis4"/>
        <w:numPr>
          <w:ilvl w:val="0"/>
          <w:numId w:val="14"/>
        </w:numPr>
        <w:ind w:left="1418"/>
      </w:pPr>
      <w:r w:rsidRPr="00BD7734">
        <w:t>Úvěry v oblasti udržitelného rozvoje měst (Urban Development Fund).</w:t>
      </w:r>
    </w:p>
    <w:p w:rsidR="00AA08FF" w:rsidRDefault="00BD7734" w:rsidP="0049720A">
      <w:pPr>
        <w:pStyle w:val="Odskoknadpis4"/>
        <w:rPr>
          <w:spacing w:val="15"/>
        </w:rPr>
      </w:pPr>
      <w:r w:rsidRPr="00BD7734">
        <w:t>První tři z těchto pěti nástrojů již byly představeny v polovině roku 2014, včetně stanovení podmínek určujících</w:t>
      </w:r>
      <w:r w:rsidR="004E2E8C">
        <w:t xml:space="preserve"> </w:t>
      </w:r>
      <w:r w:rsidRPr="004E2E8C">
        <w:t>způsob implementace</w:t>
      </w:r>
      <w:r w:rsidR="004E2E8C">
        <w:rPr>
          <w:rStyle w:val="Znakapoznpodarou"/>
        </w:rPr>
        <w:footnoteReference w:id="87"/>
      </w:r>
      <w:r w:rsidRPr="004E2E8C">
        <w:t xml:space="preserve">, zatímco </w:t>
      </w:r>
      <w:r w:rsidR="000C0B4C">
        <w:t>osud zbývající dvou</w:t>
      </w:r>
      <w:r w:rsidRPr="004E2E8C">
        <w:t xml:space="preserve"> </w:t>
      </w:r>
      <w:r w:rsidR="000C0B4C">
        <w:t>není nyní jistý</w:t>
      </w:r>
      <w:r w:rsidRPr="004E2E8C">
        <w:t>. Stručný přehled</w:t>
      </w:r>
      <w:r w:rsidR="004E2E8C">
        <w:t xml:space="preserve"> </w:t>
      </w:r>
      <w:r w:rsidRPr="004E2E8C">
        <w:t>jednotlivých off</w:t>
      </w:r>
      <w:r w:rsidR="0089495C">
        <w:t>-</w:t>
      </w:r>
      <w:r w:rsidRPr="004E2E8C">
        <w:t>the</w:t>
      </w:r>
      <w:r w:rsidR="0089495C">
        <w:t>-</w:t>
      </w:r>
      <w:r w:rsidRPr="004E2E8C">
        <w:t>shelf nástrojů a vybraných podmínek určujících způsob jejich implementace je prezentován</w:t>
      </w:r>
      <w:r w:rsidR="004E2E8C">
        <w:t xml:space="preserve"> </w:t>
      </w:r>
      <w:r w:rsidRPr="00BD7734">
        <w:rPr>
          <w:spacing w:val="15"/>
        </w:rPr>
        <w:t>níže</w:t>
      </w:r>
      <w:r w:rsidR="004E2E8C">
        <w:rPr>
          <w:rStyle w:val="Znakapoznpodarou"/>
          <w:spacing w:val="15"/>
        </w:rPr>
        <w:footnoteReference w:id="88"/>
      </w:r>
      <w:r w:rsidR="00AA08FF">
        <w:rPr>
          <w:spacing w:val="15"/>
        </w:rPr>
        <w:t>.</w:t>
      </w:r>
    </w:p>
    <w:p w:rsidR="008E33EB" w:rsidRDefault="008E33EB" w:rsidP="0049720A">
      <w:pPr>
        <w:pStyle w:val="Odskoknadpis4"/>
      </w:pPr>
      <w:r>
        <w:t xml:space="preserve">Pro každý z těchto </w:t>
      </w:r>
      <w:r w:rsidR="00420428">
        <w:t>IFN</w:t>
      </w:r>
      <w:r>
        <w:t xml:space="preserve"> je definována sada podmínek určujících způsob implementace finančního nástroje, způsob poskytování podpory včetně jejích podmínek (např. výše, úrokové sazby, délka splatnosti, zajištění, náležitosti Dohody o financování apod.).</w:t>
      </w:r>
      <w:r w:rsidR="0089495C">
        <w:t xml:space="preserve"> Nicméně off-the-shelf IFN musí dále odpovídat pravidlům např. de minimis (podmínky pro malé</w:t>
      </w:r>
      <w:r w:rsidR="007F6D55">
        <w:t xml:space="preserve"> a</w:t>
      </w:r>
      <w:r w:rsidR="0089495C">
        <w:t xml:space="preserve"> střední podnikání), ŘO musí </w:t>
      </w:r>
      <w:r w:rsidR="0089495C">
        <w:lastRenderedPageBreak/>
        <w:t>sami zajistit parametry těchto IFN a audit se bude zabývat tím, zda tyto IFN jsou ze 100</w:t>
      </w:r>
      <w:r w:rsidR="00C567D3">
        <w:t xml:space="preserve"> </w:t>
      </w:r>
      <w:r w:rsidR="0089495C">
        <w:t>% implementovány jako off-the-shelf.</w:t>
      </w:r>
    </w:p>
    <w:p w:rsidR="008E33EB" w:rsidRDefault="0089495C" w:rsidP="0049720A">
      <w:pPr>
        <w:pStyle w:val="Odskoknadpis4"/>
      </w:pPr>
      <w:r>
        <w:t>Řídící orgány mohou off-</w:t>
      </w:r>
      <w:r w:rsidR="008E33EB">
        <w:t>the</w:t>
      </w:r>
      <w:r>
        <w:t>-</w:t>
      </w:r>
      <w:r w:rsidR="008E33EB">
        <w:t xml:space="preserve">shelf </w:t>
      </w:r>
      <w:r w:rsidR="00A56B56">
        <w:t>IFN</w:t>
      </w:r>
      <w:r w:rsidR="008E33EB">
        <w:t xml:space="preserve"> implementovat přímo (prostřednictvím využití stávajících nebo nově vytvořených fondů, kdy ŘO spolupracuje přímo se správcem </w:t>
      </w:r>
      <w:r w:rsidR="00986EE0">
        <w:t>IFN</w:t>
      </w:r>
      <w:r w:rsidR="008E33EB">
        <w:t>), ne</w:t>
      </w:r>
      <w:r w:rsidR="002F08CF">
        <w:t xml:space="preserve">bo prostřednictvím </w:t>
      </w:r>
      <w:r w:rsidR="00E25C1F">
        <w:t>Fondu fondů</w:t>
      </w:r>
      <w:r w:rsidR="002F08CF">
        <w:t>.</w:t>
      </w:r>
    </w:p>
    <w:p w:rsidR="008E33EB" w:rsidRDefault="008E33EB" w:rsidP="0049720A">
      <w:pPr>
        <w:pStyle w:val="Odskoknadpis4"/>
      </w:pPr>
      <w:r>
        <w:t>Příspěvek z programu nesmí vytěsnit financování dostupné od jiných soukromých či veřejných investorů, což musí být potvrzeno předběžným posouzením. Pro všechny tři dosud představené off</w:t>
      </w:r>
      <w:r w:rsidR="00E678B8">
        <w:t>-</w:t>
      </w:r>
      <w:r>
        <w:t>the</w:t>
      </w:r>
      <w:r w:rsidR="00E678B8">
        <w:t>-</w:t>
      </w:r>
      <w:r>
        <w:t xml:space="preserve">shelf nástroje platí, že jejich nastavení nezakládá nedovolenou veřejnou podporu </w:t>
      </w:r>
      <w:r w:rsidR="00E529C6">
        <w:t>a </w:t>
      </w:r>
      <w:r>
        <w:t xml:space="preserve">nevyžaduje notifikaci. Tyto předpoklady jsou zajištěny tak, že odměna pro správce </w:t>
      </w:r>
      <w:r w:rsidR="00986EE0">
        <w:t>IFN</w:t>
      </w:r>
      <w:r>
        <w:t xml:space="preserve"> </w:t>
      </w:r>
      <w:r w:rsidR="00E529C6">
        <w:t>a </w:t>
      </w:r>
      <w:r>
        <w:t xml:space="preserve">finanční instituce je v souladu s tržními podmínkami, veškeré finanční výhody musí připadat </w:t>
      </w:r>
      <w:r w:rsidR="00E529C6">
        <w:t>na </w:t>
      </w:r>
      <w:r>
        <w:t xml:space="preserve">konečné příjemce a finance poskytnuté konečným příjemcům budou poskytovány v režimu </w:t>
      </w:r>
      <w:r w:rsidR="00E529C6">
        <w:t>de </w:t>
      </w:r>
      <w:r>
        <w:t>minimis</w:t>
      </w:r>
      <w:r w:rsidR="0089495C">
        <w:rPr>
          <w:rStyle w:val="Znakapoznpodarou"/>
        </w:rPr>
        <w:footnoteReference w:id="89"/>
      </w:r>
      <w:r>
        <w:t>.</w:t>
      </w:r>
    </w:p>
    <w:p w:rsidR="008E33EB" w:rsidRDefault="006E2D37" w:rsidP="0049720A">
      <w:pPr>
        <w:pStyle w:val="Odskoknadpis4"/>
      </w:pPr>
      <w:r>
        <w:t>O</w:t>
      </w:r>
      <w:r w:rsidR="0089495C">
        <w:t>ff-the-</w:t>
      </w:r>
      <w:r w:rsidR="008E33EB">
        <w:t xml:space="preserve">shelf </w:t>
      </w:r>
      <w:r w:rsidR="00A56B56">
        <w:t>IFN</w:t>
      </w:r>
      <w:r w:rsidR="008E33EB">
        <w:t xml:space="preserve"> jsou předdefinovanou formou, jejíž použití snižuje administrativní náročnost ve vztahu k EK</w:t>
      </w:r>
      <w:r>
        <w:t>. T</w:t>
      </w:r>
      <w:r w:rsidR="008E33EB">
        <w:t xml:space="preserve">o </w:t>
      </w:r>
      <w:r>
        <w:t xml:space="preserve">však </w:t>
      </w:r>
      <w:r w:rsidR="008E33EB">
        <w:t>neznamená, že jejich obsah je aplikovatelný bez předchozího vyhodnocení tržní situace v daném segmentu a vyhodnocení potřebnosti takovýchto nástrojů</w:t>
      </w:r>
      <w:r>
        <w:t xml:space="preserve"> – </w:t>
      </w:r>
      <w:r w:rsidR="00E529C6">
        <w:t>i </w:t>
      </w:r>
      <w:r>
        <w:t xml:space="preserve">v jejich případě tedy musí být provedena </w:t>
      </w:r>
      <w:r w:rsidRPr="009C67E4">
        <w:t>ex-ante</w:t>
      </w:r>
      <w:r>
        <w:t xml:space="preserve"> analýza.</w:t>
      </w:r>
    </w:p>
    <w:p w:rsidR="008E33EB" w:rsidRDefault="008E33EB" w:rsidP="0049720A">
      <w:pPr>
        <w:pStyle w:val="Odskoknadpis4"/>
      </w:pPr>
      <w:r>
        <w:t xml:space="preserve">Velkou výhodou </w:t>
      </w:r>
      <w:r w:rsidR="0089495C">
        <w:t>off-</w:t>
      </w:r>
      <w:r w:rsidR="006E2D37">
        <w:t>the</w:t>
      </w:r>
      <w:r w:rsidR="0089495C">
        <w:t>-</w:t>
      </w:r>
      <w:r w:rsidR="006E2D37">
        <w:t>shelf nástrojů</w:t>
      </w:r>
      <w:r w:rsidR="0089495C">
        <w:t>, především z pohledu ŘO,</w:t>
      </w:r>
      <w:r w:rsidR="006E2D37">
        <w:t xml:space="preserve"> </w:t>
      </w:r>
      <w:r>
        <w:t>je jejich připravená forma</w:t>
      </w:r>
      <w:r w:rsidR="006E2D37">
        <w:t>, naopak</w:t>
      </w:r>
      <w:r w:rsidR="00885E3A">
        <w:t xml:space="preserve"> </w:t>
      </w:r>
      <w:r w:rsidR="006E2D37">
        <w:t>n</w:t>
      </w:r>
      <w:r>
        <w:t xml:space="preserve">evýhodou </w:t>
      </w:r>
      <w:r w:rsidR="006E2D37">
        <w:t>je</w:t>
      </w:r>
      <w:r>
        <w:t xml:space="preserve"> </w:t>
      </w:r>
      <w:r w:rsidR="006E2D37">
        <w:t xml:space="preserve">menší míra </w:t>
      </w:r>
      <w:r>
        <w:t>flexibilit</w:t>
      </w:r>
      <w:r w:rsidR="006E2D37">
        <w:t>y</w:t>
      </w:r>
      <w:r w:rsidR="0089495C">
        <w:t>, kdy aplikace off-</w:t>
      </w:r>
      <w:r>
        <w:t>the</w:t>
      </w:r>
      <w:r w:rsidR="0089495C">
        <w:t>-</w:t>
      </w:r>
      <w:r>
        <w:t xml:space="preserve">shelf nástrojů musí být aplikována přesně ve vymezeném rámci. </w:t>
      </w:r>
      <w:r w:rsidR="006E2D37">
        <w:t>S ohledem na to, že řada projektů může mít svá (národní) specifika, lze v</w:t>
      </w:r>
      <w:r w:rsidR="00AA08FF">
        <w:t xml:space="preserve"> </w:t>
      </w:r>
      <w:r>
        <w:t>praxi</w:t>
      </w:r>
      <w:r w:rsidR="006E2D37">
        <w:t xml:space="preserve"> očekávat spíše </w:t>
      </w:r>
      <w:r>
        <w:t>častější využití tailor made nástrojů</w:t>
      </w:r>
      <w:r w:rsidR="006E2D37">
        <w:t>,</w:t>
      </w:r>
      <w:r>
        <w:t xml:space="preserve"> a</w:t>
      </w:r>
      <w:r w:rsidR="00D30D90">
        <w:t> </w:t>
      </w:r>
      <w:r>
        <w:t>to</w:t>
      </w:r>
      <w:r w:rsidR="00D30D90">
        <w:t> </w:t>
      </w:r>
      <w:r w:rsidR="00E529C6">
        <w:t>i </w:t>
      </w:r>
      <w:r>
        <w:t>v případě, že se</w:t>
      </w:r>
      <w:r w:rsidR="006E2D37">
        <w:t xml:space="preserve"> v konečné podobě</w:t>
      </w:r>
      <w:r w:rsidR="00420B8F">
        <w:t xml:space="preserve"> nebudou od off-</w:t>
      </w:r>
      <w:r>
        <w:t>the</w:t>
      </w:r>
      <w:r w:rsidR="00420B8F">
        <w:t>-</w:t>
      </w:r>
      <w:r w:rsidR="00037346">
        <w:t>shelf</w:t>
      </w:r>
      <w:r>
        <w:t xml:space="preserve"> nástrojů významně odlišovat.</w:t>
      </w:r>
    </w:p>
    <w:p w:rsidR="00C12906" w:rsidRPr="00297EC0" w:rsidRDefault="00C12906" w:rsidP="0049720A">
      <w:pPr>
        <w:pStyle w:val="Odskoknadpis4"/>
        <w:rPr>
          <w:b/>
          <w:u w:val="single"/>
        </w:rPr>
      </w:pPr>
      <w:r w:rsidRPr="00297EC0">
        <w:rPr>
          <w:b/>
          <w:u w:val="single"/>
        </w:rPr>
        <w:t>Tailor made nástroje</w:t>
      </w:r>
    </w:p>
    <w:p w:rsidR="00C12906" w:rsidRDefault="00C12906" w:rsidP="0049720A">
      <w:pPr>
        <w:pStyle w:val="Odskoknadpis4"/>
      </w:pPr>
      <w:r>
        <w:rPr>
          <w:spacing w:val="1"/>
        </w:rPr>
        <w:t>J</w:t>
      </w:r>
      <w:r>
        <w:t>e</w:t>
      </w:r>
      <w:r>
        <w:rPr>
          <w:spacing w:val="1"/>
        </w:rPr>
        <w:t xml:space="preserve"> </w:t>
      </w:r>
      <w:r>
        <w:t>m</w:t>
      </w:r>
      <w:r>
        <w:rPr>
          <w:spacing w:val="-1"/>
        </w:rPr>
        <w:t>o</w:t>
      </w:r>
      <w:r>
        <w:rPr>
          <w:spacing w:val="1"/>
        </w:rPr>
        <w:t>ž</w:t>
      </w:r>
      <w:r>
        <w:rPr>
          <w:spacing w:val="-1"/>
        </w:rPr>
        <w:t>n</w:t>
      </w:r>
      <w:r>
        <w:t>é</w:t>
      </w:r>
      <w:r>
        <w:rPr>
          <w:spacing w:val="-3"/>
        </w:rPr>
        <w:t xml:space="preserve"> </w:t>
      </w:r>
      <w:r>
        <w:rPr>
          <w:spacing w:val="-1"/>
        </w:rPr>
        <w:t>p</w:t>
      </w:r>
      <w:r>
        <w:t>ře</w:t>
      </w:r>
      <w:r>
        <w:rPr>
          <w:spacing w:val="2"/>
        </w:rPr>
        <w:t>d</w:t>
      </w:r>
      <w:r>
        <w:rPr>
          <w:spacing w:val="-1"/>
        </w:rPr>
        <w:t>po</w:t>
      </w:r>
      <w:r>
        <w:t>kl</w:t>
      </w:r>
      <w:r>
        <w:rPr>
          <w:spacing w:val="3"/>
        </w:rPr>
        <w:t>á</w:t>
      </w:r>
      <w:r>
        <w:rPr>
          <w:spacing w:val="-1"/>
        </w:rPr>
        <w:t>d</w:t>
      </w:r>
      <w:r>
        <w:t>at,</w:t>
      </w:r>
      <w:r>
        <w:rPr>
          <w:spacing w:val="-7"/>
        </w:rPr>
        <w:t xml:space="preserve"> </w:t>
      </w:r>
      <w:r>
        <w:rPr>
          <w:spacing w:val="-1"/>
        </w:rPr>
        <w:t>ž</w:t>
      </w:r>
      <w:r>
        <w:t>e</w:t>
      </w:r>
      <w:r>
        <w:rPr>
          <w:spacing w:val="3"/>
        </w:rPr>
        <w:t xml:space="preserve"> </w:t>
      </w:r>
      <w:r>
        <w:rPr>
          <w:spacing w:val="-1"/>
        </w:rPr>
        <w:t>n</w:t>
      </w:r>
      <w:r>
        <w:t>eb</w:t>
      </w:r>
      <w:r>
        <w:rPr>
          <w:spacing w:val="1"/>
        </w:rPr>
        <w:t>u</w:t>
      </w:r>
      <w:r>
        <w:rPr>
          <w:spacing w:val="-1"/>
        </w:rPr>
        <w:t>d</w:t>
      </w:r>
      <w:r>
        <w:t>e</w:t>
      </w:r>
      <w:r>
        <w:rPr>
          <w:spacing w:val="-4"/>
        </w:rPr>
        <w:t xml:space="preserve"> </w:t>
      </w:r>
      <w:r>
        <w:rPr>
          <w:spacing w:val="2"/>
        </w:rPr>
        <w:t>m</w:t>
      </w:r>
      <w:r>
        <w:rPr>
          <w:spacing w:val="-1"/>
        </w:rPr>
        <w:t>o</w:t>
      </w:r>
      <w:r>
        <w:rPr>
          <w:spacing w:val="1"/>
        </w:rPr>
        <w:t>ž</w:t>
      </w:r>
      <w:r>
        <w:rPr>
          <w:spacing w:val="-1"/>
        </w:rPr>
        <w:t>n</w:t>
      </w:r>
      <w:r>
        <w:t>é</w:t>
      </w:r>
      <w:r>
        <w:rPr>
          <w:spacing w:val="-3"/>
        </w:rPr>
        <w:t xml:space="preserve"> </w:t>
      </w:r>
      <w:r>
        <w:rPr>
          <w:spacing w:val="1"/>
        </w:rPr>
        <w:t>z</w:t>
      </w:r>
      <w:r>
        <w:t>ajistit</w:t>
      </w:r>
      <w:r>
        <w:rPr>
          <w:spacing w:val="-2"/>
        </w:rPr>
        <w:t xml:space="preserve"> </w:t>
      </w:r>
      <w:r>
        <w:rPr>
          <w:spacing w:val="-1"/>
        </w:rPr>
        <w:t>p</w:t>
      </w:r>
      <w:r>
        <w:t>l</w:t>
      </w:r>
      <w:r>
        <w:rPr>
          <w:spacing w:val="2"/>
        </w:rPr>
        <w:t>n</w:t>
      </w:r>
      <w:r>
        <w:t>ý</w:t>
      </w:r>
      <w:r>
        <w:rPr>
          <w:spacing w:val="1"/>
        </w:rPr>
        <w:t xml:space="preserve"> </w:t>
      </w:r>
      <w:r>
        <w:t>so</w:t>
      </w:r>
      <w:r>
        <w:rPr>
          <w:spacing w:val="-1"/>
        </w:rPr>
        <w:t>u</w:t>
      </w:r>
      <w:r>
        <w:t>lad</w:t>
      </w:r>
      <w:r>
        <w:rPr>
          <w:spacing w:val="-2"/>
        </w:rPr>
        <w:t xml:space="preserve"> </w:t>
      </w:r>
      <w:r>
        <w:t>a</w:t>
      </w:r>
      <w:r>
        <w:rPr>
          <w:spacing w:val="4"/>
        </w:rPr>
        <w:t xml:space="preserve"> </w:t>
      </w:r>
      <w:r>
        <w:t>v</w:t>
      </w:r>
      <w:r>
        <w:rPr>
          <w:spacing w:val="-2"/>
        </w:rPr>
        <w:t>y</w:t>
      </w:r>
      <w:r>
        <w:rPr>
          <w:spacing w:val="-1"/>
        </w:rPr>
        <w:t>u</w:t>
      </w:r>
      <w:r>
        <w:rPr>
          <w:spacing w:val="1"/>
        </w:rPr>
        <w:t>ž</w:t>
      </w:r>
      <w:r>
        <w:t>i</w:t>
      </w:r>
      <w:r>
        <w:rPr>
          <w:spacing w:val="-1"/>
        </w:rPr>
        <w:t>t</w:t>
      </w:r>
      <w:r>
        <w:t>e</w:t>
      </w:r>
      <w:r>
        <w:rPr>
          <w:spacing w:val="2"/>
        </w:rPr>
        <w:t>l</w:t>
      </w:r>
      <w:r>
        <w:rPr>
          <w:spacing w:val="-1"/>
        </w:rPr>
        <w:t>no</w:t>
      </w:r>
      <w:r>
        <w:rPr>
          <w:spacing w:val="2"/>
        </w:rPr>
        <w:t>s</w:t>
      </w:r>
      <w:r>
        <w:t>t</w:t>
      </w:r>
      <w:r>
        <w:rPr>
          <w:spacing w:val="-6"/>
        </w:rPr>
        <w:t xml:space="preserve"> </w:t>
      </w:r>
      <w:r>
        <w:rPr>
          <w:spacing w:val="-1"/>
        </w:rPr>
        <w:t>j</w:t>
      </w:r>
      <w:r>
        <w:rPr>
          <w:spacing w:val="3"/>
        </w:rPr>
        <w:t>i</w:t>
      </w:r>
      <w:r>
        <w:t>ž</w:t>
      </w:r>
      <w:r>
        <w:rPr>
          <w:spacing w:val="2"/>
        </w:rPr>
        <w:t xml:space="preserve"> </w:t>
      </w:r>
      <w:r>
        <w:rPr>
          <w:spacing w:val="-1"/>
        </w:rPr>
        <w:t>zř</w:t>
      </w:r>
      <w:r>
        <w:rPr>
          <w:spacing w:val="2"/>
        </w:rPr>
        <w:t>í</w:t>
      </w:r>
      <w:r>
        <w:rPr>
          <w:spacing w:val="-1"/>
        </w:rPr>
        <w:t>z</w:t>
      </w:r>
      <w:r>
        <w:t>en</w:t>
      </w:r>
      <w:r>
        <w:rPr>
          <w:spacing w:val="1"/>
        </w:rPr>
        <w:t>ýc</w:t>
      </w:r>
      <w:r>
        <w:t>h</w:t>
      </w:r>
      <w:r>
        <w:rPr>
          <w:spacing w:val="-4"/>
        </w:rPr>
        <w:t xml:space="preserve"> </w:t>
      </w:r>
      <w:r>
        <w:rPr>
          <w:spacing w:val="-1"/>
        </w:rPr>
        <w:t>n</w:t>
      </w:r>
      <w:r>
        <w:t>ástrojů</w:t>
      </w:r>
      <w:r>
        <w:rPr>
          <w:spacing w:val="-3"/>
        </w:rPr>
        <w:t xml:space="preserve"> </w:t>
      </w:r>
      <w:r>
        <w:rPr>
          <w:spacing w:val="-1"/>
        </w:rPr>
        <w:t>n</w:t>
      </w:r>
      <w:r>
        <w:t xml:space="preserve">a </w:t>
      </w:r>
      <w:r>
        <w:rPr>
          <w:spacing w:val="-1"/>
        </w:rPr>
        <w:t>ú</w:t>
      </w:r>
      <w:r>
        <w:t>r</w:t>
      </w:r>
      <w:r>
        <w:rPr>
          <w:spacing w:val="2"/>
        </w:rPr>
        <w:t>o</w:t>
      </w:r>
      <w:r>
        <w:rPr>
          <w:spacing w:val="-2"/>
        </w:rPr>
        <w:t>v</w:t>
      </w:r>
      <w:r>
        <w:rPr>
          <w:spacing w:val="-1"/>
        </w:rPr>
        <w:t>n</w:t>
      </w:r>
      <w:r>
        <w:t>i</w:t>
      </w:r>
      <w:r>
        <w:rPr>
          <w:spacing w:val="28"/>
        </w:rPr>
        <w:t xml:space="preserve"> </w:t>
      </w:r>
      <w:r>
        <w:rPr>
          <w:spacing w:val="2"/>
        </w:rPr>
        <w:t>U</w:t>
      </w:r>
      <w:r>
        <w:rPr>
          <w:spacing w:val="-1"/>
        </w:rPr>
        <w:t>n</w:t>
      </w:r>
      <w:r>
        <w:t>ie</w:t>
      </w:r>
      <w:r>
        <w:rPr>
          <w:spacing w:val="30"/>
        </w:rPr>
        <w:t xml:space="preserve"> </w:t>
      </w:r>
      <w:r>
        <w:t xml:space="preserve">s </w:t>
      </w:r>
      <w:r>
        <w:rPr>
          <w:spacing w:val="2"/>
        </w:rPr>
        <w:t>p</w:t>
      </w:r>
      <w:r>
        <w:rPr>
          <w:spacing w:val="-1"/>
        </w:rPr>
        <w:t>o</w:t>
      </w:r>
      <w:r>
        <w:rPr>
          <w:spacing w:val="1"/>
        </w:rPr>
        <w:t>ž</w:t>
      </w:r>
      <w:r>
        <w:t>ad</w:t>
      </w:r>
      <w:r>
        <w:rPr>
          <w:spacing w:val="2"/>
        </w:rPr>
        <w:t>a</w:t>
      </w:r>
      <w:r>
        <w:rPr>
          <w:spacing w:val="-2"/>
        </w:rPr>
        <w:t>v</w:t>
      </w:r>
      <w:r>
        <w:rPr>
          <w:spacing w:val="2"/>
        </w:rPr>
        <w:t>k</w:t>
      </w:r>
      <w:r>
        <w:t>y</w:t>
      </w:r>
      <w:r>
        <w:rPr>
          <w:spacing w:val="24"/>
        </w:rPr>
        <w:t xml:space="preserve"> </w:t>
      </w:r>
      <w:r>
        <w:t>a</w:t>
      </w:r>
      <w:r>
        <w:rPr>
          <w:spacing w:val="33"/>
        </w:rPr>
        <w:t xml:space="preserve"> </w:t>
      </w:r>
      <w:r>
        <w:t>speci</w:t>
      </w:r>
      <w:r>
        <w:rPr>
          <w:spacing w:val="-1"/>
        </w:rPr>
        <w:t>f</w:t>
      </w:r>
      <w:r>
        <w:t>i</w:t>
      </w:r>
      <w:r>
        <w:rPr>
          <w:spacing w:val="2"/>
        </w:rPr>
        <w:t>k</w:t>
      </w:r>
      <w:r>
        <w:t>y</w:t>
      </w:r>
      <w:r>
        <w:rPr>
          <w:spacing w:val="28"/>
        </w:rPr>
        <w:t xml:space="preserve"> </w:t>
      </w:r>
      <w:r>
        <w:rPr>
          <w:spacing w:val="-1"/>
        </w:rPr>
        <w:t>j</w:t>
      </w:r>
      <w:r>
        <w:t>edn</w:t>
      </w:r>
      <w:r>
        <w:rPr>
          <w:spacing w:val="1"/>
        </w:rPr>
        <w:t>o</w:t>
      </w:r>
      <w:r>
        <w:t>t</w:t>
      </w:r>
      <w:r>
        <w:rPr>
          <w:spacing w:val="1"/>
        </w:rPr>
        <w:t>li</w:t>
      </w:r>
      <w:r>
        <w:rPr>
          <w:spacing w:val="-1"/>
        </w:rPr>
        <w:t>v</w:t>
      </w:r>
      <w:r>
        <w:rPr>
          <w:spacing w:val="1"/>
        </w:rPr>
        <w:t>ýc</w:t>
      </w:r>
      <w:r>
        <w:t>h</w:t>
      </w:r>
      <w:r>
        <w:rPr>
          <w:spacing w:val="25"/>
        </w:rPr>
        <w:t xml:space="preserve"> </w:t>
      </w:r>
      <w:r>
        <w:rPr>
          <w:spacing w:val="-1"/>
        </w:rPr>
        <w:t>o</w:t>
      </w:r>
      <w:r>
        <w:rPr>
          <w:spacing w:val="2"/>
        </w:rPr>
        <w:t>p</w:t>
      </w:r>
      <w:r>
        <w:t>e</w:t>
      </w:r>
      <w:r>
        <w:rPr>
          <w:spacing w:val="1"/>
        </w:rPr>
        <w:t>r</w:t>
      </w:r>
      <w:r>
        <w:t>ačních</w:t>
      </w:r>
      <w:r>
        <w:rPr>
          <w:spacing w:val="23"/>
        </w:rPr>
        <w:t xml:space="preserve"> </w:t>
      </w:r>
      <w:r>
        <w:rPr>
          <w:spacing w:val="-1"/>
        </w:rPr>
        <w:t>p</w:t>
      </w:r>
      <w:r>
        <w:t>r</w:t>
      </w:r>
      <w:r>
        <w:rPr>
          <w:spacing w:val="2"/>
        </w:rPr>
        <w:t>o</w:t>
      </w:r>
      <w:r>
        <w:rPr>
          <w:spacing w:val="-1"/>
        </w:rPr>
        <w:t>g</w:t>
      </w:r>
      <w:r>
        <w:t>ramů,</w:t>
      </w:r>
      <w:r>
        <w:rPr>
          <w:spacing w:val="28"/>
        </w:rPr>
        <w:t xml:space="preserve"> </w:t>
      </w:r>
      <w:r>
        <w:t>a</w:t>
      </w:r>
      <w:r>
        <w:rPr>
          <w:spacing w:val="33"/>
        </w:rPr>
        <w:t xml:space="preserve"> </w:t>
      </w:r>
      <w:r>
        <w:t>tud</w:t>
      </w:r>
      <w:r>
        <w:rPr>
          <w:spacing w:val="3"/>
        </w:rPr>
        <w:t>í</w:t>
      </w:r>
      <w:r>
        <w:t>ž</w:t>
      </w:r>
      <w:r>
        <w:rPr>
          <w:spacing w:val="28"/>
        </w:rPr>
        <w:t xml:space="preserve"> </w:t>
      </w:r>
      <w:r>
        <w:t>z</w:t>
      </w:r>
      <w:r>
        <w:rPr>
          <w:spacing w:val="-2"/>
        </w:rPr>
        <w:t xml:space="preserve"> </w:t>
      </w:r>
      <w:r>
        <w:t>to</w:t>
      </w:r>
      <w:r>
        <w:rPr>
          <w:spacing w:val="3"/>
        </w:rPr>
        <w:t>h</w:t>
      </w:r>
      <w:r>
        <w:t>oto</w:t>
      </w:r>
      <w:r>
        <w:rPr>
          <w:spacing w:val="28"/>
        </w:rPr>
        <w:t xml:space="preserve"> </w:t>
      </w:r>
      <w:r>
        <w:t>h</w:t>
      </w:r>
      <w:r>
        <w:rPr>
          <w:spacing w:val="1"/>
        </w:rPr>
        <w:t>l</w:t>
      </w:r>
      <w:r>
        <w:t>ed</w:t>
      </w:r>
      <w:r>
        <w:rPr>
          <w:spacing w:val="1"/>
        </w:rPr>
        <w:t>isk</w:t>
      </w:r>
      <w:r>
        <w:t>a</w:t>
      </w:r>
      <w:r>
        <w:rPr>
          <w:spacing w:val="27"/>
        </w:rPr>
        <w:t xml:space="preserve"> </w:t>
      </w:r>
      <w:r>
        <w:rPr>
          <w:spacing w:val="-1"/>
        </w:rPr>
        <w:t>j</w:t>
      </w:r>
      <w:r>
        <w:t xml:space="preserve">e </w:t>
      </w:r>
      <w:r>
        <w:rPr>
          <w:spacing w:val="-2"/>
        </w:rPr>
        <w:t>m</w:t>
      </w:r>
      <w:r>
        <w:rPr>
          <w:spacing w:val="2"/>
        </w:rPr>
        <w:t>o</w:t>
      </w:r>
      <w:r>
        <w:rPr>
          <w:spacing w:val="-1"/>
        </w:rPr>
        <w:t>ž</w:t>
      </w:r>
      <w:r>
        <w:t>né</w:t>
      </w:r>
      <w:r>
        <w:rPr>
          <w:spacing w:val="8"/>
        </w:rPr>
        <w:t xml:space="preserve"> </w:t>
      </w:r>
      <w:r>
        <w:t>předpo</w:t>
      </w:r>
      <w:r>
        <w:rPr>
          <w:spacing w:val="1"/>
        </w:rPr>
        <w:t>kl</w:t>
      </w:r>
      <w:r>
        <w:t>ádat</w:t>
      </w:r>
      <w:r>
        <w:rPr>
          <w:spacing w:val="3"/>
        </w:rPr>
        <w:t xml:space="preserve"> </w:t>
      </w:r>
      <w:r>
        <w:rPr>
          <w:spacing w:val="1"/>
        </w:rPr>
        <w:t>z</w:t>
      </w:r>
      <w:r>
        <w:t>ří</w:t>
      </w:r>
      <w:r>
        <w:rPr>
          <w:spacing w:val="2"/>
        </w:rPr>
        <w:t>z</w:t>
      </w:r>
      <w:r>
        <w:t>ení</w:t>
      </w:r>
      <w:r>
        <w:rPr>
          <w:spacing w:val="4"/>
        </w:rPr>
        <w:t xml:space="preserve"> </w:t>
      </w:r>
      <w:r w:rsidR="00420428">
        <w:rPr>
          <w:spacing w:val="4"/>
        </w:rPr>
        <w:t>IFN</w:t>
      </w:r>
      <w:r>
        <w:rPr>
          <w:spacing w:val="9"/>
        </w:rPr>
        <w:t xml:space="preserve"> </w:t>
      </w:r>
      <w:r>
        <w:rPr>
          <w:spacing w:val="-1"/>
        </w:rPr>
        <w:t>n</w:t>
      </w:r>
      <w:r>
        <w:t>a</w:t>
      </w:r>
      <w:r>
        <w:rPr>
          <w:spacing w:val="11"/>
        </w:rPr>
        <w:t xml:space="preserve"> </w:t>
      </w:r>
      <w:r>
        <w:rPr>
          <w:spacing w:val="-1"/>
        </w:rPr>
        <w:t>n</w:t>
      </w:r>
      <w:r>
        <w:t>á</w:t>
      </w:r>
      <w:r>
        <w:rPr>
          <w:spacing w:val="1"/>
        </w:rPr>
        <w:t>r</w:t>
      </w:r>
      <w:r>
        <w:rPr>
          <w:spacing w:val="-1"/>
        </w:rPr>
        <w:t>odn</w:t>
      </w:r>
      <w:r>
        <w:rPr>
          <w:spacing w:val="1"/>
        </w:rPr>
        <w:t>í</w:t>
      </w:r>
      <w:r>
        <w:t>,</w:t>
      </w:r>
      <w:r>
        <w:rPr>
          <w:spacing w:val="7"/>
        </w:rPr>
        <w:t xml:space="preserve"> </w:t>
      </w:r>
      <w:r>
        <w:t>případně</w:t>
      </w:r>
      <w:r>
        <w:rPr>
          <w:spacing w:val="6"/>
        </w:rPr>
        <w:t xml:space="preserve"> </w:t>
      </w:r>
      <w:r>
        <w:rPr>
          <w:spacing w:val="1"/>
        </w:rPr>
        <w:t>ji</w:t>
      </w:r>
      <w:r>
        <w:t>né,</w:t>
      </w:r>
      <w:r>
        <w:rPr>
          <w:spacing w:val="11"/>
        </w:rPr>
        <w:t xml:space="preserve"> </w:t>
      </w:r>
      <w:r>
        <w:rPr>
          <w:spacing w:val="-1"/>
        </w:rPr>
        <w:t>ú</w:t>
      </w:r>
      <w:r>
        <w:t>r</w:t>
      </w:r>
      <w:r>
        <w:rPr>
          <w:spacing w:val="-1"/>
        </w:rPr>
        <w:t>o</w:t>
      </w:r>
      <w:r>
        <w:rPr>
          <w:spacing w:val="-2"/>
        </w:rPr>
        <w:t>v</w:t>
      </w:r>
      <w:r>
        <w:rPr>
          <w:spacing w:val="-1"/>
        </w:rPr>
        <w:t>n</w:t>
      </w:r>
      <w:r>
        <w:rPr>
          <w:spacing w:val="1"/>
        </w:rPr>
        <w:t>i</w:t>
      </w:r>
      <w:r>
        <w:t>.</w:t>
      </w:r>
      <w:r>
        <w:rPr>
          <w:spacing w:val="8"/>
        </w:rPr>
        <w:t xml:space="preserve"> </w:t>
      </w:r>
      <w:r>
        <w:rPr>
          <w:spacing w:val="-1"/>
        </w:rPr>
        <w:t>F</w:t>
      </w:r>
      <w:r>
        <w:t>i</w:t>
      </w:r>
      <w:r>
        <w:rPr>
          <w:spacing w:val="2"/>
        </w:rPr>
        <w:t>n</w:t>
      </w:r>
      <w:r>
        <w:t>ální</w:t>
      </w:r>
      <w:r>
        <w:rPr>
          <w:spacing w:val="9"/>
        </w:rPr>
        <w:t xml:space="preserve"> </w:t>
      </w:r>
      <w:r>
        <w:t>im</w:t>
      </w:r>
      <w:r>
        <w:rPr>
          <w:spacing w:val="-1"/>
        </w:rPr>
        <w:t>p</w:t>
      </w:r>
      <w:r>
        <w:t>l</w:t>
      </w:r>
      <w:r>
        <w:rPr>
          <w:spacing w:val="2"/>
        </w:rPr>
        <w:t>em</w:t>
      </w:r>
      <w:r>
        <w:t>en</w:t>
      </w:r>
      <w:r>
        <w:rPr>
          <w:spacing w:val="-1"/>
        </w:rPr>
        <w:t>t</w:t>
      </w:r>
      <w:r>
        <w:t xml:space="preserve">ační </w:t>
      </w:r>
      <w:r>
        <w:rPr>
          <w:spacing w:val="-1"/>
        </w:rPr>
        <w:t>u</w:t>
      </w:r>
      <w:r>
        <w:rPr>
          <w:spacing w:val="2"/>
        </w:rPr>
        <w:t>s</w:t>
      </w:r>
      <w:r>
        <w:rPr>
          <w:spacing w:val="-1"/>
        </w:rPr>
        <w:t>po</w:t>
      </w:r>
      <w:r>
        <w:t>řádá</w:t>
      </w:r>
      <w:r>
        <w:rPr>
          <w:spacing w:val="-1"/>
        </w:rPr>
        <w:t>n</w:t>
      </w:r>
      <w:r>
        <w:t xml:space="preserve">í bude </w:t>
      </w:r>
      <w:r>
        <w:rPr>
          <w:spacing w:val="-2"/>
        </w:rPr>
        <w:t>v</w:t>
      </w:r>
      <w:r>
        <w:t>ýsle</w:t>
      </w:r>
      <w:r>
        <w:rPr>
          <w:spacing w:val="-1"/>
        </w:rPr>
        <w:t>d</w:t>
      </w:r>
      <w:r>
        <w:t>k</w:t>
      </w:r>
      <w:r>
        <w:rPr>
          <w:spacing w:val="3"/>
        </w:rPr>
        <w:t>e</w:t>
      </w:r>
      <w:r>
        <w:t>m</w:t>
      </w:r>
      <w:r>
        <w:rPr>
          <w:spacing w:val="50"/>
        </w:rPr>
        <w:t xml:space="preserve"> </w:t>
      </w:r>
      <w:r>
        <w:rPr>
          <w:spacing w:val="2"/>
        </w:rPr>
        <w:t>p</w:t>
      </w:r>
      <w:r>
        <w:rPr>
          <w:spacing w:val="-1"/>
        </w:rPr>
        <w:t>od</w:t>
      </w:r>
      <w:r>
        <w:t>r</w:t>
      </w:r>
      <w:r>
        <w:rPr>
          <w:spacing w:val="2"/>
        </w:rPr>
        <w:t>o</w:t>
      </w:r>
      <w:r>
        <w:rPr>
          <w:spacing w:val="-1"/>
        </w:rPr>
        <w:t>b</w:t>
      </w:r>
      <w:r>
        <w:rPr>
          <w:spacing w:val="2"/>
        </w:rPr>
        <w:t>n</w:t>
      </w:r>
      <w:r>
        <w:t>é</w:t>
      </w:r>
      <w:r>
        <w:rPr>
          <w:spacing w:val="52"/>
        </w:rPr>
        <w:t xml:space="preserve"> </w:t>
      </w:r>
      <w:r>
        <w:t>e</w:t>
      </w:r>
      <w:r>
        <w:rPr>
          <w:spacing w:val="2"/>
        </w:rPr>
        <w:t>x</w:t>
      </w:r>
      <w:r>
        <w:rPr>
          <w:spacing w:val="-1"/>
        </w:rPr>
        <w:t>-</w:t>
      </w:r>
      <w:r>
        <w:t>a</w:t>
      </w:r>
      <w:r>
        <w:rPr>
          <w:spacing w:val="2"/>
        </w:rPr>
        <w:t>n</w:t>
      </w:r>
      <w:r>
        <w:rPr>
          <w:spacing w:val="-1"/>
        </w:rPr>
        <w:t>t</w:t>
      </w:r>
      <w:r>
        <w:t xml:space="preserve">e </w:t>
      </w:r>
      <w:r>
        <w:rPr>
          <w:spacing w:val="2"/>
        </w:rPr>
        <w:t>a</w:t>
      </w:r>
      <w:r>
        <w:rPr>
          <w:spacing w:val="-1"/>
        </w:rPr>
        <w:t>n</w:t>
      </w:r>
      <w:r>
        <w:t>alý</w:t>
      </w:r>
      <w:r>
        <w:rPr>
          <w:spacing w:val="4"/>
        </w:rPr>
        <w:t>z</w:t>
      </w:r>
      <w:r>
        <w:rPr>
          <w:spacing w:val="-4"/>
        </w:rPr>
        <w:t>y</w:t>
      </w:r>
      <w:r>
        <w:t>, n</w:t>
      </w:r>
      <w:r>
        <w:rPr>
          <w:spacing w:val="1"/>
        </w:rPr>
        <w:t>ic</w:t>
      </w:r>
      <w:r>
        <w:rPr>
          <w:spacing w:val="-2"/>
        </w:rPr>
        <w:t>m</w:t>
      </w:r>
      <w:r>
        <w:rPr>
          <w:spacing w:val="2"/>
        </w:rPr>
        <w:t>é</w:t>
      </w:r>
      <w:r>
        <w:t>ně v</w:t>
      </w:r>
      <w:r>
        <w:rPr>
          <w:spacing w:val="-1"/>
        </w:rPr>
        <w:t xml:space="preserve"> </w:t>
      </w:r>
      <w:r>
        <w:rPr>
          <w:spacing w:val="2"/>
        </w:rPr>
        <w:t>r</w:t>
      </w:r>
      <w:r>
        <w:t>á</w:t>
      </w:r>
      <w:r>
        <w:rPr>
          <w:spacing w:val="-2"/>
        </w:rPr>
        <w:t>m</w:t>
      </w:r>
      <w:r>
        <w:rPr>
          <w:spacing w:val="1"/>
        </w:rPr>
        <w:t>c</w:t>
      </w:r>
      <w:r>
        <w:t>i ná</w:t>
      </w:r>
      <w:r>
        <w:rPr>
          <w:spacing w:val="1"/>
        </w:rPr>
        <w:t>sl</w:t>
      </w:r>
      <w:r>
        <w:t>edu</w:t>
      </w:r>
      <w:r>
        <w:rPr>
          <w:spacing w:val="-1"/>
        </w:rPr>
        <w:t>j</w:t>
      </w:r>
      <w:r>
        <w:t>í</w:t>
      </w:r>
      <w:r>
        <w:rPr>
          <w:spacing w:val="1"/>
        </w:rPr>
        <w:t>c</w:t>
      </w:r>
      <w:r>
        <w:t>ího</w:t>
      </w:r>
      <w:r>
        <w:rPr>
          <w:spacing w:val="49"/>
        </w:rPr>
        <w:t xml:space="preserve"> </w:t>
      </w:r>
      <w:r>
        <w:t>t</w:t>
      </w:r>
      <w:r>
        <w:rPr>
          <w:spacing w:val="2"/>
        </w:rPr>
        <w:t>e</w:t>
      </w:r>
      <w:r>
        <w:rPr>
          <w:spacing w:val="1"/>
        </w:rPr>
        <w:t>x</w:t>
      </w:r>
      <w:r>
        <w:t>tu se</w:t>
      </w:r>
      <w:r>
        <w:rPr>
          <w:spacing w:val="6"/>
        </w:rPr>
        <w:t xml:space="preserve"> </w:t>
      </w:r>
      <w:r>
        <w:rPr>
          <w:spacing w:val="-1"/>
        </w:rPr>
        <w:t>p</w:t>
      </w:r>
      <w:r>
        <w:t>ře</w:t>
      </w:r>
      <w:r>
        <w:rPr>
          <w:spacing w:val="2"/>
        </w:rPr>
        <w:t>d</w:t>
      </w:r>
      <w:r>
        <w:rPr>
          <w:spacing w:val="-1"/>
        </w:rPr>
        <w:t>po</w:t>
      </w:r>
      <w:r>
        <w:t>klád</w:t>
      </w:r>
      <w:r>
        <w:rPr>
          <w:spacing w:val="1"/>
        </w:rPr>
        <w:t>á</w:t>
      </w:r>
      <w:r>
        <w:t>, z</w:t>
      </w:r>
      <w:r>
        <w:rPr>
          <w:spacing w:val="-2"/>
        </w:rPr>
        <w:t xml:space="preserve"> </w:t>
      </w:r>
      <w:r>
        <w:t>dů</w:t>
      </w:r>
      <w:r>
        <w:rPr>
          <w:spacing w:val="-1"/>
        </w:rPr>
        <w:t>v</w:t>
      </w:r>
      <w:r>
        <w:t>odu</w:t>
      </w:r>
      <w:r>
        <w:rPr>
          <w:spacing w:val="2"/>
        </w:rPr>
        <w:t xml:space="preserve"> </w:t>
      </w:r>
      <w:r>
        <w:rPr>
          <w:spacing w:val="1"/>
        </w:rPr>
        <w:t>l</w:t>
      </w:r>
      <w:r>
        <w:t>ep</w:t>
      </w:r>
      <w:r>
        <w:rPr>
          <w:spacing w:val="1"/>
        </w:rPr>
        <w:t>š</w:t>
      </w:r>
      <w:r>
        <w:t>ího</w:t>
      </w:r>
      <w:r>
        <w:rPr>
          <w:spacing w:val="2"/>
        </w:rPr>
        <w:t xml:space="preserve"> </w:t>
      </w:r>
      <w:r>
        <w:t>při</w:t>
      </w:r>
      <w:r>
        <w:rPr>
          <w:spacing w:val="-1"/>
        </w:rPr>
        <w:t>z</w:t>
      </w:r>
      <w:r>
        <w:t>pů</w:t>
      </w:r>
      <w:r>
        <w:rPr>
          <w:spacing w:val="1"/>
        </w:rPr>
        <w:t>s</w:t>
      </w:r>
      <w:r>
        <w:t>ob</w:t>
      </w:r>
      <w:r>
        <w:rPr>
          <w:spacing w:val="3"/>
        </w:rPr>
        <w:t>e</w:t>
      </w:r>
      <w:r>
        <w:t>ní</w:t>
      </w:r>
      <w:r>
        <w:rPr>
          <w:spacing w:val="-4"/>
        </w:rPr>
        <w:t xml:space="preserve"> </w:t>
      </w:r>
      <w:r>
        <w:rPr>
          <w:spacing w:val="1"/>
        </w:rPr>
        <w:t>s</w:t>
      </w:r>
      <w:r>
        <w:t>pe</w:t>
      </w:r>
      <w:r>
        <w:rPr>
          <w:spacing w:val="1"/>
        </w:rPr>
        <w:t>c</w:t>
      </w:r>
      <w:r>
        <w:rPr>
          <w:spacing w:val="-1"/>
        </w:rPr>
        <w:t>i</w:t>
      </w:r>
      <w:r>
        <w:t>f</w:t>
      </w:r>
      <w:r>
        <w:rPr>
          <w:spacing w:val="1"/>
        </w:rPr>
        <w:t>i</w:t>
      </w:r>
      <w:r>
        <w:t>k</w:t>
      </w:r>
      <w:r>
        <w:rPr>
          <w:spacing w:val="2"/>
        </w:rPr>
        <w:t xml:space="preserve"> </w:t>
      </w:r>
      <w:r>
        <w:t>a</w:t>
      </w:r>
      <w:r>
        <w:rPr>
          <w:spacing w:val="6"/>
        </w:rPr>
        <w:t xml:space="preserve"> </w:t>
      </w:r>
      <w:r>
        <w:t>po</w:t>
      </w:r>
      <w:r>
        <w:rPr>
          <w:spacing w:val="-1"/>
        </w:rPr>
        <w:t>ž</w:t>
      </w:r>
      <w:r>
        <w:t>ada</w:t>
      </w:r>
      <w:r>
        <w:rPr>
          <w:spacing w:val="-1"/>
        </w:rPr>
        <w:t>v</w:t>
      </w:r>
      <w:r>
        <w:rPr>
          <w:spacing w:val="1"/>
        </w:rPr>
        <w:t>k</w:t>
      </w:r>
      <w:r>
        <w:t>ů</w:t>
      </w:r>
      <w:r>
        <w:rPr>
          <w:spacing w:val="-2"/>
        </w:rPr>
        <w:t xml:space="preserve"> </w:t>
      </w:r>
      <w:r>
        <w:rPr>
          <w:spacing w:val="-1"/>
        </w:rPr>
        <w:t>j</w:t>
      </w:r>
      <w:r>
        <w:t>ed</w:t>
      </w:r>
      <w:r>
        <w:rPr>
          <w:spacing w:val="3"/>
        </w:rPr>
        <w:t>n</w:t>
      </w:r>
      <w:r>
        <w:t>ot</w:t>
      </w:r>
      <w:r>
        <w:rPr>
          <w:spacing w:val="1"/>
        </w:rPr>
        <w:t>li</w:t>
      </w:r>
      <w:r>
        <w:rPr>
          <w:spacing w:val="-1"/>
        </w:rPr>
        <w:t>v</w:t>
      </w:r>
      <w:r>
        <w:rPr>
          <w:spacing w:val="1"/>
        </w:rPr>
        <w:t>ýc</w:t>
      </w:r>
      <w:r>
        <w:t>h</w:t>
      </w:r>
      <w:r>
        <w:rPr>
          <w:spacing w:val="-3"/>
        </w:rPr>
        <w:t xml:space="preserve"> </w:t>
      </w:r>
      <w:r>
        <w:t>opera</w:t>
      </w:r>
      <w:r>
        <w:rPr>
          <w:spacing w:val="1"/>
        </w:rPr>
        <w:t>č</w:t>
      </w:r>
      <w:r>
        <w:t>ní</w:t>
      </w:r>
      <w:r>
        <w:rPr>
          <w:spacing w:val="1"/>
        </w:rPr>
        <w:t>c</w:t>
      </w:r>
      <w:r>
        <w:t>h</w:t>
      </w:r>
      <w:r>
        <w:rPr>
          <w:spacing w:val="-2"/>
        </w:rPr>
        <w:t xml:space="preserve"> </w:t>
      </w:r>
      <w:r>
        <w:t>prog</w:t>
      </w:r>
      <w:r>
        <w:rPr>
          <w:spacing w:val="-1"/>
        </w:rPr>
        <w:t>r</w:t>
      </w:r>
      <w:r>
        <w:t>amů,</w:t>
      </w:r>
      <w:r>
        <w:rPr>
          <w:spacing w:val="5"/>
        </w:rPr>
        <w:t xml:space="preserve"> </w:t>
      </w:r>
      <w:r>
        <w:t>v</w:t>
      </w:r>
      <w:r>
        <w:rPr>
          <w:spacing w:val="-2"/>
        </w:rPr>
        <w:t>y</w:t>
      </w:r>
      <w:r>
        <w:rPr>
          <w:spacing w:val="-1"/>
        </w:rPr>
        <w:t>u</w:t>
      </w:r>
      <w:r>
        <w:rPr>
          <w:spacing w:val="1"/>
        </w:rPr>
        <w:t>ž</w:t>
      </w:r>
      <w:r>
        <w:t>i</w:t>
      </w:r>
      <w:r>
        <w:rPr>
          <w:spacing w:val="-1"/>
        </w:rPr>
        <w:t>t</w:t>
      </w:r>
      <w:r>
        <w:t>í</w:t>
      </w:r>
      <w:r>
        <w:rPr>
          <w:spacing w:val="5"/>
        </w:rPr>
        <w:t xml:space="preserve"> </w:t>
      </w:r>
      <w:r w:rsidR="00420428">
        <w:rPr>
          <w:spacing w:val="-1"/>
        </w:rPr>
        <w:t>IFN</w:t>
      </w:r>
      <w:r>
        <w:rPr>
          <w:spacing w:val="-8"/>
        </w:rPr>
        <w:t xml:space="preserve"> </w:t>
      </w:r>
      <w:r>
        <w:rPr>
          <w:spacing w:val="1"/>
        </w:rPr>
        <w:t>z</w:t>
      </w:r>
      <w:r>
        <w:t>ří</w:t>
      </w:r>
      <w:r>
        <w:rPr>
          <w:spacing w:val="1"/>
        </w:rPr>
        <w:t>z</w:t>
      </w:r>
      <w:r>
        <w:t>ených</w:t>
      </w:r>
      <w:r>
        <w:rPr>
          <w:spacing w:val="-10"/>
        </w:rPr>
        <w:t xml:space="preserve"> </w:t>
      </w:r>
      <w:r>
        <w:rPr>
          <w:spacing w:val="2"/>
        </w:rPr>
        <w:t>n</w:t>
      </w:r>
      <w:r>
        <w:t>a</w:t>
      </w:r>
      <w:r>
        <w:rPr>
          <w:spacing w:val="-2"/>
        </w:rPr>
        <w:t xml:space="preserve"> </w:t>
      </w:r>
      <w:r>
        <w:t>nár</w:t>
      </w:r>
      <w:r>
        <w:rPr>
          <w:spacing w:val="2"/>
        </w:rPr>
        <w:t>o</w:t>
      </w:r>
      <w:r>
        <w:rPr>
          <w:spacing w:val="-1"/>
        </w:rPr>
        <w:t>dn</w:t>
      </w:r>
      <w:r>
        <w:t>í,</w:t>
      </w:r>
      <w:r>
        <w:rPr>
          <w:spacing w:val="-6"/>
        </w:rPr>
        <w:t xml:space="preserve"> </w:t>
      </w:r>
      <w:r>
        <w:t>či</w:t>
      </w:r>
      <w:r>
        <w:rPr>
          <w:spacing w:val="-2"/>
        </w:rPr>
        <w:t xml:space="preserve"> </w:t>
      </w:r>
      <w:r>
        <w:t>jiné</w:t>
      </w:r>
      <w:r>
        <w:rPr>
          <w:spacing w:val="-3"/>
        </w:rPr>
        <w:t xml:space="preserve"> </w:t>
      </w:r>
      <w:r>
        <w:rPr>
          <w:spacing w:val="-1"/>
        </w:rPr>
        <w:t>ú</w:t>
      </w:r>
      <w:r>
        <w:rPr>
          <w:spacing w:val="3"/>
        </w:rPr>
        <w:t>r</w:t>
      </w:r>
      <w:r>
        <w:rPr>
          <w:spacing w:val="2"/>
        </w:rPr>
        <w:t>o</w:t>
      </w:r>
      <w:r>
        <w:rPr>
          <w:spacing w:val="-2"/>
        </w:rPr>
        <w:t>v</w:t>
      </w:r>
      <w:r>
        <w:rPr>
          <w:spacing w:val="-1"/>
        </w:rPr>
        <w:t>n</w:t>
      </w:r>
      <w:r>
        <w:t>i</w:t>
      </w:r>
      <w:r>
        <w:rPr>
          <w:spacing w:val="-3"/>
        </w:rPr>
        <w:t xml:space="preserve"> </w:t>
      </w:r>
      <w:r>
        <w:rPr>
          <w:spacing w:val="-1"/>
        </w:rPr>
        <w:t>(</w:t>
      </w:r>
      <w:r>
        <w:t>d</w:t>
      </w:r>
      <w:r>
        <w:rPr>
          <w:spacing w:val="1"/>
        </w:rPr>
        <w:t>l</w:t>
      </w:r>
      <w:r>
        <w:t>e</w:t>
      </w:r>
      <w:r>
        <w:rPr>
          <w:spacing w:val="-3"/>
        </w:rPr>
        <w:t xml:space="preserve"> </w:t>
      </w:r>
      <w:r>
        <w:rPr>
          <w:spacing w:val="1"/>
        </w:rPr>
        <w:t>čl</w:t>
      </w:r>
      <w:r>
        <w:t>.</w:t>
      </w:r>
      <w:r>
        <w:rPr>
          <w:spacing w:val="-1"/>
        </w:rPr>
        <w:t xml:space="preserve"> </w:t>
      </w:r>
      <w:r>
        <w:t>38</w:t>
      </w:r>
      <w:r>
        <w:rPr>
          <w:spacing w:val="-2"/>
        </w:rPr>
        <w:t xml:space="preserve"> </w:t>
      </w:r>
      <w:r>
        <w:rPr>
          <w:spacing w:val="-1"/>
        </w:rPr>
        <w:t>(</w:t>
      </w:r>
      <w:r>
        <w:t>1)</w:t>
      </w:r>
      <w:r>
        <w:rPr>
          <w:spacing w:val="-2"/>
        </w:rPr>
        <w:t xml:space="preserve"> </w:t>
      </w:r>
      <w:r>
        <w:rPr>
          <w:spacing w:val="-1"/>
        </w:rPr>
        <w:t>(</w:t>
      </w:r>
      <w:r>
        <w:rPr>
          <w:spacing w:val="2"/>
        </w:rPr>
        <w:t>b</w:t>
      </w:r>
      <w:r>
        <w:rPr>
          <w:spacing w:val="-1"/>
        </w:rPr>
        <w:t>))</w:t>
      </w:r>
      <w:r>
        <w:t>.</w:t>
      </w:r>
    </w:p>
    <w:p w:rsidR="00BA5521" w:rsidRDefault="00BA5521" w:rsidP="00171265">
      <w:pPr>
        <w:pStyle w:val="Nadpis4"/>
      </w:pPr>
      <w:r>
        <w:t>Charakteristika finančních nástrojů dle jejich zaměření</w:t>
      </w:r>
      <w:r w:rsidR="009E7074">
        <w:rPr>
          <w:rStyle w:val="Znakapoznpodarou"/>
        </w:rPr>
        <w:footnoteReference w:id="90"/>
      </w:r>
    </w:p>
    <w:p w:rsidR="00C12906" w:rsidRDefault="00973E15" w:rsidP="0049720A">
      <w:pPr>
        <w:pStyle w:val="Odskoknadpis4"/>
      </w:pPr>
      <w:r>
        <w:t xml:space="preserve">Variabilita těchto nástrojů je velmi široká. Obecně se zmiňují 3 základní oblasti </w:t>
      </w:r>
      <w:r w:rsidR="00420428">
        <w:t>IFN</w:t>
      </w:r>
      <w:r>
        <w:t>, ale často není plně pochopen celkový potenciál.</w:t>
      </w:r>
    </w:p>
    <w:p w:rsidR="00973E15" w:rsidRDefault="00973E15" w:rsidP="0049720A">
      <w:pPr>
        <w:pStyle w:val="Odskoknadpis4"/>
      </w:pPr>
      <w:r>
        <w:t xml:space="preserve">Obecně se zmiňují 3 okruhy </w:t>
      </w:r>
      <w:r w:rsidR="00420428">
        <w:t>IFN</w:t>
      </w:r>
      <w:r>
        <w:t>:</w:t>
      </w:r>
    </w:p>
    <w:p w:rsidR="00973E15" w:rsidRPr="00563C78" w:rsidRDefault="00973E15" w:rsidP="00563C78">
      <w:pPr>
        <w:pStyle w:val="Odskoknadpis4"/>
        <w:numPr>
          <w:ilvl w:val="0"/>
          <w:numId w:val="13"/>
        </w:numPr>
        <w:ind w:left="1281" w:hanging="357"/>
        <w:contextualSpacing/>
        <w:rPr>
          <w:b/>
        </w:rPr>
      </w:pPr>
      <w:r w:rsidRPr="00563C78">
        <w:rPr>
          <w:b/>
        </w:rPr>
        <w:t xml:space="preserve">Nástroje kapitálové </w:t>
      </w:r>
    </w:p>
    <w:p w:rsidR="00973E15" w:rsidRPr="00563C78" w:rsidRDefault="00973E15" w:rsidP="00563C78">
      <w:pPr>
        <w:pStyle w:val="Odskoknadpis4"/>
        <w:numPr>
          <w:ilvl w:val="0"/>
          <w:numId w:val="13"/>
        </w:numPr>
        <w:ind w:left="1281" w:hanging="357"/>
        <w:contextualSpacing/>
        <w:rPr>
          <w:b/>
        </w:rPr>
      </w:pPr>
      <w:r w:rsidRPr="00563C78">
        <w:rPr>
          <w:b/>
        </w:rPr>
        <w:t xml:space="preserve">Nástroje </w:t>
      </w:r>
      <w:r w:rsidR="00563C78">
        <w:rPr>
          <w:b/>
        </w:rPr>
        <w:t>dluhové</w:t>
      </w:r>
    </w:p>
    <w:p w:rsidR="00973E15" w:rsidRPr="00563C78" w:rsidRDefault="00973E15" w:rsidP="003942C6">
      <w:pPr>
        <w:pStyle w:val="Odskoknadpis4"/>
        <w:numPr>
          <w:ilvl w:val="0"/>
          <w:numId w:val="13"/>
        </w:numPr>
        <w:rPr>
          <w:b/>
        </w:rPr>
      </w:pPr>
      <w:r w:rsidRPr="00563C78">
        <w:rPr>
          <w:b/>
        </w:rPr>
        <w:t>Nástroje záruční</w:t>
      </w:r>
    </w:p>
    <w:p w:rsidR="00AA08FF" w:rsidRDefault="00973E15" w:rsidP="0049720A">
      <w:pPr>
        <w:pStyle w:val="Odskoknadpis4"/>
      </w:pPr>
      <w:r>
        <w:lastRenderedPageBreak/>
        <w:t xml:space="preserve">Z tohoto rozdělení se pak odvíjí, představa, že </w:t>
      </w:r>
      <w:r w:rsidR="00A56B56">
        <w:t>IFN</w:t>
      </w:r>
      <w:r>
        <w:t xml:space="preserve"> jsou </w:t>
      </w:r>
      <w:r w:rsidR="003A4A4A">
        <w:t xml:space="preserve">pouze </w:t>
      </w:r>
      <w:r>
        <w:t xml:space="preserve">úvěry, záruky a kapitálové vstupy do začínajících firem ve formě </w:t>
      </w:r>
      <w:r w:rsidR="003A4A4A">
        <w:t>priva</w:t>
      </w:r>
      <w:r>
        <w:t xml:space="preserve">te equity fondů. Svět finančních trhů je však mnohem širší </w:t>
      </w:r>
      <w:r w:rsidR="00E529C6">
        <w:t>a </w:t>
      </w:r>
      <w:r>
        <w:t>poskytuje neskonale více nástrojů plnících stejné funkce</w:t>
      </w:r>
      <w:r w:rsidR="00AA08FF">
        <w:t>.</w:t>
      </w:r>
    </w:p>
    <w:p w:rsidR="00101500" w:rsidRDefault="00101500" w:rsidP="0049720A">
      <w:pPr>
        <w:pStyle w:val="Odskoknadpis4"/>
      </w:pPr>
      <w:r>
        <w:t xml:space="preserve">Níže </w:t>
      </w:r>
      <w:r w:rsidR="00E665A6">
        <w:t xml:space="preserve">je uveden </w:t>
      </w:r>
      <w:r>
        <w:t xml:space="preserve">základní popis jednotlivých </w:t>
      </w:r>
      <w:r w:rsidR="00986EE0">
        <w:t>IFN</w:t>
      </w:r>
      <w:r>
        <w:t>, které mohou být takto využity, přičemž se jedná pouze o stručný popis fungování daného nástroje a základních charakteristik.</w:t>
      </w:r>
    </w:p>
    <w:p w:rsidR="00973E15" w:rsidRPr="0049720A" w:rsidRDefault="00973E15" w:rsidP="0049720A">
      <w:pPr>
        <w:pStyle w:val="Odskoknadpis4"/>
        <w:rPr>
          <w:b/>
        </w:rPr>
      </w:pPr>
      <w:r w:rsidRPr="0049720A">
        <w:rPr>
          <w:b/>
        </w:rPr>
        <w:t>Nástroje kapitálové</w:t>
      </w:r>
    </w:p>
    <w:p w:rsidR="00AA08FF" w:rsidRDefault="00973E15" w:rsidP="0049720A">
      <w:pPr>
        <w:pStyle w:val="Odskoknadpis4"/>
      </w:pPr>
      <w:r>
        <w:t>Každý projekt, každý podnikatelský subjekt, ale i subjekt státní správy musí pro svou činnost disponovat určitým finančním majetkem, vlastními finančními zdroji, díky kterým může fungovat</w:t>
      </w:r>
      <w:r w:rsidR="00AA08FF">
        <w:t>.</w:t>
      </w:r>
    </w:p>
    <w:p w:rsidR="002D1BBD" w:rsidRDefault="002D1BBD" w:rsidP="0049720A">
      <w:pPr>
        <w:pStyle w:val="Odskoknadpis4"/>
      </w:pPr>
      <w:r>
        <w:t xml:space="preserve">Jedná se o investice do základního kapitálu cílových společností, za kterou investor obdrží vlastnický podíl. Může se jednat o investice jak v okamžiku založení cílové společnosti, tak </w:t>
      </w:r>
      <w:r w:rsidR="00E529C6">
        <w:t>v </w:t>
      </w:r>
      <w:r>
        <w:t>pozdější fázi na základě navýšení základního kapitálu cílové společnosti. Kromě toho lze investovat do vlastního kapitálu formou příplatků k vlastnímu kapitálu resp. posílením kapitálových fondů.</w:t>
      </w:r>
      <w:r w:rsidR="006E2D37">
        <w:t xml:space="preserve"> Z pohledu formy investice lze využít jak peněžitý, tak nepeněžitý vklad, např. v podobě pozemku, budovy či duševní</w:t>
      </w:r>
      <w:r w:rsidR="002824CA">
        <w:t>ho</w:t>
      </w:r>
      <w:r w:rsidR="006E2D37">
        <w:t xml:space="preserve"> vlastnictví.</w:t>
      </w:r>
    </w:p>
    <w:p w:rsidR="002D1BBD" w:rsidRDefault="002D1BBD" w:rsidP="0049720A">
      <w:pPr>
        <w:pStyle w:val="Odskoknadpis4"/>
      </w:pPr>
      <w:r>
        <w:t xml:space="preserve">Investor se zde stává skutečným spolumajitelem firmy s cílem uzavřít s původním vlastníkem vzájemné smlouvy a dohody, aby mohl mít přístup ke kontrole naplánovaného vývoje a také </w:t>
      </w:r>
      <w:r w:rsidR="00E529C6">
        <w:t>ke </w:t>
      </w:r>
      <w:r>
        <w:t>kontrole naplňování ekonomických ukazatelů</w:t>
      </w:r>
    </w:p>
    <w:p w:rsidR="00AA08FF" w:rsidRDefault="00755E19" w:rsidP="0049720A">
      <w:pPr>
        <w:pStyle w:val="Odskoknadpis4"/>
      </w:pPr>
      <w:r>
        <w:t>Za</w:t>
      </w:r>
      <w:r w:rsidR="000F6A62">
        <w:t xml:space="preserve"> kapitálové </w:t>
      </w:r>
      <w:r w:rsidR="00A56B56">
        <w:t>IFN</w:t>
      </w:r>
      <w:r w:rsidR="000F6A62">
        <w:t xml:space="preserve"> </w:t>
      </w:r>
      <w:r w:rsidR="00E665A6">
        <w:t xml:space="preserve">lze </w:t>
      </w:r>
      <w:r w:rsidR="000F6A62">
        <w:t>považovat kapitálové vklady do projektových společností zřízených pouze za účelem realizace investičního projektu (jakákoliv infrastruktura, brownfieldy, výstavba sociálního bydlení atd.)</w:t>
      </w:r>
      <w:r w:rsidR="008666F0">
        <w:t xml:space="preserve"> a</w:t>
      </w:r>
      <w:r w:rsidR="000F6A62">
        <w:t xml:space="preserve"> vklady nepeněžitého charakteru do projektových společností (pozemky, nevyužité nemovitosti, brownfieldy atd.). Dále lze za kapitálové nástroje počítat investice </w:t>
      </w:r>
      <w:r w:rsidR="00E529C6">
        <w:t>ve </w:t>
      </w:r>
      <w:r w:rsidR="000F6A62">
        <w:t>formě private equity</w:t>
      </w:r>
      <w:r w:rsidR="0089495C">
        <w:rPr>
          <w:rStyle w:val="Znakapoznpodarou"/>
        </w:rPr>
        <w:footnoteReference w:id="91"/>
      </w:r>
      <w:r w:rsidR="006E2D37">
        <w:t>,</w:t>
      </w:r>
      <w:r w:rsidR="000F6A62">
        <w:t xml:space="preserve"> a to nejenom v podobě fondů rozvojového kapitálu</w:t>
      </w:r>
      <w:r w:rsidR="00AA08FF">
        <w:t>.</w:t>
      </w:r>
    </w:p>
    <w:p w:rsidR="002D1BBD" w:rsidRPr="0049720A" w:rsidRDefault="002D1BBD" w:rsidP="0049720A">
      <w:pPr>
        <w:pStyle w:val="Odskoknadpis4"/>
        <w:rPr>
          <w:b/>
        </w:rPr>
      </w:pPr>
      <w:r w:rsidRPr="0049720A">
        <w:rPr>
          <w:b/>
        </w:rPr>
        <w:t>Nástroje kvazi - kapitálové</w:t>
      </w:r>
    </w:p>
    <w:p w:rsidR="00B522A0" w:rsidRDefault="002D1BBD" w:rsidP="0049720A">
      <w:pPr>
        <w:pStyle w:val="Odskoknadpis4"/>
      </w:pPr>
      <w:r>
        <w:t>Za kapitálový nástroj může být považováno i poskytnutí finančních zdrojů ve formě tzv. kvazi-equity financování (kvazi</w:t>
      </w:r>
      <w:r w:rsidR="00D94E4B">
        <w:t xml:space="preserve"> </w:t>
      </w:r>
      <w:r>
        <w:t>vlastní kapitál)</w:t>
      </w:r>
      <w:r w:rsidR="006E2D37">
        <w:t>, tedy investicí do podřízeného dluhu</w:t>
      </w:r>
      <w:r w:rsidR="006E2D37">
        <w:rPr>
          <w:rStyle w:val="Znakapoznpodarou"/>
        </w:rPr>
        <w:footnoteReference w:id="92"/>
      </w:r>
      <w:r w:rsidR="006E2D37">
        <w:t>.</w:t>
      </w:r>
    </w:p>
    <w:p w:rsidR="00AA08FF" w:rsidRDefault="002D1BBD" w:rsidP="0049720A">
      <w:pPr>
        <w:pStyle w:val="Odskoknadpis4"/>
      </w:pPr>
      <w:r>
        <w:t>Jedná se o takový typ financování, kter</w:t>
      </w:r>
      <w:r w:rsidR="00FA750C">
        <w:t>ý</w:t>
      </w:r>
      <w:r>
        <w:t xml:space="preserve"> stojí mezi kapitálovou investicí a dluhem, je rizikovější než přednostní dluh a méně rizikov</w:t>
      </w:r>
      <w:r w:rsidR="00FA750C">
        <w:t>ý</w:t>
      </w:r>
      <w:r>
        <w:t xml:space="preserve"> než běžná kapitálová investice</w:t>
      </w:r>
      <w:r w:rsidR="00FA750C">
        <w:t xml:space="preserve">, nicméně bez zajištění </w:t>
      </w:r>
      <w:r w:rsidR="00FA750C" w:rsidRPr="00FA750C">
        <w:t xml:space="preserve">rizika </w:t>
      </w:r>
      <w:r w:rsidRPr="00FA750C">
        <w:t>pro případ nesplacení. Návratnost těchto úvěrů je spojena s výkonností cílové společnosti (tzn</w:t>
      </w:r>
      <w:r w:rsidR="00E529C6" w:rsidRPr="00FA750C">
        <w:t>.,</w:t>
      </w:r>
      <w:r w:rsidR="00E529C6">
        <w:t> </w:t>
      </w:r>
      <w:r w:rsidRPr="00FA750C">
        <w:t>že v</w:t>
      </w:r>
      <w:r>
        <w:t>ýnos pro držitele je založen především na ziscích nebo ztrátách cílového podniku)</w:t>
      </w:r>
      <w:r w:rsidR="00AA08FF">
        <w:t>.</w:t>
      </w:r>
    </w:p>
    <w:p w:rsidR="002D1BBD" w:rsidRDefault="002D1BBD" w:rsidP="0049720A">
      <w:pPr>
        <w:pStyle w:val="Odskoknadpis4"/>
      </w:pPr>
      <w:r>
        <w:t>Kvazi</w:t>
      </w:r>
      <w:r w:rsidR="00D94E4B">
        <w:t xml:space="preserve"> </w:t>
      </w:r>
      <w:r>
        <w:t xml:space="preserve">kapitálové investice mohou mít strukturu dluhu, nezajištěného a podřízeného (včetně mezaninového dluhu), který lze v některých případech převést na kapitál, </w:t>
      </w:r>
      <w:r w:rsidRPr="007231BD">
        <w:t xml:space="preserve">nebo </w:t>
      </w:r>
      <w:r w:rsidR="007231BD" w:rsidRPr="007231BD">
        <w:t xml:space="preserve">do </w:t>
      </w:r>
      <w:r w:rsidRPr="007231BD">
        <w:t>prioritních akcií.</w:t>
      </w:r>
    </w:p>
    <w:p w:rsidR="000F6A62" w:rsidRDefault="000F6A62" w:rsidP="0049720A">
      <w:pPr>
        <w:pStyle w:val="Odskoknadpis4"/>
      </w:pPr>
      <w:r>
        <w:t xml:space="preserve">Podřízený dluh je dluh, který není zajištěný, a proto například další financování úvěrem má přednostní právo na uspokojení svých pohledávek před věřitelem podřízeného dluhu. </w:t>
      </w:r>
      <w:r w:rsidR="003204C3">
        <w:t>Do jisté míry tak má podobný charakter</w:t>
      </w:r>
      <w:r>
        <w:t xml:space="preserve"> jako kapitálový vstup</w:t>
      </w:r>
      <w:r w:rsidR="003204C3">
        <w:t xml:space="preserve">, neboť při </w:t>
      </w:r>
      <w:r>
        <w:t xml:space="preserve">neúspěchu financovaného </w:t>
      </w:r>
      <w:r>
        <w:lastRenderedPageBreak/>
        <w:t>projektu a úpadku cílové společnosti mohou sice být uspokojeny nároky investorů, kteří takto svůj kapitál na projekt poskytli, ale až po vypořádání pohledávek z bankovních úvěrů a ostatních pohledávek věřitelů (kromě plnění nároků akcionářů).</w:t>
      </w:r>
    </w:p>
    <w:p w:rsidR="000F6A62" w:rsidRDefault="003204C3" w:rsidP="0049720A">
      <w:pPr>
        <w:pStyle w:val="Odskoknadpis4"/>
      </w:pPr>
      <w:r>
        <w:t xml:space="preserve">Výhoda </w:t>
      </w:r>
      <w:r w:rsidR="000F6A62">
        <w:t xml:space="preserve">podřízeného dluhu </w:t>
      </w:r>
      <w:r>
        <w:t>spočívá v tom</w:t>
      </w:r>
      <w:r w:rsidR="000F6A62">
        <w:t xml:space="preserve">, že </w:t>
      </w:r>
      <w:r>
        <w:t>i přes statut</w:t>
      </w:r>
      <w:r w:rsidR="000F6A62">
        <w:t xml:space="preserve"> cizí</w:t>
      </w:r>
      <w:r>
        <w:t>ho</w:t>
      </w:r>
      <w:r w:rsidR="000F6A62">
        <w:t xml:space="preserve"> zdroj</w:t>
      </w:r>
      <w:r>
        <w:t>e (dle účetnictví)</w:t>
      </w:r>
      <w:r w:rsidR="000F6A62">
        <w:t xml:space="preserve"> může být při p</w:t>
      </w:r>
      <w:r>
        <w:t xml:space="preserve">osuzování bonity příjemce úvěru </w:t>
      </w:r>
      <w:r w:rsidR="000F6A62">
        <w:t xml:space="preserve">(např. ze strany komerčních bank) považován za vlastní zdroje podnikatele, tzn. se </w:t>
      </w:r>
      <w:r>
        <w:t>„</w:t>
      </w:r>
      <w:r w:rsidR="000F6A62">
        <w:t>chová</w:t>
      </w:r>
      <w:r>
        <w:t>“</w:t>
      </w:r>
      <w:r w:rsidR="000F6A62">
        <w:t xml:space="preserve"> jako vlastní zdroj. </w:t>
      </w:r>
      <w:r>
        <w:t>Poskytnutí prostředků ve formě</w:t>
      </w:r>
      <w:r w:rsidR="000F6A62">
        <w:t xml:space="preserve"> podřízeného úvěru by </w:t>
      </w:r>
      <w:r>
        <w:t xml:space="preserve">tedy </w:t>
      </w:r>
      <w:r w:rsidR="000F6A62">
        <w:t>měl</w:t>
      </w:r>
      <w:r>
        <w:t>o současně usnadnit</w:t>
      </w:r>
      <w:r w:rsidR="000F6A62">
        <w:t xml:space="preserve"> přístup k získání spolufinancování projektu klasickým bankovním úvěrem.</w:t>
      </w:r>
    </w:p>
    <w:p w:rsidR="003204C3" w:rsidRDefault="003204C3" w:rsidP="0049720A">
      <w:pPr>
        <w:pStyle w:val="Odskoknadpis4"/>
      </w:pPr>
      <w:r>
        <w:t>Poskytování podřízených úvěrů by mělo být spojeno i s kapitálovým vstupem, resp. na něj navazovat. Optimálním postupem je nejprve kapitálový vklad v určité výši odpovídající danému podílu na cílové společnosti, zbývající část investice je pak poskytnuta jako podřízený dluh.</w:t>
      </w:r>
      <w:r w:rsidR="00AA08FF">
        <w:t xml:space="preserve"> </w:t>
      </w:r>
      <w:r>
        <w:t>Investice pouze v podobě po</w:t>
      </w:r>
      <w:r w:rsidR="00D106C4">
        <w:t>d</w:t>
      </w:r>
      <w:r>
        <w:t xml:space="preserve">řízeného (tedy nezajištěného) dluhu bez paralelní majetkové účasti je velmi riskantní, neboť nezajistí dostatečnou kontrolu nad hospodařením </w:t>
      </w:r>
      <w:r w:rsidR="004667A4">
        <w:t xml:space="preserve">konečného </w:t>
      </w:r>
      <w:r>
        <w:t>příjemce takovéto podpory.</w:t>
      </w:r>
    </w:p>
    <w:p w:rsidR="00E731F9" w:rsidRPr="00297EC0" w:rsidRDefault="00E731F9" w:rsidP="0049720A">
      <w:pPr>
        <w:pStyle w:val="Odskoknadpis4"/>
        <w:rPr>
          <w:b/>
        </w:rPr>
      </w:pPr>
      <w:r w:rsidRPr="00297EC0">
        <w:rPr>
          <w:b/>
        </w:rPr>
        <w:t>Nástroje dluhové</w:t>
      </w:r>
    </w:p>
    <w:p w:rsidR="003204C3" w:rsidRDefault="00E731F9" w:rsidP="0049720A">
      <w:pPr>
        <w:pStyle w:val="Odskoknadpis4"/>
      </w:pPr>
      <w:r>
        <w:t xml:space="preserve">Dluhové nástroje jsou </w:t>
      </w:r>
      <w:r w:rsidR="00E65164">
        <w:t>typ</w:t>
      </w:r>
      <w:r w:rsidR="003204C3">
        <w:t>em</w:t>
      </w:r>
      <w:r w:rsidR="00E65164">
        <w:t xml:space="preserve"> finančního nástroje spočívající</w:t>
      </w:r>
      <w:r w:rsidR="003204C3">
        <w:t>m</w:t>
      </w:r>
      <w:r w:rsidR="00E65164">
        <w:t xml:space="preserve"> v návratném poskytování finančních prostředků za předem dohodnutých podmínek</w:t>
      </w:r>
      <w:r w:rsidR="003204C3">
        <w:t xml:space="preserve">. Existuje tedy závazek </w:t>
      </w:r>
      <w:r w:rsidR="004667A4">
        <w:t xml:space="preserve">konečného </w:t>
      </w:r>
      <w:r w:rsidR="003204C3">
        <w:t>příjemce v určeném čase a v určené formě získané finanční prostředky splatit.</w:t>
      </w:r>
      <w:r w:rsidR="00E65164">
        <w:t xml:space="preserve"> </w:t>
      </w:r>
      <w:r w:rsidR="003204C3">
        <w:t xml:space="preserve">Dále jsou stanoveny podmínky jako </w:t>
      </w:r>
      <w:r w:rsidR="00E65164">
        <w:t>doba splatnosti, výše a typ úrokové sazby, podmínky poskytnutí úvěru včetně jištění, tj. záruky, podmínky smluvního úvěrového vztahu mezi věřitelem a dlužníkem.</w:t>
      </w:r>
      <w:r w:rsidR="00E65164" w:rsidRPr="00E65164">
        <w:t xml:space="preserve"> </w:t>
      </w:r>
      <w:r w:rsidR="003204C3">
        <w:t xml:space="preserve">Základními formami dluhových </w:t>
      </w:r>
      <w:r w:rsidR="00420428">
        <w:t>IFN</w:t>
      </w:r>
      <w:r w:rsidR="003204C3">
        <w:t xml:space="preserve"> jso</w:t>
      </w:r>
      <w:r w:rsidR="00DB3145">
        <w:t>u úvěry a dluhopisy (nejčastěji korporátní či přímo projektové).</w:t>
      </w:r>
    </w:p>
    <w:p w:rsidR="00E65164" w:rsidRDefault="003204C3" w:rsidP="0049720A">
      <w:pPr>
        <w:pStyle w:val="Odskoknadpis4"/>
      </w:pPr>
      <w:r>
        <w:t xml:space="preserve">V oblasti úvěrů existuje řada různých typů, od </w:t>
      </w:r>
      <w:r w:rsidR="00E65164">
        <w:t>investičních</w:t>
      </w:r>
      <w:r>
        <w:t xml:space="preserve"> přes</w:t>
      </w:r>
      <w:r w:rsidR="00E65164">
        <w:t xml:space="preserve"> provozní, </w:t>
      </w:r>
      <w:r>
        <w:t xml:space="preserve">projektové, </w:t>
      </w:r>
      <w:r w:rsidR="00E65164">
        <w:t>na krytí nepravidelného toku cash flow</w:t>
      </w:r>
      <w:r>
        <w:t xml:space="preserve"> apod. Specifické postavení pak mají úvěry zvýhodněné, které</w:t>
      </w:r>
      <w:r w:rsidR="00E65164">
        <w:t xml:space="preserve"> </w:t>
      </w:r>
      <w:r>
        <w:t xml:space="preserve">předpokládají </w:t>
      </w:r>
      <w:r w:rsidR="00E65164">
        <w:t>poskytnutí finančních zdrojů za podmínek, které jsou pro dlužníka výhodnější oproti obvyklým tržním možnostem (např. snížená úroková sazba, případně nulová sazba, dlouhodobá fixace u výše úrokové sazby, možnost odkladu splátek, možnost předčasného splacení, prodloužená nebo flexibilní délka splatnosti, požadavek na menší než obvyklý podíl vlastních zdrojů).</w:t>
      </w:r>
    </w:p>
    <w:p w:rsidR="002D1BBD" w:rsidRDefault="002D1BBD" w:rsidP="0049720A">
      <w:pPr>
        <w:pStyle w:val="Odskoknadpis4"/>
      </w:pPr>
      <w:r>
        <w:t xml:space="preserve">Prioritní </w:t>
      </w:r>
      <w:r w:rsidR="00E87264" w:rsidRPr="00E25C1F">
        <w:t>dluh/úvěr</w:t>
      </w:r>
      <w:r>
        <w:t xml:space="preserve"> („senior loan“) j</w:t>
      </w:r>
      <w:r w:rsidR="00E214E6">
        <w:t>e</w:t>
      </w:r>
      <w:r w:rsidR="003204C3">
        <w:t xml:space="preserve"> pak</w:t>
      </w:r>
      <w:r>
        <w:t xml:space="preserve"> závazkem, na který lze poskytnout specifickou záruku </w:t>
      </w:r>
      <w:r w:rsidR="00E529C6">
        <w:t>a </w:t>
      </w:r>
      <w:r>
        <w:t>který je splácen přednostně vzhledem k ostatním dluhům („podřízeným dluhům“). Jedná se tedy o nadřízený dluh.</w:t>
      </w:r>
    </w:p>
    <w:p w:rsidR="00AA08FF" w:rsidRDefault="002D1BBD" w:rsidP="0049720A">
      <w:pPr>
        <w:pStyle w:val="Odskoknadpis4"/>
      </w:pPr>
      <w:r>
        <w:t>Mikropůjčk</w:t>
      </w:r>
      <w:r w:rsidR="00DB3145">
        <w:t>y jako další typ úvěrů představují (</w:t>
      </w:r>
      <w:r>
        <w:t>podle definice EK</w:t>
      </w:r>
      <w:r w:rsidR="00DB3145">
        <w:t>)</w:t>
      </w:r>
      <w:r>
        <w:t xml:space="preserve"> úvěr</w:t>
      </w:r>
      <w:r w:rsidR="00DB3145">
        <w:t>y</w:t>
      </w:r>
      <w:r>
        <w:t xml:space="preserve"> do 25</w:t>
      </w:r>
      <w:r w:rsidR="00DB3145">
        <w:t> </w:t>
      </w:r>
      <w:r>
        <w:t>000</w:t>
      </w:r>
      <w:r w:rsidR="00DB3145">
        <w:t> </w:t>
      </w:r>
      <w:r>
        <w:t xml:space="preserve">EUR, </w:t>
      </w:r>
      <w:r w:rsidR="00DB3145">
        <w:t xml:space="preserve">určené </w:t>
      </w:r>
      <w:r>
        <w:t xml:space="preserve">jak novým, tak existujícím drobným podnikatelům (do 9 zaměstnanců) a </w:t>
      </w:r>
      <w:r w:rsidR="00DB3145">
        <w:t>fyzickým osobám</w:t>
      </w:r>
      <w:r>
        <w:t xml:space="preserve">, které se chtějí stát samostatně výdělečně činnými („zaměstnat sami sebe“), ale mají obtížný přístup </w:t>
      </w:r>
      <w:r w:rsidR="00E529C6">
        <w:t>k </w:t>
      </w:r>
      <w:r>
        <w:t>získání klasických bankovních úvěrů</w:t>
      </w:r>
      <w:r w:rsidR="00AA08FF">
        <w:t>.</w:t>
      </w:r>
    </w:p>
    <w:p w:rsidR="002A4107" w:rsidRDefault="002D1BBD" w:rsidP="0049720A">
      <w:pPr>
        <w:pStyle w:val="Odskoknadpis4"/>
      </w:pPr>
      <w:r>
        <w:t>Nevýhodou</w:t>
      </w:r>
      <w:r w:rsidR="00DB3145">
        <w:t xml:space="preserve"> dluhových nástrojů, tedy</w:t>
      </w:r>
      <w:r>
        <w:t xml:space="preserve"> úvěrů</w:t>
      </w:r>
      <w:r w:rsidR="00DB3145">
        <w:t xml:space="preserve"> či standardních (tedy nepodřízených) dluhopisů,</w:t>
      </w:r>
      <w:r>
        <w:t xml:space="preserve"> oproti kapitálovým </w:t>
      </w:r>
      <w:r w:rsidR="00DB3145">
        <w:t xml:space="preserve">či kvazi-kapitálovým </w:t>
      </w:r>
      <w:r>
        <w:t>nástrojům je jejich malá schopnost multiplikovat další zdroje</w:t>
      </w:r>
      <w:r w:rsidR="00DB3145">
        <w:t>, neboť</w:t>
      </w:r>
      <w:r>
        <w:t xml:space="preserve"> zadlužení konečného příjemce nezvyšuje jeho kapacitu pro získání dalších zdrojů. </w:t>
      </w:r>
      <w:r w:rsidR="002A4107">
        <w:t xml:space="preserve">Pro dosažení maximálního multiplikačního efektu je </w:t>
      </w:r>
      <w:r w:rsidR="00DB3145">
        <w:t xml:space="preserve">proto obecně </w:t>
      </w:r>
      <w:r w:rsidR="002A4107">
        <w:t xml:space="preserve">vhodné </w:t>
      </w:r>
      <w:r w:rsidR="00DB3145">
        <w:t>zapojit nejdříve</w:t>
      </w:r>
      <w:r w:rsidR="002A4107">
        <w:t xml:space="preserve"> </w:t>
      </w:r>
      <w:r w:rsidR="00DB3145">
        <w:t xml:space="preserve">kapitálový </w:t>
      </w:r>
      <w:r w:rsidR="00EA2C3F">
        <w:t>IFN</w:t>
      </w:r>
      <w:r w:rsidR="002A4107">
        <w:t xml:space="preserve"> (pokud to charakter opatření vůbec umožňuje)</w:t>
      </w:r>
      <w:r w:rsidR="00DB3145">
        <w:t>, doplnit jej kvazi-kapitálovým nástrojem a v případě potřeby dále</w:t>
      </w:r>
      <w:r w:rsidR="002A4107">
        <w:t xml:space="preserve"> využít široké nabídky dluhových nástrojů od finančního sektoru.</w:t>
      </w:r>
    </w:p>
    <w:p w:rsidR="002A4107" w:rsidRPr="00297EC0" w:rsidRDefault="001B421C" w:rsidP="0049720A">
      <w:pPr>
        <w:pStyle w:val="Odskoknadpis4"/>
        <w:rPr>
          <w:b/>
        </w:rPr>
      </w:pPr>
      <w:r w:rsidRPr="00297EC0">
        <w:rPr>
          <w:b/>
        </w:rPr>
        <w:t xml:space="preserve">Záruční </w:t>
      </w:r>
      <w:r w:rsidR="00787752">
        <w:rPr>
          <w:b/>
        </w:rPr>
        <w:t>mechanizm</w:t>
      </w:r>
      <w:r w:rsidRPr="00297EC0">
        <w:rPr>
          <w:b/>
        </w:rPr>
        <w:t>y</w:t>
      </w:r>
    </w:p>
    <w:p w:rsidR="001B421C" w:rsidRDefault="00E87264" w:rsidP="0049720A">
      <w:pPr>
        <w:pStyle w:val="Odskoknadpis4"/>
      </w:pPr>
      <w:r w:rsidRPr="00E25C1F">
        <w:lastRenderedPageBreak/>
        <w:t>Obecně je zárukou takový mechanizmus, který jednomu ze zúčastněných subjektů financování snižuje míru jeho kreditního rizika. Záruční mechanizmy ovšem mohou zahrnovat jak přímé poskytnutí záruky za splacení závazku, nejčastěji úvěru, tak také poměrně komplikované mechanizmy. Záruky mohou být vydávány k celému portfoliu úvěrových případů (diverzifikace rizika a snižování pravděpodobnosti ztráty), anebo být tvořeny například ve formě tzv. first piece loss</w:t>
      </w:r>
      <w:r w:rsidR="00E25C1F" w:rsidRPr="00E25C1F">
        <w:rPr>
          <w:rStyle w:val="Znakapoznpodarou"/>
        </w:rPr>
        <w:footnoteReference w:id="93"/>
      </w:r>
      <w:r w:rsidRPr="00E25C1F">
        <w:t xml:space="preserve"> mechanizmu, kdy jeden z finančních partnerů přebírá na svůj díl v projektu vyšší riziko než druhý partner.</w:t>
      </w:r>
      <w:r w:rsidRPr="00E25C1F">
        <w:rPr>
          <w:rStyle w:val="Znakapoznpodarou"/>
        </w:rPr>
        <w:footnoteReference w:id="94"/>
      </w:r>
      <w:r w:rsidRPr="00E25C1F">
        <w:t xml:space="preserve"> Příkladem může být struktura tzv. lucemburských fondů, které jsou zvažovány k implementaci IFN na Slovensku</w:t>
      </w:r>
      <w:r w:rsidRPr="00E25C1F">
        <w:rPr>
          <w:rStyle w:val="Znakapoznpodarou"/>
        </w:rPr>
        <w:footnoteReference w:id="95"/>
      </w:r>
      <w:r w:rsidRPr="00E25C1F">
        <w:t>.</w:t>
      </w:r>
    </w:p>
    <w:p w:rsidR="00346DE4" w:rsidRPr="00346DE4" w:rsidRDefault="00346DE4" w:rsidP="00346DE4">
      <w:pPr>
        <w:pStyle w:val="Odskoknadpis4"/>
        <w:rPr>
          <w:b/>
        </w:rPr>
      </w:pPr>
      <w:r w:rsidRPr="00346DE4">
        <w:rPr>
          <w:b/>
        </w:rPr>
        <w:t>Další formy IFN</w:t>
      </w:r>
    </w:p>
    <w:p w:rsidR="00346DE4" w:rsidRDefault="00346DE4" w:rsidP="00346DE4">
      <w:pPr>
        <w:pStyle w:val="Odskoknadpis4"/>
      </w:pPr>
      <w:r>
        <w:t>Za finanční nástroje je možné považovat i jiné formy obecně splňující nařízení EK k IFN v jiných formách, a to na základě závěrů ex-ante analýz ŘO (např. aktivity proof of concept).</w:t>
      </w:r>
    </w:p>
    <w:p w:rsidR="00DB7085" w:rsidRDefault="00DB7085" w:rsidP="00171265">
      <w:pPr>
        <w:pStyle w:val="Nadpis3"/>
      </w:pPr>
      <w:bookmarkStart w:id="42" w:name="_Toc410115452"/>
      <w:r>
        <w:t xml:space="preserve">Evropské zkušenosti z let 2007 – </w:t>
      </w:r>
      <w:r w:rsidR="007642C2">
        <w:t>2013</w:t>
      </w:r>
      <w:r>
        <w:rPr>
          <w:rStyle w:val="Znakapoznpodarou"/>
        </w:rPr>
        <w:footnoteReference w:id="96"/>
      </w:r>
      <w:bookmarkEnd w:id="42"/>
    </w:p>
    <w:p w:rsidR="00AA08FF" w:rsidRDefault="00A1208F" w:rsidP="0049720A">
      <w:pPr>
        <w:pStyle w:val="Odskoknadpis4"/>
      </w:pPr>
      <w:r w:rsidRPr="00CD25DD">
        <w:t>Již v dobíhajícím programovém období 2007</w:t>
      </w:r>
      <w:r w:rsidR="007642C2">
        <w:t xml:space="preserve"> - 2013</w:t>
      </w:r>
      <w:r w:rsidRPr="00CD25DD">
        <w:t xml:space="preserve"> byl znatelný zvýšen</w:t>
      </w:r>
      <w:r w:rsidR="00DD29BE">
        <w:t>ý</w:t>
      </w:r>
      <w:r w:rsidRPr="00CD25DD">
        <w:t xml:space="preserve"> zájem řídících orgánů o implementaci </w:t>
      </w:r>
      <w:r w:rsidR="00420428">
        <w:t>IFN</w:t>
      </w:r>
      <w:r w:rsidR="007642C2">
        <w:t xml:space="preserve"> – v rámci Evropského fondu pro regionální rozvoj (</w:t>
      </w:r>
      <w:r w:rsidR="00E25C1F">
        <w:t>„</w:t>
      </w:r>
      <w:r w:rsidR="007642C2">
        <w:t>ERDF</w:t>
      </w:r>
      <w:r w:rsidR="00E25C1F">
        <w:t>“</w:t>
      </w:r>
      <w:r w:rsidR="007642C2">
        <w:t>) představovaly přibližně 5</w:t>
      </w:r>
      <w:r w:rsidR="00C567D3">
        <w:t xml:space="preserve"> </w:t>
      </w:r>
      <w:r w:rsidR="007642C2">
        <w:t xml:space="preserve">% alokace prostředků (stav ke konci roku 2010). Čísla za Evropský sociální fond </w:t>
      </w:r>
      <w:r w:rsidR="00E87264" w:rsidRPr="00E25C1F">
        <w:t>(</w:t>
      </w:r>
      <w:r w:rsidR="00E25C1F" w:rsidRPr="00E25C1F">
        <w:t>„</w:t>
      </w:r>
      <w:r w:rsidR="00E87264" w:rsidRPr="00E25C1F">
        <w:t>ESF</w:t>
      </w:r>
      <w:r w:rsidR="00E25C1F" w:rsidRPr="00E25C1F">
        <w:t>“</w:t>
      </w:r>
      <w:r w:rsidR="00E87264" w:rsidRPr="00E25C1F">
        <w:t>)</w:t>
      </w:r>
      <w:r w:rsidR="007642C2">
        <w:t xml:space="preserve"> spolufinancované z </w:t>
      </w:r>
      <w:r w:rsidR="00420428">
        <w:t>IFN</w:t>
      </w:r>
      <w:r w:rsidR="007642C2">
        <w:t xml:space="preserve"> byla skromnější, a to především v důsledku zúžení rozsahu možných revolvingových intervencí, omezených v praxi na mikroúvěry nebo záruční fondy pro mikroúvěry. Třináct operačních programů v pěti členských státech využilo </w:t>
      </w:r>
      <w:r w:rsidR="00A56B56">
        <w:t>IFN</w:t>
      </w:r>
      <w:r w:rsidR="007642C2">
        <w:t xml:space="preserve"> z ESF, v celkové výši téměř 330 </w:t>
      </w:r>
      <w:r w:rsidR="000D59AC">
        <w:t xml:space="preserve">mil. </w:t>
      </w:r>
      <w:r w:rsidR="007642C2">
        <w:t>EUR, což představuje 0,7</w:t>
      </w:r>
      <w:r w:rsidR="00C567D3">
        <w:t xml:space="preserve"> </w:t>
      </w:r>
      <w:r w:rsidR="007642C2">
        <w:t>% z vykázaných způsobilých výdajů z ESF</w:t>
      </w:r>
      <w:r w:rsidR="00AA08FF">
        <w:t>.</w:t>
      </w:r>
    </w:p>
    <w:p w:rsidR="00AA08FF" w:rsidRDefault="00A56B56" w:rsidP="0049720A">
      <w:pPr>
        <w:pStyle w:val="Odskoknadpis4"/>
      </w:pPr>
      <w:r>
        <w:t>IFN</w:t>
      </w:r>
      <w:r w:rsidR="007642C2">
        <w:t xml:space="preserve"> byly použity pružně podle situace v jednotlivých členských státech a regionech. Fondy byly zřízeny na vnitrostátní a regionální úrovni. Některé řídící orgány zvolily cestu přímé implementace, zatímco jiní šli cestou založení holdingových fondů. Z údajů na konci roku 2010 byla drtivá většina holdingových fondů řízena veřejnými subjekty, jako jsou vnitrostátní nebo regionální rozvojové banky, agentury nebo finanční instituce včetně Evropské investiční banky </w:t>
      </w:r>
      <w:r w:rsidR="00E87264" w:rsidRPr="00E25C1F">
        <w:t>(</w:t>
      </w:r>
      <w:r w:rsidR="00E25C1F" w:rsidRPr="00E25C1F">
        <w:t>„</w:t>
      </w:r>
      <w:r w:rsidR="00E87264" w:rsidRPr="00E25C1F">
        <w:t>EIB</w:t>
      </w:r>
      <w:r w:rsidR="00E25C1F" w:rsidRPr="00E25C1F">
        <w:t>“</w:t>
      </w:r>
      <w:r w:rsidR="00E87264" w:rsidRPr="00E25C1F">
        <w:t>).</w:t>
      </w:r>
    </w:p>
    <w:p w:rsidR="00AA08FF" w:rsidRDefault="007642C2" w:rsidP="0049720A">
      <w:pPr>
        <w:pStyle w:val="Odskoknadpis4"/>
      </w:pPr>
      <w:r>
        <w:t xml:space="preserve">Většina fondů byla doposud zaměřena na malé a střední podniky, protože tato možnost byla </w:t>
      </w:r>
      <w:r w:rsidR="00E529C6">
        <w:t>k </w:t>
      </w:r>
      <w:r>
        <w:t xml:space="preserve">dispozici jako první. Většina </w:t>
      </w:r>
      <w:r w:rsidR="00420428">
        <w:t>IFN</w:t>
      </w:r>
      <w:r>
        <w:t xml:space="preserve"> byla zřízena jako úvěrové fondy. Private equity a záruční fondy přicházejí jako další. Operace zaměřené na udržitelné činnosti v oblasti rozvoje měst byly většinou (19 z 22) nastaveny prostřednictvím holdingových fondů</w:t>
      </w:r>
      <w:r w:rsidR="00D511B8">
        <w:t xml:space="preserve">. </w:t>
      </w:r>
      <w:r>
        <w:t>15 z nich j</w:t>
      </w:r>
      <w:r w:rsidR="00EA66DF">
        <w:t>e</w:t>
      </w:r>
      <w:r>
        <w:t xml:space="preserve"> spravován</w:t>
      </w:r>
      <w:r w:rsidR="00EA66DF">
        <w:t>o</w:t>
      </w:r>
      <w:r>
        <w:t xml:space="preserve"> Evropskou investiční bankou</w:t>
      </w:r>
      <w:r w:rsidR="00AA08FF">
        <w:t>.</w:t>
      </w:r>
    </w:p>
    <w:p w:rsidR="004A42B8" w:rsidRPr="00CD25DD" w:rsidRDefault="004A42B8" w:rsidP="0049720A">
      <w:pPr>
        <w:pStyle w:val="Odskoknadpis4"/>
      </w:pPr>
      <w:r w:rsidRPr="00CD25DD">
        <w:t xml:space="preserve">Pro ilustraci </w:t>
      </w:r>
      <w:r w:rsidR="007642C2">
        <w:t>lze uvést</w:t>
      </w:r>
      <w:r w:rsidR="007642C2" w:rsidRPr="00CD25DD">
        <w:t xml:space="preserve"> </w:t>
      </w:r>
      <w:r w:rsidRPr="00CD25DD">
        <w:t xml:space="preserve">celková čísla za období 2007-2013: v EU fungovalo v rámci operačních programů celkem téměř 900 </w:t>
      </w:r>
      <w:r w:rsidR="00420428">
        <w:t>IFN</w:t>
      </w:r>
      <w:r w:rsidR="00E25C1F">
        <w:t xml:space="preserve"> a 43 F</w:t>
      </w:r>
      <w:r w:rsidRPr="00CD25DD">
        <w:t xml:space="preserve">ondů fondů. Správci </w:t>
      </w:r>
      <w:r w:rsidR="00E25C1F">
        <w:t>FF</w:t>
      </w:r>
      <w:r w:rsidRPr="00CD25DD">
        <w:t xml:space="preserve"> byli vybíráni především </w:t>
      </w:r>
      <w:r w:rsidR="00E529C6" w:rsidRPr="00CD25DD">
        <w:t>na</w:t>
      </w:r>
      <w:r w:rsidR="00E529C6">
        <w:t> </w:t>
      </w:r>
      <w:r w:rsidRPr="00CD25DD">
        <w:t xml:space="preserve">základě platných výjimek z veřejného zadávání, tedy na základě přímého </w:t>
      </w:r>
      <w:r w:rsidRPr="00E25C1F">
        <w:t xml:space="preserve">zadání </w:t>
      </w:r>
      <w:r w:rsidR="00E87264" w:rsidRPr="00E25C1F">
        <w:t>EIB/EIF</w:t>
      </w:r>
      <w:r w:rsidRPr="00E25C1F">
        <w:t xml:space="preserve"> (</w:t>
      </w:r>
      <w:r w:rsidR="00E529C6" w:rsidRPr="00E25C1F">
        <w:t>44</w:t>
      </w:r>
      <w:r w:rsidR="00E529C6">
        <w:t> </w:t>
      </w:r>
      <w:r w:rsidRPr="00E25C1F">
        <w:t>%) nebo in-house či na základě zvláštní zákonné výjimky (41</w:t>
      </w:r>
      <w:r w:rsidR="00C567D3">
        <w:t xml:space="preserve"> </w:t>
      </w:r>
      <w:r w:rsidRPr="00E25C1F">
        <w:t>%). Pouze 14</w:t>
      </w:r>
      <w:r w:rsidR="00C567D3">
        <w:t xml:space="preserve"> </w:t>
      </w:r>
      <w:r w:rsidRPr="00E25C1F">
        <w:t>% správců bylo vybráno v otevřeném výběrovém řízení. Celkem 74</w:t>
      </w:r>
      <w:r w:rsidR="00C567D3">
        <w:t xml:space="preserve"> </w:t>
      </w:r>
      <w:r w:rsidRPr="00E25C1F">
        <w:t xml:space="preserve">% </w:t>
      </w:r>
      <w:r w:rsidR="00E87264" w:rsidRPr="00E25C1F">
        <w:t>fondů fondů</w:t>
      </w:r>
      <w:r w:rsidRPr="00E25C1F">
        <w:t xml:space="preserve"> fungovalo bez právní </w:t>
      </w:r>
      <w:r w:rsidRPr="00E25C1F">
        <w:lastRenderedPageBreak/>
        <w:t>subjektivity jako blok účtů v rámci finanční instituce, 26</w:t>
      </w:r>
      <w:r w:rsidR="00C567D3">
        <w:t xml:space="preserve"> </w:t>
      </w:r>
      <w:r w:rsidRPr="00E25C1F">
        <w:t xml:space="preserve">% jako společnost zvláštního určení </w:t>
      </w:r>
      <w:r w:rsidR="00E87264" w:rsidRPr="00E25C1F">
        <w:t>(SPV)</w:t>
      </w:r>
      <w:r w:rsidRPr="00E25C1F">
        <w:t xml:space="preserve">, tedy </w:t>
      </w:r>
      <w:r w:rsidR="00D7299F">
        <w:t>Fond fondů</w:t>
      </w:r>
      <w:r w:rsidRPr="00E25C1F">
        <w:t xml:space="preserve"> s právní subjektivitou.</w:t>
      </w:r>
    </w:p>
    <w:p w:rsidR="004A42B8" w:rsidRDefault="004A42B8" w:rsidP="005144FD">
      <w:pPr>
        <w:pStyle w:val="Graf"/>
      </w:pPr>
      <w:r>
        <w:t xml:space="preserve">Tabulka </w:t>
      </w:r>
      <w:r w:rsidR="00563C78">
        <w:t>3</w:t>
      </w:r>
      <w:r>
        <w:t xml:space="preserve">: </w:t>
      </w:r>
      <w:r>
        <w:tab/>
      </w:r>
      <w:r w:rsidR="00A56B56">
        <w:t>IFN</w:t>
      </w:r>
      <w:r>
        <w:t xml:space="preserve"> kohezní politiky 2007</w:t>
      </w:r>
      <w:r w:rsidR="00563C78">
        <w:t>-2013, data ke konci roku 2012</w:t>
      </w:r>
    </w:p>
    <w:tbl>
      <w:tblPr>
        <w:tblW w:w="8647" w:type="dxa"/>
        <w:tblInd w:w="675"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729"/>
        <w:gridCol w:w="1729"/>
        <w:gridCol w:w="1730"/>
        <w:gridCol w:w="1729"/>
        <w:gridCol w:w="1730"/>
      </w:tblGrid>
      <w:tr w:rsidR="004A42B8" w:rsidRPr="00FD4171" w:rsidTr="00636988">
        <w:trPr>
          <w:trHeight w:val="600"/>
          <w:tblHeader/>
        </w:trPr>
        <w:tc>
          <w:tcPr>
            <w:tcW w:w="1729" w:type="dxa"/>
            <w:shd w:val="clear" w:color="auto" w:fill="4F81BD"/>
          </w:tcPr>
          <w:p w:rsidR="004A42B8" w:rsidRPr="00FD4171" w:rsidRDefault="004A42B8" w:rsidP="00563C78">
            <w:pPr>
              <w:keepNext/>
              <w:spacing w:before="120"/>
              <w:ind w:left="0"/>
              <w:jc w:val="center"/>
              <w:rPr>
                <w:rFonts w:ascii="Calibri" w:hAnsi="Calibri"/>
                <w:b/>
                <w:bCs/>
                <w:color w:val="FFFFFF"/>
              </w:rPr>
            </w:pPr>
            <w:r w:rsidRPr="00FD4171">
              <w:rPr>
                <w:rFonts w:ascii="Calibri" w:hAnsi="Calibri"/>
                <w:b/>
                <w:bCs/>
                <w:color w:val="FFFFFF"/>
              </w:rPr>
              <w:t>Oblast</w:t>
            </w:r>
          </w:p>
        </w:tc>
        <w:tc>
          <w:tcPr>
            <w:tcW w:w="1729" w:type="dxa"/>
            <w:shd w:val="clear" w:color="auto" w:fill="4F81BD"/>
          </w:tcPr>
          <w:p w:rsidR="004A42B8" w:rsidRPr="00FD4171" w:rsidRDefault="004A42B8" w:rsidP="00563C78">
            <w:pPr>
              <w:keepNext/>
              <w:spacing w:before="120"/>
              <w:ind w:left="28"/>
              <w:jc w:val="center"/>
              <w:rPr>
                <w:rFonts w:ascii="Calibri" w:hAnsi="Calibri"/>
                <w:b/>
                <w:bCs/>
                <w:color w:val="FFFFFF"/>
              </w:rPr>
            </w:pPr>
            <w:r w:rsidRPr="00FD4171">
              <w:rPr>
                <w:rFonts w:ascii="Calibri" w:hAnsi="Calibri"/>
                <w:b/>
                <w:bCs/>
                <w:color w:val="FFFFFF"/>
              </w:rPr>
              <w:t>Počet finančních nástrojů</w:t>
            </w:r>
          </w:p>
        </w:tc>
        <w:tc>
          <w:tcPr>
            <w:tcW w:w="1730" w:type="dxa"/>
            <w:shd w:val="clear" w:color="auto" w:fill="4F81BD"/>
          </w:tcPr>
          <w:p w:rsidR="004A42B8" w:rsidRPr="00FD4171" w:rsidRDefault="004A42B8" w:rsidP="00563C78">
            <w:pPr>
              <w:keepNext/>
              <w:spacing w:before="120"/>
              <w:ind w:left="3"/>
              <w:jc w:val="center"/>
              <w:rPr>
                <w:rFonts w:ascii="Calibri" w:hAnsi="Calibri"/>
                <w:b/>
                <w:bCs/>
                <w:color w:val="FFFFFF"/>
              </w:rPr>
            </w:pPr>
            <w:r w:rsidRPr="00FD4171">
              <w:rPr>
                <w:rFonts w:ascii="Calibri" w:hAnsi="Calibri"/>
                <w:b/>
                <w:bCs/>
                <w:color w:val="FFFFFF"/>
              </w:rPr>
              <w:t>Indikativní rozpočet z OP celkem</w:t>
            </w:r>
          </w:p>
        </w:tc>
        <w:tc>
          <w:tcPr>
            <w:tcW w:w="1729" w:type="dxa"/>
            <w:shd w:val="clear" w:color="auto" w:fill="4F81BD"/>
          </w:tcPr>
          <w:p w:rsidR="004A42B8" w:rsidRPr="00FD4171" w:rsidRDefault="004A42B8" w:rsidP="00563C78">
            <w:pPr>
              <w:keepNext/>
              <w:spacing w:before="120"/>
              <w:ind w:left="0"/>
              <w:jc w:val="center"/>
              <w:rPr>
                <w:rFonts w:ascii="Calibri" w:hAnsi="Calibri"/>
                <w:b/>
                <w:bCs/>
                <w:color w:val="FFFFFF"/>
              </w:rPr>
            </w:pPr>
            <w:r w:rsidRPr="00FD4171">
              <w:rPr>
                <w:rFonts w:ascii="Calibri" w:hAnsi="Calibri"/>
                <w:b/>
                <w:color w:val="FFFFFF"/>
              </w:rPr>
              <w:t>Vyčerpáno z OP do konce r. 2012</w:t>
            </w:r>
          </w:p>
        </w:tc>
        <w:tc>
          <w:tcPr>
            <w:tcW w:w="1730" w:type="dxa"/>
            <w:shd w:val="clear" w:color="auto" w:fill="4F81BD"/>
          </w:tcPr>
          <w:p w:rsidR="004A42B8" w:rsidRPr="00FD4171" w:rsidRDefault="004A42B8" w:rsidP="00563C78">
            <w:pPr>
              <w:keepNext/>
              <w:spacing w:before="120"/>
              <w:ind w:left="32"/>
              <w:jc w:val="center"/>
              <w:rPr>
                <w:rFonts w:ascii="Calibri" w:hAnsi="Calibri"/>
                <w:b/>
                <w:bCs/>
                <w:color w:val="FFFFFF"/>
              </w:rPr>
            </w:pPr>
            <w:r w:rsidRPr="00FD4171">
              <w:rPr>
                <w:rFonts w:ascii="Calibri" w:hAnsi="Calibri"/>
                <w:b/>
                <w:bCs/>
                <w:color w:val="FFFFFF"/>
              </w:rPr>
              <w:t>Využito ve prospěch konečných příjemců do konce r. 2012</w:t>
            </w:r>
          </w:p>
        </w:tc>
      </w:tr>
      <w:tr w:rsidR="004A42B8" w:rsidRPr="00FD4171" w:rsidTr="00636988">
        <w:trPr>
          <w:trHeight w:val="834"/>
        </w:trPr>
        <w:tc>
          <w:tcPr>
            <w:tcW w:w="1729" w:type="dxa"/>
            <w:vAlign w:val="center"/>
          </w:tcPr>
          <w:p w:rsidR="004A42B8" w:rsidRPr="00FD4171" w:rsidRDefault="004A42B8" w:rsidP="00BD529A">
            <w:pPr>
              <w:spacing w:before="120"/>
              <w:ind w:left="0"/>
              <w:jc w:val="left"/>
              <w:rPr>
                <w:rFonts w:ascii="Calibri" w:hAnsi="Calibri"/>
                <w:b/>
                <w:bCs/>
              </w:rPr>
            </w:pPr>
            <w:r w:rsidRPr="00FD4171">
              <w:rPr>
                <w:rFonts w:ascii="Calibri" w:hAnsi="Calibri"/>
                <w:b/>
              </w:rPr>
              <w:t>Malé a střední podnikání (JEREMIE)</w:t>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816 </w:t>
            </w:r>
            <w:r w:rsidR="00420428" w:rsidRPr="00FD4171">
              <w:rPr>
                <w:rFonts w:ascii="Calibri" w:hAnsi="Calibri"/>
                <w:sz w:val="20"/>
                <w:szCs w:val="20"/>
              </w:rPr>
              <w:t>IFN</w:t>
            </w:r>
          </w:p>
        </w:tc>
        <w:tc>
          <w:tcPr>
            <w:tcW w:w="1730"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10,4 mld. EUR (100</w:t>
            </w:r>
            <w:r w:rsidR="00C567D3">
              <w:rPr>
                <w:rFonts w:ascii="Calibri" w:hAnsi="Calibri"/>
                <w:sz w:val="20"/>
                <w:szCs w:val="20"/>
              </w:rPr>
              <w:t xml:space="preserve"> </w:t>
            </w:r>
            <w:r w:rsidRPr="00FD4171">
              <w:rPr>
                <w:rFonts w:ascii="Calibri" w:hAnsi="Calibri"/>
                <w:sz w:val="20"/>
                <w:szCs w:val="20"/>
              </w:rPr>
              <w:t>%)</w:t>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8,3 mld. EUR </w:t>
            </w:r>
            <w:r w:rsidR="00D511B8">
              <w:rPr>
                <w:rFonts w:ascii="Calibri" w:hAnsi="Calibri"/>
                <w:sz w:val="20"/>
                <w:szCs w:val="20"/>
              </w:rPr>
              <w:br/>
            </w:r>
            <w:r w:rsidRPr="00FD4171">
              <w:rPr>
                <w:rFonts w:ascii="Calibri" w:hAnsi="Calibri"/>
                <w:sz w:val="20"/>
                <w:szCs w:val="20"/>
              </w:rPr>
              <w:t>(79,8</w:t>
            </w:r>
            <w:r w:rsidR="00C567D3">
              <w:rPr>
                <w:rFonts w:ascii="Calibri" w:hAnsi="Calibri"/>
                <w:sz w:val="20"/>
                <w:szCs w:val="20"/>
              </w:rPr>
              <w:t xml:space="preserve"> </w:t>
            </w:r>
            <w:r w:rsidRPr="00FD4171">
              <w:rPr>
                <w:rFonts w:ascii="Calibri" w:hAnsi="Calibri"/>
                <w:sz w:val="20"/>
                <w:szCs w:val="20"/>
              </w:rPr>
              <w:t>%)</w:t>
            </w:r>
          </w:p>
        </w:tc>
        <w:tc>
          <w:tcPr>
            <w:tcW w:w="1730" w:type="dxa"/>
            <w:vAlign w:val="center"/>
          </w:tcPr>
          <w:p w:rsidR="004A42B8" w:rsidRPr="00FD4171" w:rsidRDefault="004A42B8" w:rsidP="00D30D90">
            <w:pPr>
              <w:keepNext/>
              <w:spacing w:before="120"/>
              <w:ind w:left="0"/>
              <w:jc w:val="left"/>
              <w:rPr>
                <w:rFonts w:ascii="Calibri" w:hAnsi="Calibri"/>
                <w:sz w:val="20"/>
                <w:szCs w:val="20"/>
              </w:rPr>
            </w:pPr>
            <w:r w:rsidRPr="00FD4171">
              <w:rPr>
                <w:rFonts w:ascii="Calibri" w:hAnsi="Calibri"/>
                <w:sz w:val="20"/>
                <w:szCs w:val="20"/>
              </w:rPr>
              <w:t>4,5 mld. EUR (43</w:t>
            </w:r>
            <w:r w:rsidR="00D30D90">
              <w:rPr>
                <w:rFonts w:ascii="Calibri" w:hAnsi="Calibri"/>
                <w:sz w:val="20"/>
                <w:szCs w:val="20"/>
              </w:rPr>
              <w:t> </w:t>
            </w:r>
            <w:r w:rsidRPr="00FD4171">
              <w:rPr>
                <w:rFonts w:ascii="Calibri" w:hAnsi="Calibri"/>
                <w:sz w:val="20"/>
                <w:szCs w:val="20"/>
              </w:rPr>
              <w:t>%)</w:t>
            </w:r>
          </w:p>
        </w:tc>
      </w:tr>
      <w:tr w:rsidR="004A42B8" w:rsidRPr="00FD4171" w:rsidTr="00636988">
        <w:trPr>
          <w:trHeight w:val="742"/>
        </w:trPr>
        <w:tc>
          <w:tcPr>
            <w:tcW w:w="1729" w:type="dxa"/>
            <w:vAlign w:val="center"/>
          </w:tcPr>
          <w:p w:rsidR="004A42B8" w:rsidRPr="00FD4171" w:rsidRDefault="004A42B8" w:rsidP="00BD529A">
            <w:pPr>
              <w:spacing w:before="120"/>
              <w:ind w:left="0"/>
              <w:jc w:val="left"/>
              <w:rPr>
                <w:rFonts w:ascii="Calibri" w:hAnsi="Calibri"/>
                <w:b/>
                <w:bCs/>
              </w:rPr>
            </w:pPr>
            <w:r w:rsidRPr="00FD4171">
              <w:rPr>
                <w:rFonts w:ascii="Calibri" w:hAnsi="Calibri"/>
                <w:b/>
              </w:rPr>
              <w:t>Rozvoj měst (JESSICA)</w:t>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56 </w:t>
            </w:r>
            <w:r w:rsidR="00420428" w:rsidRPr="00FD4171">
              <w:rPr>
                <w:rFonts w:ascii="Calibri" w:hAnsi="Calibri"/>
                <w:sz w:val="20"/>
                <w:szCs w:val="20"/>
              </w:rPr>
              <w:t>IFN</w:t>
            </w:r>
          </w:p>
        </w:tc>
        <w:tc>
          <w:tcPr>
            <w:tcW w:w="1730"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1,6 mld. EUR </w:t>
            </w:r>
            <w:r w:rsidRPr="00FD4171">
              <w:rPr>
                <w:rFonts w:ascii="Calibri" w:hAnsi="Calibri"/>
                <w:sz w:val="20"/>
                <w:szCs w:val="20"/>
              </w:rPr>
              <w:br/>
              <w:t>(100</w:t>
            </w:r>
            <w:r w:rsidR="00C567D3">
              <w:rPr>
                <w:rFonts w:ascii="Calibri" w:hAnsi="Calibri"/>
                <w:sz w:val="20"/>
                <w:szCs w:val="20"/>
              </w:rPr>
              <w:t xml:space="preserve"> </w:t>
            </w:r>
            <w:r w:rsidRPr="00FD4171">
              <w:rPr>
                <w:rFonts w:ascii="Calibri" w:hAnsi="Calibri"/>
                <w:sz w:val="20"/>
                <w:szCs w:val="20"/>
              </w:rPr>
              <w:t>%)</w:t>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914 mil. EUR </w:t>
            </w:r>
            <w:r w:rsidRPr="00FD4171">
              <w:rPr>
                <w:rFonts w:ascii="Calibri" w:hAnsi="Calibri"/>
                <w:sz w:val="20"/>
                <w:szCs w:val="20"/>
              </w:rPr>
              <w:br/>
              <w:t>(57</w:t>
            </w:r>
            <w:r w:rsidR="00C567D3">
              <w:rPr>
                <w:rFonts w:ascii="Calibri" w:hAnsi="Calibri"/>
                <w:sz w:val="20"/>
                <w:szCs w:val="20"/>
              </w:rPr>
              <w:t xml:space="preserve"> </w:t>
            </w:r>
            <w:r w:rsidRPr="00FD4171">
              <w:rPr>
                <w:rFonts w:ascii="Calibri" w:hAnsi="Calibri"/>
                <w:sz w:val="20"/>
                <w:szCs w:val="20"/>
              </w:rPr>
              <w:t>%)</w:t>
            </w:r>
          </w:p>
        </w:tc>
        <w:tc>
          <w:tcPr>
            <w:tcW w:w="1730"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54 mil. EUR </w:t>
            </w:r>
            <w:r w:rsidRPr="00FD4171">
              <w:rPr>
                <w:rFonts w:ascii="Calibri" w:hAnsi="Calibri"/>
                <w:sz w:val="20"/>
                <w:szCs w:val="20"/>
              </w:rPr>
              <w:br/>
              <w:t>(3</w:t>
            </w:r>
            <w:r w:rsidR="00C567D3">
              <w:rPr>
                <w:rFonts w:ascii="Calibri" w:hAnsi="Calibri"/>
                <w:sz w:val="20"/>
                <w:szCs w:val="20"/>
              </w:rPr>
              <w:t xml:space="preserve"> </w:t>
            </w:r>
            <w:r w:rsidRPr="00FD4171">
              <w:rPr>
                <w:rFonts w:ascii="Calibri" w:hAnsi="Calibri"/>
                <w:sz w:val="20"/>
                <w:szCs w:val="20"/>
              </w:rPr>
              <w:t>%)</w:t>
            </w:r>
          </w:p>
        </w:tc>
      </w:tr>
      <w:tr w:rsidR="004A42B8" w:rsidRPr="00FD4171" w:rsidTr="00636988">
        <w:trPr>
          <w:trHeight w:val="732"/>
        </w:trPr>
        <w:tc>
          <w:tcPr>
            <w:tcW w:w="1729" w:type="dxa"/>
          </w:tcPr>
          <w:p w:rsidR="004A42B8" w:rsidRPr="00FD4171" w:rsidRDefault="004A42B8" w:rsidP="00BD529A">
            <w:pPr>
              <w:spacing w:before="120"/>
              <w:ind w:left="0"/>
              <w:jc w:val="left"/>
              <w:rPr>
                <w:rFonts w:ascii="Calibri" w:hAnsi="Calibri"/>
                <w:b/>
                <w:bCs/>
              </w:rPr>
            </w:pPr>
            <w:r w:rsidRPr="00FD4171">
              <w:rPr>
                <w:rFonts w:ascii="Calibri" w:hAnsi="Calibri"/>
                <w:b/>
              </w:rPr>
              <w:t>Energetická účinnost</w:t>
            </w:r>
            <w:r w:rsidRPr="00FD4171">
              <w:rPr>
                <w:rStyle w:val="Znakapoznpodarou"/>
                <w:rFonts w:ascii="Calibri" w:hAnsi="Calibri"/>
              </w:rPr>
              <w:footnoteReference w:id="97"/>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20 </w:t>
            </w:r>
            <w:r w:rsidR="00420428" w:rsidRPr="00FD4171">
              <w:rPr>
                <w:rFonts w:ascii="Calibri" w:hAnsi="Calibri"/>
                <w:sz w:val="20"/>
                <w:szCs w:val="20"/>
              </w:rPr>
              <w:t>IFN</w:t>
            </w:r>
          </w:p>
        </w:tc>
        <w:tc>
          <w:tcPr>
            <w:tcW w:w="1730" w:type="dxa"/>
            <w:vAlign w:val="center"/>
          </w:tcPr>
          <w:p w:rsidR="004A42B8" w:rsidRPr="00FD4171" w:rsidRDefault="004A42B8" w:rsidP="00D511B8">
            <w:pPr>
              <w:keepNext/>
              <w:spacing w:before="120"/>
              <w:ind w:left="0"/>
              <w:jc w:val="left"/>
              <w:rPr>
                <w:rFonts w:ascii="Calibri" w:hAnsi="Calibri"/>
                <w:sz w:val="20"/>
                <w:szCs w:val="20"/>
              </w:rPr>
            </w:pPr>
            <w:r w:rsidRPr="00FD4171">
              <w:rPr>
                <w:rFonts w:ascii="Calibri" w:hAnsi="Calibri"/>
                <w:sz w:val="20"/>
                <w:szCs w:val="20"/>
              </w:rPr>
              <w:t xml:space="preserve">444 mil. EUR </w:t>
            </w:r>
            <w:r w:rsidRPr="00FD4171">
              <w:rPr>
                <w:rFonts w:ascii="Calibri" w:hAnsi="Calibri"/>
                <w:sz w:val="20"/>
                <w:szCs w:val="20"/>
              </w:rPr>
              <w:br/>
              <w:t>(100</w:t>
            </w:r>
            <w:r w:rsidR="00C567D3">
              <w:rPr>
                <w:rFonts w:ascii="Calibri" w:hAnsi="Calibri"/>
                <w:sz w:val="20"/>
                <w:szCs w:val="20"/>
              </w:rPr>
              <w:t xml:space="preserve"> </w:t>
            </w:r>
            <w:r w:rsidRPr="00FD4171">
              <w:rPr>
                <w:rFonts w:ascii="Calibri" w:hAnsi="Calibri"/>
                <w:sz w:val="20"/>
                <w:szCs w:val="20"/>
              </w:rPr>
              <w:t>%)</w:t>
            </w:r>
          </w:p>
        </w:tc>
        <w:tc>
          <w:tcPr>
            <w:tcW w:w="1729"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196 mil. EUR </w:t>
            </w:r>
            <w:r w:rsidRPr="00FD4171">
              <w:rPr>
                <w:rFonts w:ascii="Calibri" w:hAnsi="Calibri"/>
                <w:sz w:val="20"/>
                <w:szCs w:val="20"/>
              </w:rPr>
              <w:br/>
              <w:t>(44</w:t>
            </w:r>
            <w:r w:rsidR="00C567D3">
              <w:rPr>
                <w:rFonts w:ascii="Calibri" w:hAnsi="Calibri"/>
                <w:sz w:val="20"/>
                <w:szCs w:val="20"/>
              </w:rPr>
              <w:t xml:space="preserve"> </w:t>
            </w:r>
            <w:r w:rsidRPr="00FD4171">
              <w:rPr>
                <w:rFonts w:ascii="Calibri" w:hAnsi="Calibri"/>
                <w:sz w:val="20"/>
                <w:szCs w:val="20"/>
              </w:rPr>
              <w:t>%)</w:t>
            </w:r>
          </w:p>
        </w:tc>
        <w:tc>
          <w:tcPr>
            <w:tcW w:w="1730" w:type="dxa"/>
            <w:vAlign w:val="center"/>
          </w:tcPr>
          <w:p w:rsidR="004A42B8" w:rsidRPr="00FD4171" w:rsidRDefault="004A42B8" w:rsidP="00563C78">
            <w:pPr>
              <w:keepNext/>
              <w:spacing w:before="120"/>
              <w:ind w:left="0"/>
              <w:jc w:val="left"/>
              <w:rPr>
                <w:rFonts w:ascii="Calibri" w:hAnsi="Calibri"/>
                <w:sz w:val="20"/>
                <w:szCs w:val="20"/>
              </w:rPr>
            </w:pPr>
            <w:r w:rsidRPr="00FD4171">
              <w:rPr>
                <w:rFonts w:ascii="Calibri" w:hAnsi="Calibri"/>
                <w:sz w:val="20"/>
                <w:szCs w:val="20"/>
              </w:rPr>
              <w:t xml:space="preserve">90 mil. EUR </w:t>
            </w:r>
            <w:r w:rsidRPr="00FD4171">
              <w:rPr>
                <w:rFonts w:ascii="Calibri" w:hAnsi="Calibri"/>
                <w:sz w:val="20"/>
                <w:szCs w:val="20"/>
              </w:rPr>
              <w:br/>
              <w:t>(20</w:t>
            </w:r>
            <w:r w:rsidR="00C567D3">
              <w:rPr>
                <w:rFonts w:ascii="Calibri" w:hAnsi="Calibri"/>
                <w:sz w:val="20"/>
                <w:szCs w:val="20"/>
              </w:rPr>
              <w:t xml:space="preserve"> </w:t>
            </w:r>
            <w:r w:rsidRPr="00FD4171">
              <w:rPr>
                <w:rFonts w:ascii="Calibri" w:hAnsi="Calibri"/>
                <w:sz w:val="20"/>
                <w:szCs w:val="20"/>
              </w:rPr>
              <w:t>%)</w:t>
            </w:r>
          </w:p>
        </w:tc>
      </w:tr>
      <w:tr w:rsidR="004A42B8" w:rsidRPr="00FD4171" w:rsidTr="00636988">
        <w:trPr>
          <w:trHeight w:val="732"/>
        </w:trPr>
        <w:tc>
          <w:tcPr>
            <w:tcW w:w="1729" w:type="dxa"/>
            <w:vAlign w:val="center"/>
          </w:tcPr>
          <w:p w:rsidR="004A42B8" w:rsidRPr="00FD4171" w:rsidRDefault="004A42B8" w:rsidP="00BD529A">
            <w:pPr>
              <w:spacing w:before="120"/>
              <w:ind w:left="0"/>
              <w:jc w:val="left"/>
              <w:rPr>
                <w:rFonts w:ascii="Calibri" w:hAnsi="Calibri"/>
                <w:b/>
                <w:bCs/>
              </w:rPr>
            </w:pPr>
            <w:r w:rsidRPr="00FD4171">
              <w:rPr>
                <w:rFonts w:ascii="Calibri" w:hAnsi="Calibri"/>
                <w:b/>
              </w:rPr>
              <w:t>CELKEM</w:t>
            </w:r>
          </w:p>
        </w:tc>
        <w:tc>
          <w:tcPr>
            <w:tcW w:w="1729" w:type="dxa"/>
            <w:vAlign w:val="center"/>
          </w:tcPr>
          <w:p w:rsidR="004A42B8" w:rsidRPr="00FD4171" w:rsidRDefault="004A42B8" w:rsidP="00563C78">
            <w:pPr>
              <w:keepNext/>
              <w:spacing w:before="120"/>
              <w:ind w:left="0"/>
              <w:jc w:val="left"/>
              <w:rPr>
                <w:rFonts w:ascii="Calibri" w:hAnsi="Calibri"/>
                <w:b/>
                <w:bCs/>
                <w:sz w:val="20"/>
                <w:szCs w:val="20"/>
              </w:rPr>
            </w:pPr>
            <w:r w:rsidRPr="00FD4171">
              <w:rPr>
                <w:rFonts w:ascii="Calibri" w:hAnsi="Calibri"/>
                <w:b/>
                <w:bCs/>
                <w:sz w:val="20"/>
                <w:szCs w:val="20"/>
              </w:rPr>
              <w:t xml:space="preserve">892 </w:t>
            </w:r>
            <w:r w:rsidR="00420428" w:rsidRPr="00FD4171">
              <w:rPr>
                <w:rFonts w:ascii="Calibri" w:hAnsi="Calibri"/>
                <w:b/>
                <w:sz w:val="20"/>
                <w:szCs w:val="20"/>
              </w:rPr>
              <w:t>IFN</w:t>
            </w:r>
          </w:p>
        </w:tc>
        <w:tc>
          <w:tcPr>
            <w:tcW w:w="1730" w:type="dxa"/>
            <w:vAlign w:val="center"/>
          </w:tcPr>
          <w:p w:rsidR="004A42B8" w:rsidRPr="00FD4171" w:rsidRDefault="004A42B8" w:rsidP="00563C78">
            <w:pPr>
              <w:keepNext/>
              <w:spacing w:before="120"/>
              <w:ind w:left="0"/>
              <w:jc w:val="left"/>
              <w:rPr>
                <w:rFonts w:ascii="Calibri" w:hAnsi="Calibri"/>
                <w:b/>
                <w:bCs/>
                <w:sz w:val="20"/>
                <w:szCs w:val="20"/>
              </w:rPr>
            </w:pPr>
            <w:r w:rsidRPr="00FD4171">
              <w:rPr>
                <w:rFonts w:ascii="Calibri" w:hAnsi="Calibri"/>
                <w:b/>
                <w:bCs/>
                <w:sz w:val="20"/>
                <w:szCs w:val="20"/>
              </w:rPr>
              <w:t>12,4 mld. EUR (100</w:t>
            </w:r>
            <w:r w:rsidR="00C567D3">
              <w:rPr>
                <w:rFonts w:ascii="Calibri" w:hAnsi="Calibri"/>
                <w:b/>
                <w:bCs/>
                <w:sz w:val="20"/>
                <w:szCs w:val="20"/>
              </w:rPr>
              <w:t xml:space="preserve"> </w:t>
            </w:r>
            <w:r w:rsidRPr="00FD4171">
              <w:rPr>
                <w:rFonts w:ascii="Calibri" w:hAnsi="Calibri"/>
                <w:b/>
                <w:bCs/>
                <w:sz w:val="20"/>
                <w:szCs w:val="20"/>
              </w:rPr>
              <w:t>%)</w:t>
            </w:r>
          </w:p>
        </w:tc>
        <w:tc>
          <w:tcPr>
            <w:tcW w:w="1729" w:type="dxa"/>
            <w:vAlign w:val="center"/>
          </w:tcPr>
          <w:p w:rsidR="004A42B8" w:rsidRPr="00FD4171" w:rsidRDefault="004A42B8" w:rsidP="00D511B8">
            <w:pPr>
              <w:keepNext/>
              <w:spacing w:before="120"/>
              <w:ind w:left="0"/>
              <w:jc w:val="left"/>
              <w:rPr>
                <w:rFonts w:ascii="Calibri" w:hAnsi="Calibri"/>
                <w:b/>
                <w:bCs/>
                <w:sz w:val="20"/>
                <w:szCs w:val="20"/>
              </w:rPr>
            </w:pPr>
            <w:r w:rsidRPr="00FD4171">
              <w:rPr>
                <w:rFonts w:ascii="Calibri" w:hAnsi="Calibri"/>
                <w:b/>
                <w:bCs/>
                <w:sz w:val="20"/>
                <w:szCs w:val="20"/>
              </w:rPr>
              <w:t xml:space="preserve">9,4 mld. EUR </w:t>
            </w:r>
            <w:r w:rsidRPr="00FD4171">
              <w:rPr>
                <w:rFonts w:ascii="Calibri" w:hAnsi="Calibri"/>
                <w:b/>
                <w:bCs/>
                <w:sz w:val="20"/>
                <w:szCs w:val="20"/>
              </w:rPr>
              <w:br/>
              <w:t>(76</w:t>
            </w:r>
            <w:r w:rsidR="00C567D3">
              <w:rPr>
                <w:rFonts w:ascii="Calibri" w:hAnsi="Calibri"/>
                <w:b/>
                <w:bCs/>
                <w:sz w:val="20"/>
                <w:szCs w:val="20"/>
              </w:rPr>
              <w:t xml:space="preserve"> </w:t>
            </w:r>
            <w:r w:rsidRPr="00FD4171">
              <w:rPr>
                <w:rFonts w:ascii="Calibri" w:hAnsi="Calibri"/>
                <w:b/>
                <w:bCs/>
                <w:sz w:val="20"/>
                <w:szCs w:val="20"/>
              </w:rPr>
              <w:t>%)</w:t>
            </w:r>
          </w:p>
        </w:tc>
        <w:tc>
          <w:tcPr>
            <w:tcW w:w="1730" w:type="dxa"/>
            <w:vAlign w:val="center"/>
          </w:tcPr>
          <w:p w:rsidR="004A42B8" w:rsidRPr="00FD4171" w:rsidRDefault="004A42B8" w:rsidP="00D30D90">
            <w:pPr>
              <w:keepNext/>
              <w:spacing w:before="120"/>
              <w:ind w:left="0"/>
              <w:jc w:val="left"/>
              <w:rPr>
                <w:rFonts w:ascii="Calibri" w:hAnsi="Calibri"/>
                <w:b/>
                <w:bCs/>
                <w:sz w:val="20"/>
                <w:szCs w:val="20"/>
              </w:rPr>
            </w:pPr>
            <w:r w:rsidRPr="00FD4171">
              <w:rPr>
                <w:rFonts w:ascii="Calibri" w:hAnsi="Calibri"/>
                <w:b/>
                <w:bCs/>
                <w:sz w:val="20"/>
                <w:szCs w:val="20"/>
              </w:rPr>
              <w:t>4,7 mld. EUR (38</w:t>
            </w:r>
            <w:r w:rsidR="00D30D90">
              <w:rPr>
                <w:rFonts w:ascii="Calibri" w:hAnsi="Calibri"/>
                <w:b/>
                <w:bCs/>
                <w:sz w:val="20"/>
                <w:szCs w:val="20"/>
              </w:rPr>
              <w:t> </w:t>
            </w:r>
            <w:r w:rsidRPr="00FD4171">
              <w:rPr>
                <w:rFonts w:ascii="Calibri" w:hAnsi="Calibri"/>
                <w:b/>
                <w:bCs/>
                <w:sz w:val="20"/>
                <w:szCs w:val="20"/>
              </w:rPr>
              <w:t>%)</w:t>
            </w:r>
          </w:p>
        </w:tc>
      </w:tr>
    </w:tbl>
    <w:p w:rsidR="004A42B8" w:rsidRPr="00C9085B" w:rsidRDefault="00A56B56" w:rsidP="002521B2">
      <w:pPr>
        <w:pStyle w:val="Odskoknadpis4"/>
        <w:spacing w:before="240"/>
      </w:pPr>
      <w:r>
        <w:t>IFN</w:t>
      </w:r>
      <w:r w:rsidR="004A42B8" w:rsidRPr="004A42B8">
        <w:t xml:space="preserve"> fungovaly v období 2007</w:t>
      </w:r>
      <w:r w:rsidR="00AA4BC1">
        <w:t xml:space="preserve"> </w:t>
      </w:r>
      <w:r w:rsidR="004A42B8" w:rsidRPr="004A42B8">
        <w:t>-</w:t>
      </w:r>
      <w:r w:rsidR="00AA4BC1">
        <w:t xml:space="preserve"> </w:t>
      </w:r>
      <w:r w:rsidR="004A42B8" w:rsidRPr="004A42B8">
        <w:t xml:space="preserve">2013 v oblastech podpory MSP, městského rozvoje a energetické účinnosti. Drtivá většina </w:t>
      </w:r>
      <w:r w:rsidR="00420428">
        <w:t>IFN</w:t>
      </w:r>
      <w:r w:rsidR="004A42B8" w:rsidRPr="004A42B8">
        <w:t xml:space="preserve"> byla vytvořena v rámci iniciativy JEREMIE, tedy na podporu MSP, </w:t>
      </w:r>
      <w:r w:rsidR="004A42B8" w:rsidRPr="00BD529A">
        <w:t xml:space="preserve">kde bylo vytvořeno celkem 816 </w:t>
      </w:r>
      <w:r w:rsidR="00420428" w:rsidRPr="00BD529A">
        <w:t>IFN</w:t>
      </w:r>
      <w:r w:rsidR="004A42B8" w:rsidRPr="00BD529A">
        <w:t xml:space="preserve"> s alokací 10,4 mld. EUR z OP (v tom ERDF 6,75 mld. EUR a ESF 250 mil. EUR). </w:t>
      </w:r>
      <w:r w:rsidRPr="00BD529A">
        <w:t>IFN</w:t>
      </w:r>
      <w:r w:rsidR="00D94E4B" w:rsidRPr="00BD529A">
        <w:t xml:space="preserve"> typu JEREMIE </w:t>
      </w:r>
      <w:r w:rsidR="004A42B8" w:rsidRPr="00BD529A">
        <w:t xml:space="preserve">financovaly do konce roku 2012 </w:t>
      </w:r>
      <w:r w:rsidR="00C9085B" w:rsidRPr="00BD529A">
        <w:t xml:space="preserve">úvěrem </w:t>
      </w:r>
      <w:r w:rsidR="004A42B8" w:rsidRPr="00BD529A">
        <w:t xml:space="preserve">přes 35 000 projektů MSP, záruku získalo téměř </w:t>
      </w:r>
      <w:r w:rsidR="00E87264" w:rsidRPr="00BD529A">
        <w:t>97 000</w:t>
      </w:r>
      <w:r w:rsidR="004A42B8" w:rsidRPr="00BD529A">
        <w:t xml:space="preserve"> MSP, přes </w:t>
      </w:r>
      <w:r w:rsidR="00E87264" w:rsidRPr="00BD529A">
        <w:t>2 000</w:t>
      </w:r>
      <w:r w:rsidR="004A42B8" w:rsidRPr="00BD529A">
        <w:t xml:space="preserve"> MSP získalo financování rizikovým kapitálem a téměř </w:t>
      </w:r>
      <w:r w:rsidR="00E87264" w:rsidRPr="00BD529A">
        <w:t>7 000</w:t>
      </w:r>
      <w:r w:rsidR="004A42B8" w:rsidRPr="00BD529A">
        <w:t xml:space="preserve"> MSP financování z ostatních </w:t>
      </w:r>
      <w:r w:rsidR="00420428" w:rsidRPr="00BD529A">
        <w:t>IFN</w:t>
      </w:r>
      <w:r w:rsidR="004A42B8" w:rsidRPr="00BD529A">
        <w:t xml:space="preserve"> (např. kombinace různých forem podpory). Celkem tak již podporu z </w:t>
      </w:r>
      <w:r w:rsidR="00420428" w:rsidRPr="00BD529A">
        <w:t>IFN</w:t>
      </w:r>
      <w:r w:rsidR="004A42B8" w:rsidRPr="00BD529A">
        <w:t xml:space="preserve"> typu JEREMIE získalo téměř </w:t>
      </w:r>
      <w:r w:rsidR="00E87264" w:rsidRPr="00BD529A">
        <w:t>141 000</w:t>
      </w:r>
      <w:r w:rsidR="004A42B8" w:rsidRPr="00BD529A">
        <w:t xml:space="preserve"> MSP. </w:t>
      </w:r>
      <w:r w:rsidRPr="00BD529A">
        <w:t>IFN</w:t>
      </w:r>
      <w:r w:rsidR="004A42B8" w:rsidRPr="00BD529A">
        <w:t xml:space="preserve"> zároveň vytvořily do konce roku 2012 přes </w:t>
      </w:r>
      <w:r w:rsidR="00E87264" w:rsidRPr="00BD529A">
        <w:t>44 000</w:t>
      </w:r>
      <w:r w:rsidR="004A42B8" w:rsidRPr="00BD529A">
        <w:t xml:space="preserve"> pracovních míst. Průměrná výše uplatněných nákladů a poplatků za správu dosáhla 0,42</w:t>
      </w:r>
      <w:r w:rsidR="00C567D3">
        <w:t xml:space="preserve"> </w:t>
      </w:r>
      <w:r w:rsidR="004A42B8" w:rsidRPr="00BD529A">
        <w:t>% p.</w:t>
      </w:r>
      <w:r w:rsidR="008846C4">
        <w:t xml:space="preserve"> </w:t>
      </w:r>
      <w:r w:rsidR="004A42B8" w:rsidRPr="00BD529A">
        <w:t>a.</w:t>
      </w:r>
      <w:r w:rsidRPr="00BD529A">
        <w:rPr>
          <w:rStyle w:val="Znakapoznpodarou"/>
        </w:rPr>
        <w:footnoteReference w:id="98"/>
      </w:r>
    </w:p>
    <w:p w:rsidR="00AA08FF" w:rsidRDefault="007642C2" w:rsidP="0049720A">
      <w:pPr>
        <w:pStyle w:val="Odskoknadpis4"/>
      </w:pPr>
      <w:r>
        <w:t xml:space="preserve">Jak je uvedeno v úvodních kapitolách tohoto materiálu, </w:t>
      </w:r>
      <w:r w:rsidR="00A56B56">
        <w:t>IFN</w:t>
      </w:r>
      <w:r w:rsidR="00DB7085">
        <w:t xml:space="preserve"> vytvářejí multiplikační efekt</w:t>
      </w:r>
      <w:r>
        <w:t xml:space="preserve"> tím, </w:t>
      </w:r>
      <w:r w:rsidR="00E529C6">
        <w:t>že </w:t>
      </w:r>
      <w:r>
        <w:t>na sebe vážou d</w:t>
      </w:r>
      <w:r w:rsidR="00DB7085">
        <w:t>alší zdroje z národních a regionálních rozpočtů</w:t>
      </w:r>
      <w:r>
        <w:t xml:space="preserve"> a také</w:t>
      </w:r>
      <w:r w:rsidR="00DB7085">
        <w:t xml:space="preserve"> bank a dalších investorů. Tento multiplikační efekt se liší podle typu finančního nástroje, </w:t>
      </w:r>
      <w:r w:rsidR="00DA700B">
        <w:t xml:space="preserve">v závislosti </w:t>
      </w:r>
      <w:r w:rsidR="00DB7085">
        <w:t>na hospodářské</w:t>
      </w:r>
      <w:r w:rsidR="00DA700B">
        <w:t>m</w:t>
      </w:r>
      <w:r w:rsidR="00DB7085">
        <w:t xml:space="preserve"> odvětví</w:t>
      </w:r>
      <w:r w:rsidR="00DA700B">
        <w:t xml:space="preserve"> či s</w:t>
      </w:r>
      <w:r w:rsidR="001F4347">
        <w:t>ocio</w:t>
      </w:r>
      <w:r w:rsidR="00DA700B">
        <w:t>ekonomických podmínkách jejich</w:t>
      </w:r>
      <w:r w:rsidR="00DB7085">
        <w:t xml:space="preserve"> umístění. U </w:t>
      </w:r>
      <w:r w:rsidR="00DA700B">
        <w:t>kapitálových</w:t>
      </w:r>
      <w:r w:rsidR="00DB7085">
        <w:t xml:space="preserve"> </w:t>
      </w:r>
      <w:r w:rsidR="00420428">
        <w:t>IFN</w:t>
      </w:r>
      <w:r w:rsidR="00DB7085">
        <w:t xml:space="preserve"> na základě aktuálně dostupných informací se odhaduje, že jedno euro z veřejných zdrojů vedl</w:t>
      </w:r>
      <w:r w:rsidR="00DA700B">
        <w:t>o</w:t>
      </w:r>
      <w:r w:rsidR="00DB7085">
        <w:t xml:space="preserve"> k</w:t>
      </w:r>
      <w:r w:rsidR="00DA700B">
        <w:t xml:space="preserve"> aktivaci </w:t>
      </w:r>
      <w:r w:rsidR="00DB7085">
        <w:t>majetko</w:t>
      </w:r>
      <w:r w:rsidR="00DA700B">
        <w:t>vé účasti v podnicích mezi 1 EUR</w:t>
      </w:r>
      <w:r w:rsidR="00DB7085">
        <w:t xml:space="preserve"> a 3,4 E</w:t>
      </w:r>
      <w:r w:rsidR="00DA700B">
        <w:t>UR</w:t>
      </w:r>
      <w:r w:rsidR="00DB7085">
        <w:t>. Pro záruk</w:t>
      </w:r>
      <w:r w:rsidR="00DA700B">
        <w:t>y čísla uvádí, že</w:t>
      </w:r>
      <w:r w:rsidR="00DB7085">
        <w:t xml:space="preserve"> jedno euro </w:t>
      </w:r>
      <w:r w:rsidR="00E529C6">
        <w:t>z </w:t>
      </w:r>
      <w:r w:rsidR="00DB7085">
        <w:t xml:space="preserve">veřejných zdrojů </w:t>
      </w:r>
      <w:r w:rsidR="00DA700B">
        <w:t>vložených do záručních fondů podpořilo</w:t>
      </w:r>
      <w:r w:rsidR="00DB7085">
        <w:t xml:space="preserve"> čerpání úvěrů podnikům v roz</w:t>
      </w:r>
      <w:r w:rsidR="00DA700B">
        <w:t>sahu od</w:t>
      </w:r>
      <w:r w:rsidR="00755E19">
        <w:t xml:space="preserve"> </w:t>
      </w:r>
      <w:r w:rsidR="00E665A6">
        <w:t>1</w:t>
      </w:r>
      <w:r w:rsidR="00DA700B">
        <w:t xml:space="preserve"> </w:t>
      </w:r>
      <w:r w:rsidR="00E665A6">
        <w:t>do</w:t>
      </w:r>
      <w:r w:rsidR="00DA700B">
        <w:t xml:space="preserve"> 7,5 EUR</w:t>
      </w:r>
      <w:r w:rsidR="00DB7085">
        <w:t xml:space="preserve">. Pokud jde o </w:t>
      </w:r>
      <w:r w:rsidR="00A56B56">
        <w:t>IFN</w:t>
      </w:r>
      <w:r w:rsidR="00DA700B">
        <w:t xml:space="preserve"> ve formě úvěru, pohyboval se tento multiplikační efekt mezi </w:t>
      </w:r>
      <w:r w:rsidR="00E529C6">
        <w:t>1 </w:t>
      </w:r>
      <w:r w:rsidR="00DA700B">
        <w:t xml:space="preserve">a </w:t>
      </w:r>
      <w:r w:rsidR="00D77F18">
        <w:t xml:space="preserve">2 </w:t>
      </w:r>
      <w:r w:rsidR="00DA700B">
        <w:t>EUR</w:t>
      </w:r>
      <w:r w:rsidR="0089495C">
        <w:rPr>
          <w:rStyle w:val="Znakapoznpodarou"/>
        </w:rPr>
        <w:footnoteReference w:id="99"/>
      </w:r>
      <w:r w:rsidR="00AA08FF">
        <w:t>.</w:t>
      </w:r>
    </w:p>
    <w:p w:rsidR="007642C2" w:rsidRDefault="007642C2" w:rsidP="0049720A">
      <w:pPr>
        <w:pStyle w:val="Odskoknadpis4"/>
      </w:pPr>
      <w:r>
        <w:t>O</w:t>
      </w:r>
      <w:r w:rsidRPr="00CD25DD">
        <w:t xml:space="preserve">bdobí </w:t>
      </w:r>
      <w:r>
        <w:t xml:space="preserve">2007 – 2013 bylo prvním programovým obdobím </w:t>
      </w:r>
      <w:r w:rsidRPr="00CD25DD">
        <w:t xml:space="preserve">strukturálních fondů od roku 1986, kdy byly poprvé </w:t>
      </w:r>
      <w:r w:rsidR="00A56B56">
        <w:t>IFN</w:t>
      </w:r>
      <w:r w:rsidRPr="00CD25DD">
        <w:t xml:space="preserve"> v kohezní politice nasazeny poměrně masivně, což přineslo řadu zkušeností </w:t>
      </w:r>
      <w:r w:rsidR="00E529C6" w:rsidRPr="00CD25DD">
        <w:lastRenderedPageBreak/>
        <w:t>i</w:t>
      </w:r>
      <w:r w:rsidR="00E529C6">
        <w:t> </w:t>
      </w:r>
      <w:r w:rsidRPr="00CD25DD">
        <w:t>výzev</w:t>
      </w:r>
      <w:r>
        <w:t>, ale také</w:t>
      </w:r>
      <w:r w:rsidRPr="00CD25DD">
        <w:t xml:space="preserve"> komplikací. </w:t>
      </w:r>
      <w:r>
        <w:t>Ř</w:t>
      </w:r>
      <w:r w:rsidRPr="00CD25DD">
        <w:t xml:space="preserve">ada z těchto nástrojů fungovala velmi dobře a přispěla k efektivnímu vyčerpání prostředků, </w:t>
      </w:r>
      <w:r>
        <w:t>u jiných však</w:t>
      </w:r>
      <w:r w:rsidRPr="00CD25DD">
        <w:t xml:space="preserve"> byla situace komplikovanější. Evropský účetní </w:t>
      </w:r>
      <w:r w:rsidRPr="00BD529A">
        <w:t>dvůr (</w:t>
      </w:r>
      <w:r w:rsidR="00BD529A" w:rsidRPr="00BD529A">
        <w:t>„</w:t>
      </w:r>
      <w:r w:rsidR="00E87264" w:rsidRPr="00BD529A">
        <w:t>EÚD</w:t>
      </w:r>
      <w:r w:rsidR="00BD529A" w:rsidRPr="00BD529A">
        <w:t>“</w:t>
      </w:r>
      <w:r w:rsidRPr="00BD529A">
        <w:t>) upozornil</w:t>
      </w:r>
      <w:r w:rsidRPr="00CD25DD">
        <w:t xml:space="preserve"> ve své zvláštní zprávě z roku 2012 na problémy ve smyslu špatně připravené legislativy (např. umožnila situaci, kdy v oblasti JESSICA fondů bylo vyčerpáno </w:t>
      </w:r>
      <w:r w:rsidR="00E529C6" w:rsidRPr="00CD25DD">
        <w:t>a</w:t>
      </w:r>
      <w:r w:rsidR="00E529C6">
        <w:t> </w:t>
      </w:r>
      <w:r w:rsidRPr="00CD25DD">
        <w:t>refundováno</w:t>
      </w:r>
      <w:r>
        <w:t xml:space="preserve"> </w:t>
      </w:r>
      <w:r w:rsidRPr="00CD25DD">
        <w:t>přes 90</w:t>
      </w:r>
      <w:r w:rsidR="00C567D3">
        <w:t xml:space="preserve"> </w:t>
      </w:r>
      <w:r w:rsidRPr="00CD25DD">
        <w:t xml:space="preserve">% alokace téměř okamžitě, avšak ve prospěch konečných příjemců se dosud dostalo jen něco přes polovinu vyčerpaných prostředků) a z toho plynoucí nehospodárnosti (v uvedeném </w:t>
      </w:r>
      <w:r w:rsidR="00241109" w:rsidRPr="00CD25DD">
        <w:t>příkladu</w:t>
      </w:r>
      <w:r w:rsidRPr="00CD25DD">
        <w:t xml:space="preserve"> jde především o několikaleté inkasování manažerských poplatků za značný objem prostředků, které nebyly převedeny konečným příjemcům) a neefektivitě fungování řady </w:t>
      </w:r>
      <w:r w:rsidR="00420428">
        <w:t>IFN</w:t>
      </w:r>
      <w:r w:rsidRPr="00CD25DD">
        <w:t xml:space="preserve">. </w:t>
      </w:r>
      <w:r w:rsidR="0089495C">
        <w:t xml:space="preserve">Evropský účetní dvůr </w:t>
      </w:r>
      <w:r w:rsidRPr="00CD25DD">
        <w:t>pouk</w:t>
      </w:r>
      <w:r>
        <w:t xml:space="preserve">ázal </w:t>
      </w:r>
      <w:r w:rsidRPr="00CD25DD">
        <w:t xml:space="preserve">na nutnost propojit odměňování správců </w:t>
      </w:r>
      <w:r w:rsidR="00420428">
        <w:t>IFN</w:t>
      </w:r>
      <w:r w:rsidRPr="00CD25DD">
        <w:t xml:space="preserve"> a fondů s jejich výkonností, zvýšit pákový efekt zapojení soukromých zdrojů (tj. koinvestovat společně s privátními investory) a zlepšit finanční plánování, včetně </w:t>
      </w:r>
      <w:r>
        <w:t xml:space="preserve">nutnosti zajištění </w:t>
      </w:r>
      <w:r w:rsidRPr="00CD25DD">
        <w:t>vstupní ex</w:t>
      </w:r>
      <w:r>
        <w:t>-</w:t>
      </w:r>
      <w:r w:rsidRPr="00CD25DD">
        <w:t>ante analýzy</w:t>
      </w:r>
      <w:r>
        <w:t>.</w:t>
      </w:r>
      <w:r w:rsidRPr="00CD25DD">
        <w:t xml:space="preserve"> V důsledku následného zvýšeného tlaku ze strany </w:t>
      </w:r>
      <w:r>
        <w:t>EK</w:t>
      </w:r>
      <w:r w:rsidRPr="00CD25DD">
        <w:t xml:space="preserve"> v oblasti auditů</w:t>
      </w:r>
      <w:r>
        <w:t xml:space="preserve"> a nové</w:t>
      </w:r>
      <w:r w:rsidRPr="00CD25DD">
        <w:t xml:space="preserve"> legislativy</w:t>
      </w:r>
      <w:r w:rsidR="009405C2">
        <w:t>,</w:t>
      </w:r>
      <w:r w:rsidRPr="00CD25DD">
        <w:t xml:space="preserve"> je v období 2014</w:t>
      </w:r>
      <w:r w:rsidR="009405C2">
        <w:t xml:space="preserve"> </w:t>
      </w:r>
      <w:r w:rsidRPr="00CD25DD">
        <w:t>-</w:t>
      </w:r>
      <w:r w:rsidR="009405C2">
        <w:t xml:space="preserve"> </w:t>
      </w:r>
      <w:r w:rsidRPr="00CD25DD">
        <w:t xml:space="preserve">2020 všeobecně předpokládán hladší průběh implementace </w:t>
      </w:r>
      <w:r w:rsidR="00420428">
        <w:t>IFN</w:t>
      </w:r>
      <w:r w:rsidRPr="00CD25DD">
        <w:t xml:space="preserve"> s ohledem </w:t>
      </w:r>
      <w:r w:rsidR="00E529C6" w:rsidRPr="00CD25DD">
        <w:t>na</w:t>
      </w:r>
      <w:r w:rsidR="00E529C6">
        <w:t> </w:t>
      </w:r>
      <w:r w:rsidRPr="00CD25DD">
        <w:t xml:space="preserve">dostatek zkušeností jak na straně </w:t>
      </w:r>
      <w:r>
        <w:t>EK</w:t>
      </w:r>
      <w:r w:rsidRPr="00CD25DD">
        <w:t>, tak řídících orgánů a implementačních subjektů</w:t>
      </w:r>
      <w:r>
        <w:t>.</w:t>
      </w:r>
    </w:p>
    <w:p w:rsidR="00DA700B" w:rsidRDefault="00E27772" w:rsidP="00171265">
      <w:pPr>
        <w:pStyle w:val="Nadpis2"/>
      </w:pPr>
      <w:bookmarkStart w:id="45" w:name="_Toc410115453"/>
      <w:r>
        <w:t>Sit</w:t>
      </w:r>
      <w:r w:rsidR="001801D5">
        <w:t>uace</w:t>
      </w:r>
      <w:r w:rsidR="00E665A6">
        <w:t xml:space="preserve"> v</w:t>
      </w:r>
      <w:r w:rsidR="001801D5">
        <w:t xml:space="preserve"> ČR</w:t>
      </w:r>
      <w:bookmarkEnd w:id="45"/>
    </w:p>
    <w:p w:rsidR="00AA08FF" w:rsidRPr="00563C78" w:rsidRDefault="0088599A" w:rsidP="001801D5">
      <w:pPr>
        <w:rPr>
          <w:b/>
        </w:rPr>
      </w:pPr>
      <w:r w:rsidRPr="00563C78">
        <w:rPr>
          <w:b/>
        </w:rPr>
        <w:t xml:space="preserve">Prostředky alokované pro </w:t>
      </w:r>
      <w:r w:rsidR="0018767D" w:rsidRPr="00563C78">
        <w:rPr>
          <w:b/>
        </w:rPr>
        <w:t>ČR</w:t>
      </w:r>
      <w:r w:rsidR="001801D5" w:rsidRPr="00563C78">
        <w:rPr>
          <w:b/>
        </w:rPr>
        <w:t xml:space="preserve"> z </w:t>
      </w:r>
      <w:r w:rsidR="00EA2C3F" w:rsidRPr="00563C78">
        <w:rPr>
          <w:b/>
        </w:rPr>
        <w:t>ESIF</w:t>
      </w:r>
      <w:r w:rsidR="001801D5" w:rsidRPr="00563C78">
        <w:rPr>
          <w:b/>
        </w:rPr>
        <w:t xml:space="preserve"> tvoří </w:t>
      </w:r>
      <w:r w:rsidR="00A2192C" w:rsidRPr="00563C78">
        <w:rPr>
          <w:b/>
        </w:rPr>
        <w:t xml:space="preserve">významnou část veřejných investic </w:t>
      </w:r>
      <w:r w:rsidR="00563C78">
        <w:rPr>
          <w:b/>
        </w:rPr>
        <w:br/>
      </w:r>
      <w:r w:rsidR="00A2192C" w:rsidRPr="00563C78">
        <w:rPr>
          <w:b/>
        </w:rPr>
        <w:t xml:space="preserve">a </w:t>
      </w:r>
      <w:r w:rsidR="001801D5" w:rsidRPr="00563C78">
        <w:rPr>
          <w:b/>
        </w:rPr>
        <w:t xml:space="preserve">představují tak klíčový zdroj financování národních priorit. V programovém období </w:t>
      </w:r>
      <w:r w:rsidR="00563C78">
        <w:rPr>
          <w:b/>
        </w:rPr>
        <w:br/>
      </w:r>
      <w:r w:rsidR="001801D5" w:rsidRPr="00563C78">
        <w:rPr>
          <w:b/>
        </w:rPr>
        <w:t>2014 - 2020 z</w:t>
      </w:r>
      <w:r w:rsidR="00A2192C" w:rsidRPr="00563C78">
        <w:rPr>
          <w:b/>
        </w:rPr>
        <w:t> E</w:t>
      </w:r>
      <w:r w:rsidR="00E665A6" w:rsidRPr="00563C78">
        <w:rPr>
          <w:b/>
        </w:rPr>
        <w:t>SIF</w:t>
      </w:r>
      <w:r w:rsidR="00A2192C" w:rsidRPr="00563C78">
        <w:rPr>
          <w:b/>
        </w:rPr>
        <w:t xml:space="preserve"> </w:t>
      </w:r>
      <w:r w:rsidR="001801D5" w:rsidRPr="00563C78">
        <w:rPr>
          <w:b/>
        </w:rPr>
        <w:t xml:space="preserve">může ČR v rámci politiky soudržnosti EU získat alokaci přibližně </w:t>
      </w:r>
      <w:r w:rsidR="00E529C6" w:rsidRPr="00563C78">
        <w:rPr>
          <w:b/>
        </w:rPr>
        <w:t>ve</w:t>
      </w:r>
      <w:r w:rsidR="00E529C6">
        <w:rPr>
          <w:b/>
        </w:rPr>
        <w:t> </w:t>
      </w:r>
      <w:r w:rsidR="001801D5" w:rsidRPr="00563C78">
        <w:rPr>
          <w:b/>
        </w:rPr>
        <w:t xml:space="preserve">výši </w:t>
      </w:r>
      <w:r w:rsidR="00755E19" w:rsidRPr="00563C78">
        <w:rPr>
          <w:b/>
        </w:rPr>
        <w:t>23,9</w:t>
      </w:r>
      <w:r w:rsidR="001801D5" w:rsidRPr="00563C78">
        <w:rPr>
          <w:b/>
        </w:rPr>
        <w:t xml:space="preserve"> </w:t>
      </w:r>
      <w:r w:rsidR="000D59AC" w:rsidRPr="000D59AC">
        <w:rPr>
          <w:b/>
        </w:rPr>
        <w:t xml:space="preserve">mld. </w:t>
      </w:r>
      <w:r w:rsidR="001801D5" w:rsidRPr="00563C78">
        <w:rPr>
          <w:b/>
        </w:rPr>
        <w:t>EUR</w:t>
      </w:r>
      <w:r w:rsidR="00563C78" w:rsidRPr="00563C78">
        <w:rPr>
          <w:b/>
        </w:rPr>
        <w:t xml:space="preserve"> (cca 660 </w:t>
      </w:r>
      <w:r w:rsidR="000D59AC" w:rsidRPr="000D59AC">
        <w:rPr>
          <w:b/>
        </w:rPr>
        <w:t xml:space="preserve">mld. </w:t>
      </w:r>
      <w:r w:rsidR="00563C78" w:rsidRPr="00563C78">
        <w:rPr>
          <w:b/>
        </w:rPr>
        <w:t>Kč)</w:t>
      </w:r>
      <w:r w:rsidR="001801D5" w:rsidRPr="00563C78">
        <w:rPr>
          <w:b/>
        </w:rPr>
        <w:t xml:space="preserve">. S ohledem na předpokládanou nižší alokaci pro ČR v budoucnosti (po roce 2020) v rámci politiky soudržnosti je v současnosti </w:t>
      </w:r>
      <w:r w:rsidR="00E529C6" w:rsidRPr="00563C78">
        <w:rPr>
          <w:b/>
        </w:rPr>
        <w:t>o</w:t>
      </w:r>
      <w:r w:rsidR="00E529C6">
        <w:rPr>
          <w:b/>
        </w:rPr>
        <w:t> </w:t>
      </w:r>
      <w:r w:rsidR="00E529C6" w:rsidRPr="00563C78">
        <w:rPr>
          <w:b/>
        </w:rPr>
        <w:t>to</w:t>
      </w:r>
      <w:r w:rsidR="00E529C6">
        <w:rPr>
          <w:b/>
        </w:rPr>
        <w:t> </w:t>
      </w:r>
      <w:r w:rsidR="001801D5" w:rsidRPr="00563C78">
        <w:rPr>
          <w:b/>
        </w:rPr>
        <w:t xml:space="preserve">důležitější, jakým způsobem </w:t>
      </w:r>
      <w:r w:rsidR="00A2192C" w:rsidRPr="00563C78">
        <w:rPr>
          <w:b/>
        </w:rPr>
        <w:t xml:space="preserve">ČR </w:t>
      </w:r>
      <w:r w:rsidR="001801D5" w:rsidRPr="00563C78">
        <w:rPr>
          <w:b/>
        </w:rPr>
        <w:t>alokaci v programovém období 2014 - 2020 využije</w:t>
      </w:r>
      <w:r w:rsidR="0089495C" w:rsidRPr="00563C78">
        <w:rPr>
          <w:rStyle w:val="Znakapoznpodarou"/>
          <w:b/>
        </w:rPr>
        <w:footnoteReference w:id="100"/>
      </w:r>
      <w:r w:rsidR="00AA08FF" w:rsidRPr="00563C78">
        <w:rPr>
          <w:b/>
        </w:rPr>
        <w:t>.</w:t>
      </w:r>
    </w:p>
    <w:p w:rsidR="000F7D0A" w:rsidRDefault="000F7D0A" w:rsidP="00171265">
      <w:pPr>
        <w:pStyle w:val="Nadpis3"/>
      </w:pPr>
      <w:bookmarkStart w:id="46" w:name="_Toc410115454"/>
      <w:r>
        <w:t>Ekonomická</w:t>
      </w:r>
      <w:r w:rsidR="00E27772">
        <w:t xml:space="preserve"> </w:t>
      </w:r>
      <w:r>
        <w:t>situace v ČR a EU</w:t>
      </w:r>
      <w:bookmarkEnd w:id="46"/>
    </w:p>
    <w:p w:rsidR="00AA08FF" w:rsidRDefault="001801D5" w:rsidP="0049720A">
      <w:pPr>
        <w:pStyle w:val="Odskoknadpis4"/>
      </w:pPr>
      <w:r>
        <w:t xml:space="preserve">Po hospodářské krizi, která byla důsledkem světové finanční krize z let 2007 - 2008, nebylo v EU zaznamenáno očekávané výraznější oživení ekonomické aktivity. Obnovení hospodářského růstu v EU a vrácení ekonomiky ČR na cestu udržitelného a inkluzivního růstu </w:t>
      </w:r>
      <w:r w:rsidR="0089495C">
        <w:t>by mělo být</w:t>
      </w:r>
      <w:r>
        <w:t xml:space="preserve"> </w:t>
      </w:r>
      <w:r w:rsidR="0089495C">
        <w:t xml:space="preserve">jednou </w:t>
      </w:r>
      <w:r w:rsidR="00E529C6">
        <w:t>z </w:t>
      </w:r>
      <w:r>
        <w:t>nejdůležitější</w:t>
      </w:r>
      <w:r w:rsidR="0089495C">
        <w:t>ch priorit</w:t>
      </w:r>
      <w:r>
        <w:t xml:space="preserve"> v současné ekonomické situaci</w:t>
      </w:r>
      <w:r w:rsidR="0089495C">
        <w:rPr>
          <w:rStyle w:val="Znakapoznpodarou"/>
        </w:rPr>
        <w:footnoteReference w:id="101"/>
      </w:r>
      <w:r>
        <w:t xml:space="preserve">. </w:t>
      </w:r>
      <w:r w:rsidR="00A2192C">
        <w:t>ČR</w:t>
      </w:r>
      <w:r>
        <w:t xml:space="preserve"> čelí rozsáhlé a dlouhotrvající potřebě nových investic, mimo jiné v oblasti budování moderní energetické, dopravní </w:t>
      </w:r>
      <w:r w:rsidR="00E529C6">
        <w:t>a </w:t>
      </w:r>
      <w:r>
        <w:t>komunikační infrastruktury, jakož i v oblasti přechodu na konkurenceschopné hospodářství založené na znalostech a inovacích. Tyto investice musí být primárně zaměřeny na snížení míry nezaměstnanosti a na potřebu posunu k efektivnímu využívání zdrojů</w:t>
      </w:r>
      <w:r w:rsidR="0089495C">
        <w:rPr>
          <w:rStyle w:val="Znakapoznpodarou"/>
        </w:rPr>
        <w:footnoteReference w:id="102"/>
      </w:r>
      <w:r w:rsidR="00AA08FF">
        <w:t>.</w:t>
      </w:r>
    </w:p>
    <w:p w:rsidR="00410997" w:rsidRDefault="00665913" w:rsidP="0049720A">
      <w:pPr>
        <w:pStyle w:val="Odskoknadpis4"/>
      </w:pPr>
      <w:r>
        <w:t>Evropa se v současné době potýká s problémem jak nastartovat svou ekonomiku. Tradiční nástroje (úrokové sazby a zvyšování schodků státních rozpočtů) jsou nyní vyčerpány.</w:t>
      </w:r>
    </w:p>
    <w:p w:rsidR="00AA7018" w:rsidRDefault="00AA7018" w:rsidP="0049720A">
      <w:pPr>
        <w:pStyle w:val="Odskoknadpis4"/>
      </w:pPr>
      <w:r>
        <w:t>Proto dnes bankovní sektor v ČR disponuje velkým množstvím volných dluhových zdrojů</w:t>
      </w:r>
      <w:r w:rsidR="00BC157A">
        <w:t>,</w:t>
      </w:r>
      <w:r>
        <w:t xml:space="preserve"> </w:t>
      </w:r>
      <w:r w:rsidR="00E529C6">
        <w:t>a to </w:t>
      </w:r>
      <w:r>
        <w:t>při extrémně nízkých úrokových sazbách</w:t>
      </w:r>
      <w:r>
        <w:rPr>
          <w:rStyle w:val="Znakapoznpodarou"/>
        </w:rPr>
        <w:footnoteReference w:id="103"/>
      </w:r>
      <w:r>
        <w:t xml:space="preserve">. Poměr klientských vkladů v bankách </w:t>
      </w:r>
      <w:r w:rsidR="00E529C6">
        <w:t>a </w:t>
      </w:r>
      <w:r>
        <w:t>poskytnutých klientských úvěrů ke konci roku 2013 dosáhl 146</w:t>
      </w:r>
      <w:r w:rsidR="00C567D3">
        <w:t xml:space="preserve"> </w:t>
      </w:r>
      <w:r>
        <w:t>%.</w:t>
      </w:r>
      <w:r>
        <w:rPr>
          <w:rStyle w:val="Znakapoznpodarou"/>
        </w:rPr>
        <w:footnoteReference w:id="104"/>
      </w:r>
    </w:p>
    <w:p w:rsidR="00665913" w:rsidRPr="003C1A9B" w:rsidRDefault="002921B3" w:rsidP="005144FD">
      <w:pPr>
        <w:pStyle w:val="Titulek"/>
      </w:pPr>
      <w:bookmarkStart w:id="47" w:name="_Toc409446388"/>
      <w:r>
        <w:lastRenderedPageBreak/>
        <w:t xml:space="preserve">Graf </w:t>
      </w:r>
      <w:fldSimple w:instr=" SEQ Graf \* ARABIC ">
        <w:r w:rsidR="006C5EA3">
          <w:rPr>
            <w:noProof/>
          </w:rPr>
          <w:t>2</w:t>
        </w:r>
      </w:fldSimple>
      <w:r>
        <w:t>:</w:t>
      </w:r>
      <w:r w:rsidR="00665913" w:rsidRPr="003C1A9B">
        <w:t xml:space="preserve"> </w:t>
      </w:r>
      <w:r w:rsidR="00665913">
        <w:t xml:space="preserve">Vývoj </w:t>
      </w:r>
      <w:r w:rsidR="00123A8E">
        <w:t>MRO úrokové saz</w:t>
      </w:r>
      <w:r w:rsidR="00665913">
        <w:t>b</w:t>
      </w:r>
      <w:r w:rsidR="00123A8E">
        <w:t>y</w:t>
      </w:r>
      <w:r w:rsidR="00665913">
        <w:t xml:space="preserve"> </w:t>
      </w:r>
      <w:r w:rsidR="00123A8E">
        <w:t xml:space="preserve">ECB v % </w:t>
      </w:r>
      <w:r w:rsidR="006E27EF">
        <w:t>- 1999</w:t>
      </w:r>
      <w:r w:rsidR="00665913">
        <w:t xml:space="preserve"> </w:t>
      </w:r>
      <w:r w:rsidR="006E27EF">
        <w:t>–</w:t>
      </w:r>
      <w:r w:rsidR="00665913">
        <w:t xml:space="preserve"> 2014</w:t>
      </w:r>
      <w:bookmarkEnd w:id="47"/>
      <w:r w:rsidR="006E27EF">
        <w:t xml:space="preserve"> </w:t>
      </w:r>
    </w:p>
    <w:p w:rsidR="00665913" w:rsidRDefault="0055330E" w:rsidP="002521B2">
      <w:pPr>
        <w:pStyle w:val="Odskoknadpis4"/>
        <w:jc w:val="center"/>
      </w:pPr>
      <w:r>
        <w:rPr>
          <w:noProof/>
          <w:lang w:eastAsia="cs-CZ"/>
        </w:rPr>
        <w:drawing>
          <wp:inline distT="0" distB="0" distL="0" distR="0" wp14:anchorId="28395CC0" wp14:editId="3BA7FC28">
            <wp:extent cx="4723130" cy="3084830"/>
            <wp:effectExtent l="19050" t="0" r="1270" b="0"/>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6"/>
                    <a:srcRect/>
                    <a:stretch>
                      <a:fillRect/>
                    </a:stretch>
                  </pic:blipFill>
                  <pic:spPr bwMode="auto">
                    <a:xfrm>
                      <a:off x="0" y="0"/>
                      <a:ext cx="4723130" cy="3084830"/>
                    </a:xfrm>
                    <a:prstGeom prst="rect">
                      <a:avLst/>
                    </a:prstGeom>
                    <a:noFill/>
                    <a:ln w="9525">
                      <a:noFill/>
                      <a:miter lim="800000"/>
                      <a:headEnd/>
                      <a:tailEnd/>
                    </a:ln>
                  </pic:spPr>
                </pic:pic>
              </a:graphicData>
            </a:graphic>
          </wp:inline>
        </w:drawing>
      </w:r>
    </w:p>
    <w:p w:rsidR="008572C2" w:rsidRPr="008572C2" w:rsidRDefault="008572C2" w:rsidP="008572C2">
      <w:pPr>
        <w:pStyle w:val="Odskoknadpis4"/>
        <w:rPr>
          <w:i/>
          <w:color w:val="548DD4"/>
        </w:rPr>
      </w:pPr>
      <w:r w:rsidRPr="008572C2">
        <w:rPr>
          <w:i/>
          <w:color w:val="548DD4"/>
        </w:rPr>
        <w:t>Zdroj: Evropská centrální banka</w:t>
      </w:r>
    </w:p>
    <w:p w:rsidR="00123A8E" w:rsidRPr="003C1A9B" w:rsidRDefault="002921B3" w:rsidP="005144FD">
      <w:pPr>
        <w:pStyle w:val="Titulek"/>
      </w:pPr>
      <w:bookmarkStart w:id="48" w:name="_Toc409446389"/>
      <w:r>
        <w:t xml:space="preserve">Graf </w:t>
      </w:r>
      <w:fldSimple w:instr=" SEQ Graf \* ARABIC ">
        <w:r w:rsidR="006C5EA3">
          <w:rPr>
            <w:noProof/>
          </w:rPr>
          <w:t>3</w:t>
        </w:r>
      </w:fldSimple>
      <w:r>
        <w:t>:</w:t>
      </w:r>
      <w:r w:rsidR="00123A8E">
        <w:tab/>
        <w:t>Vývoj diskontní úrokové sazby ČNB v % - 1999 – 2014</w:t>
      </w:r>
      <w:bookmarkEnd w:id="48"/>
      <w:r w:rsidR="00123A8E">
        <w:t xml:space="preserve"> </w:t>
      </w:r>
    </w:p>
    <w:p w:rsidR="00123A8E" w:rsidRDefault="0055330E" w:rsidP="002521B2">
      <w:pPr>
        <w:pStyle w:val="Odskoknadpis4"/>
        <w:jc w:val="center"/>
      </w:pPr>
      <w:r>
        <w:rPr>
          <w:noProof/>
          <w:lang w:eastAsia="cs-CZ"/>
        </w:rPr>
        <w:drawing>
          <wp:inline distT="0" distB="0" distL="0" distR="0" wp14:anchorId="75B20455" wp14:editId="495D17E8">
            <wp:extent cx="4707255" cy="2957830"/>
            <wp:effectExtent l="19050" t="0" r="0" b="0"/>
            <wp:docPr id="1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7"/>
                    <a:srcRect/>
                    <a:stretch>
                      <a:fillRect/>
                    </a:stretch>
                  </pic:blipFill>
                  <pic:spPr bwMode="auto">
                    <a:xfrm>
                      <a:off x="0" y="0"/>
                      <a:ext cx="4707255" cy="2957830"/>
                    </a:xfrm>
                    <a:prstGeom prst="rect">
                      <a:avLst/>
                    </a:prstGeom>
                    <a:noFill/>
                    <a:ln w="9525">
                      <a:noFill/>
                      <a:miter lim="800000"/>
                      <a:headEnd/>
                      <a:tailEnd/>
                    </a:ln>
                  </pic:spPr>
                </pic:pic>
              </a:graphicData>
            </a:graphic>
          </wp:inline>
        </w:drawing>
      </w:r>
    </w:p>
    <w:p w:rsidR="008572C2" w:rsidRPr="008572C2" w:rsidRDefault="008572C2" w:rsidP="008572C2">
      <w:pPr>
        <w:pStyle w:val="Odskoknadpis4"/>
        <w:rPr>
          <w:i/>
          <w:color w:val="548DD4"/>
        </w:rPr>
      </w:pPr>
      <w:r w:rsidRPr="008572C2">
        <w:rPr>
          <w:i/>
          <w:color w:val="548DD4"/>
        </w:rPr>
        <w:t>Zdroj: Statistiky ČNB</w:t>
      </w:r>
    </w:p>
    <w:p w:rsidR="00042EBB" w:rsidRDefault="0060065B" w:rsidP="0049720A">
      <w:pPr>
        <w:pStyle w:val="Odskoknadpis4"/>
      </w:pPr>
      <w:r>
        <w:t>Evropská unie jako celek má podobný problém jako ČR. Evropská centrální banka se snaží povzbudit ekonomický růst kvantita</w:t>
      </w:r>
      <w:r w:rsidR="00042EBB">
        <w:t>tivním uvolňováním</w:t>
      </w:r>
      <w:r w:rsidR="00BC157A">
        <w:t>.</w:t>
      </w:r>
      <w:r w:rsidR="00042EBB">
        <w:t xml:space="preserve"> </w:t>
      </w:r>
      <w:r w:rsidR="00BC157A">
        <w:t>Přesto</w:t>
      </w:r>
      <w:r>
        <w:t xml:space="preserve"> EU v porovnání </w:t>
      </w:r>
      <w:r w:rsidR="00BC157A">
        <w:t xml:space="preserve">například </w:t>
      </w:r>
      <w:r>
        <w:t>s USA zaostává.</w:t>
      </w:r>
    </w:p>
    <w:p w:rsidR="00DC6528" w:rsidRDefault="00DC6528" w:rsidP="00DC6528">
      <w:pPr>
        <w:pStyle w:val="Odskoknadpis4"/>
      </w:pPr>
      <w:r>
        <w:lastRenderedPageBreak/>
        <w:t>Protože možnosti využití prostředků EU z programového období 2014 až 2020 na investiční výdaje budou oproti současnosti relativně omezené</w:t>
      </w:r>
      <w:r>
        <w:rPr>
          <w:rStyle w:val="Znakapoznpodarou"/>
        </w:rPr>
        <w:footnoteReference w:id="105"/>
      </w:r>
      <w:r>
        <w:t xml:space="preserve">, je nutné hledat jiné způsoby, jak podpořit investice a tím i samotný ekonomický růst. </w:t>
      </w:r>
    </w:p>
    <w:p w:rsidR="008572C2" w:rsidRDefault="00DC6528" w:rsidP="00DC6528">
      <w:pPr>
        <w:pStyle w:val="Odskoknadpis4"/>
      </w:pPr>
      <w:r>
        <w:t xml:space="preserve">Finanční krize a současná slabá makroekonomická situace v EU vytvořily atmosféru nejistoty </w:t>
      </w:r>
      <w:r w:rsidR="00E529C6">
        <w:t>a </w:t>
      </w:r>
      <w:r>
        <w:t xml:space="preserve">averze vůči investičnímu riziku, což dodatečně zvyšuje potřebu veřejných investic, na které má ČR omezené finanční prostředky. Finanční krize </w:t>
      </w:r>
      <w:r w:rsidR="00BC157A">
        <w:t xml:space="preserve">nadále </w:t>
      </w:r>
      <w:r>
        <w:t>oslabila poskytování bankovních úvěrů pro malé a střední podniky</w:t>
      </w:r>
      <w:r>
        <w:rPr>
          <w:rStyle w:val="Znakapoznpodarou"/>
        </w:rPr>
        <w:footnoteReference w:id="106"/>
      </w:r>
      <w:r>
        <w:t xml:space="preserve"> i pro dlouhodobé investiční projekty. Tento stav navíc prohloubily nové kapitálové požadavky BASEL III</w:t>
      </w:r>
      <w:r>
        <w:rPr>
          <w:rStyle w:val="Znakapoznpodarou"/>
        </w:rPr>
        <w:footnoteReference w:id="107"/>
      </w:r>
      <w:r>
        <w:t xml:space="preserve">, resp. v EU CRDIV. </w:t>
      </w:r>
    </w:p>
    <w:p w:rsidR="008572C2" w:rsidRDefault="002921B3" w:rsidP="005144FD">
      <w:pPr>
        <w:pStyle w:val="Titulek"/>
      </w:pPr>
      <w:bookmarkStart w:id="49" w:name="_Toc409446390"/>
      <w:r>
        <w:t xml:space="preserve">Graf </w:t>
      </w:r>
      <w:fldSimple w:instr=" SEQ Graf \* ARABIC ">
        <w:r w:rsidR="006C5EA3">
          <w:rPr>
            <w:noProof/>
          </w:rPr>
          <w:t>4</w:t>
        </w:r>
      </w:fldSimple>
      <w:r>
        <w:t>:</w:t>
      </w:r>
      <w:r w:rsidR="008572C2">
        <w:tab/>
      </w:r>
      <w:r w:rsidR="008C1C38">
        <w:t>Úvěry poskytované českými bankami rok 2008 = 100</w:t>
      </w:r>
      <w:r w:rsidR="00C567D3">
        <w:t xml:space="preserve"> </w:t>
      </w:r>
      <w:r w:rsidR="008C1C38">
        <w:t>%</w:t>
      </w:r>
      <w:bookmarkEnd w:id="49"/>
    </w:p>
    <w:p w:rsidR="008572C2" w:rsidRDefault="0055330E" w:rsidP="008C1C38">
      <w:pPr>
        <w:pStyle w:val="Odskoknadpis4"/>
        <w:jc w:val="center"/>
      </w:pPr>
      <w:r>
        <w:rPr>
          <w:noProof/>
          <w:lang w:eastAsia="cs-CZ"/>
        </w:rPr>
        <w:drawing>
          <wp:inline distT="0" distB="0" distL="0" distR="0" wp14:anchorId="144201E5" wp14:editId="434F5E72">
            <wp:extent cx="4874260" cy="2926080"/>
            <wp:effectExtent l="19050" t="0" r="2540" b="0"/>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a:srcRect/>
                    <a:stretch>
                      <a:fillRect/>
                    </a:stretch>
                  </pic:blipFill>
                  <pic:spPr bwMode="auto">
                    <a:xfrm>
                      <a:off x="0" y="0"/>
                      <a:ext cx="4874260" cy="2926080"/>
                    </a:xfrm>
                    <a:prstGeom prst="rect">
                      <a:avLst/>
                    </a:prstGeom>
                    <a:noFill/>
                    <a:ln w="9525">
                      <a:noFill/>
                      <a:miter lim="800000"/>
                      <a:headEnd/>
                      <a:tailEnd/>
                    </a:ln>
                  </pic:spPr>
                </pic:pic>
              </a:graphicData>
            </a:graphic>
          </wp:inline>
        </w:drawing>
      </w:r>
    </w:p>
    <w:p w:rsidR="008C1C38" w:rsidRDefault="008C1C38" w:rsidP="00DC6528">
      <w:pPr>
        <w:pStyle w:val="Odskoknadpis4"/>
        <w:rPr>
          <w:i/>
          <w:color w:val="548DD4"/>
        </w:rPr>
      </w:pPr>
      <w:r w:rsidRPr="008C1C38">
        <w:rPr>
          <w:i/>
          <w:color w:val="548DD4"/>
        </w:rPr>
        <w:t>Zdroj: Statistiky ČNB</w:t>
      </w:r>
    </w:p>
    <w:p w:rsidR="008C1C38" w:rsidRDefault="008C1C38" w:rsidP="008C1C38">
      <w:r>
        <w:t>Graf jasně ukazuje, že financování podniků stagnuje. Naopak významně narůstá dluhování domácností a také vlády ve formě nákupu státních dluhopisů.</w:t>
      </w:r>
    </w:p>
    <w:p w:rsidR="00DC6528" w:rsidRDefault="00DC6528" w:rsidP="00DC6528">
      <w:pPr>
        <w:pStyle w:val="Odskoknadpis4"/>
      </w:pPr>
      <w:r>
        <w:t>ČR je tradiční zemí, kde se většina projektů financuje dluhovými nástroji a v oblasti využití tzv</w:t>
      </w:r>
      <w:r w:rsidR="00E529C6">
        <w:t>. </w:t>
      </w:r>
      <w:r>
        <w:t>private equity („PE“) je ČR na jednom z posledních míst v</w:t>
      </w:r>
      <w:r w:rsidR="001E504D">
        <w:t> </w:t>
      </w:r>
      <w:r>
        <w:t>Evropě</w:t>
      </w:r>
      <w:r w:rsidR="001E504D">
        <w:t>,</w:t>
      </w:r>
      <w:r>
        <w:t xml:space="preserve"> a to jak v absolutní výši, tak při přepočtu investic PE na HDP</w:t>
      </w:r>
      <w:r>
        <w:rPr>
          <w:rStyle w:val="Znakapoznpodarou"/>
        </w:rPr>
        <w:footnoteReference w:id="108"/>
      </w:r>
      <w:r>
        <w:t>.</w:t>
      </w:r>
    </w:p>
    <w:p w:rsidR="00DC6528" w:rsidRDefault="002921B3" w:rsidP="005144FD">
      <w:pPr>
        <w:pStyle w:val="Titulek"/>
      </w:pPr>
      <w:bookmarkStart w:id="50" w:name="_Toc409446391"/>
      <w:r>
        <w:lastRenderedPageBreak/>
        <w:t xml:space="preserve">Graf </w:t>
      </w:r>
      <w:fldSimple w:instr=" SEQ Graf \* ARABIC ">
        <w:r w:rsidR="006C5EA3">
          <w:rPr>
            <w:noProof/>
          </w:rPr>
          <w:t>5</w:t>
        </w:r>
      </w:fldSimple>
      <w:r>
        <w:t>:</w:t>
      </w:r>
      <w:r w:rsidR="00DC6528">
        <w:tab/>
        <w:t xml:space="preserve">Investice rizikového kapitálu dle </w:t>
      </w:r>
      <w:r w:rsidR="00DC6528" w:rsidRPr="003B5238">
        <w:t>jednotlivých</w:t>
      </w:r>
      <w:r w:rsidR="00DC6528">
        <w:t xml:space="preserve"> zemí v roce 2012 (mil. US</w:t>
      </w:r>
      <w:r w:rsidR="006C5EA3">
        <w:t>D</w:t>
      </w:r>
      <w:bookmarkStart w:id="51" w:name="_GoBack"/>
      <w:bookmarkEnd w:id="51"/>
      <w:r w:rsidR="00DC6528">
        <w:t>)</w:t>
      </w:r>
      <w:bookmarkEnd w:id="50"/>
    </w:p>
    <w:p w:rsidR="00DC6528" w:rsidRDefault="0055330E" w:rsidP="00DC6528">
      <w:pPr>
        <w:pStyle w:val="Odskoknadpis4"/>
        <w:jc w:val="center"/>
      </w:pPr>
      <w:r>
        <w:rPr>
          <w:noProof/>
          <w:lang w:eastAsia="cs-CZ"/>
        </w:rPr>
        <w:drawing>
          <wp:inline distT="0" distB="0" distL="0" distR="0" wp14:anchorId="2979538D" wp14:editId="2E870DFB">
            <wp:extent cx="4810760" cy="3077210"/>
            <wp:effectExtent l="19050" t="0" r="889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9"/>
                    <a:srcRect/>
                    <a:stretch>
                      <a:fillRect/>
                    </a:stretch>
                  </pic:blipFill>
                  <pic:spPr bwMode="auto">
                    <a:xfrm>
                      <a:off x="0" y="0"/>
                      <a:ext cx="4810760" cy="3077210"/>
                    </a:xfrm>
                    <a:prstGeom prst="rect">
                      <a:avLst/>
                    </a:prstGeom>
                    <a:noFill/>
                    <a:ln w="9525">
                      <a:noFill/>
                      <a:miter lim="800000"/>
                      <a:headEnd/>
                      <a:tailEnd/>
                    </a:ln>
                  </pic:spPr>
                </pic:pic>
              </a:graphicData>
            </a:graphic>
          </wp:inline>
        </w:drawing>
      </w:r>
    </w:p>
    <w:p w:rsidR="008572C2" w:rsidRPr="008572C2" w:rsidRDefault="008572C2" w:rsidP="008572C2">
      <w:pPr>
        <w:pStyle w:val="Odskoknadpis4"/>
        <w:rPr>
          <w:i/>
          <w:color w:val="548DD4"/>
        </w:rPr>
      </w:pPr>
      <w:r w:rsidRPr="008572C2">
        <w:rPr>
          <w:i/>
          <w:color w:val="548DD4"/>
        </w:rPr>
        <w:t>Zdroj: – Entrepreneurship at a glance - OECD 2013</w:t>
      </w:r>
    </w:p>
    <w:p w:rsidR="00DC6528" w:rsidRPr="00833895" w:rsidRDefault="00DC6528" w:rsidP="00DC6528">
      <w:pPr>
        <w:pStyle w:val="Odskoknadpis4"/>
        <w:rPr>
          <w:i/>
        </w:rPr>
      </w:pPr>
      <w:r w:rsidRPr="00833895">
        <w:rPr>
          <w:i/>
        </w:rPr>
        <w:t>„Problém je v tom, že peníze se v ekonomice „ne</w:t>
      </w:r>
      <w:r w:rsidR="008E2318">
        <w:rPr>
          <w:i/>
        </w:rPr>
        <w:t>otáčí</w:t>
      </w:r>
      <w:r w:rsidRPr="00833895">
        <w:rPr>
          <w:i/>
        </w:rPr>
        <w:t>“. Další grafy ukazují proč. Banky mají dnes více vkladů než poskytnutých půjček, ale podniky si nepůjčují</w:t>
      </w:r>
      <w:r w:rsidRPr="00833895">
        <w:rPr>
          <w:rStyle w:val="Znakapoznpodarou"/>
          <w:i/>
        </w:rPr>
        <w:footnoteReference w:id="109"/>
      </w:r>
      <w:r w:rsidRPr="00833895">
        <w:rPr>
          <w:i/>
        </w:rPr>
        <w:t>. To je zároveň situace celé Evropy. K riziku máme v ČR konzervativnější přístup než Američané nebo Britové. Firmy jsou opatrnější, jedou na produktivitu práce a rovněž i ony hromadí finanční prostředky. Banky jsou zároveň opatrnější při financování malého a středního podnikání. Toto je důvod, proč se</w:t>
      </w:r>
      <w:r>
        <w:rPr>
          <w:i/>
        </w:rPr>
        <w:t xml:space="preserve"> </w:t>
      </w:r>
      <w:r w:rsidRPr="00833895">
        <w:rPr>
          <w:i/>
        </w:rPr>
        <w:t xml:space="preserve">peníze </w:t>
      </w:r>
      <w:r w:rsidR="00E529C6" w:rsidRPr="00833895">
        <w:rPr>
          <w:i/>
        </w:rPr>
        <w:t>v</w:t>
      </w:r>
      <w:r w:rsidR="00E529C6">
        <w:rPr>
          <w:i/>
        </w:rPr>
        <w:t> </w:t>
      </w:r>
      <w:r w:rsidRPr="00833895">
        <w:rPr>
          <w:i/>
        </w:rPr>
        <w:t xml:space="preserve">ekonomice točí pomalu, proč ekonomika neroste, jak jsme byli zvyklí před 2008, a proč </w:t>
      </w:r>
      <w:r w:rsidR="00906704">
        <w:rPr>
          <w:i/>
        </w:rPr>
        <w:t xml:space="preserve">je </w:t>
      </w:r>
      <w:r w:rsidRPr="00833895">
        <w:rPr>
          <w:i/>
        </w:rPr>
        <w:t>míra nezaměstnanosti nad úrovní 2008, a ne pod jako v USA. Většina této hotovosti končí v bankách (od podniků a domácností) a následně ve státních dluhopisech (od bank) a poté projdou státním rozpočtem s tím, že jen malá část je vr</w:t>
      </w:r>
      <w:r w:rsidR="00906704">
        <w:rPr>
          <w:i/>
        </w:rPr>
        <w:t>á</w:t>
      </w:r>
      <w:r w:rsidRPr="00833895">
        <w:rPr>
          <w:i/>
        </w:rPr>
        <w:t xml:space="preserve">cena zpět ve formě investic. Většina je vyčerpána </w:t>
      </w:r>
      <w:r w:rsidR="008846C4" w:rsidRPr="00833895">
        <w:rPr>
          <w:i/>
        </w:rPr>
        <w:t>na</w:t>
      </w:r>
      <w:r w:rsidR="008846C4">
        <w:rPr>
          <w:i/>
        </w:rPr>
        <w:t> </w:t>
      </w:r>
      <w:r w:rsidRPr="00833895">
        <w:rPr>
          <w:i/>
        </w:rPr>
        <w:t xml:space="preserve">mandatorní výdaje nebo chod státní správy. Pokud je proinvestováno, zamíří tyto prostředky jako platba za zakázky zpět k podnikům. </w:t>
      </w:r>
      <w:r w:rsidR="00906704">
        <w:rPr>
          <w:i/>
        </w:rPr>
        <w:t>T</w:t>
      </w:r>
      <w:r w:rsidRPr="00833895">
        <w:rPr>
          <w:i/>
        </w:rPr>
        <w:t>y si zisk uloží u bank, banky si koupí státní dluhopis atd. Proto je nyní historicky největší poptávka po dluhopisech, všichni do nich investují</w:t>
      </w:r>
      <w:r w:rsidR="00906704">
        <w:rPr>
          <w:i/>
        </w:rPr>
        <w:t>,</w:t>
      </w:r>
      <w:r w:rsidRPr="00833895">
        <w:rPr>
          <w:i/>
        </w:rPr>
        <w:t xml:space="preserve"> místo aby peníze sami investovali v produktivních sektorech. Kvůli extrémní poptávce jsou výnosy dluhopisů na minimech.“</w:t>
      </w:r>
      <w:r w:rsidRPr="00833895">
        <w:rPr>
          <w:rStyle w:val="Znakapoznpodarou"/>
          <w:i/>
        </w:rPr>
        <w:footnoteReference w:id="110"/>
      </w:r>
    </w:p>
    <w:p w:rsidR="00DC6528" w:rsidRDefault="002921B3" w:rsidP="005144FD">
      <w:pPr>
        <w:pStyle w:val="Titulek"/>
      </w:pPr>
      <w:bookmarkStart w:id="52" w:name="_Toc409446392"/>
      <w:r>
        <w:lastRenderedPageBreak/>
        <w:t xml:space="preserve">Graf </w:t>
      </w:r>
      <w:fldSimple w:instr=" SEQ Graf \* ARABIC ">
        <w:r w:rsidR="006C5EA3">
          <w:rPr>
            <w:noProof/>
          </w:rPr>
          <w:t>6</w:t>
        </w:r>
      </w:fldSimple>
      <w:r>
        <w:t>:</w:t>
      </w:r>
      <w:r w:rsidR="00DC6528" w:rsidRPr="0079759D">
        <w:t xml:space="preserve"> Meziroční změna úvěrů pro podniky a změna úrokový</w:t>
      </w:r>
      <w:r w:rsidR="0079759D">
        <w:t>ch sazeb státních dluhopisů v</w:t>
      </w:r>
      <w:r w:rsidR="00D30D90">
        <w:t> </w:t>
      </w:r>
      <w:r w:rsidR="0079759D">
        <w:t>%</w:t>
      </w:r>
      <w:bookmarkEnd w:id="52"/>
    </w:p>
    <w:p w:rsidR="00DC6528" w:rsidRDefault="0055330E" w:rsidP="00DC6528">
      <w:pPr>
        <w:pStyle w:val="Odskoknadpis4"/>
      </w:pPr>
      <w:r>
        <w:rPr>
          <w:noProof/>
          <w:lang w:eastAsia="cs-CZ"/>
        </w:rPr>
        <w:drawing>
          <wp:inline distT="0" distB="0" distL="0" distR="0" wp14:anchorId="3554E273" wp14:editId="14802CFF">
            <wp:extent cx="5462270" cy="3124835"/>
            <wp:effectExtent l="19050" t="0" r="5080" b="0"/>
            <wp:docPr id="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0"/>
                    <a:srcRect/>
                    <a:stretch>
                      <a:fillRect/>
                    </a:stretch>
                  </pic:blipFill>
                  <pic:spPr bwMode="auto">
                    <a:xfrm>
                      <a:off x="0" y="0"/>
                      <a:ext cx="5462270" cy="3124835"/>
                    </a:xfrm>
                    <a:prstGeom prst="rect">
                      <a:avLst/>
                    </a:prstGeom>
                    <a:noFill/>
                    <a:ln w="9525">
                      <a:noFill/>
                      <a:miter lim="800000"/>
                      <a:headEnd/>
                      <a:tailEnd/>
                    </a:ln>
                  </pic:spPr>
                </pic:pic>
              </a:graphicData>
            </a:graphic>
          </wp:inline>
        </w:drawing>
      </w:r>
    </w:p>
    <w:p w:rsidR="0079759D" w:rsidRPr="0079759D" w:rsidRDefault="0079759D" w:rsidP="00DC6528">
      <w:pPr>
        <w:pStyle w:val="Odskoknadpis4"/>
        <w:rPr>
          <w:i/>
          <w:color w:val="548DD4"/>
        </w:rPr>
      </w:pPr>
      <w:r w:rsidRPr="0079759D">
        <w:rPr>
          <w:i/>
          <w:color w:val="548DD4"/>
        </w:rPr>
        <w:t>Zdroj: Bloomberg</w:t>
      </w:r>
    </w:p>
    <w:p w:rsidR="008E2318" w:rsidRPr="003C1A9B" w:rsidRDefault="002921B3" w:rsidP="005144FD">
      <w:pPr>
        <w:pStyle w:val="Titulek"/>
      </w:pPr>
      <w:bookmarkStart w:id="53" w:name="_Toc409446393"/>
      <w:r>
        <w:t xml:space="preserve">Graf </w:t>
      </w:r>
      <w:fldSimple w:instr=" SEQ Graf \* ARABIC ">
        <w:r w:rsidR="006C5EA3">
          <w:rPr>
            <w:noProof/>
          </w:rPr>
          <w:t>7</w:t>
        </w:r>
      </w:fldSimple>
      <w:r>
        <w:t>:</w:t>
      </w:r>
      <w:r w:rsidR="008E2318" w:rsidRPr="008572C2">
        <w:t xml:space="preserve"> HDP</w:t>
      </w:r>
      <w:r w:rsidR="008572C2" w:rsidRPr="008572C2">
        <w:t xml:space="preserve"> ČR a sousední státy 2008</w:t>
      </w:r>
      <w:r w:rsidR="004605F3">
        <w:t xml:space="preserve"> </w:t>
      </w:r>
      <w:r w:rsidR="008572C2" w:rsidRPr="008572C2">
        <w:t>-</w:t>
      </w:r>
      <w:r w:rsidR="004605F3">
        <w:t xml:space="preserve"> </w:t>
      </w:r>
      <w:r w:rsidR="008572C2" w:rsidRPr="008572C2">
        <w:t>2014</w:t>
      </w:r>
      <w:bookmarkEnd w:id="53"/>
    </w:p>
    <w:p w:rsidR="008E2318" w:rsidRDefault="0055330E" w:rsidP="008572C2">
      <w:pPr>
        <w:jc w:val="center"/>
        <w:rPr>
          <w:rStyle w:val="A5"/>
        </w:rPr>
      </w:pPr>
      <w:r>
        <w:rPr>
          <w:noProof/>
          <w:lang w:eastAsia="cs-CZ"/>
        </w:rPr>
        <w:drawing>
          <wp:inline distT="0" distB="0" distL="0" distR="0" wp14:anchorId="5638702F" wp14:editId="4E34A16D">
            <wp:extent cx="5128895" cy="3411220"/>
            <wp:effectExtent l="19050" t="0" r="0" b="0"/>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1"/>
                    <a:srcRect/>
                    <a:stretch>
                      <a:fillRect/>
                    </a:stretch>
                  </pic:blipFill>
                  <pic:spPr bwMode="auto">
                    <a:xfrm>
                      <a:off x="0" y="0"/>
                      <a:ext cx="5128895" cy="3411220"/>
                    </a:xfrm>
                    <a:prstGeom prst="rect">
                      <a:avLst/>
                    </a:prstGeom>
                    <a:noFill/>
                    <a:ln w="9525">
                      <a:noFill/>
                      <a:miter lim="800000"/>
                      <a:headEnd/>
                      <a:tailEnd/>
                    </a:ln>
                  </pic:spPr>
                </pic:pic>
              </a:graphicData>
            </a:graphic>
          </wp:inline>
        </w:drawing>
      </w:r>
    </w:p>
    <w:p w:rsidR="008572C2" w:rsidRPr="008572C2" w:rsidRDefault="008572C2" w:rsidP="008572C2">
      <w:pPr>
        <w:rPr>
          <w:rStyle w:val="A5"/>
          <w:i/>
          <w:color w:val="548DD4"/>
          <w:sz w:val="22"/>
          <w:szCs w:val="22"/>
        </w:rPr>
      </w:pPr>
      <w:r w:rsidRPr="008572C2">
        <w:rPr>
          <w:rStyle w:val="A5"/>
          <w:i/>
          <w:color w:val="548DD4"/>
          <w:sz w:val="22"/>
          <w:szCs w:val="22"/>
        </w:rPr>
        <w:t>Zdroj: Bloomberg</w:t>
      </w:r>
    </w:p>
    <w:p w:rsidR="008E2318" w:rsidRDefault="008E2318" w:rsidP="008E2318">
      <w:pPr>
        <w:pStyle w:val="Odskoknadpis4"/>
      </w:pPr>
      <w:r>
        <w:t xml:space="preserve">Česká republika i díky těmto problémům začíná výrazně zaostávat, co se týče ekonomického růstu proti </w:t>
      </w:r>
      <w:r w:rsidR="00BD529A">
        <w:t>ostatním zemím střední Evropy.</w:t>
      </w:r>
      <w:r>
        <w:t xml:space="preserve"> </w:t>
      </w:r>
    </w:p>
    <w:p w:rsidR="00EC1401" w:rsidRDefault="00042EBB" w:rsidP="00171265">
      <w:pPr>
        <w:pStyle w:val="Nadpis3"/>
      </w:pPr>
      <w:bookmarkStart w:id="54" w:name="_Toc410115455"/>
      <w:r>
        <w:lastRenderedPageBreak/>
        <w:t>Problémy v oblasti evropských dotací v ČR</w:t>
      </w:r>
      <w:bookmarkEnd w:id="54"/>
    </w:p>
    <w:p w:rsidR="008E2318" w:rsidRPr="008E2318" w:rsidRDefault="008E2318" w:rsidP="008572C2">
      <w:pPr>
        <w:keepNext/>
        <w:rPr>
          <w:lang w:eastAsia="cs-CZ"/>
        </w:rPr>
      </w:pPr>
      <w:r>
        <w:rPr>
          <w:lang w:eastAsia="cs-CZ"/>
        </w:rPr>
        <w:t>Úkolem ESIF je podporovat rozvoj, zaměstnanost a hospodářství méně rozvinutých regionů v EU. Zároveň jsou, spolu s prostředky státního rozpočtu, významným zdrojem pro posílení hospodářství ČR. Pokud je čerpání těchto zdrojů postiženo problémy, má to vliv na celé hospodářství ČR.</w:t>
      </w:r>
    </w:p>
    <w:p w:rsidR="00EC1401" w:rsidRPr="00EC1401" w:rsidRDefault="00EC1401" w:rsidP="008E2318">
      <w:pPr>
        <w:pStyle w:val="Odskoknadpis4"/>
        <w:numPr>
          <w:ilvl w:val="0"/>
          <w:numId w:val="33"/>
        </w:numPr>
        <w:ind w:left="993"/>
      </w:pPr>
      <w:r w:rsidRPr="00D447DB">
        <w:rPr>
          <w:b/>
        </w:rPr>
        <w:t>Hroz</w:t>
      </w:r>
      <w:r w:rsidR="00685AB2">
        <w:rPr>
          <w:b/>
        </w:rPr>
        <w:t>ba</w:t>
      </w:r>
      <w:r w:rsidRPr="00D447DB">
        <w:rPr>
          <w:b/>
        </w:rPr>
        <w:t xml:space="preserve">, že </w:t>
      </w:r>
      <w:r w:rsidR="00685AB2">
        <w:rPr>
          <w:b/>
        </w:rPr>
        <w:t xml:space="preserve">ČR </w:t>
      </w:r>
      <w:r w:rsidRPr="00D447DB">
        <w:rPr>
          <w:b/>
        </w:rPr>
        <w:t xml:space="preserve">nevyčerpá </w:t>
      </w:r>
      <w:r w:rsidR="00685AB2">
        <w:rPr>
          <w:b/>
        </w:rPr>
        <w:t xml:space="preserve">stanovenou alokaci </w:t>
      </w:r>
      <w:r>
        <w:t>v </w:t>
      </w:r>
      <w:r w:rsidR="00787752">
        <w:t>programové</w:t>
      </w:r>
      <w:r>
        <w:t>m období 2007</w:t>
      </w:r>
      <w:r w:rsidR="002B6DBE">
        <w:t xml:space="preserve"> </w:t>
      </w:r>
      <w:r>
        <w:t>-</w:t>
      </w:r>
      <w:r w:rsidR="002B6DBE">
        <w:t xml:space="preserve"> </w:t>
      </w:r>
      <w:r>
        <w:t>2013</w:t>
      </w:r>
      <w:r w:rsidR="00927DC9">
        <w:rPr>
          <w:rStyle w:val="Znakapoznpodarou"/>
        </w:rPr>
        <w:footnoteReference w:id="111"/>
      </w:r>
      <w:r>
        <w:t>, ale stejný problém může nastat i v období 201</w:t>
      </w:r>
      <w:r w:rsidR="00685AB2">
        <w:t>4</w:t>
      </w:r>
      <w:r w:rsidR="002B6DBE">
        <w:t xml:space="preserve"> </w:t>
      </w:r>
      <w:r>
        <w:t>-</w:t>
      </w:r>
      <w:r w:rsidR="002B6DBE">
        <w:t xml:space="preserve"> </w:t>
      </w:r>
      <w:r>
        <w:t>2020 tím spíše, že EK bude nově sledovat nejen samotné čerpání, ale i samotnou efektivitu opatření financovaných z EU zdrojů</w:t>
      </w:r>
      <w:r w:rsidR="00685AB2">
        <w:t xml:space="preserve"> </w:t>
      </w:r>
      <w:r w:rsidR="00E529C6">
        <w:t>a </w:t>
      </w:r>
      <w:r w:rsidR="00685AB2">
        <w:t>zavádí tzv. „výkonnostní rezervu“</w:t>
      </w:r>
      <w:r w:rsidR="00B179D0">
        <w:t xml:space="preserve"> a další opatření</w:t>
      </w:r>
      <w:r w:rsidR="00685AB2">
        <w:t>.</w:t>
      </w:r>
      <w:r w:rsidR="0089053F">
        <w:rPr>
          <w:rStyle w:val="Znakapoznpodarou"/>
        </w:rPr>
        <w:footnoteReference w:id="112"/>
      </w:r>
    </w:p>
    <w:p w:rsidR="00EC1401" w:rsidRPr="00EC1401" w:rsidRDefault="00F92F61" w:rsidP="008E2318">
      <w:pPr>
        <w:pStyle w:val="Odskoknadpis4"/>
        <w:numPr>
          <w:ilvl w:val="0"/>
          <w:numId w:val="33"/>
        </w:numPr>
        <w:ind w:left="993"/>
      </w:pPr>
      <w:r>
        <w:rPr>
          <w:b/>
        </w:rPr>
        <w:t>Finanční prostředky nejsou rozdělovány na základě ucelené strategie</w:t>
      </w:r>
      <w:r w:rsidR="00EC1401" w:rsidRPr="00EC1401">
        <w:t xml:space="preserve"> – </w:t>
      </w:r>
      <w:r>
        <w:t>alokace</w:t>
      </w:r>
      <w:r w:rsidR="00EC1401" w:rsidRPr="00EC1401">
        <w:t xml:space="preserve"> je rozdrobena na malé projekty s velkou administrativou, </w:t>
      </w:r>
      <w:r w:rsidR="00334D21">
        <w:t>na</w:t>
      </w:r>
      <w:r w:rsidR="00EC1401" w:rsidRPr="00EC1401">
        <w:t xml:space="preserve">místo </w:t>
      </w:r>
      <w:r w:rsidR="00334D21">
        <w:t>toh</w:t>
      </w:r>
      <w:r w:rsidR="00EA66DF">
        <w:t>o</w:t>
      </w:r>
      <w:r w:rsidR="00334D21">
        <w:t xml:space="preserve">, aby </w:t>
      </w:r>
      <w:r w:rsidR="00EC1401">
        <w:t xml:space="preserve">se řešily velké </w:t>
      </w:r>
      <w:r w:rsidR="00E529C6">
        <w:t>a </w:t>
      </w:r>
      <w:r w:rsidR="00EC1401">
        <w:t xml:space="preserve">významné oblasti jako celek </w:t>
      </w:r>
      <w:r w:rsidR="00334D21">
        <w:t xml:space="preserve">- </w:t>
      </w:r>
      <w:r w:rsidR="00EC1401">
        <w:t>například dopravní infrastruktura, energetické úspory, datové sítě, brownfields, sociální bydlení, přechod na znalostní ekonomiku a inovace, sociální vyloučení (orientace dotací obecně nemůže být zaměřena na krytí nedostatku prostředků</w:t>
      </w:r>
      <w:r w:rsidR="00C34133">
        <w:t>;</w:t>
      </w:r>
      <w:r w:rsidR="00EC1401">
        <w:t xml:space="preserve"> zdroje </w:t>
      </w:r>
      <w:r w:rsidR="00C34133">
        <w:t xml:space="preserve">EU </w:t>
      </w:r>
      <w:r w:rsidR="00EC1401">
        <w:t>by měly působit tak, aby přinesly většinové řešení problémů</w:t>
      </w:r>
      <w:r w:rsidR="00C34133">
        <w:t>,</w:t>
      </w:r>
      <w:r w:rsidR="00EC1401">
        <w:t xml:space="preserve"> a tedy již v budoucnosti nebyly potřeba)</w:t>
      </w:r>
      <w:r w:rsidR="00334D21">
        <w:t>.</w:t>
      </w:r>
      <w:r w:rsidR="002F061F">
        <w:rPr>
          <w:rStyle w:val="Znakapoznpodarou"/>
        </w:rPr>
        <w:footnoteReference w:id="113"/>
      </w:r>
    </w:p>
    <w:p w:rsidR="00EC1401" w:rsidRPr="0089053F" w:rsidRDefault="00334D21" w:rsidP="008E2318">
      <w:pPr>
        <w:pStyle w:val="Odskoknadpis4"/>
        <w:numPr>
          <w:ilvl w:val="0"/>
          <w:numId w:val="33"/>
        </w:numPr>
        <w:ind w:left="993"/>
      </w:pPr>
      <w:r>
        <w:rPr>
          <w:b/>
        </w:rPr>
        <w:t>Velká míra k</w:t>
      </w:r>
      <w:r w:rsidR="00EC1401" w:rsidRPr="00D447DB">
        <w:rPr>
          <w:b/>
        </w:rPr>
        <w:t>orupce při čerpání fondů EU</w:t>
      </w:r>
      <w:r w:rsidR="00D447DB">
        <w:rPr>
          <w:rStyle w:val="Znakapoznpodarou"/>
        </w:rPr>
        <w:footnoteReference w:id="114"/>
      </w:r>
      <w:r w:rsidR="0089053F">
        <w:rPr>
          <w:b/>
        </w:rPr>
        <w:t xml:space="preserve"> - </w:t>
      </w:r>
      <w:r w:rsidR="0089053F" w:rsidRPr="0089053F">
        <w:t xml:space="preserve">tento problém není pouze problémem ČR, ale </w:t>
      </w:r>
      <w:r w:rsidR="0089053F">
        <w:t xml:space="preserve">v ČR oblast zneužití fondů a korupční jednání řady aktérů mělo přímý vliv </w:t>
      </w:r>
      <w:r w:rsidR="00E529C6">
        <w:t>na </w:t>
      </w:r>
      <w:r w:rsidR="0089053F">
        <w:t>neefektivitu čerpání v </w:t>
      </w:r>
      <w:r w:rsidR="00787752">
        <w:t>programové</w:t>
      </w:r>
      <w:r w:rsidR="0089053F">
        <w:t>m období 2007</w:t>
      </w:r>
      <w:r w:rsidR="002B6DBE">
        <w:t xml:space="preserve"> </w:t>
      </w:r>
      <w:r w:rsidR="0089053F">
        <w:t>-</w:t>
      </w:r>
      <w:r w:rsidR="002B6DBE">
        <w:t xml:space="preserve"> </w:t>
      </w:r>
      <w:r w:rsidR="0089053F">
        <w:t>2013</w:t>
      </w:r>
      <w:r>
        <w:t xml:space="preserve"> a bylo i důvodem pro částečné pozastavení čerpání z vybraných operačních programů.</w:t>
      </w:r>
    </w:p>
    <w:p w:rsidR="00EC1401" w:rsidRPr="00EC1401" w:rsidRDefault="00EC1401" w:rsidP="008E2318">
      <w:pPr>
        <w:pStyle w:val="Odskoknadpis4"/>
        <w:numPr>
          <w:ilvl w:val="0"/>
          <w:numId w:val="33"/>
        </w:numPr>
        <w:ind w:left="993"/>
      </w:pPr>
      <w:r w:rsidRPr="00D447DB">
        <w:rPr>
          <w:b/>
        </w:rPr>
        <w:t>Nepřipravenost projektů</w:t>
      </w:r>
      <w:r>
        <w:t xml:space="preserve"> </w:t>
      </w:r>
      <w:r w:rsidR="001C3FC0">
        <w:t xml:space="preserve">- </w:t>
      </w:r>
      <w:r>
        <w:t>více</w:t>
      </w:r>
      <w:r w:rsidR="00334D21">
        <w:t xml:space="preserve">ro </w:t>
      </w:r>
      <w:r>
        <w:t xml:space="preserve">projektů se nepřipravuje, protože dopředu nemají jistotu, že bude dostatek prostředků na jejich financování, vzniká tak začarovaný kruh, kdy nejdříve nejsou projekty a jsou peníze a pak zase jsou projekty a nejsou peníze. ČR by potřebovala </w:t>
      </w:r>
      <w:r w:rsidR="00787752">
        <w:t>mechanizm</w:t>
      </w:r>
      <w:r>
        <w:t>y, které umožní pružné uvolňování zdrojů do investičních projektů podle připravenosti projektů s dopředu jasným objeme</w:t>
      </w:r>
      <w:r w:rsidR="00D447DB">
        <w:t>m možného čerpání závislého na dané aktivitě</w:t>
      </w:r>
      <w:r w:rsidR="00D447DB">
        <w:rPr>
          <w:rStyle w:val="Znakapoznpodarou"/>
        </w:rPr>
        <w:footnoteReference w:id="115"/>
      </w:r>
    </w:p>
    <w:p w:rsidR="00563C78" w:rsidRDefault="00EC1401" w:rsidP="008E2318">
      <w:pPr>
        <w:pStyle w:val="Odskoknadpis4"/>
        <w:numPr>
          <w:ilvl w:val="0"/>
          <w:numId w:val="33"/>
        </w:numPr>
        <w:ind w:left="993"/>
      </w:pPr>
      <w:r w:rsidRPr="00563C78">
        <w:rPr>
          <w:b/>
        </w:rPr>
        <w:t xml:space="preserve">Nízký ekonomický růst </w:t>
      </w:r>
      <w:r w:rsidR="00D447DB" w:rsidRPr="00563C78">
        <w:rPr>
          <w:b/>
        </w:rPr>
        <w:t>nevytvářející dostatek pracovní</w:t>
      </w:r>
      <w:r w:rsidRPr="00563C78">
        <w:rPr>
          <w:b/>
        </w:rPr>
        <w:t>ch míst</w:t>
      </w:r>
      <w:r w:rsidR="001C3FC0">
        <w:t xml:space="preserve"> -</w:t>
      </w:r>
      <w:r w:rsidR="00563C78">
        <w:t xml:space="preserve"> </w:t>
      </w:r>
      <w:r w:rsidR="001C3FC0">
        <w:t>m</w:t>
      </w:r>
      <w:r w:rsidR="00563C78">
        <w:t>íra nezaměstnanosti zůstává nad úrovní obvyklou před 2008. Ted</w:t>
      </w:r>
      <w:r w:rsidR="008E2318">
        <w:t>y před příchodem finanční krize a to i přesto, že</w:t>
      </w:r>
      <w:r w:rsidR="00E871A7">
        <w:t> </w:t>
      </w:r>
      <w:r w:rsidR="008E2318">
        <w:t>role ESIF má být právě podpora pracovních míst.</w:t>
      </w:r>
    </w:p>
    <w:p w:rsidR="00155093" w:rsidRPr="003C1A9B" w:rsidRDefault="002921B3" w:rsidP="00636988">
      <w:pPr>
        <w:pStyle w:val="Titulek"/>
      </w:pPr>
      <w:bookmarkStart w:id="55" w:name="_Toc409446394"/>
      <w:r>
        <w:lastRenderedPageBreak/>
        <w:t xml:space="preserve">Graf </w:t>
      </w:r>
      <w:fldSimple w:instr=" SEQ Graf \* ARABIC ">
        <w:r w:rsidR="006C5EA3">
          <w:rPr>
            <w:noProof/>
          </w:rPr>
          <w:t>8</w:t>
        </w:r>
      </w:fldSimple>
      <w:r>
        <w:t>:</w:t>
      </w:r>
      <w:r w:rsidR="00155093">
        <w:tab/>
      </w:r>
      <w:r w:rsidR="00AF0830">
        <w:t xml:space="preserve">Obecná </w:t>
      </w:r>
      <w:r w:rsidR="009A61BB">
        <w:t xml:space="preserve">míra </w:t>
      </w:r>
      <w:r w:rsidR="00155093">
        <w:t>nezaměstnanost</w:t>
      </w:r>
      <w:r w:rsidR="009A61BB">
        <w:t>i</w:t>
      </w:r>
      <w:r w:rsidR="00155093">
        <w:t xml:space="preserve"> v ČR 199</w:t>
      </w:r>
      <w:r w:rsidR="00DF45AB">
        <w:t>3</w:t>
      </w:r>
      <w:r w:rsidR="00155093">
        <w:t xml:space="preserve"> – </w:t>
      </w:r>
      <w:r w:rsidR="00AF0830">
        <w:t>2013</w:t>
      </w:r>
      <w:bookmarkEnd w:id="55"/>
      <w:r w:rsidR="00155093">
        <w:t xml:space="preserve"> </w:t>
      </w:r>
    </w:p>
    <w:p w:rsidR="00155093" w:rsidRDefault="00AF0830" w:rsidP="00563C78">
      <w:pPr>
        <w:pStyle w:val="Odskoknadpis4"/>
        <w:ind w:left="993"/>
        <w:jc w:val="center"/>
      </w:pPr>
      <w:r w:rsidRPr="00AF0830">
        <w:t xml:space="preserve"> </w:t>
      </w:r>
      <w:r w:rsidR="00DF45AB" w:rsidRPr="00DF45AB">
        <w:rPr>
          <w:noProof/>
          <w:lang w:eastAsia="cs-CZ"/>
        </w:rPr>
        <w:drawing>
          <wp:inline distT="0" distB="0" distL="0" distR="0" wp14:anchorId="606E8DB6" wp14:editId="0C3F6B78">
            <wp:extent cx="4592955" cy="2764155"/>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rsidR="0079759D" w:rsidRPr="0079759D" w:rsidRDefault="0079759D" w:rsidP="0079759D">
      <w:pPr>
        <w:rPr>
          <w:i/>
          <w:color w:val="548DD4"/>
        </w:rPr>
      </w:pPr>
      <w:r w:rsidRPr="0079759D">
        <w:rPr>
          <w:i/>
          <w:color w:val="548DD4"/>
        </w:rPr>
        <w:t xml:space="preserve">Zdroj: </w:t>
      </w:r>
      <w:r w:rsidR="009A61BB">
        <w:rPr>
          <w:i/>
          <w:color w:val="548DD4"/>
        </w:rPr>
        <w:t>ČSÚ</w:t>
      </w:r>
    </w:p>
    <w:p w:rsidR="00D447DB" w:rsidRDefault="00D447DB" w:rsidP="008E2318">
      <w:pPr>
        <w:pStyle w:val="Odskoknadpis4"/>
        <w:numPr>
          <w:ilvl w:val="0"/>
          <w:numId w:val="34"/>
        </w:numPr>
        <w:ind w:left="993"/>
      </w:pPr>
      <w:r w:rsidRPr="001959E4">
        <w:rPr>
          <w:b/>
        </w:rPr>
        <w:t>Neefektivita investic z důvodu chybějícího vyhodnocování</w:t>
      </w:r>
      <w:r>
        <w:t xml:space="preserve"> </w:t>
      </w:r>
      <w:r w:rsidRPr="001959E4">
        <w:rPr>
          <w:b/>
        </w:rPr>
        <w:t>jejich efektivity</w:t>
      </w:r>
      <w:r>
        <w:t xml:space="preserve"> pro stát </w:t>
      </w:r>
      <w:r w:rsidR="00CE1267">
        <w:t>a </w:t>
      </w:r>
      <w:r>
        <w:t xml:space="preserve">také z pohledu jejich budoucích provozních výdajů (z pohledu státu se nemusí jednat </w:t>
      </w:r>
      <w:r w:rsidR="00CE1267">
        <w:t>o </w:t>
      </w:r>
      <w:r>
        <w:t xml:space="preserve">tvorbu zisku, ale mělo by být vyhodnocováno, zda daná investice řeší sociální problém, zda může generovat </w:t>
      </w:r>
      <w:r w:rsidR="008B4CC7">
        <w:t xml:space="preserve">určitý </w:t>
      </w:r>
      <w:r>
        <w:t>příjem a také jak svými provozními náklady zatíží státní rozpočet v budoucnosti; zároveň by mělo být vyhodnocováno, zda přinese např. konkrétní úspory v jiných rozpočtových kapitolách</w:t>
      </w:r>
      <w:r w:rsidR="00D106C4">
        <w:t>).</w:t>
      </w:r>
      <w:r>
        <w:t xml:space="preserve"> </w:t>
      </w:r>
    </w:p>
    <w:p w:rsidR="00AA08FF" w:rsidRDefault="001959E4" w:rsidP="008E2318">
      <w:pPr>
        <w:pStyle w:val="Odskoknadpis4"/>
        <w:numPr>
          <w:ilvl w:val="0"/>
          <w:numId w:val="34"/>
        </w:numPr>
        <w:ind w:left="993"/>
      </w:pPr>
      <w:r w:rsidRPr="001959E4">
        <w:rPr>
          <w:b/>
        </w:rPr>
        <w:t>Klesající kapitálové výdaje státu -</w:t>
      </w:r>
      <w:r w:rsidRPr="001959E4">
        <w:t xml:space="preserve"> v</w:t>
      </w:r>
      <w:r w:rsidR="003C1A9B">
        <w:t xml:space="preserve"> objemu veřejných investic v ČR (měřeném prostřednictvím kapitálových výdajů) </w:t>
      </w:r>
      <w:r w:rsidR="00130873">
        <w:t xml:space="preserve">je </w:t>
      </w:r>
      <w:r w:rsidR="003C1A9B">
        <w:t>vidět v roce 2013</w:t>
      </w:r>
      <w:r w:rsidR="00E82E7C">
        <w:t>,</w:t>
      </w:r>
      <w:r w:rsidR="003C1A9B">
        <w:t xml:space="preserve"> z důvodu potřebné konsolidace veřejných financí</w:t>
      </w:r>
      <w:r w:rsidR="00E82E7C">
        <w:t>,</w:t>
      </w:r>
      <w:r w:rsidR="003C1A9B">
        <w:t xml:space="preserve"> pokles z 6,39</w:t>
      </w:r>
      <w:r w:rsidR="00C567D3">
        <w:t xml:space="preserve"> </w:t>
      </w:r>
      <w:r w:rsidR="003C1A9B">
        <w:t>% HDP na 3,9</w:t>
      </w:r>
      <w:r w:rsidR="00C567D3">
        <w:t xml:space="preserve"> </w:t>
      </w:r>
      <w:r w:rsidR="003C1A9B">
        <w:t>% HDP</w:t>
      </w:r>
      <w:r w:rsidR="0089495C">
        <w:rPr>
          <w:rStyle w:val="Znakapoznpodarou"/>
        </w:rPr>
        <w:footnoteReference w:id="116"/>
      </w:r>
      <w:r w:rsidR="00AA08FF">
        <w:t>.</w:t>
      </w:r>
      <w:r w:rsidR="008E2318">
        <w:t xml:space="preserve"> Opět, přestože státnímu rozpočtu pomáhají </w:t>
      </w:r>
      <w:r w:rsidR="009817ED">
        <w:t>ESIF</w:t>
      </w:r>
      <w:r w:rsidR="008E2318">
        <w:t xml:space="preserve"> zdroje, absolutní i relativní suma výdajů klesá. To je </w:t>
      </w:r>
      <w:r w:rsidR="00E82E7C">
        <w:t xml:space="preserve">alarmující </w:t>
      </w:r>
      <w:r w:rsidR="008E2318">
        <w:t>především do budoucnosti. Při výpadku zdrojů z EU (po roce 2022) může nastat problém, kdy prostředky státního rozpočtu nebudou na financování investic v ČR stačit.</w:t>
      </w:r>
    </w:p>
    <w:p w:rsidR="003C1A9B" w:rsidRPr="00297EC0" w:rsidRDefault="002921B3" w:rsidP="00636988">
      <w:pPr>
        <w:pStyle w:val="Graf"/>
      </w:pPr>
      <w:bookmarkStart w:id="56" w:name="_Toc409446395"/>
      <w:r>
        <w:t xml:space="preserve">Graf </w:t>
      </w:r>
      <w:fldSimple w:instr=" SEQ Graf \* ARABIC ">
        <w:r w:rsidR="006C5EA3">
          <w:rPr>
            <w:noProof/>
          </w:rPr>
          <w:t>9</w:t>
        </w:r>
      </w:fldSimple>
      <w:r>
        <w:t>:</w:t>
      </w:r>
      <w:r w:rsidR="00164593" w:rsidRPr="00297EC0">
        <w:tab/>
      </w:r>
      <w:r w:rsidR="003C1A9B" w:rsidRPr="00297EC0">
        <w:t xml:space="preserve">Podíl kapitálových výdajů ČR a příjmů státního rozpočtu v letech 1995 – 2013 </w:t>
      </w:r>
      <w:r w:rsidR="002F061F" w:rsidRPr="00297EC0">
        <w:t>(</w:t>
      </w:r>
      <w:r w:rsidR="008846C4" w:rsidRPr="00297EC0">
        <w:t>v</w:t>
      </w:r>
      <w:r w:rsidR="008846C4">
        <w:t> </w:t>
      </w:r>
      <w:r w:rsidR="002F061F" w:rsidRPr="00297EC0">
        <w:t>mil. Kč)</w:t>
      </w:r>
      <w:bookmarkEnd w:id="56"/>
    </w:p>
    <w:p w:rsidR="003C1A9B" w:rsidRDefault="0055330E" w:rsidP="00636988">
      <w:pPr>
        <w:jc w:val="center"/>
      </w:pPr>
      <w:r>
        <w:rPr>
          <w:noProof/>
          <w:lang w:eastAsia="cs-CZ"/>
        </w:rPr>
        <w:drawing>
          <wp:inline distT="0" distB="0" distL="0" distR="0" wp14:anchorId="6071EF3C" wp14:editId="0DF3AFBC">
            <wp:extent cx="4651375" cy="2305685"/>
            <wp:effectExtent l="19050" t="0" r="0" b="0"/>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3"/>
                    <a:srcRect/>
                    <a:stretch>
                      <a:fillRect/>
                    </a:stretch>
                  </pic:blipFill>
                  <pic:spPr bwMode="auto">
                    <a:xfrm>
                      <a:off x="0" y="0"/>
                      <a:ext cx="4651375" cy="2305685"/>
                    </a:xfrm>
                    <a:prstGeom prst="rect">
                      <a:avLst/>
                    </a:prstGeom>
                    <a:noFill/>
                    <a:ln w="9525">
                      <a:noFill/>
                      <a:miter lim="800000"/>
                      <a:headEnd/>
                      <a:tailEnd/>
                    </a:ln>
                  </pic:spPr>
                </pic:pic>
              </a:graphicData>
            </a:graphic>
          </wp:inline>
        </w:drawing>
      </w:r>
    </w:p>
    <w:p w:rsidR="00B85CC8" w:rsidRPr="0079759D" w:rsidRDefault="00B85CC8" w:rsidP="00B85CC8">
      <w:pPr>
        <w:rPr>
          <w:i/>
          <w:color w:val="548DD4"/>
        </w:rPr>
      </w:pPr>
      <w:r w:rsidRPr="0079759D">
        <w:rPr>
          <w:i/>
          <w:color w:val="548DD4"/>
        </w:rPr>
        <w:lastRenderedPageBreak/>
        <w:t xml:space="preserve">Zdroj: </w:t>
      </w:r>
      <w:r>
        <w:rPr>
          <w:i/>
          <w:color w:val="548DD4"/>
        </w:rPr>
        <w:t>Statistiky ČNB</w:t>
      </w:r>
    </w:p>
    <w:p w:rsidR="003C1A9B" w:rsidRPr="003C1A9B" w:rsidRDefault="002921B3" w:rsidP="005144FD">
      <w:pPr>
        <w:pStyle w:val="Titulek"/>
      </w:pPr>
      <w:bookmarkStart w:id="57" w:name="_Toc409446396"/>
      <w:r>
        <w:t xml:space="preserve">Graf </w:t>
      </w:r>
      <w:fldSimple w:instr=" SEQ Graf \* ARABIC ">
        <w:r w:rsidR="006C5EA3">
          <w:rPr>
            <w:noProof/>
          </w:rPr>
          <w:t>10</w:t>
        </w:r>
      </w:fldSimple>
      <w:r>
        <w:t xml:space="preserve">: </w:t>
      </w:r>
      <w:r w:rsidR="003C1A9B" w:rsidRPr="003C1A9B">
        <w:t>Podíl kapitálových výdajů ČR a příjmů státního rozpočtu v letech 1995 – 2013</w:t>
      </w:r>
      <w:bookmarkEnd w:id="57"/>
      <w:r w:rsidR="003C1A9B" w:rsidRPr="003C1A9B">
        <w:t xml:space="preserve"> </w:t>
      </w:r>
    </w:p>
    <w:p w:rsidR="003C1A9B" w:rsidRDefault="0055330E" w:rsidP="00636988">
      <w:pPr>
        <w:jc w:val="center"/>
      </w:pPr>
      <w:r>
        <w:rPr>
          <w:noProof/>
          <w:lang w:eastAsia="cs-CZ"/>
        </w:rPr>
        <w:drawing>
          <wp:inline distT="0" distB="0" distL="0" distR="0" wp14:anchorId="3F752CAB" wp14:editId="0D3F688D">
            <wp:extent cx="4707255" cy="2433320"/>
            <wp:effectExtent l="19050" t="0" r="0" b="0"/>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4"/>
                    <a:srcRect/>
                    <a:stretch>
                      <a:fillRect/>
                    </a:stretch>
                  </pic:blipFill>
                  <pic:spPr bwMode="auto">
                    <a:xfrm>
                      <a:off x="0" y="0"/>
                      <a:ext cx="4707255" cy="2433320"/>
                    </a:xfrm>
                    <a:prstGeom prst="rect">
                      <a:avLst/>
                    </a:prstGeom>
                    <a:noFill/>
                    <a:ln w="9525">
                      <a:noFill/>
                      <a:miter lim="800000"/>
                      <a:headEnd/>
                      <a:tailEnd/>
                    </a:ln>
                  </pic:spPr>
                </pic:pic>
              </a:graphicData>
            </a:graphic>
          </wp:inline>
        </w:drawing>
      </w:r>
    </w:p>
    <w:p w:rsidR="00B85CC8" w:rsidRPr="0079759D" w:rsidRDefault="00B85CC8" w:rsidP="00B85CC8">
      <w:pPr>
        <w:rPr>
          <w:i/>
          <w:color w:val="548DD4"/>
        </w:rPr>
      </w:pPr>
      <w:r w:rsidRPr="0079759D">
        <w:rPr>
          <w:i/>
          <w:color w:val="548DD4"/>
        </w:rPr>
        <w:t xml:space="preserve">Zdroj: </w:t>
      </w:r>
      <w:r>
        <w:rPr>
          <w:i/>
          <w:color w:val="548DD4"/>
        </w:rPr>
        <w:t>Statistiky ČNB</w:t>
      </w:r>
    </w:p>
    <w:p w:rsidR="00F26E42" w:rsidRDefault="00F26E42" w:rsidP="00DC6528">
      <w:pPr>
        <w:pStyle w:val="Nadpis3"/>
      </w:pPr>
      <w:bookmarkStart w:id="58" w:name="_Toc405824827"/>
      <w:bookmarkStart w:id="59" w:name="_Toc410115456"/>
      <w:bookmarkEnd w:id="58"/>
      <w:r>
        <w:t>Řízení investic</w:t>
      </w:r>
      <w:r w:rsidR="00114D5F">
        <w:t xml:space="preserve"> v ČR</w:t>
      </w:r>
      <w:bookmarkEnd w:id="59"/>
    </w:p>
    <w:p w:rsidR="00AA08FF" w:rsidRDefault="0018767D" w:rsidP="0049720A">
      <w:pPr>
        <w:pStyle w:val="Odskoknadpis4"/>
      </w:pPr>
      <w:r>
        <w:t>ČR</w:t>
      </w:r>
      <w:r w:rsidR="00120B79">
        <w:t xml:space="preserve"> je v současné době také jednou z mála zemí, která má oblast investic začleněnu jako součást běžného státního rozpočtu. Fungování státního rozpočtu přitom nekoresponduje s typickým investičním cyklem. Státní rozpočet je roční, zatímco většina investic je plánována v horizontu víceletém. </w:t>
      </w:r>
      <w:r w:rsidR="00FB58AF">
        <w:t>Podstata</w:t>
      </w:r>
      <w:r w:rsidR="00120B79">
        <w:t xml:space="preserve"> státního rozpočtu je </w:t>
      </w:r>
      <w:r w:rsidR="00EA130C">
        <w:t>principiálně</w:t>
      </w:r>
      <w:r w:rsidR="00FB58AF">
        <w:t xml:space="preserve"> zcela odlišná</w:t>
      </w:r>
      <w:r w:rsidR="00120B79">
        <w:t xml:space="preserve"> od charakteru plánování </w:t>
      </w:r>
      <w:r w:rsidR="00CE1267">
        <w:t>a </w:t>
      </w:r>
      <w:r w:rsidR="00120B79">
        <w:t>realizace investic</w:t>
      </w:r>
      <w:r w:rsidR="00AA08FF">
        <w:t>.</w:t>
      </w:r>
    </w:p>
    <w:p w:rsidR="00AA08FF" w:rsidRDefault="00120B79" w:rsidP="0049720A">
      <w:pPr>
        <w:pStyle w:val="Odskoknadpis4"/>
      </w:pPr>
      <w:r>
        <w:t>Státní rozpočet má v zásadě 3 typové složky</w:t>
      </w:r>
      <w:r w:rsidR="00646EDD">
        <w:t xml:space="preserve"> – mandatorní výdaje, provozní financování </w:t>
      </w:r>
      <w:r w:rsidR="00CE1267">
        <w:t>a </w:t>
      </w:r>
      <w:r w:rsidR="00646EDD">
        <w:t xml:space="preserve">investiční výdaje. </w:t>
      </w:r>
      <w:r>
        <w:t>Investice mají oproti provoznímu financování, u kterého je snižování výdajů rozumným krokem (optimalizace výdajů)</w:t>
      </w:r>
      <w:r w:rsidR="00646EDD">
        <w:t>,</w:t>
      </w:r>
      <w:r>
        <w:t xml:space="preserve"> zcela jinou podobu a běžně jsou hodnoceny spíše z pohledu projektového tj. výše úvodní investice, nutné výdaje v průběhu investice, příjmy z investice (ať přímé tak i nepřímé) a dosažení celkových záměrů (po investici pak následuje vyhodnocení skutečného stavu a zhodnocení efektivity). Investiční výdaje jsou charakterově zcela odlišná položka od provozních výdajů, v běžných komerčních podmínkách je každá investice vyhodnocována z pohledu investorů z hlediska návratnosti vložených investic. Toto nelze zcela aplikovat na státní investice, protože stát má poněkud odlišná kritéria pro výběr investic, kdy dosažení ziskovosti či návratnost investic na úrovni komerčních aktivit není </w:t>
      </w:r>
      <w:r w:rsidR="0020223A">
        <w:t xml:space="preserve">vždy </w:t>
      </w:r>
      <w:r>
        <w:t xml:space="preserve">prioritou. Evropská komise nicméně zmiňuje v oblasti </w:t>
      </w:r>
      <w:r w:rsidR="00420428">
        <w:t>IFN</w:t>
      </w:r>
      <w:r>
        <w:t xml:space="preserve"> kritérium tzv. ERR – economic rate of return. Z pohledu státu se v tomto případě nejedená o čistou výnosnost investice, ale </w:t>
      </w:r>
      <w:r w:rsidR="0020223A">
        <w:t xml:space="preserve">o </w:t>
      </w:r>
      <w:r>
        <w:t>celou skladbu ekonomických přínosů</w:t>
      </w:r>
      <w:r w:rsidR="0020223A">
        <w:t>,</w:t>
      </w:r>
      <w:r>
        <w:t xml:space="preserve"> jako je pozitivní dopad na růst HDP, zvýšení zaměstnanosti, řešení sociálních problémů</w:t>
      </w:r>
      <w:r w:rsidR="000668C8">
        <w:t>,</w:t>
      </w:r>
      <w:r>
        <w:t xml:space="preserve"> atd. V současné době takovéto hodnocení investic </w:t>
      </w:r>
      <w:r w:rsidR="0020223A">
        <w:t xml:space="preserve">financovaných </w:t>
      </w:r>
      <w:r>
        <w:t>z rozpočtu ČR neexistuje</w:t>
      </w:r>
      <w:r w:rsidR="00AA08FF">
        <w:t>.</w:t>
      </w:r>
    </w:p>
    <w:p w:rsidR="00120B79" w:rsidRDefault="00120B79" w:rsidP="0049720A">
      <w:pPr>
        <w:pStyle w:val="Odskoknadpis4"/>
      </w:pPr>
      <w:r>
        <w:t>Směšování těchto zcela odlišných principů v rámci jednoho rozpočtu pak vede k tomu, že</w:t>
      </w:r>
      <w:r w:rsidR="00E871A7">
        <w:t> </w:t>
      </w:r>
      <w:r>
        <w:t>investice jsou de facto řízeny jako provozní výdaje (to neodpovídá jejich víceletému rámci, charakteru vyhodnocování úspěšnosti</w:t>
      </w:r>
      <w:r w:rsidR="0020223A">
        <w:t>,</w:t>
      </w:r>
      <w:r>
        <w:t xml:space="preserve"> a také zadlužování není adresné – nejsme schopni vyhodnocovat efektivitu investic). Těžko překročitelnou bariérou zůstává výše schodku státního rozpočtu.</w:t>
      </w:r>
    </w:p>
    <w:p w:rsidR="00120B79" w:rsidRDefault="00120B79" w:rsidP="0049720A">
      <w:pPr>
        <w:pStyle w:val="Odskoknadpis4"/>
      </w:pPr>
      <w:r>
        <w:t xml:space="preserve">Zadlužování v rámci konkrétních investic, jejichž cílem je růst HDP, zvyšování zaměstnanosti či řešení jiných společenských problémů (výsledkem je pak např. snížení výdajů státu - sociální </w:t>
      </w:r>
      <w:r>
        <w:lastRenderedPageBreak/>
        <w:t xml:space="preserve">bydlení, zaměstnanost a vyplácené dávky s tím spojené atd.) </w:t>
      </w:r>
      <w:r w:rsidR="0089495C">
        <w:t>je</w:t>
      </w:r>
      <w:r>
        <w:t xml:space="preserve"> diametrálně </w:t>
      </w:r>
      <w:r w:rsidR="0089495C">
        <w:t xml:space="preserve">odlišné </w:t>
      </w:r>
      <w:r w:rsidR="00CE1267">
        <w:t>od </w:t>
      </w:r>
      <w:r w:rsidR="0089495C">
        <w:t>zadlužování na spotřebu.</w:t>
      </w:r>
    </w:p>
    <w:p w:rsidR="00AA08FF" w:rsidRDefault="00120B79" w:rsidP="0049720A">
      <w:pPr>
        <w:pStyle w:val="Odskoknadpis4"/>
      </w:pPr>
      <w:r>
        <w:t xml:space="preserve">Tento fakt se projevil například v období po roce 2008, když vláda přistoupila k úsporným opatřením. </w:t>
      </w:r>
      <w:r w:rsidR="00FC0E57">
        <w:t>N</w:t>
      </w:r>
      <w:r>
        <w:t xml:space="preserve">a mandatorní výdaje nebylo možno úspory aplikovat a </w:t>
      </w:r>
      <w:r w:rsidR="0089495C">
        <w:t>jednotlivá ministerstva raději utlumila</w:t>
      </w:r>
      <w:r>
        <w:t xml:space="preserve"> investiční výdaje než provozní výdaje</w:t>
      </w:r>
      <w:r>
        <w:rPr>
          <w:rStyle w:val="Znakapoznpodarou"/>
        </w:rPr>
        <w:footnoteReference w:id="117"/>
      </w:r>
      <w:r>
        <w:t xml:space="preserve">. </w:t>
      </w:r>
      <w:r w:rsidR="00FC0E57">
        <w:t>Utlumením investičních aktivit d</w:t>
      </w:r>
      <w:r w:rsidR="00833895">
        <w:t xml:space="preserve">ošlo sice </w:t>
      </w:r>
      <w:r w:rsidR="00CE1267">
        <w:t>ke </w:t>
      </w:r>
      <w:r w:rsidR="00833895">
        <w:t xml:space="preserve">snížení schodku státního rozpočtu, </w:t>
      </w:r>
      <w:r w:rsidR="00FC0E57">
        <w:t>ale zároveň byl</w:t>
      </w:r>
      <w:r w:rsidR="00833895">
        <w:t xml:space="preserve"> </w:t>
      </w:r>
      <w:r w:rsidR="00FC0E57">
        <w:t xml:space="preserve">omezen </w:t>
      </w:r>
      <w:r w:rsidR="00833895">
        <w:t>budoucí růst</w:t>
      </w:r>
      <w:r w:rsidR="00AA08FF">
        <w:t>.</w:t>
      </w:r>
    </w:p>
    <w:p w:rsidR="003C3940" w:rsidRDefault="002921B3" w:rsidP="005144FD">
      <w:pPr>
        <w:pStyle w:val="Titulek"/>
      </w:pPr>
      <w:bookmarkStart w:id="60" w:name="_Toc409446397"/>
      <w:r>
        <w:t xml:space="preserve">Graf </w:t>
      </w:r>
      <w:fldSimple w:instr=" SEQ Graf \* ARABIC ">
        <w:r w:rsidR="006C5EA3">
          <w:rPr>
            <w:noProof/>
          </w:rPr>
          <w:t>11</w:t>
        </w:r>
      </w:fldSimple>
      <w:r>
        <w:t xml:space="preserve">: </w:t>
      </w:r>
      <w:r w:rsidR="003C3940">
        <w:t>Vývoj kapitálových výdajů ČR</w:t>
      </w:r>
      <w:bookmarkEnd w:id="60"/>
      <w:r w:rsidR="003C3940">
        <w:t xml:space="preserve"> </w:t>
      </w:r>
    </w:p>
    <w:p w:rsidR="00120B79" w:rsidRDefault="0055330E" w:rsidP="00297EC0">
      <w:pPr>
        <w:jc w:val="center"/>
      </w:pPr>
      <w:r>
        <w:rPr>
          <w:noProof/>
          <w:lang w:eastAsia="cs-CZ"/>
        </w:rPr>
        <w:drawing>
          <wp:inline distT="0" distB="0" distL="0" distR="0" wp14:anchorId="64891D22" wp14:editId="7B2F9064">
            <wp:extent cx="4627880" cy="2783205"/>
            <wp:effectExtent l="19050" t="0" r="1270" b="0"/>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a:srcRect/>
                    <a:stretch>
                      <a:fillRect/>
                    </a:stretch>
                  </pic:blipFill>
                  <pic:spPr bwMode="auto">
                    <a:xfrm>
                      <a:off x="0" y="0"/>
                      <a:ext cx="4627880" cy="2783205"/>
                    </a:xfrm>
                    <a:prstGeom prst="rect">
                      <a:avLst/>
                    </a:prstGeom>
                    <a:noFill/>
                    <a:ln w="9525">
                      <a:noFill/>
                      <a:miter lim="800000"/>
                      <a:headEnd/>
                      <a:tailEnd/>
                    </a:ln>
                  </pic:spPr>
                </pic:pic>
              </a:graphicData>
            </a:graphic>
          </wp:inline>
        </w:drawing>
      </w:r>
    </w:p>
    <w:p w:rsidR="00FC0E57" w:rsidRPr="0079759D" w:rsidRDefault="00FC0E57" w:rsidP="00FC0E57">
      <w:pPr>
        <w:rPr>
          <w:i/>
          <w:color w:val="548DD4"/>
        </w:rPr>
      </w:pPr>
      <w:r w:rsidRPr="0079759D">
        <w:rPr>
          <w:i/>
          <w:color w:val="548DD4"/>
        </w:rPr>
        <w:t xml:space="preserve">Zdroj: </w:t>
      </w:r>
      <w:r>
        <w:rPr>
          <w:i/>
          <w:color w:val="548DD4"/>
        </w:rPr>
        <w:t>Statistiky ČNB</w:t>
      </w:r>
    </w:p>
    <w:p w:rsidR="00120B79" w:rsidRDefault="00120B79" w:rsidP="0049720A">
      <w:pPr>
        <w:pStyle w:val="Odskoknadpis4"/>
      </w:pPr>
      <w:r w:rsidRPr="00F52E77">
        <w:t xml:space="preserve">Všechny investiční výdaje jsou dnes financovány v ČR </w:t>
      </w:r>
      <w:r w:rsidR="00114D5F">
        <w:t>především</w:t>
      </w:r>
      <w:r w:rsidRPr="00F52E77">
        <w:t xml:space="preserve"> na úrovni zadlužování státního rozpočtu</w:t>
      </w:r>
      <w:r w:rsidR="000668C8">
        <w:t>,</w:t>
      </w:r>
      <w:r w:rsidRPr="00F52E77">
        <w:t xml:space="preserve"> emisemi státních dluhopisů</w:t>
      </w:r>
      <w:r w:rsidR="000668C8">
        <w:t>,</w:t>
      </w:r>
      <w:r w:rsidRPr="00F52E77">
        <w:t xml:space="preserve"> a to zcela neadresně na jednotlivé investiční aktivity. </w:t>
      </w:r>
      <w:r w:rsidR="00CE1267">
        <w:t>Po </w:t>
      </w:r>
      <w:r>
        <w:t>finanční krizi v roce 2008 přitom vzrostl zájem investorů o reálná investiční aktiva v podobě infrastrukturních investic, energetických investic, atd</w:t>
      </w:r>
      <w:r w:rsidR="003672A6">
        <w:t>.</w:t>
      </w:r>
      <w:r w:rsidR="003C3940">
        <w:rPr>
          <w:rStyle w:val="Znakapoznpodarou"/>
        </w:rPr>
        <w:footnoteReference w:id="118"/>
      </w:r>
    </w:p>
    <w:p w:rsidR="00120B79" w:rsidRDefault="00120B79" w:rsidP="0049720A">
      <w:pPr>
        <w:pStyle w:val="Odskoknadpis4"/>
      </w:pPr>
      <w:r>
        <w:t>Díky stávající struktuře financování investic státu se potýkáme s mnoha téměř neřešitelnými problémy:</w:t>
      </w:r>
    </w:p>
    <w:p w:rsidR="00120B79" w:rsidRDefault="00120B79" w:rsidP="0049720A">
      <w:pPr>
        <w:pStyle w:val="Odskoknadpis4"/>
      </w:pPr>
      <w:r>
        <w:t xml:space="preserve">Nekorespondující časovost investic vede k neefektivnímu řízení. Pokud jednotlivé resorty plánují investice, nejsou schopny dopředu odhadnout „příděl“ ze státního rozpočtu na další období </w:t>
      </w:r>
      <w:r w:rsidR="00CE1267">
        <w:t>a </w:t>
      </w:r>
      <w:r>
        <w:t>proto jsou často konzervativní a opatrné</w:t>
      </w:r>
      <w:r w:rsidR="000668C8">
        <w:t>,</w:t>
      </w:r>
      <w:r>
        <w:t xml:space="preserve"> naopak v případě vyšších přídělů v jednom kalendářním roce neefektivně utrácí přidělené prostředky, aby nedošlo k jejich snížení v následujícím období.</w:t>
      </w:r>
    </w:p>
    <w:p w:rsidR="00120B79" w:rsidRDefault="0018767D" w:rsidP="0049720A">
      <w:pPr>
        <w:pStyle w:val="Odskoknadpis4"/>
      </w:pPr>
      <w:r>
        <w:t>ČR</w:t>
      </w:r>
      <w:r w:rsidR="00120B79">
        <w:t xml:space="preserve"> se v zásadě vědomě vůbec nenabízí finančním investorům</w:t>
      </w:r>
      <w:r w:rsidR="00E27772">
        <w:rPr>
          <w:rStyle w:val="Znakapoznpodarou"/>
        </w:rPr>
        <w:footnoteReference w:id="119"/>
      </w:r>
      <w:r w:rsidR="00120B79">
        <w:t>, ale vyhledává pouze investory strategické (tedy takové, kteří v daném oboru přímo podnikají a na území ČR zřizují své provozovny). Ve světě je přitom mnohonásobně více finančního kapitálu, který má o společné investice zájem</w:t>
      </w:r>
      <w:r w:rsidR="000668C8">
        <w:t>.</w:t>
      </w:r>
      <w:r w:rsidR="00E27772">
        <w:t xml:space="preserve"> </w:t>
      </w:r>
      <w:r w:rsidR="000668C8">
        <w:t>Tento</w:t>
      </w:r>
      <w:r w:rsidR="00E27772">
        <w:t xml:space="preserve"> trend </w:t>
      </w:r>
      <w:r w:rsidR="000668C8">
        <w:t xml:space="preserve">je také </w:t>
      </w:r>
      <w:r w:rsidR="00E27772">
        <w:t>podporován EK</w:t>
      </w:r>
      <w:r w:rsidR="000668C8">
        <w:t>,</w:t>
      </w:r>
      <w:r w:rsidR="00E27772">
        <w:t xml:space="preserve"> a to jak na úrovni rozpočtu EK (</w:t>
      </w:r>
      <w:r w:rsidR="00A56B56">
        <w:t>IFN</w:t>
      </w:r>
      <w:r w:rsidR="00E27772">
        <w:t>)</w:t>
      </w:r>
      <w:r w:rsidR="000668C8">
        <w:t>,</w:t>
      </w:r>
      <w:r w:rsidR="00E27772">
        <w:t xml:space="preserve"> tak </w:t>
      </w:r>
      <w:r w:rsidR="00CE1267">
        <w:t>i </w:t>
      </w:r>
      <w:r w:rsidR="00E27772">
        <w:t xml:space="preserve">v oblasti </w:t>
      </w:r>
      <w:r w:rsidR="00E27772" w:rsidRPr="002521B2">
        <w:t>legislativní (alternative investment fund managers directive</w:t>
      </w:r>
      <w:r w:rsidR="00E27772" w:rsidRPr="002521B2">
        <w:rPr>
          <w:rStyle w:val="Znakapoznpodarou"/>
        </w:rPr>
        <w:footnoteReference w:id="120"/>
      </w:r>
      <w:r w:rsidR="00E27772" w:rsidRPr="002521B2">
        <w:t xml:space="preserve">, venture capital </w:t>
      </w:r>
      <w:r w:rsidR="00E27772" w:rsidRPr="002521B2">
        <w:lastRenderedPageBreak/>
        <w:t>investment funds</w:t>
      </w:r>
      <w:r w:rsidR="00E27772" w:rsidRPr="002521B2">
        <w:rPr>
          <w:rStyle w:val="Znakapoznpodarou"/>
        </w:rPr>
        <w:footnoteReference w:id="121"/>
      </w:r>
      <w:r w:rsidR="00E27772" w:rsidRPr="002521B2">
        <w:t xml:space="preserve">, </w:t>
      </w:r>
      <w:r w:rsidR="002521B2" w:rsidRPr="002521B2">
        <w:t>social entrepreneurship funds</w:t>
      </w:r>
      <w:r w:rsidR="002521B2" w:rsidRPr="002521B2">
        <w:rPr>
          <w:rStyle w:val="Znakapoznpodarou"/>
        </w:rPr>
        <w:footnoteReference w:id="122"/>
      </w:r>
      <w:r w:rsidR="002521B2" w:rsidRPr="002521B2">
        <w:t xml:space="preserve">, </w:t>
      </w:r>
      <w:r w:rsidR="00E27772" w:rsidRPr="002521B2">
        <w:t>long term investment funds</w:t>
      </w:r>
      <w:r w:rsidR="00E27772" w:rsidRPr="002521B2">
        <w:rPr>
          <w:rStyle w:val="Znakapoznpodarou"/>
        </w:rPr>
        <w:footnoteReference w:id="123"/>
      </w:r>
      <w:r w:rsidR="00E27772" w:rsidRPr="002521B2">
        <w:t>)</w:t>
      </w:r>
      <w:r w:rsidR="00120B79" w:rsidRPr="002521B2">
        <w:t>. Nutně to přitom neznamená, že investice budou dražší, či že stát bude více zadlužen. Dochází</w:t>
      </w:r>
      <w:r w:rsidR="00120B79">
        <w:t xml:space="preserve"> tak k paradoxním situacím, kdy například řadu solárních elektráren po jejich dokončení odkoupil</w:t>
      </w:r>
      <w:r w:rsidR="00063D91">
        <w:t>y</w:t>
      </w:r>
      <w:r w:rsidR="00120B79">
        <w:t xml:space="preserve"> holandské penzijní fondy a </w:t>
      </w:r>
      <w:r>
        <w:t>ČR</w:t>
      </w:r>
      <w:r w:rsidR="00120B79">
        <w:t xml:space="preserve"> tak nyní prostřednictvím dotovaných výnosů z těchto aktivit podporuje výnosy holandských občanů. ČR v současné době nemá žádné funkční mechanizmy</w:t>
      </w:r>
      <w:r w:rsidR="00743404">
        <w:t>,</w:t>
      </w:r>
      <w:r w:rsidR="00120B79">
        <w:t xml:space="preserve"> jak s finančním kapitálem spolupracovat.</w:t>
      </w:r>
    </w:p>
    <w:p w:rsidR="00120B79" w:rsidRDefault="00120B79" w:rsidP="0049720A">
      <w:pPr>
        <w:pStyle w:val="Odskoknadpis4"/>
      </w:pPr>
      <w:r>
        <w:t>Obdobná situace se týká oblasti dotací. I ty fungují jaksi paralelně a nejsou přímo strategicky propojeny s investicemi státu (minimálně je rozdělování dotací řízeno na zcela odlišných principech).</w:t>
      </w:r>
    </w:p>
    <w:p w:rsidR="00913B04" w:rsidRDefault="00913B04" w:rsidP="00913B04">
      <w:pPr>
        <w:pStyle w:val="Odskoknadpis4"/>
      </w:pPr>
      <w:r>
        <w:t xml:space="preserve">ČR si v minulosti zřídila několik státních, zvláštním zákonem zřízených, fondů jako je například Státní fond rozvoje bydlení, Státní fond dopravní infrastruktury, Státní fond životního prostředí Jejich podoba ale neumožňuje zapojování jakýchkoliv jiných zdrojů financování a to z důvodů právních (jedná se o subjekty hospodařící s majetkem státu, limitujícím faktorem jsou i rozpočtová pravidla), ale i technických (např. neschopnost emitovat dluhopisy, nemožnost vstupu investora atd.). Toto neplatí pouze o </w:t>
      </w:r>
      <w:r w:rsidR="00087C1D" w:rsidRPr="00913B04">
        <w:rPr>
          <w:color w:val="000000"/>
        </w:rPr>
        <w:t>Státní</w:t>
      </w:r>
      <w:r w:rsidR="00087C1D">
        <w:rPr>
          <w:color w:val="000000"/>
        </w:rPr>
        <w:t>m</w:t>
      </w:r>
      <w:r w:rsidR="00087C1D" w:rsidRPr="00913B04">
        <w:rPr>
          <w:color w:val="000000"/>
        </w:rPr>
        <w:t xml:space="preserve"> fond</w:t>
      </w:r>
      <w:r w:rsidR="00087C1D">
        <w:rPr>
          <w:color w:val="000000"/>
        </w:rPr>
        <w:t>u</w:t>
      </w:r>
      <w:r w:rsidR="00087C1D" w:rsidRPr="00913B04">
        <w:rPr>
          <w:color w:val="000000"/>
        </w:rPr>
        <w:t xml:space="preserve"> rozvoje bydlení („SFRB“)</w:t>
      </w:r>
      <w:r>
        <w:t xml:space="preserve">, který hospodaří i s vlastním majetkem. Tento fond </w:t>
      </w:r>
      <w:r w:rsidRPr="00916ACF">
        <w:t xml:space="preserve">může být zřizovatelem či zakladatelem právnických osob a může </w:t>
      </w:r>
      <w:r>
        <w:t xml:space="preserve">v nich nabývat majetkovou účast, může nabývat cenné papíry a vydávat dluhopisy. </w:t>
      </w:r>
    </w:p>
    <w:p w:rsidR="00913B04" w:rsidRPr="005D4E2E" w:rsidRDefault="00913B04" w:rsidP="00913B04">
      <w:pPr>
        <w:pStyle w:val="Odskoknadpis4"/>
        <w:rPr>
          <w:color w:val="222222"/>
          <w:lang w:eastAsia="cs-CZ"/>
        </w:rPr>
      </w:pPr>
      <w:r w:rsidRPr="005D4E2E">
        <w:rPr>
          <w:lang w:eastAsia="cs-CZ"/>
        </w:rPr>
        <w:t xml:space="preserve">Resorty </w:t>
      </w:r>
      <w:r>
        <w:rPr>
          <w:lang w:eastAsia="cs-CZ"/>
        </w:rPr>
        <w:t xml:space="preserve">dnes </w:t>
      </w:r>
      <w:r w:rsidRPr="005D4E2E">
        <w:rPr>
          <w:lang w:eastAsia="cs-CZ"/>
        </w:rPr>
        <w:t xml:space="preserve">nemusí spěchat s utrácením peněžních prostředků, neboť </w:t>
      </w:r>
      <w:r>
        <w:rPr>
          <w:lang w:eastAsia="cs-CZ"/>
        </w:rPr>
        <w:t>se přesunou</w:t>
      </w:r>
      <w:r w:rsidRPr="005D4E2E">
        <w:rPr>
          <w:lang w:eastAsia="cs-CZ"/>
        </w:rPr>
        <w:t xml:space="preserve"> do nároků, které mohou čerpat v následných letech, neovlivňuje to návrh rozpočtu, ani jejich investiční činnost. </w:t>
      </w:r>
      <w:r>
        <w:rPr>
          <w:lang w:eastAsia="cs-CZ"/>
        </w:rPr>
        <w:t>Pro investice obecně c</w:t>
      </w:r>
      <w:r w:rsidRPr="005D4E2E">
        <w:rPr>
          <w:lang w:eastAsia="cs-CZ"/>
        </w:rPr>
        <w:t xml:space="preserve">hybí </w:t>
      </w:r>
      <w:r>
        <w:rPr>
          <w:lang w:eastAsia="cs-CZ"/>
        </w:rPr>
        <w:t>kvalifikované pracovní síly. Banky a s</w:t>
      </w:r>
      <w:r w:rsidRPr="005D4E2E">
        <w:rPr>
          <w:lang w:eastAsia="cs-CZ"/>
        </w:rPr>
        <w:t xml:space="preserve">tátní fondy </w:t>
      </w:r>
      <w:r>
        <w:rPr>
          <w:lang w:eastAsia="cs-CZ"/>
        </w:rPr>
        <w:t xml:space="preserve">by se měly </w:t>
      </w:r>
      <w:r w:rsidRPr="005D4E2E">
        <w:rPr>
          <w:lang w:eastAsia="cs-CZ"/>
        </w:rPr>
        <w:t>naučit</w:t>
      </w:r>
      <w:r>
        <w:rPr>
          <w:lang w:eastAsia="cs-CZ"/>
        </w:rPr>
        <w:t>,</w:t>
      </w:r>
      <w:r w:rsidRPr="005D4E2E">
        <w:rPr>
          <w:lang w:eastAsia="cs-CZ"/>
        </w:rPr>
        <w:t xml:space="preserve"> a </w:t>
      </w:r>
      <w:r>
        <w:rPr>
          <w:lang w:eastAsia="cs-CZ"/>
        </w:rPr>
        <w:t xml:space="preserve">také </w:t>
      </w:r>
      <w:r w:rsidRPr="005D4E2E">
        <w:rPr>
          <w:lang w:eastAsia="cs-CZ"/>
        </w:rPr>
        <w:t>chtít</w:t>
      </w:r>
      <w:r>
        <w:rPr>
          <w:lang w:eastAsia="cs-CZ"/>
        </w:rPr>
        <w:t>,</w:t>
      </w:r>
      <w:r w:rsidRPr="005D4E2E">
        <w:rPr>
          <w:lang w:eastAsia="cs-CZ"/>
        </w:rPr>
        <w:t xml:space="preserve"> </w:t>
      </w:r>
      <w:r>
        <w:rPr>
          <w:lang w:eastAsia="cs-CZ"/>
        </w:rPr>
        <w:t>spolupracovat.</w:t>
      </w:r>
    </w:p>
    <w:p w:rsidR="00AA08FF" w:rsidRDefault="0089495C" w:rsidP="0049720A">
      <w:pPr>
        <w:pStyle w:val="Odskoknadpis4"/>
      </w:pPr>
      <w:r>
        <w:t>Existence těchto fondů není v rozporu s navrhovanými schématy pro implementaci IFN</w:t>
      </w:r>
      <w:r w:rsidR="00DF54D8">
        <w:t xml:space="preserve">. </w:t>
      </w:r>
      <w:r>
        <w:t xml:space="preserve">IFN </w:t>
      </w:r>
      <w:r w:rsidR="00990DC6">
        <w:t xml:space="preserve">budou </w:t>
      </w:r>
      <w:r>
        <w:t xml:space="preserve">zakládány ve formě speciálních investičních vehiklů, </w:t>
      </w:r>
      <w:r w:rsidR="00DF54D8">
        <w:t xml:space="preserve">které </w:t>
      </w:r>
      <w:r>
        <w:t xml:space="preserve">nemají žádné zaměstnance ani odbornou kapacitu, ale jsou standardizovanou investiční formou dle směrnic EK (AIFMD, EuVECA, EuSEF, Long Term Investment Funds, atd.), </w:t>
      </w:r>
      <w:r w:rsidR="00990DC6">
        <w:t xml:space="preserve">která </w:t>
      </w:r>
      <w:r>
        <w:t>umožňuj</w:t>
      </w:r>
      <w:r w:rsidR="00990DC6">
        <w:t>e</w:t>
      </w:r>
      <w:r>
        <w:t xml:space="preserve"> realizovat širokou škálu investičních </w:t>
      </w:r>
      <w:r w:rsidR="00787752">
        <w:t>mechanizm</w:t>
      </w:r>
      <w:r>
        <w:t xml:space="preserve">ů a </w:t>
      </w:r>
      <w:r w:rsidR="00990DC6">
        <w:t xml:space="preserve">je využívána </w:t>
      </w:r>
      <w:r>
        <w:t>i samotnou EK prostřednictvím EIB</w:t>
      </w:r>
      <w:r>
        <w:rPr>
          <w:rStyle w:val="Znakapoznpodarou"/>
        </w:rPr>
        <w:footnoteReference w:id="124"/>
      </w:r>
      <w:r>
        <w:t>. Stávající státní fondy nevlastní majetek, ale pouze hospodaří s majetkem státu</w:t>
      </w:r>
      <w:r>
        <w:rPr>
          <w:rStyle w:val="Znakapoznpodarou"/>
        </w:rPr>
        <w:footnoteReference w:id="125"/>
      </w:r>
      <w:r>
        <w:t xml:space="preserve">. </w:t>
      </w:r>
      <w:r w:rsidR="00276C74">
        <w:t>„Zákon č. 219/2000 Sb., o </w:t>
      </w:r>
      <w:r w:rsidR="00276C74" w:rsidRPr="00873046">
        <w:t>majetku České republiky a jejím vystupování v právních vztazích</w:t>
      </w:r>
      <w:r w:rsidR="00276C74" w:rsidDel="00276C74">
        <w:t xml:space="preserve"> </w:t>
      </w:r>
      <w:r>
        <w:t>pak například státu umožňuje vstupovat pouze do akciových společností</w:t>
      </w:r>
      <w:r w:rsidR="00166AEC">
        <w:t>,</w:t>
      </w:r>
      <w:r>
        <w:t xml:space="preserve"> a to vždy s předchozím souhlasem </w:t>
      </w:r>
      <w:r w:rsidR="00276C74">
        <w:t>vlády</w:t>
      </w:r>
      <w:r w:rsidR="00AA08FF">
        <w:t>.</w:t>
      </w:r>
    </w:p>
    <w:p w:rsidR="000F7D0A" w:rsidRDefault="00E27772" w:rsidP="00171265">
      <w:pPr>
        <w:pStyle w:val="Nadpis3"/>
      </w:pPr>
      <w:bookmarkStart w:id="61" w:name="_Toc410115457"/>
      <w:r>
        <w:t xml:space="preserve">ESIF </w:t>
      </w:r>
      <w:r w:rsidRPr="0089495C">
        <w:t>jako</w:t>
      </w:r>
      <w:r>
        <w:t xml:space="preserve"> </w:t>
      </w:r>
      <w:r w:rsidR="00C97EC2">
        <w:t>zdroj dlouhodobého kapitálu</w:t>
      </w:r>
      <w:bookmarkEnd w:id="61"/>
      <w:r>
        <w:t xml:space="preserve"> </w:t>
      </w:r>
    </w:p>
    <w:p w:rsidR="00AA08FF" w:rsidRDefault="001801D5" w:rsidP="0049720A">
      <w:pPr>
        <w:pStyle w:val="Odskoknadpis4"/>
      </w:pPr>
      <w:r>
        <w:t xml:space="preserve">Na první pohled neřešitelnou situaci je možné řešit efektivnějším využitím prostředků, které ČR bude čerpat z </w:t>
      </w:r>
      <w:r w:rsidR="000B6543">
        <w:t>ESIF</w:t>
      </w:r>
      <w:r>
        <w:t xml:space="preserve">. Takovou formu využití představují </w:t>
      </w:r>
      <w:r w:rsidR="00A56B56">
        <w:t>IFN</w:t>
      </w:r>
      <w:r>
        <w:t xml:space="preserve">, jejichž návratný charakter zabezpečuje dlouhodobě udržitelnou formu podpory a rozsáhlejší dopad vzhledem k možnosti opakovatelného použití. Zároveň jde v zájmu </w:t>
      </w:r>
      <w:r w:rsidR="009C22FB">
        <w:t>pokrytí</w:t>
      </w:r>
      <w:r>
        <w:t xml:space="preserve"> neoptimálních investičních situací </w:t>
      </w:r>
      <w:r w:rsidR="00CE1267">
        <w:t>o </w:t>
      </w:r>
      <w:r>
        <w:t xml:space="preserve">zvýhodněnou formu financování, která reaguje zejména na selhání trhu. Objem daných prostředků je dodatečně možné navýšit prostřednictvím pákového efektu, tedy nastavit příslušné nástroje tak, aby soukromí investoři byli motivováni investovat společně s prostředky </w:t>
      </w:r>
      <w:r w:rsidR="000B6543">
        <w:t>ESIF</w:t>
      </w:r>
      <w:r>
        <w:t xml:space="preserve"> </w:t>
      </w:r>
      <w:r w:rsidR="00CE1267">
        <w:t>v </w:t>
      </w:r>
      <w:r>
        <w:t xml:space="preserve">daných investičních prioritách. Díky tomu </w:t>
      </w:r>
      <w:r w:rsidR="00A56B56">
        <w:t>IFN</w:t>
      </w:r>
      <w:r>
        <w:t xml:space="preserve"> dokážou pozitivně ovlivnit efektivnost využití </w:t>
      </w:r>
      <w:r w:rsidR="000B6543">
        <w:t>ESIF</w:t>
      </w:r>
      <w:r>
        <w:t xml:space="preserve"> a mobilizovat kapitál. Veřejný sektor dokáže prostřednictvím </w:t>
      </w:r>
      <w:r w:rsidR="00420428">
        <w:t>IFN</w:t>
      </w:r>
      <w:r>
        <w:t xml:space="preserve"> stimulovat rozvoj neexistujících nebo značně omezených forem financování, jakou je například rizikový kapitál</w:t>
      </w:r>
      <w:r w:rsidR="000B6543">
        <w:t xml:space="preserve"> nebo projektové financování</w:t>
      </w:r>
      <w:r>
        <w:t xml:space="preserve">. </w:t>
      </w:r>
      <w:r w:rsidR="00A56B56">
        <w:t>IFN</w:t>
      </w:r>
      <w:r>
        <w:t xml:space="preserve"> iniciované veřejným sektorem, profesionálně řízené </w:t>
      </w:r>
      <w:r w:rsidR="00CE1267">
        <w:lastRenderedPageBreak/>
        <w:t>a </w:t>
      </w:r>
      <w:r>
        <w:t xml:space="preserve">financované z prostředků </w:t>
      </w:r>
      <w:r w:rsidR="000B6543">
        <w:t>ESIF</w:t>
      </w:r>
      <w:r>
        <w:t xml:space="preserve"> a </w:t>
      </w:r>
      <w:r w:rsidR="000B6543">
        <w:t>státního rozpočtu</w:t>
      </w:r>
      <w:r>
        <w:t xml:space="preserve">, přispívají k rozvoji kapitálového trhu </w:t>
      </w:r>
      <w:r w:rsidR="00CE1267">
        <w:t>a </w:t>
      </w:r>
      <w:r>
        <w:t>pomáhají řešit ekonomickou situaci v ČR</w:t>
      </w:r>
      <w:r w:rsidR="00AA08FF">
        <w:t>.</w:t>
      </w:r>
    </w:p>
    <w:p w:rsidR="00DF7977" w:rsidRPr="00DF7977" w:rsidRDefault="002921B3" w:rsidP="00636988">
      <w:pPr>
        <w:pStyle w:val="Titulek"/>
      </w:pPr>
      <w:bookmarkStart w:id="62" w:name="_Toc409446423"/>
      <w:r>
        <w:t xml:space="preserve">Schéma </w:t>
      </w:r>
      <w:fldSimple w:instr=" SEQ Schéma \* ARABIC ">
        <w:r w:rsidR="006C5EA3">
          <w:rPr>
            <w:noProof/>
          </w:rPr>
          <w:t>15</w:t>
        </w:r>
      </w:fldSimple>
      <w:r>
        <w:t xml:space="preserve">: </w:t>
      </w:r>
      <w:r w:rsidR="00435883">
        <w:t>EU zdroje jako dodatečný</w:t>
      </w:r>
      <w:r w:rsidR="00DF7977" w:rsidRPr="00DF7977">
        <w:t xml:space="preserve"> kapitál pro financování růstu hospodářství ČR</w:t>
      </w:r>
      <w:bookmarkEnd w:id="62"/>
    </w:p>
    <w:p w:rsidR="00DF7977" w:rsidRDefault="00AE0372" w:rsidP="008E2318">
      <w:pPr>
        <w:pStyle w:val="Odskoknadpis4"/>
        <w:jc w:val="center"/>
      </w:pPr>
      <w:r w:rsidRPr="00AE0372">
        <w:rPr>
          <w:noProof/>
          <w:lang w:eastAsia="cs-CZ"/>
        </w:rPr>
        <w:drawing>
          <wp:inline distT="0" distB="0" distL="0" distR="0" wp14:anchorId="2D782A0E" wp14:editId="75F22124">
            <wp:extent cx="4974369" cy="3157047"/>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974282" cy="3156992"/>
                    </a:xfrm>
                    <a:prstGeom prst="rect">
                      <a:avLst/>
                    </a:prstGeom>
                    <a:noFill/>
                    <a:ln w="9525">
                      <a:noFill/>
                      <a:miter lim="800000"/>
                      <a:headEnd/>
                      <a:tailEnd/>
                    </a:ln>
                  </pic:spPr>
                </pic:pic>
              </a:graphicData>
            </a:graphic>
          </wp:inline>
        </w:drawing>
      </w:r>
    </w:p>
    <w:p w:rsidR="000668C8" w:rsidRDefault="000668C8" w:rsidP="000668C8"/>
    <w:p w:rsidR="00AA08FF" w:rsidRDefault="0018767D" w:rsidP="0049720A">
      <w:pPr>
        <w:pStyle w:val="Odskoknadpis4"/>
      </w:pPr>
      <w:r>
        <w:t>ČR</w:t>
      </w:r>
      <w:r w:rsidR="000B6543">
        <w:t xml:space="preserve"> nebyla ve využívání </w:t>
      </w:r>
      <w:r w:rsidR="00420428">
        <w:t>IFN</w:t>
      </w:r>
      <w:r w:rsidR="000B6543">
        <w:t xml:space="preserve"> v programovém období 2007</w:t>
      </w:r>
      <w:r w:rsidR="008E5B08">
        <w:t xml:space="preserve"> </w:t>
      </w:r>
      <w:r w:rsidR="000B6543">
        <w:t>-</w:t>
      </w:r>
      <w:r w:rsidR="008E5B08">
        <w:t xml:space="preserve"> </w:t>
      </w:r>
      <w:r w:rsidR="000B6543">
        <w:t>2013 příliš aktivní</w:t>
      </w:r>
      <w:r w:rsidR="008E5B08">
        <w:t>, což bylo zmíněno</w:t>
      </w:r>
      <w:r w:rsidR="000B6543">
        <w:t xml:space="preserve"> i v reakci EK při projednávání Dohody o partnerství pro období 2014</w:t>
      </w:r>
      <w:r w:rsidR="008E5B08">
        <w:t xml:space="preserve"> </w:t>
      </w:r>
      <w:r w:rsidR="000B6543">
        <w:t>-</w:t>
      </w:r>
      <w:r w:rsidR="008E5B08">
        <w:t xml:space="preserve"> </w:t>
      </w:r>
      <w:r w:rsidR="000B6543">
        <w:t>2020</w:t>
      </w:r>
      <w:r w:rsidR="000B6543">
        <w:rPr>
          <w:rStyle w:val="Znakapoznpodarou"/>
        </w:rPr>
        <w:footnoteReference w:id="126"/>
      </w:r>
      <w:r w:rsidR="000B6543">
        <w:t xml:space="preserve">. Evropská komise ve svých připomínkách k podobě dohody o partnerství zmiňuje potřebu většího zapojení </w:t>
      </w:r>
      <w:r w:rsidR="00420428">
        <w:t>IFN</w:t>
      </w:r>
      <w:r w:rsidR="000B6543">
        <w:t>. EK si uvědomuje sub</w:t>
      </w:r>
      <w:r w:rsidR="005C4A5A">
        <w:t>-</w:t>
      </w:r>
      <w:r w:rsidR="000B6543">
        <w:t>optimální investiční prostředí v členských zemích</w:t>
      </w:r>
      <w:r w:rsidR="00BE6AC9">
        <w:t>,</w:t>
      </w:r>
      <w:r w:rsidR="000B6543">
        <w:t xml:space="preserve"> zvýrazněné přetrvávající hospodářskou krizí, jakož i dlouhodobou neudržitelnost grantových schémat</w:t>
      </w:r>
      <w:r w:rsidR="00BE6AC9">
        <w:t>. EK</w:t>
      </w:r>
      <w:r w:rsidR="000B6543">
        <w:t xml:space="preserve"> podporuje co</w:t>
      </w:r>
      <w:r w:rsidR="00E871A7">
        <w:t> </w:t>
      </w:r>
      <w:r w:rsidR="000B6543">
        <w:t xml:space="preserve">nejširší využití </w:t>
      </w:r>
      <w:r w:rsidR="00420428">
        <w:t>IFN</w:t>
      </w:r>
      <w:r w:rsidR="000B6543">
        <w:t xml:space="preserve"> v programovém období 2014 - 2020</w:t>
      </w:r>
      <w:r w:rsidR="00AA08FF">
        <w:t>.</w:t>
      </w:r>
    </w:p>
    <w:p w:rsidR="00AA08FF" w:rsidRDefault="000B6543" w:rsidP="0049720A">
      <w:pPr>
        <w:pStyle w:val="Odskoknadpis4"/>
      </w:pPr>
      <w:r>
        <w:t>V podmínkách ekonomické nejistoty, fiskálních deficitů a</w:t>
      </w:r>
      <w:r w:rsidR="00BA1130">
        <w:t xml:space="preserve"> </w:t>
      </w:r>
      <w:r>
        <w:t xml:space="preserve">z nich vyplývajícího tlaku na rozpočet je vidět značnou přidanou hodnotu v podpoře dalšího rozvoje </w:t>
      </w:r>
      <w:r w:rsidR="00420428">
        <w:t>IFN</w:t>
      </w:r>
      <w:r>
        <w:t xml:space="preserve"> a jejich využití ve stávajících, ale i nových oblastech. V dokumentu EK k revizi rozpočtu EU</w:t>
      </w:r>
      <w:r w:rsidRPr="00837BD4">
        <w:rPr>
          <w:rStyle w:val="Znakapoznpodarou"/>
          <w:sz w:val="24"/>
          <w:szCs w:val="24"/>
        </w:rPr>
        <w:footnoteReference w:id="127"/>
      </w:r>
      <w:r>
        <w:t xml:space="preserve"> EK poznamenala, že </w:t>
      </w:r>
      <w:r w:rsidR="00A56B56">
        <w:t>IFN</w:t>
      </w:r>
      <w:r>
        <w:t xml:space="preserve"> </w:t>
      </w:r>
      <w:r w:rsidR="00CE1267">
        <w:t>by </w:t>
      </w:r>
      <w:r>
        <w:t xml:space="preserve">mohly být důležitým novým finančním </w:t>
      </w:r>
      <w:r w:rsidR="00787752">
        <w:t>mechanizm</w:t>
      </w:r>
      <w:r>
        <w:t xml:space="preserve">em pro strategické investice tím, </w:t>
      </w:r>
      <w:r w:rsidR="00CE1267">
        <w:t>že </w:t>
      </w:r>
      <w:r w:rsidR="00BE6AC9">
        <w:t xml:space="preserve">efektivněji </w:t>
      </w:r>
      <w:r>
        <w:t xml:space="preserve">přitahují společné investice z jiných veřejných i soukromých zdrojů za účelem dosažení cílů EU. Důležitost </w:t>
      </w:r>
      <w:r w:rsidR="00420428">
        <w:t>IFN</w:t>
      </w:r>
      <w:r>
        <w:t xml:space="preserve"> v programovém období 2014 - 2020 zdůrazňuje také bod 34</w:t>
      </w:r>
      <w:r w:rsidR="00E871A7">
        <w:t> </w:t>
      </w:r>
      <w:r>
        <w:t>preambule obecného nařízení pro programové období 2014 - 2020</w:t>
      </w:r>
      <w:r w:rsidR="00BA1130" w:rsidRPr="00837BD4">
        <w:rPr>
          <w:rStyle w:val="Znakapoznpodarou"/>
          <w:sz w:val="24"/>
          <w:szCs w:val="24"/>
        </w:rPr>
        <w:footnoteReference w:id="128"/>
      </w:r>
      <w:r w:rsidR="00AA08FF">
        <w:t>.</w:t>
      </w:r>
    </w:p>
    <w:p w:rsidR="008E2318" w:rsidRDefault="008E2318" w:rsidP="008E2318">
      <w:pPr>
        <w:pStyle w:val="Nadpis3"/>
      </w:pPr>
      <w:bookmarkStart w:id="63" w:name="_Toc410115458"/>
      <w:r>
        <w:t>Řešení problémů – IFN</w:t>
      </w:r>
      <w:bookmarkEnd w:id="63"/>
    </w:p>
    <w:p w:rsidR="008E2318" w:rsidRPr="00042EBB" w:rsidRDefault="008E2318" w:rsidP="008E2318">
      <w:pPr>
        <w:pStyle w:val="Odskoknadpis4"/>
      </w:pPr>
      <w:r>
        <w:t>Výše popisovanou neutěšenou situaci je možné zlepšit pomocí IFN</w:t>
      </w:r>
      <w:r w:rsidRPr="00042EBB">
        <w:t xml:space="preserve"> – </w:t>
      </w:r>
      <w:r>
        <w:t xml:space="preserve">tyto </w:t>
      </w:r>
      <w:r w:rsidRPr="00042EBB">
        <w:t>mohou přinést nové peníze do ek</w:t>
      </w:r>
      <w:r>
        <w:t>onomiky</w:t>
      </w:r>
      <w:r w:rsidR="00BE6AC9">
        <w:t>,</w:t>
      </w:r>
      <w:r>
        <w:t xml:space="preserve"> </w:t>
      </w:r>
      <w:r w:rsidR="00BE6AC9">
        <w:t>r</w:t>
      </w:r>
      <w:r>
        <w:t xml:space="preserve">ozhýbat </w:t>
      </w:r>
      <w:r w:rsidRPr="00042EBB">
        <w:t>hospodářství</w:t>
      </w:r>
      <w:r>
        <w:t xml:space="preserve"> a </w:t>
      </w:r>
      <w:r w:rsidRPr="00042EBB">
        <w:t>zamrzlé peníze v</w:t>
      </w:r>
      <w:r w:rsidR="00BE6AC9">
        <w:t> </w:t>
      </w:r>
      <w:r w:rsidRPr="00042EBB">
        <w:t>bankách</w:t>
      </w:r>
      <w:r w:rsidR="00BE6AC9">
        <w:t>, p</w:t>
      </w:r>
      <w:r>
        <w:t>odpořit</w:t>
      </w:r>
      <w:r w:rsidRPr="00042EBB">
        <w:t xml:space="preserve"> infrastrukturu</w:t>
      </w:r>
      <w:r>
        <w:t xml:space="preserve">, dálnice, železnice, terminály, energetické úspory atd. </w:t>
      </w:r>
      <w:r w:rsidRPr="00042EBB">
        <w:t xml:space="preserve">Jelikož hlavní subjekty rozdělující </w:t>
      </w:r>
      <w:r>
        <w:t>IFN musí mí</w:t>
      </w:r>
      <w:r w:rsidRPr="00042EBB">
        <w:t xml:space="preserve">t bankovní licence, povolení </w:t>
      </w:r>
      <w:r w:rsidR="009C22FB">
        <w:t xml:space="preserve">k činnosti </w:t>
      </w:r>
      <w:r w:rsidRPr="00042EBB">
        <w:t xml:space="preserve">a podléhají EU </w:t>
      </w:r>
      <w:r>
        <w:t>směrnicím</w:t>
      </w:r>
      <w:r w:rsidRPr="00042EBB">
        <w:t xml:space="preserve">, </w:t>
      </w:r>
      <w:r>
        <w:t xml:space="preserve">vedlejším benefitem </w:t>
      </w:r>
      <w:r>
        <w:lastRenderedPageBreak/>
        <w:t>bude</w:t>
      </w:r>
      <w:r w:rsidRPr="00042EBB">
        <w:t xml:space="preserve"> i sníž</w:t>
      </w:r>
      <w:r>
        <w:t xml:space="preserve">ení </w:t>
      </w:r>
      <w:r w:rsidRPr="00042EBB">
        <w:t xml:space="preserve">korupce při čerpání fondů </w:t>
      </w:r>
      <w:r>
        <w:t>ESIF</w:t>
      </w:r>
      <w:r w:rsidRPr="00042EBB">
        <w:t xml:space="preserve">. Zapojením soukromého sektoru se může zrychlit příprava projektů a dohromady vše může </w:t>
      </w:r>
      <w:r>
        <w:t>podpořit</w:t>
      </w:r>
      <w:r w:rsidRPr="00042EBB">
        <w:t xml:space="preserve"> ekonomický růst a vytvořit </w:t>
      </w:r>
      <w:r w:rsidR="00BE6AC9">
        <w:t xml:space="preserve">nová </w:t>
      </w:r>
      <w:r w:rsidRPr="00042EBB">
        <w:t xml:space="preserve">pracovní místa v </w:t>
      </w:r>
      <w:r>
        <w:t>ČR</w:t>
      </w:r>
      <w:r w:rsidRPr="00042EBB">
        <w:t>.</w:t>
      </w:r>
    </w:p>
    <w:p w:rsidR="000F7D0A" w:rsidRDefault="000F7D0A" w:rsidP="00171265">
      <w:pPr>
        <w:pStyle w:val="Nadpis3"/>
      </w:pPr>
      <w:bookmarkStart w:id="64" w:name="_Toc410115459"/>
      <w:r>
        <w:t>Aspekty programového prohlášení vlády</w:t>
      </w:r>
      <w:bookmarkEnd w:id="64"/>
    </w:p>
    <w:p w:rsidR="0055307B" w:rsidRDefault="000F7D0A" w:rsidP="00D6286A">
      <w:r>
        <w:t>Řadu spojovacích bodů můžeme nalézt také v programovém prohlášení vlády ČR:</w:t>
      </w:r>
    </w:p>
    <w:p w:rsidR="0055307B" w:rsidRPr="000F7D0A" w:rsidRDefault="0055307B" w:rsidP="00793AE5">
      <w:pPr>
        <w:pStyle w:val="Odstavecseseznamem"/>
        <w:numPr>
          <w:ilvl w:val="0"/>
          <w:numId w:val="2"/>
        </w:numPr>
        <w:rPr>
          <w:i/>
          <w:sz w:val="18"/>
          <w:szCs w:val="18"/>
        </w:rPr>
      </w:pPr>
      <w:r w:rsidRPr="000F7D0A">
        <w:rPr>
          <w:i/>
          <w:sz w:val="18"/>
          <w:szCs w:val="18"/>
        </w:rPr>
        <w:t>Vláda obnoví systém pobídek pro zahraniční i domácí firmy s klíčovou rolí Czech</w:t>
      </w:r>
      <w:r w:rsidR="00806584">
        <w:rPr>
          <w:i/>
          <w:sz w:val="18"/>
          <w:szCs w:val="18"/>
        </w:rPr>
        <w:t xml:space="preserve"> </w:t>
      </w:r>
      <w:r w:rsidRPr="000F7D0A">
        <w:rPr>
          <w:i/>
          <w:sz w:val="18"/>
          <w:szCs w:val="18"/>
        </w:rPr>
        <w:t xml:space="preserve">Investu při jejich organizaci, a to včetně jeho zahraničních poboček. Vláda nově zformuluje pobídky tak, aby stimulovaly projekty s vysokou přidanou hodnotou, s vysokým podílem vědy a výzkumu, případně strategické služby, </w:t>
      </w:r>
      <w:r w:rsidR="00CE1267" w:rsidRPr="000F7D0A">
        <w:rPr>
          <w:i/>
          <w:sz w:val="18"/>
          <w:szCs w:val="18"/>
        </w:rPr>
        <w:t>a</w:t>
      </w:r>
      <w:r w:rsidR="00CE1267">
        <w:rPr>
          <w:i/>
          <w:sz w:val="18"/>
          <w:szCs w:val="18"/>
        </w:rPr>
        <w:t> </w:t>
      </w:r>
      <w:r w:rsidRPr="000F7D0A">
        <w:rPr>
          <w:i/>
          <w:sz w:val="18"/>
          <w:szCs w:val="18"/>
        </w:rPr>
        <w:t>aby motivovaly investory dlouhodobě podnikat a reinvestovat do české ekonomiky.</w:t>
      </w:r>
    </w:p>
    <w:p w:rsidR="0055307B" w:rsidRPr="000F7D0A" w:rsidRDefault="0055307B" w:rsidP="00793AE5">
      <w:pPr>
        <w:pStyle w:val="Odstavecseseznamem"/>
        <w:numPr>
          <w:ilvl w:val="0"/>
          <w:numId w:val="2"/>
        </w:numPr>
        <w:rPr>
          <w:i/>
          <w:sz w:val="18"/>
          <w:szCs w:val="18"/>
        </w:rPr>
      </w:pPr>
      <w:r w:rsidRPr="000F7D0A">
        <w:rPr>
          <w:i/>
          <w:sz w:val="18"/>
          <w:szCs w:val="18"/>
        </w:rPr>
        <w:t xml:space="preserve">Vláda podpoří rozvoj malého a středního podnikání, které stále představuje nevyužitou rezervu růstu </w:t>
      </w:r>
      <w:r w:rsidR="00CE1267" w:rsidRPr="000F7D0A">
        <w:rPr>
          <w:i/>
          <w:sz w:val="18"/>
          <w:szCs w:val="18"/>
        </w:rPr>
        <w:t>a</w:t>
      </w:r>
      <w:r w:rsidR="00CE1267">
        <w:rPr>
          <w:i/>
          <w:sz w:val="18"/>
          <w:szCs w:val="18"/>
        </w:rPr>
        <w:t> </w:t>
      </w:r>
      <w:r w:rsidRPr="000F7D0A">
        <w:rPr>
          <w:i/>
          <w:sz w:val="18"/>
          <w:szCs w:val="18"/>
        </w:rPr>
        <w:t xml:space="preserve">zaměstnanosti. Prostředkem bude rozvoj a kapitálové posílení Českomoravské záruční a rozvojové banky, která má jako 100% státem vlastněná banka předpoklady pro financování především malého a středního podnikání a jeho rozvoje. Vláda rovněž podpoří vzdělávání začínajících podnikatelů a zjednodušením zákona o zadávání veřejných zakázek i jejich přístup k veřejným zakázkám. Vláda podnikne kroky směřující </w:t>
      </w:r>
      <w:r w:rsidR="00CE1267" w:rsidRPr="000F7D0A">
        <w:rPr>
          <w:i/>
          <w:sz w:val="18"/>
          <w:szCs w:val="18"/>
        </w:rPr>
        <w:t>k</w:t>
      </w:r>
      <w:r w:rsidR="00CE1267">
        <w:rPr>
          <w:i/>
          <w:sz w:val="18"/>
          <w:szCs w:val="18"/>
        </w:rPr>
        <w:t> </w:t>
      </w:r>
      <w:r w:rsidRPr="000F7D0A">
        <w:rPr>
          <w:i/>
          <w:sz w:val="18"/>
          <w:szCs w:val="18"/>
        </w:rPr>
        <w:t>maximálnímu snižování administrativní zátěže pro podnikatele.</w:t>
      </w:r>
    </w:p>
    <w:p w:rsidR="004C032E" w:rsidRPr="000F7D0A" w:rsidRDefault="004C032E" w:rsidP="00793AE5">
      <w:pPr>
        <w:pStyle w:val="Odstavecseseznamem"/>
        <w:numPr>
          <w:ilvl w:val="0"/>
          <w:numId w:val="2"/>
        </w:numPr>
        <w:rPr>
          <w:i/>
          <w:sz w:val="18"/>
          <w:szCs w:val="18"/>
        </w:rPr>
      </w:pPr>
      <w:r w:rsidRPr="000F7D0A">
        <w:rPr>
          <w:i/>
          <w:sz w:val="18"/>
          <w:szCs w:val="18"/>
        </w:rPr>
        <w:t xml:space="preserve">Za důležitou prioritu pro podporu průmyslu vláda považuje efektivní využití fondů Evropské unie. Vláda bude preferovat zejména projekty, které znamenají udržení nebo vznik pracovních míst, a to hlavně </w:t>
      </w:r>
      <w:r w:rsidR="00CE1267" w:rsidRPr="000F7D0A">
        <w:rPr>
          <w:i/>
          <w:sz w:val="18"/>
          <w:szCs w:val="18"/>
        </w:rPr>
        <w:t>v</w:t>
      </w:r>
      <w:r w:rsidR="00CE1267">
        <w:rPr>
          <w:i/>
          <w:sz w:val="18"/>
          <w:szCs w:val="18"/>
        </w:rPr>
        <w:t> </w:t>
      </w:r>
      <w:r w:rsidRPr="000F7D0A">
        <w:rPr>
          <w:i/>
          <w:sz w:val="18"/>
          <w:szCs w:val="18"/>
        </w:rPr>
        <w:t>regionech nejvíce postižených nezaměstnaností.</w:t>
      </w:r>
    </w:p>
    <w:p w:rsidR="004C032E" w:rsidRPr="000F7D0A" w:rsidRDefault="004C032E" w:rsidP="00793AE5">
      <w:pPr>
        <w:pStyle w:val="Odstavecseseznamem"/>
        <w:numPr>
          <w:ilvl w:val="0"/>
          <w:numId w:val="2"/>
        </w:numPr>
        <w:rPr>
          <w:i/>
          <w:sz w:val="18"/>
          <w:szCs w:val="18"/>
        </w:rPr>
      </w:pPr>
      <w:r w:rsidRPr="000F7D0A">
        <w:rPr>
          <w:i/>
          <w:sz w:val="18"/>
          <w:szCs w:val="18"/>
        </w:rPr>
        <w:t xml:space="preserve">Vláda podpoří modernizaci průmyslu tak, aby docházelo ke snižování jeho energetické náročnosti. Vláda zajistí aktualizaci Státní energetické koncepce a Státní surovinové politiky. Vláda zajistí energetickou bezpečnost státu, odolnost proti rozsáhlým poruchám a výpadkům dodávek energií a udržitelnou energetiku. Bude proto usilovat o environmentální udržitelnost energetiky a udržení vysoké bezpečnosti dodávek energie při zachování přiměřených cen tak, aby česká ekonomika, a především pak zpracovatelský průmysl byly konkurenceschopné. Současně vláda zachová energetické suroviny pro budoucí generace a obhájí zájmy státu při stanovení podmínek těžby a využití nerostů. Vláda bude podporovat snižování energetické náročnosti veřejných i soukromých budov s pozitivním vlivem na energetickou bilanci České republiky. Podpoří proto jejich masivní zateplování a využívání energeticky účinných technologií a spotřebičů. Pokud to bude hospodářsky výhodné pro Českou republiku, vláda podpoří výstavbu nových jaderných bloků </w:t>
      </w:r>
      <w:r w:rsidR="00CE1267" w:rsidRPr="000F7D0A">
        <w:rPr>
          <w:i/>
          <w:sz w:val="18"/>
          <w:szCs w:val="18"/>
        </w:rPr>
        <w:t>v</w:t>
      </w:r>
      <w:r w:rsidR="00CE1267">
        <w:rPr>
          <w:i/>
          <w:sz w:val="18"/>
          <w:szCs w:val="18"/>
        </w:rPr>
        <w:t> </w:t>
      </w:r>
      <w:r w:rsidRPr="000F7D0A">
        <w:rPr>
          <w:i/>
          <w:sz w:val="18"/>
          <w:szCs w:val="18"/>
        </w:rPr>
        <w:t xml:space="preserve">Temelíně a Dukovanech, které v dlouhodobém horizontu nahradí významnou část dožívající uhelné energetiky. </w:t>
      </w:r>
    </w:p>
    <w:p w:rsidR="004C032E" w:rsidRPr="000F7D0A" w:rsidRDefault="004C032E" w:rsidP="00793AE5">
      <w:pPr>
        <w:pStyle w:val="Odstavecseseznamem"/>
        <w:numPr>
          <w:ilvl w:val="0"/>
          <w:numId w:val="2"/>
        </w:numPr>
        <w:rPr>
          <w:i/>
          <w:sz w:val="18"/>
          <w:szCs w:val="18"/>
        </w:rPr>
      </w:pPr>
      <w:r w:rsidRPr="000F7D0A">
        <w:rPr>
          <w:i/>
          <w:sz w:val="18"/>
          <w:szCs w:val="18"/>
        </w:rPr>
        <w:t xml:space="preserve">Vláda považuje za jednu ze svých priorit boj proti sociálnímu vyloučení. Bude prosazovat provázané řešení sociálního bydlení a předcházení bezdomovectví, sociální pomoci a terénní práce, poskytování dávek státní sociální podpory a hmotné nouze, </w:t>
      </w:r>
      <w:r w:rsidR="00C97EC2" w:rsidRPr="000F7D0A">
        <w:rPr>
          <w:i/>
          <w:sz w:val="18"/>
          <w:szCs w:val="18"/>
        </w:rPr>
        <w:t>inkluzívního</w:t>
      </w:r>
      <w:r w:rsidRPr="000F7D0A">
        <w:rPr>
          <w:i/>
          <w:sz w:val="18"/>
          <w:szCs w:val="18"/>
        </w:rPr>
        <w:t xml:space="preserve"> vzdělávání, politiky zaměstnanosti, boje proti zadlužování, bezplatné právní pomoci a poradenství, zabránění zneužívání sociálního systému, např. v podobě obchodu </w:t>
      </w:r>
      <w:r w:rsidR="00CE1267" w:rsidRPr="000F7D0A">
        <w:rPr>
          <w:i/>
          <w:sz w:val="18"/>
          <w:szCs w:val="18"/>
        </w:rPr>
        <w:t>s</w:t>
      </w:r>
      <w:r w:rsidR="00CE1267">
        <w:rPr>
          <w:i/>
          <w:sz w:val="18"/>
          <w:szCs w:val="18"/>
        </w:rPr>
        <w:t> </w:t>
      </w:r>
      <w:r w:rsidRPr="000F7D0A">
        <w:rPr>
          <w:i/>
          <w:sz w:val="18"/>
          <w:szCs w:val="18"/>
        </w:rPr>
        <w:t>chudobou v předražených ubytovnách.</w:t>
      </w:r>
    </w:p>
    <w:p w:rsidR="00AA08FF" w:rsidRDefault="004C032E" w:rsidP="00793AE5">
      <w:pPr>
        <w:pStyle w:val="Odstavecseseznamem"/>
        <w:numPr>
          <w:ilvl w:val="0"/>
          <w:numId w:val="2"/>
        </w:numPr>
        <w:rPr>
          <w:i/>
          <w:sz w:val="18"/>
          <w:szCs w:val="18"/>
        </w:rPr>
      </w:pPr>
      <w:r w:rsidRPr="000F7D0A">
        <w:rPr>
          <w:i/>
          <w:sz w:val="18"/>
          <w:szCs w:val="18"/>
        </w:rPr>
        <w:t>V souladu s principy subsidiarity a proporcionality a s důrazem na individuální odpovědnost členských států bude vláda podporovat posilování evropské integrace a spolupráce zejména v oblastech hospodářské politiky a vnitřního trhu, sociální solidarity a zaměstnanosti, energetiky, dopravy, finančních služeb, výzkumu, vývoje a životního prostředí</w:t>
      </w:r>
      <w:r w:rsidR="00AA08FF">
        <w:rPr>
          <w:i/>
          <w:sz w:val="18"/>
          <w:szCs w:val="18"/>
        </w:rPr>
        <w:t>.</w:t>
      </w:r>
    </w:p>
    <w:p w:rsidR="00AA08FF" w:rsidRDefault="004C032E" w:rsidP="00793AE5">
      <w:pPr>
        <w:pStyle w:val="Odstavecseseznamem"/>
        <w:numPr>
          <w:ilvl w:val="0"/>
          <w:numId w:val="2"/>
        </w:numPr>
        <w:rPr>
          <w:i/>
          <w:sz w:val="18"/>
          <w:szCs w:val="18"/>
        </w:rPr>
      </w:pPr>
      <w:r w:rsidRPr="000F7D0A">
        <w:rPr>
          <w:i/>
          <w:sz w:val="18"/>
          <w:szCs w:val="18"/>
        </w:rPr>
        <w:t xml:space="preserve">Stabilizace hospodářské a měnové situace v Evropské unii je prvořadým zájmem České republiky. Vláda podpoří kroky směřující k hlubší koordinaci hospodářské a fiskální politiky a k obnově důvěry v evropský finanční sektor a přehodnotí dosavadní zdrženlivá stanoviska k měnové integraci a finanční spolupráci. Jako výraz odpovědné fiskální politiky se vláda připojí k fiskálnímu paktu (Smlouvě o stabilitě, koordinaci </w:t>
      </w:r>
      <w:r w:rsidR="00CE1267" w:rsidRPr="000F7D0A">
        <w:rPr>
          <w:i/>
          <w:sz w:val="18"/>
          <w:szCs w:val="18"/>
        </w:rPr>
        <w:t>a</w:t>
      </w:r>
      <w:r w:rsidR="00CE1267">
        <w:rPr>
          <w:i/>
          <w:sz w:val="18"/>
          <w:szCs w:val="18"/>
        </w:rPr>
        <w:t> </w:t>
      </w:r>
      <w:r w:rsidRPr="000F7D0A">
        <w:rPr>
          <w:i/>
          <w:sz w:val="18"/>
          <w:szCs w:val="18"/>
        </w:rPr>
        <w:t xml:space="preserve">správě v hospodářské a měnové unii) a vzhledem k úzkému propojení českého finančního sektoru </w:t>
      </w:r>
      <w:r w:rsidR="00CE1267" w:rsidRPr="000F7D0A">
        <w:rPr>
          <w:i/>
          <w:sz w:val="18"/>
          <w:szCs w:val="18"/>
        </w:rPr>
        <w:t>s</w:t>
      </w:r>
      <w:r w:rsidR="00CE1267">
        <w:rPr>
          <w:i/>
          <w:sz w:val="18"/>
          <w:szCs w:val="18"/>
        </w:rPr>
        <w:t> </w:t>
      </w:r>
      <w:r w:rsidRPr="000F7D0A">
        <w:rPr>
          <w:i/>
          <w:sz w:val="18"/>
          <w:szCs w:val="18"/>
        </w:rPr>
        <w:t>evropským bude aktivně hájit své zájmy ve vznikající bankovní unii, včetně přípravy na přistoupení</w:t>
      </w:r>
      <w:r w:rsidR="00AA08FF">
        <w:rPr>
          <w:i/>
          <w:sz w:val="18"/>
          <w:szCs w:val="18"/>
        </w:rPr>
        <w:t>.</w:t>
      </w:r>
    </w:p>
    <w:p w:rsidR="004C032E" w:rsidRPr="000F7D0A" w:rsidRDefault="004C032E" w:rsidP="00793AE5">
      <w:pPr>
        <w:pStyle w:val="Odstavecseseznamem"/>
        <w:numPr>
          <w:ilvl w:val="0"/>
          <w:numId w:val="2"/>
        </w:numPr>
        <w:rPr>
          <w:i/>
          <w:sz w:val="18"/>
          <w:szCs w:val="18"/>
        </w:rPr>
      </w:pPr>
      <w:r w:rsidRPr="000F7D0A">
        <w:rPr>
          <w:i/>
          <w:sz w:val="18"/>
          <w:szCs w:val="18"/>
        </w:rPr>
        <w:t xml:space="preserve">Vzhledem k doposud nevyužitému potenciálu vnitřního trhu Evropské unie se bude vláda zasazovat </w:t>
      </w:r>
      <w:r w:rsidR="00CE1267" w:rsidRPr="000F7D0A">
        <w:rPr>
          <w:i/>
          <w:sz w:val="18"/>
          <w:szCs w:val="18"/>
        </w:rPr>
        <w:t>o</w:t>
      </w:r>
      <w:r w:rsidR="00CE1267">
        <w:rPr>
          <w:i/>
          <w:sz w:val="18"/>
          <w:szCs w:val="18"/>
        </w:rPr>
        <w:t> </w:t>
      </w:r>
      <w:r w:rsidRPr="000F7D0A">
        <w:rPr>
          <w:i/>
          <w:sz w:val="18"/>
          <w:szCs w:val="18"/>
        </w:rPr>
        <w:t xml:space="preserve">odstraňování existujících a zamezování vzniku nových bariér volného pohybu zboží, služeb, kapitálu </w:t>
      </w:r>
      <w:r w:rsidR="00CE1267" w:rsidRPr="000F7D0A">
        <w:rPr>
          <w:i/>
          <w:sz w:val="18"/>
          <w:szCs w:val="18"/>
        </w:rPr>
        <w:t>a</w:t>
      </w:r>
      <w:r w:rsidR="00CE1267">
        <w:rPr>
          <w:i/>
          <w:sz w:val="18"/>
          <w:szCs w:val="18"/>
        </w:rPr>
        <w:t> </w:t>
      </w:r>
      <w:r w:rsidRPr="000F7D0A">
        <w:rPr>
          <w:i/>
          <w:sz w:val="18"/>
          <w:szCs w:val="18"/>
        </w:rPr>
        <w:t xml:space="preserve">pracovní síly. Vláda bude podporovat Evropskou unii otevřenou dovnitř i navenek při současném zachování a posilování sociálních standardů. Ambiciózní obchodní a investiční dohody se třetími státy považuje vláda za nedílnou součást evropské konkurenceschopnosti a její prioritou je dokončení jednání </w:t>
      </w:r>
      <w:r w:rsidR="00CE1267" w:rsidRPr="000F7D0A">
        <w:rPr>
          <w:i/>
          <w:sz w:val="18"/>
          <w:szCs w:val="18"/>
        </w:rPr>
        <w:t>o</w:t>
      </w:r>
      <w:r w:rsidR="00CE1267">
        <w:rPr>
          <w:i/>
          <w:sz w:val="18"/>
          <w:szCs w:val="18"/>
        </w:rPr>
        <w:t> </w:t>
      </w:r>
      <w:r w:rsidRPr="000F7D0A">
        <w:rPr>
          <w:i/>
          <w:sz w:val="18"/>
          <w:szCs w:val="18"/>
        </w:rPr>
        <w:t>transatlantickém obchodním a investičním partnerství mezi Evropskou unií a USA. Vláda se bude aktivně podílet na formulování energeticko-klimatické politiky Evropské unie tak, aby byla udržena konkurenceschopnost ekonomiky. Vláda bude prosazovat diskusi o evropských a domácích hospodářských reformách prostřednictvím Národního programu reforem jako klíčového strategického dokumentu národní hospodářské politiky.</w:t>
      </w:r>
    </w:p>
    <w:p w:rsidR="00F21AF0" w:rsidRPr="00DA0A4F" w:rsidRDefault="0089495C" w:rsidP="00171265">
      <w:pPr>
        <w:pStyle w:val="Nadpis3"/>
      </w:pPr>
      <w:bookmarkStart w:id="65" w:name="_Toc410115460"/>
      <w:r>
        <w:lastRenderedPageBreak/>
        <w:t xml:space="preserve">Povinnost zpracování </w:t>
      </w:r>
      <w:r w:rsidR="00021F68">
        <w:t>předběžného posouzení</w:t>
      </w:r>
      <w:bookmarkEnd w:id="65"/>
    </w:p>
    <w:p w:rsidR="00D57949" w:rsidRDefault="00D57949" w:rsidP="00D6286A">
      <w:r>
        <w:t xml:space="preserve">Evropská komise v oblasti inovativních </w:t>
      </w:r>
      <w:r w:rsidR="00420428">
        <w:t>IFN</w:t>
      </w:r>
      <w:r>
        <w:t xml:space="preserve"> v zásadě požaduje po členských státech, aby nalezly řešení k mobilizaci dalších finančních zdrojů na podporu růstu ekonomik členských států, ale </w:t>
      </w:r>
      <w:r w:rsidR="00CE1267">
        <w:t>i </w:t>
      </w:r>
      <w:r>
        <w:t xml:space="preserve">celé Evropské </w:t>
      </w:r>
      <w:r w:rsidR="0049726E">
        <w:t>unie</w:t>
      </w:r>
      <w:r w:rsidR="007D6A91">
        <w:t>.</w:t>
      </w:r>
      <w:r>
        <w:t xml:space="preserve"> </w:t>
      </w:r>
      <w:r w:rsidR="007D6A91">
        <w:t>P</w:t>
      </w:r>
      <w:r>
        <w:t>rostředky z evropských zdrojů (ESIF) poslouží jako jakýsi katalyzátor aktivizace dalších finančních zdrojů</w:t>
      </w:r>
      <w:r w:rsidR="007D6A91">
        <w:t>,</w:t>
      </w:r>
      <w:r>
        <w:t xml:space="preserve"> a to jak kapitálových tak i dluhových tak, aby celková suma investovaných prostředků byla co možná nejvyšší</w:t>
      </w:r>
      <w:r w:rsidR="007D6A91">
        <w:t>,</w:t>
      </w:r>
      <w:r>
        <w:t xml:space="preserve"> a aby došlo ke 2 efektům:</w:t>
      </w:r>
    </w:p>
    <w:p w:rsidR="00D57949" w:rsidRDefault="00D57949" w:rsidP="004112AE">
      <w:pPr>
        <w:pStyle w:val="Odstavecseseznamem"/>
        <w:numPr>
          <w:ilvl w:val="0"/>
          <w:numId w:val="3"/>
        </w:numPr>
        <w:ind w:left="1434" w:hanging="357"/>
        <w:contextualSpacing w:val="0"/>
      </w:pPr>
      <w:r>
        <w:t xml:space="preserve">Splnění závazků členských států v jednotlivých akčních </w:t>
      </w:r>
      <w:r w:rsidR="009C22FB">
        <w:t>oblastech a naplňování</w:t>
      </w:r>
      <w:r>
        <w:t xml:space="preserve"> strategie Evropa 2020. Členské státy by si měly určit své investiční potřeby k dosažení těchto cílů, porovnat je se skutečnými uvolnitelnými zdroji ze státního rozpočtu </w:t>
      </w:r>
      <w:r w:rsidR="00CE1267">
        <w:t>či </w:t>
      </w:r>
      <w:r>
        <w:t xml:space="preserve">evropských fondů a případný nesoulad mezi potřebnou celkovou sumou </w:t>
      </w:r>
      <w:r w:rsidR="00CE1267">
        <w:t>a </w:t>
      </w:r>
      <w:r>
        <w:t xml:space="preserve">skutečnými disponibilními prostředky aktivizovat právě prostřednictvím vytváření inovativních </w:t>
      </w:r>
      <w:r w:rsidR="00420428">
        <w:t>IFN</w:t>
      </w:r>
      <w:r>
        <w:t xml:space="preserve">. Jasným kritériem pro uplatnitelnost je, že daná aktivita je schopna generovat příjmy a </w:t>
      </w:r>
      <w:r w:rsidR="007D3626">
        <w:t xml:space="preserve">není z určitých důvodů </w:t>
      </w:r>
      <w:r w:rsidR="00C97EC2">
        <w:t>financována komerčním způsobem. Z</w:t>
      </w:r>
      <w:r w:rsidR="007D3626">
        <w:t>de by členské státy měly vyhledávat v zásadě 2 možná selhání trhu – příliš vysoké riziko spojené s daným financováním – například začínající technologické firmy, malé střední podnikání atd. nebo příliš nízký výnos generovaný danou investi</w:t>
      </w:r>
      <w:r w:rsidR="00C97EC2">
        <w:t>cí – například sociální bydlení</w:t>
      </w:r>
      <w:r w:rsidR="007D3626">
        <w:t>.</w:t>
      </w:r>
    </w:p>
    <w:p w:rsidR="007D3626" w:rsidRDefault="007D3626" w:rsidP="00793AE5">
      <w:pPr>
        <w:pStyle w:val="Odstavecseseznamem"/>
        <w:numPr>
          <w:ilvl w:val="0"/>
          <w:numId w:val="3"/>
        </w:numPr>
      </w:pPr>
      <w:r>
        <w:t xml:space="preserve">Multiplikace evropských a národních zdrojů tak, aby došlo k pozitivnímu efektu </w:t>
      </w:r>
      <w:r w:rsidR="00CE1267">
        <w:t>na </w:t>
      </w:r>
      <w:r>
        <w:t xml:space="preserve">podporu zaměstnanosti a růstu HDP prostřednictvím investic do infrastruktury, energetických úspor, rozvoje podnikání atd. </w:t>
      </w:r>
      <w:r w:rsidR="0019588E">
        <w:t xml:space="preserve">Zjednodušeně řečeno, pokud se aktivizují státní rozpočtové prostředky ve vhodném formátu odlišném od stávající podoby řízení investic, propojí se s evropskými zdroji a dále se multiplikují pákovým efektem na principu alternativních investičních struktur o úvěry či emise dluhopisů (nikoliv obecných státních, ale projektových s podkladovými aktivy), pak bude </w:t>
      </w:r>
      <w:r w:rsidR="0018767D">
        <w:t>ČR</w:t>
      </w:r>
      <w:r w:rsidR="0019588E">
        <w:t xml:space="preserve"> schopna v relativně krátkém čase uvolnit do ekonomiky násobně vyšší sumy zdrojů</w:t>
      </w:r>
      <w:r w:rsidR="00566310">
        <w:t>,</w:t>
      </w:r>
      <w:r w:rsidR="0019588E">
        <w:t xml:space="preserve"> </w:t>
      </w:r>
      <w:r w:rsidR="0019588E" w:rsidRPr="00C97EC2">
        <w:t>a to bez navyšování schodku státního rozpočtu (nutno prověřit zvláštní analýzou).</w:t>
      </w:r>
    </w:p>
    <w:p w:rsidR="0019588E" w:rsidRPr="00DA0A4F" w:rsidRDefault="00DA0A4F" w:rsidP="00171265">
      <w:pPr>
        <w:pStyle w:val="Nadpis1"/>
      </w:pPr>
      <w:bookmarkStart w:id="66" w:name="_Toc410115461"/>
      <w:r w:rsidRPr="00DA0A4F">
        <w:lastRenderedPageBreak/>
        <w:t xml:space="preserve">Infrastruktura pro </w:t>
      </w:r>
      <w:r w:rsidRPr="00AE5279">
        <w:t>implementaci</w:t>
      </w:r>
      <w:r w:rsidRPr="00DA0A4F">
        <w:t xml:space="preserve"> investičních a finančních nástrojů</w:t>
      </w:r>
      <w:bookmarkEnd w:id="66"/>
    </w:p>
    <w:p w:rsidR="00C97EC2" w:rsidRDefault="00D10764" w:rsidP="00C97EC2">
      <w:r>
        <w:t>Jako nejdůležitější se jeví</w:t>
      </w:r>
      <w:r w:rsidR="00C97EC2" w:rsidRPr="004C44C3">
        <w:t xml:space="preserve"> otázka vhodného vnitrostátního uspořádání systému </w:t>
      </w:r>
      <w:r w:rsidR="00CB0B24">
        <w:t>IFN</w:t>
      </w:r>
      <w:r w:rsidR="00E62029">
        <w:t>,</w:t>
      </w:r>
      <w:r w:rsidR="00C97EC2" w:rsidRPr="004C44C3">
        <w:t xml:space="preserve"> a</w:t>
      </w:r>
      <w:r w:rsidR="00E871A7">
        <w:t> </w:t>
      </w:r>
      <w:r w:rsidR="00C97EC2" w:rsidRPr="004C44C3">
        <w:t>to</w:t>
      </w:r>
      <w:r w:rsidR="00E871A7">
        <w:t> </w:t>
      </w:r>
      <w:r w:rsidR="00C97EC2" w:rsidRPr="004C44C3">
        <w:t xml:space="preserve">s ohledem na celkové řízení těchto nástrojů, jejich metodiku a také s ohledem na zajištění maximální efektivity nasazení </w:t>
      </w:r>
      <w:r w:rsidR="00E62029">
        <w:t xml:space="preserve">a návratnosti </w:t>
      </w:r>
      <w:r w:rsidR="00420428">
        <w:t>IFN</w:t>
      </w:r>
      <w:r w:rsidR="00C97EC2" w:rsidRPr="004C44C3">
        <w:t>. V případě vhodného mechanizmu může ČR multiplikovat a aktivně podpořit investice v mnoha oborech podnikání</w:t>
      </w:r>
      <w:r w:rsidR="00E62029">
        <w:t xml:space="preserve"> a </w:t>
      </w:r>
      <w:r w:rsidR="00C97EC2" w:rsidRPr="004C44C3">
        <w:t>může být vytvořen nekonečný mechanizmus vracející již investované prostředky zpět a znovu je zapojovat do</w:t>
      </w:r>
      <w:r w:rsidR="00E871A7">
        <w:t> </w:t>
      </w:r>
      <w:r w:rsidR="00C97EC2" w:rsidRPr="004C44C3">
        <w:t xml:space="preserve">systému. </w:t>
      </w:r>
      <w:r w:rsidR="00C97EC2">
        <w:t>Zvláště markantní může být tato synergie u projektů krajů a municipalit, ale</w:t>
      </w:r>
      <w:r w:rsidR="00E871A7">
        <w:t> </w:t>
      </w:r>
      <w:r w:rsidR="00C97EC2">
        <w:t>i</w:t>
      </w:r>
      <w:r w:rsidR="00E871A7">
        <w:t> </w:t>
      </w:r>
      <w:r w:rsidR="00C97EC2">
        <w:t xml:space="preserve">v jiných oblastech založených na tzv. projektovém financování. </w:t>
      </w:r>
      <w:r w:rsidR="00C97EC2" w:rsidRPr="004C44C3">
        <w:t xml:space="preserve">Promyšlený systém </w:t>
      </w:r>
      <w:r w:rsidR="00420428">
        <w:t>IFN</w:t>
      </w:r>
      <w:r w:rsidR="00C97EC2" w:rsidRPr="004C44C3">
        <w:t xml:space="preserve"> může pomoci vytvořit mimorozpočtové finanční zdroje ČR</w:t>
      </w:r>
      <w:r w:rsidR="00C97EC2">
        <w:t xml:space="preserve"> v řádech desítek miliard </w:t>
      </w:r>
      <w:r w:rsidR="000740A2">
        <w:t>Kč</w:t>
      </w:r>
      <w:r w:rsidR="00D37E87">
        <w:rPr>
          <w:rStyle w:val="Znakapoznpodarou"/>
        </w:rPr>
        <w:footnoteReference w:id="129"/>
      </w:r>
      <w:r w:rsidR="00C97EC2" w:rsidRPr="004C44C3">
        <w:t xml:space="preserve"> a</w:t>
      </w:r>
      <w:r w:rsidR="00E871A7">
        <w:t> </w:t>
      </w:r>
      <w:r w:rsidR="00C97EC2" w:rsidRPr="004C44C3">
        <w:t>zároveň</w:t>
      </w:r>
      <w:r w:rsidR="00C97EC2">
        <w:t>,</w:t>
      </w:r>
      <w:r w:rsidR="00C97EC2" w:rsidRPr="004C44C3">
        <w:t xml:space="preserve"> při zapojení národních a soukromých zdrojů</w:t>
      </w:r>
      <w:r w:rsidR="00C97EC2">
        <w:t>,</w:t>
      </w:r>
      <w:r w:rsidR="00C97EC2" w:rsidRPr="004C44C3">
        <w:t xml:space="preserve"> významně stimulovat růst ekonomiky ČR, což je v současné době problematika nanejvýš aktuální a potřebná.</w:t>
      </w:r>
    </w:p>
    <w:p w:rsidR="00C36727" w:rsidRPr="00762D1D" w:rsidRDefault="00C36727" w:rsidP="00171265">
      <w:pPr>
        <w:pStyle w:val="Nadpis2"/>
      </w:pPr>
      <w:bookmarkStart w:id="67" w:name="_Toc410115462"/>
      <w:r w:rsidRPr="00762D1D">
        <w:t>Ob</w:t>
      </w:r>
      <w:r w:rsidRPr="00762D1D">
        <w:rPr>
          <w:spacing w:val="1"/>
        </w:rPr>
        <w:t>ec</w:t>
      </w:r>
      <w:r w:rsidRPr="00762D1D">
        <w:t>né</w:t>
      </w:r>
      <w:r w:rsidRPr="00762D1D">
        <w:rPr>
          <w:spacing w:val="2"/>
        </w:rPr>
        <w:t xml:space="preserve"> </w:t>
      </w:r>
      <w:r w:rsidRPr="00762D1D">
        <w:t>p</w:t>
      </w:r>
      <w:r w:rsidRPr="00762D1D">
        <w:rPr>
          <w:spacing w:val="-2"/>
        </w:rPr>
        <w:t>ř</w:t>
      </w:r>
      <w:r w:rsidRPr="00762D1D">
        <w:rPr>
          <w:spacing w:val="1"/>
        </w:rPr>
        <w:t>e</w:t>
      </w:r>
      <w:r w:rsidRPr="00762D1D">
        <w:t>dpokl</w:t>
      </w:r>
      <w:r w:rsidRPr="00762D1D">
        <w:rPr>
          <w:spacing w:val="1"/>
        </w:rPr>
        <w:t>a</w:t>
      </w:r>
      <w:r w:rsidRPr="00762D1D">
        <w:t>dy</w:t>
      </w:r>
      <w:r w:rsidRPr="00762D1D">
        <w:rPr>
          <w:spacing w:val="-4"/>
        </w:rPr>
        <w:t xml:space="preserve"> </w:t>
      </w:r>
      <w:r w:rsidRPr="00762D1D">
        <w:t>z</w:t>
      </w:r>
      <w:r w:rsidRPr="00762D1D">
        <w:rPr>
          <w:spacing w:val="1"/>
        </w:rPr>
        <w:t>a</w:t>
      </w:r>
      <w:r w:rsidRPr="00762D1D">
        <w:t>po</w:t>
      </w:r>
      <w:r w:rsidRPr="00762D1D">
        <w:rPr>
          <w:spacing w:val="-2"/>
        </w:rPr>
        <w:t>j</w:t>
      </w:r>
      <w:r w:rsidRPr="00762D1D">
        <w:rPr>
          <w:spacing w:val="1"/>
        </w:rPr>
        <w:t>e</w:t>
      </w:r>
      <w:r w:rsidRPr="00762D1D">
        <w:t xml:space="preserve">ní </w:t>
      </w:r>
      <w:r w:rsidRPr="00762D1D">
        <w:rPr>
          <w:spacing w:val="1"/>
        </w:rPr>
        <w:t>s</w:t>
      </w:r>
      <w:r w:rsidRPr="00762D1D">
        <w:t>ub</w:t>
      </w:r>
      <w:r w:rsidRPr="00762D1D">
        <w:rPr>
          <w:spacing w:val="-2"/>
        </w:rPr>
        <w:t>j</w:t>
      </w:r>
      <w:r w:rsidRPr="00762D1D">
        <w:rPr>
          <w:spacing w:val="1"/>
        </w:rPr>
        <w:t>ek</w:t>
      </w:r>
      <w:r w:rsidRPr="00762D1D">
        <w:t>tů</w:t>
      </w:r>
      <w:r w:rsidRPr="00762D1D">
        <w:rPr>
          <w:spacing w:val="-1"/>
        </w:rPr>
        <w:t xml:space="preserve"> </w:t>
      </w:r>
      <w:r w:rsidRPr="00762D1D">
        <w:t xml:space="preserve">do </w:t>
      </w:r>
      <w:r w:rsidRPr="00762D1D">
        <w:rPr>
          <w:spacing w:val="1"/>
        </w:rPr>
        <w:t>i</w:t>
      </w:r>
      <w:r w:rsidRPr="00762D1D">
        <w:t>mpl</w:t>
      </w:r>
      <w:r w:rsidRPr="00762D1D">
        <w:rPr>
          <w:spacing w:val="1"/>
        </w:rPr>
        <w:t>e</w:t>
      </w:r>
      <w:r w:rsidRPr="00762D1D">
        <w:t>m</w:t>
      </w:r>
      <w:r w:rsidRPr="00762D1D">
        <w:rPr>
          <w:spacing w:val="1"/>
        </w:rPr>
        <w:t>e</w:t>
      </w:r>
      <w:r w:rsidRPr="00762D1D">
        <w:t>n</w:t>
      </w:r>
      <w:r w:rsidRPr="00762D1D">
        <w:rPr>
          <w:spacing w:val="-1"/>
        </w:rPr>
        <w:t>ta</w:t>
      </w:r>
      <w:r w:rsidRPr="00762D1D">
        <w:rPr>
          <w:spacing w:val="1"/>
        </w:rPr>
        <w:t>č</w:t>
      </w:r>
      <w:r w:rsidRPr="00762D1D">
        <w:t xml:space="preserve">ní </w:t>
      </w:r>
      <w:r w:rsidRPr="00762D1D">
        <w:rPr>
          <w:spacing w:val="1"/>
        </w:rPr>
        <w:t>s</w:t>
      </w:r>
      <w:r w:rsidRPr="00762D1D">
        <w:t>truk</w:t>
      </w:r>
      <w:r w:rsidRPr="00762D1D">
        <w:rPr>
          <w:spacing w:val="-3"/>
        </w:rPr>
        <w:t>t</w:t>
      </w:r>
      <w:r w:rsidRPr="00762D1D">
        <w:t>u</w:t>
      </w:r>
      <w:r w:rsidRPr="00762D1D">
        <w:rPr>
          <w:spacing w:val="2"/>
        </w:rPr>
        <w:t>r</w:t>
      </w:r>
      <w:r w:rsidRPr="00762D1D">
        <w:t>y</w:t>
      </w:r>
      <w:r w:rsidRPr="00762D1D">
        <w:rPr>
          <w:spacing w:val="-6"/>
        </w:rPr>
        <w:t xml:space="preserve"> </w:t>
      </w:r>
      <w:r w:rsidRPr="00762D1D">
        <w:rPr>
          <w:spacing w:val="1"/>
        </w:rPr>
        <w:t>I</w:t>
      </w:r>
      <w:r w:rsidRPr="00762D1D">
        <w:rPr>
          <w:spacing w:val="2"/>
        </w:rPr>
        <w:t>F</w:t>
      </w:r>
      <w:r w:rsidRPr="00762D1D">
        <w:t>N</w:t>
      </w:r>
      <w:bookmarkEnd w:id="67"/>
    </w:p>
    <w:p w:rsidR="00C36727" w:rsidRPr="00762D1D" w:rsidRDefault="00C36727" w:rsidP="00171265">
      <w:pPr>
        <w:pStyle w:val="Nadpis3"/>
      </w:pPr>
      <w:bookmarkStart w:id="68" w:name="_Toc410115463"/>
      <w:r w:rsidRPr="00762D1D">
        <w:t>Legisl</w:t>
      </w:r>
      <w:r w:rsidRPr="00762D1D">
        <w:rPr>
          <w:spacing w:val="-1"/>
        </w:rPr>
        <w:t>a</w:t>
      </w:r>
      <w:r w:rsidRPr="00762D1D">
        <w:rPr>
          <w:spacing w:val="1"/>
        </w:rPr>
        <w:t>t</w:t>
      </w:r>
      <w:r w:rsidRPr="00762D1D">
        <w:t>i</w:t>
      </w:r>
      <w:r w:rsidRPr="00762D1D">
        <w:rPr>
          <w:spacing w:val="2"/>
        </w:rPr>
        <w:t>v</w:t>
      </w:r>
      <w:r w:rsidRPr="00762D1D">
        <w:t>ní</w:t>
      </w:r>
      <w:r w:rsidRPr="00762D1D">
        <w:rPr>
          <w:spacing w:val="-11"/>
        </w:rPr>
        <w:t xml:space="preserve"> </w:t>
      </w:r>
      <w:r w:rsidRPr="00762D1D">
        <w:t>ú</w:t>
      </w:r>
      <w:r w:rsidRPr="00762D1D">
        <w:rPr>
          <w:spacing w:val="1"/>
        </w:rPr>
        <w:t>p</w:t>
      </w:r>
      <w:r w:rsidRPr="00762D1D">
        <w:rPr>
          <w:spacing w:val="-1"/>
        </w:rPr>
        <w:t>r</w:t>
      </w:r>
      <w:r w:rsidRPr="00762D1D">
        <w:t>a</w:t>
      </w:r>
      <w:r w:rsidRPr="00762D1D">
        <w:rPr>
          <w:spacing w:val="1"/>
        </w:rPr>
        <w:t>v</w:t>
      </w:r>
      <w:r w:rsidRPr="00762D1D">
        <w:t>a</w:t>
      </w:r>
      <w:bookmarkEnd w:id="68"/>
    </w:p>
    <w:p w:rsidR="00C36727" w:rsidRPr="00C36727" w:rsidRDefault="00C36727" w:rsidP="0049720A">
      <w:pPr>
        <w:pStyle w:val="Odskoknadpis4"/>
      </w:pPr>
      <w:r w:rsidRPr="00C36727">
        <w:t xml:space="preserve">Z legislativní </w:t>
      </w:r>
      <w:r w:rsidRPr="00AE5279">
        <w:t>úpravy</w:t>
      </w:r>
      <w:r w:rsidRPr="00C36727">
        <w:t xml:space="preserve"> ve věci výběru subjektů implementujících </w:t>
      </w:r>
      <w:r w:rsidR="00A56B56">
        <w:t>IFN</w:t>
      </w:r>
      <w:r w:rsidRPr="00C36727">
        <w:t xml:space="preserve"> vyplývají ŘO, mimo jiného, následující </w:t>
      </w:r>
      <w:r w:rsidRPr="009D1D75">
        <w:t>klíčové</w:t>
      </w:r>
      <w:r w:rsidRPr="00C36727">
        <w:t xml:space="preserve"> předpoklady a požadavky:</w:t>
      </w:r>
    </w:p>
    <w:p w:rsidR="00C36727" w:rsidRPr="00C36727" w:rsidRDefault="00C36727" w:rsidP="0049720A">
      <w:pPr>
        <w:pStyle w:val="Odskoknadpis4"/>
      </w:pPr>
      <w:r w:rsidRPr="00C36727">
        <w:rPr>
          <w:spacing w:val="-1"/>
        </w:rPr>
        <w:t>O</w:t>
      </w:r>
      <w:r w:rsidRPr="00C36727">
        <w:t>k</w:t>
      </w:r>
      <w:r w:rsidRPr="00C36727">
        <w:rPr>
          <w:spacing w:val="1"/>
        </w:rPr>
        <w:t>r</w:t>
      </w:r>
      <w:r w:rsidRPr="00C36727">
        <w:rPr>
          <w:spacing w:val="-1"/>
        </w:rPr>
        <w:t>u</w:t>
      </w:r>
      <w:r w:rsidRPr="00C36727">
        <w:t>h</w:t>
      </w:r>
      <w:r w:rsidRPr="00C36727">
        <w:rPr>
          <w:spacing w:val="3"/>
        </w:rPr>
        <w:t xml:space="preserve"> </w:t>
      </w:r>
      <w:r w:rsidRPr="00C36727">
        <w:rPr>
          <w:spacing w:val="2"/>
        </w:rPr>
        <w:t>s</w:t>
      </w:r>
      <w:r w:rsidRPr="00C36727">
        <w:rPr>
          <w:spacing w:val="-1"/>
        </w:rPr>
        <w:t>ub</w:t>
      </w:r>
      <w:r w:rsidRPr="00C36727">
        <w:t>jek</w:t>
      </w:r>
      <w:r w:rsidRPr="00C36727">
        <w:rPr>
          <w:spacing w:val="2"/>
        </w:rPr>
        <w:t>t</w:t>
      </w:r>
      <w:r w:rsidRPr="00C36727">
        <w:rPr>
          <w:spacing w:val="-1"/>
        </w:rPr>
        <w:t>ů</w:t>
      </w:r>
      <w:r w:rsidRPr="00C36727">
        <w:t>,</w:t>
      </w:r>
      <w:r w:rsidRPr="00C36727">
        <w:rPr>
          <w:spacing w:val="2"/>
        </w:rPr>
        <w:t xml:space="preserve"> </w:t>
      </w:r>
      <w:r w:rsidRPr="00C36727">
        <w:t>jež</w:t>
      </w:r>
      <w:r w:rsidRPr="00C36727">
        <w:rPr>
          <w:spacing w:val="8"/>
        </w:rPr>
        <w:t xml:space="preserve"> </w:t>
      </w:r>
      <w:r w:rsidRPr="00C36727">
        <w:t>j</w:t>
      </w:r>
      <w:r w:rsidRPr="00C36727">
        <w:rPr>
          <w:spacing w:val="1"/>
        </w:rPr>
        <w:t>s</w:t>
      </w:r>
      <w:r w:rsidRPr="00C36727">
        <w:rPr>
          <w:spacing w:val="-1"/>
        </w:rPr>
        <w:t>o</w:t>
      </w:r>
      <w:r w:rsidRPr="00C36727">
        <w:t>u</w:t>
      </w:r>
      <w:r w:rsidRPr="00C36727">
        <w:rPr>
          <w:spacing w:val="7"/>
        </w:rPr>
        <w:t xml:space="preserve"> </w:t>
      </w:r>
      <w:r w:rsidRPr="00C36727">
        <w:rPr>
          <w:spacing w:val="2"/>
        </w:rPr>
        <w:t>o</w:t>
      </w:r>
      <w:r w:rsidRPr="00C36727">
        <w:rPr>
          <w:spacing w:val="-1"/>
        </w:rPr>
        <w:t>p</w:t>
      </w:r>
      <w:r w:rsidRPr="00C36727">
        <w:t>rávně</w:t>
      </w:r>
      <w:r w:rsidRPr="00C36727">
        <w:rPr>
          <w:spacing w:val="2"/>
        </w:rPr>
        <w:t>n</w:t>
      </w:r>
      <w:r w:rsidRPr="00C36727">
        <w:t>y</w:t>
      </w:r>
      <w:r w:rsidRPr="00C36727">
        <w:rPr>
          <w:spacing w:val="-3"/>
        </w:rPr>
        <w:t xml:space="preserve"> </w:t>
      </w:r>
      <w:r w:rsidRPr="00C36727">
        <w:t>i</w:t>
      </w:r>
      <w:r w:rsidRPr="00C36727">
        <w:rPr>
          <w:spacing w:val="2"/>
        </w:rPr>
        <w:t>m</w:t>
      </w:r>
      <w:r w:rsidRPr="00C36727">
        <w:rPr>
          <w:spacing w:val="-1"/>
        </w:rPr>
        <w:t>p</w:t>
      </w:r>
      <w:r w:rsidRPr="00C36727">
        <w:t>lem</w:t>
      </w:r>
      <w:r w:rsidRPr="00C36727">
        <w:rPr>
          <w:spacing w:val="2"/>
        </w:rPr>
        <w:t>e</w:t>
      </w:r>
      <w:r w:rsidRPr="00C36727">
        <w:rPr>
          <w:spacing w:val="-1"/>
        </w:rPr>
        <w:t>nt</w:t>
      </w:r>
      <w:r w:rsidRPr="00C36727">
        <w:rPr>
          <w:spacing w:val="2"/>
        </w:rPr>
        <w:t>o</w:t>
      </w:r>
      <w:r w:rsidRPr="00C36727">
        <w:rPr>
          <w:spacing w:val="-2"/>
        </w:rPr>
        <w:t>v</w:t>
      </w:r>
      <w:r w:rsidRPr="00C36727">
        <w:rPr>
          <w:spacing w:val="2"/>
        </w:rPr>
        <w:t>a</w:t>
      </w:r>
      <w:r w:rsidRPr="00C36727">
        <w:t>t</w:t>
      </w:r>
      <w:r w:rsidRPr="00C36727">
        <w:rPr>
          <w:spacing w:val="-4"/>
        </w:rPr>
        <w:t xml:space="preserve"> </w:t>
      </w:r>
      <w:r w:rsidR="00A56B56">
        <w:rPr>
          <w:spacing w:val="-1"/>
        </w:rPr>
        <w:t>IFN</w:t>
      </w:r>
      <w:r w:rsidRPr="00C36727">
        <w:rPr>
          <w:spacing w:val="3"/>
        </w:rPr>
        <w:t xml:space="preserve"> </w:t>
      </w:r>
      <w:r w:rsidRPr="00C36727">
        <w:t>je</w:t>
      </w:r>
      <w:r w:rsidRPr="00C36727">
        <w:rPr>
          <w:spacing w:val="10"/>
        </w:rPr>
        <w:t xml:space="preserve"> </w:t>
      </w:r>
      <w:r w:rsidRPr="00C36727">
        <w:rPr>
          <w:spacing w:val="-1"/>
        </w:rPr>
        <w:t>d</w:t>
      </w:r>
      <w:r w:rsidRPr="00C36727">
        <w:t>an</w:t>
      </w:r>
      <w:r w:rsidRPr="00C36727">
        <w:rPr>
          <w:spacing w:val="3"/>
        </w:rPr>
        <w:t>ý</w:t>
      </w:r>
      <w:r w:rsidRPr="00C36727">
        <w:t>,</w:t>
      </w:r>
      <w:r w:rsidRPr="00C36727">
        <w:rPr>
          <w:spacing w:val="6"/>
        </w:rPr>
        <w:t xml:space="preserve"> </w:t>
      </w:r>
      <w:r w:rsidRPr="00C36727">
        <w:t>p</w:t>
      </w:r>
      <w:r w:rsidRPr="00C36727">
        <w:rPr>
          <w:spacing w:val="2"/>
        </w:rPr>
        <w:t>ř</w:t>
      </w:r>
      <w:r w:rsidRPr="00C36727">
        <w:rPr>
          <w:spacing w:val="1"/>
        </w:rPr>
        <w:t>ič</w:t>
      </w:r>
      <w:r w:rsidRPr="00C36727">
        <w:t>e</w:t>
      </w:r>
      <w:r w:rsidRPr="00C36727">
        <w:rPr>
          <w:spacing w:val="-2"/>
        </w:rPr>
        <w:t>m</w:t>
      </w:r>
      <w:r w:rsidRPr="00C36727">
        <w:t>ž</w:t>
      </w:r>
      <w:r w:rsidRPr="00C36727">
        <w:rPr>
          <w:spacing w:val="1"/>
        </w:rPr>
        <w:t xml:space="preserve"> s</w:t>
      </w:r>
      <w:r w:rsidRPr="00C36727">
        <w:t>e</w:t>
      </w:r>
      <w:r w:rsidRPr="00C36727">
        <w:rPr>
          <w:spacing w:val="8"/>
        </w:rPr>
        <w:t xml:space="preserve"> </w:t>
      </w:r>
      <w:r w:rsidRPr="00C36727">
        <w:rPr>
          <w:spacing w:val="-1"/>
        </w:rPr>
        <w:t>j</w:t>
      </w:r>
      <w:r w:rsidRPr="00C36727">
        <w:t>edná</w:t>
      </w:r>
      <w:r w:rsidRPr="00C36727">
        <w:rPr>
          <w:spacing w:val="5"/>
        </w:rPr>
        <w:t xml:space="preserve"> </w:t>
      </w:r>
      <w:r w:rsidRPr="00C36727">
        <w:t>o ná</w:t>
      </w:r>
      <w:r w:rsidRPr="00C36727">
        <w:rPr>
          <w:spacing w:val="1"/>
        </w:rPr>
        <w:t>sl</w:t>
      </w:r>
      <w:r w:rsidRPr="00C36727">
        <w:t>edu</w:t>
      </w:r>
      <w:r w:rsidRPr="00C36727">
        <w:rPr>
          <w:spacing w:val="-1"/>
        </w:rPr>
        <w:t>j</w:t>
      </w:r>
      <w:r w:rsidRPr="00C36727">
        <w:t>í</w:t>
      </w:r>
      <w:r w:rsidRPr="00C36727">
        <w:rPr>
          <w:spacing w:val="1"/>
        </w:rPr>
        <w:t>c</w:t>
      </w:r>
      <w:r w:rsidRPr="00C36727">
        <w:t>í</w:t>
      </w:r>
      <w:r w:rsidRPr="00C36727">
        <w:rPr>
          <w:spacing w:val="21"/>
        </w:rPr>
        <w:t xml:space="preserve"> </w:t>
      </w:r>
      <w:r w:rsidRPr="00C36727">
        <w:t>–</w:t>
      </w:r>
      <w:r w:rsidRPr="00C36727">
        <w:rPr>
          <w:spacing w:val="29"/>
        </w:rPr>
        <w:t xml:space="preserve"> </w:t>
      </w:r>
      <w:r w:rsidRPr="00C36727">
        <w:rPr>
          <w:spacing w:val="-2"/>
        </w:rPr>
        <w:t>m</w:t>
      </w:r>
      <w:r w:rsidRPr="00C36727">
        <w:rPr>
          <w:spacing w:val="2"/>
        </w:rPr>
        <w:t>e</w:t>
      </w:r>
      <w:r w:rsidRPr="00C36727">
        <w:rPr>
          <w:spacing w:val="-1"/>
        </w:rPr>
        <w:t>z</w:t>
      </w:r>
      <w:r w:rsidRPr="00C36727">
        <w:rPr>
          <w:spacing w:val="1"/>
        </w:rPr>
        <w:t>i</w:t>
      </w:r>
      <w:r w:rsidRPr="00C36727">
        <w:t>národní</w:t>
      </w:r>
      <w:r w:rsidRPr="00C36727">
        <w:rPr>
          <w:spacing w:val="18"/>
        </w:rPr>
        <w:t xml:space="preserve"> </w:t>
      </w:r>
      <w:r w:rsidRPr="00C36727">
        <w:rPr>
          <w:spacing w:val="2"/>
        </w:rPr>
        <w:t>f</w:t>
      </w:r>
      <w:r w:rsidRPr="00C36727">
        <w:rPr>
          <w:spacing w:val="1"/>
        </w:rPr>
        <w:t>i</w:t>
      </w:r>
      <w:r w:rsidRPr="00C36727">
        <w:t>nan</w:t>
      </w:r>
      <w:r w:rsidRPr="00C36727">
        <w:rPr>
          <w:spacing w:val="2"/>
        </w:rPr>
        <w:t>č</w:t>
      </w:r>
      <w:r w:rsidRPr="00C36727">
        <w:t>ní</w:t>
      </w:r>
      <w:r w:rsidRPr="00C36727">
        <w:rPr>
          <w:spacing w:val="23"/>
        </w:rPr>
        <w:t xml:space="preserve"> </w:t>
      </w:r>
      <w:r w:rsidRPr="00C36727">
        <w:rPr>
          <w:spacing w:val="1"/>
        </w:rPr>
        <w:t>i</w:t>
      </w:r>
      <w:r w:rsidRPr="00C36727">
        <w:t>n</w:t>
      </w:r>
      <w:r w:rsidRPr="00C36727">
        <w:rPr>
          <w:spacing w:val="1"/>
        </w:rPr>
        <w:t>s</w:t>
      </w:r>
      <w:r w:rsidRPr="00C36727">
        <w:t>t</w:t>
      </w:r>
      <w:r w:rsidRPr="00C36727">
        <w:rPr>
          <w:spacing w:val="1"/>
        </w:rPr>
        <w:t>i</w:t>
      </w:r>
      <w:r w:rsidRPr="00C36727">
        <w:t>t</w:t>
      </w:r>
      <w:r w:rsidRPr="00C36727">
        <w:rPr>
          <w:spacing w:val="-2"/>
        </w:rPr>
        <w:t>u</w:t>
      </w:r>
      <w:r w:rsidRPr="00C36727">
        <w:rPr>
          <w:spacing w:val="1"/>
        </w:rPr>
        <w:t>c</w:t>
      </w:r>
      <w:r w:rsidRPr="00C36727">
        <w:t>e</w:t>
      </w:r>
      <w:r w:rsidRPr="00C36727">
        <w:rPr>
          <w:spacing w:val="22"/>
        </w:rPr>
        <w:t xml:space="preserve"> </w:t>
      </w:r>
      <w:r w:rsidRPr="00C36727">
        <w:t>a</w:t>
      </w:r>
      <w:r w:rsidRPr="00C36727">
        <w:rPr>
          <w:spacing w:val="28"/>
        </w:rPr>
        <w:t xml:space="preserve"> </w:t>
      </w:r>
      <w:r w:rsidRPr="00C36727">
        <w:rPr>
          <w:spacing w:val="2"/>
        </w:rPr>
        <w:t>f</w:t>
      </w:r>
      <w:r w:rsidRPr="00C36727">
        <w:rPr>
          <w:spacing w:val="1"/>
        </w:rPr>
        <w:t>i</w:t>
      </w:r>
      <w:r w:rsidRPr="00C36727">
        <w:t>nan</w:t>
      </w:r>
      <w:r w:rsidRPr="00C36727">
        <w:rPr>
          <w:spacing w:val="2"/>
        </w:rPr>
        <w:t>č</w:t>
      </w:r>
      <w:r w:rsidRPr="00C36727">
        <w:t>ní</w:t>
      </w:r>
      <w:r w:rsidRPr="00C36727">
        <w:rPr>
          <w:spacing w:val="23"/>
        </w:rPr>
        <w:t xml:space="preserve"> </w:t>
      </w:r>
      <w:r w:rsidRPr="00C36727">
        <w:rPr>
          <w:spacing w:val="-1"/>
        </w:rPr>
        <w:t>i</w:t>
      </w:r>
      <w:r w:rsidRPr="00C36727">
        <w:t>n</w:t>
      </w:r>
      <w:r w:rsidRPr="00C36727">
        <w:rPr>
          <w:spacing w:val="1"/>
        </w:rPr>
        <w:t>s</w:t>
      </w:r>
      <w:r w:rsidRPr="00C36727">
        <w:t>t</w:t>
      </w:r>
      <w:r w:rsidRPr="00C36727">
        <w:rPr>
          <w:spacing w:val="1"/>
        </w:rPr>
        <w:t>i</w:t>
      </w:r>
      <w:r w:rsidRPr="00C36727">
        <w:t>tu</w:t>
      </w:r>
      <w:r w:rsidRPr="00C36727">
        <w:rPr>
          <w:spacing w:val="1"/>
        </w:rPr>
        <w:t>c</w:t>
      </w:r>
      <w:r w:rsidRPr="00C36727">
        <w:t>e</w:t>
      </w:r>
      <w:r w:rsidRPr="00C36727">
        <w:rPr>
          <w:spacing w:val="22"/>
        </w:rPr>
        <w:t xml:space="preserve"> </w:t>
      </w:r>
      <w:r w:rsidRPr="00C36727">
        <w:rPr>
          <w:spacing w:val="1"/>
        </w:rPr>
        <w:t>s</w:t>
      </w:r>
      <w:r w:rsidRPr="00C36727">
        <w:t>e</w:t>
      </w:r>
      <w:r w:rsidRPr="00C36727">
        <w:rPr>
          <w:spacing w:val="27"/>
        </w:rPr>
        <w:t xml:space="preserve"> </w:t>
      </w:r>
      <w:r w:rsidRPr="00C36727">
        <w:rPr>
          <w:spacing w:val="1"/>
        </w:rPr>
        <w:t>s</w:t>
      </w:r>
      <w:r w:rsidRPr="00C36727">
        <w:t>í</w:t>
      </w:r>
      <w:r w:rsidRPr="00C36727">
        <w:rPr>
          <w:spacing w:val="-2"/>
        </w:rPr>
        <w:t>d</w:t>
      </w:r>
      <w:r w:rsidRPr="00C36727">
        <w:rPr>
          <w:spacing w:val="1"/>
        </w:rPr>
        <w:t>l</w:t>
      </w:r>
      <w:r w:rsidRPr="00C36727">
        <w:t>em</w:t>
      </w:r>
      <w:r w:rsidRPr="00C36727">
        <w:rPr>
          <w:spacing w:val="21"/>
        </w:rPr>
        <w:t xml:space="preserve"> </w:t>
      </w:r>
      <w:r w:rsidRPr="00C36727">
        <w:t>v</w:t>
      </w:r>
      <w:r w:rsidRPr="00C36727">
        <w:rPr>
          <w:spacing w:val="4"/>
        </w:rPr>
        <w:t xml:space="preserve"> </w:t>
      </w:r>
      <w:r w:rsidRPr="00C36727">
        <w:rPr>
          <w:spacing w:val="1"/>
        </w:rPr>
        <w:t>čl</w:t>
      </w:r>
      <w:r w:rsidRPr="00C36727">
        <w:t>en</w:t>
      </w:r>
      <w:r w:rsidRPr="00C36727">
        <w:rPr>
          <w:spacing w:val="1"/>
        </w:rPr>
        <w:t>sk</w:t>
      </w:r>
      <w:r w:rsidRPr="00C36727">
        <w:t>ém</w:t>
      </w:r>
      <w:r w:rsidRPr="00C36727">
        <w:rPr>
          <w:spacing w:val="19"/>
        </w:rPr>
        <w:t xml:space="preserve"> </w:t>
      </w:r>
      <w:r w:rsidRPr="00C36727">
        <w:rPr>
          <w:spacing w:val="1"/>
        </w:rPr>
        <w:t>s</w:t>
      </w:r>
      <w:r w:rsidRPr="00C36727">
        <w:t>tátě,</w:t>
      </w:r>
      <w:r w:rsidRPr="00C36727">
        <w:rPr>
          <w:spacing w:val="24"/>
        </w:rPr>
        <w:t xml:space="preserve"> </w:t>
      </w:r>
      <w:r w:rsidRPr="00C36727">
        <w:rPr>
          <w:spacing w:val="1"/>
        </w:rPr>
        <w:t>sk</w:t>
      </w:r>
      <w:r w:rsidRPr="00C36727">
        <w:t>up</w:t>
      </w:r>
      <w:r w:rsidRPr="00C36727">
        <w:rPr>
          <w:spacing w:val="1"/>
        </w:rPr>
        <w:t>i</w:t>
      </w:r>
      <w:r w:rsidRPr="00C36727">
        <w:t xml:space="preserve">na </w:t>
      </w:r>
      <w:r w:rsidRPr="00C36727">
        <w:rPr>
          <w:spacing w:val="1"/>
        </w:rPr>
        <w:t>E</w:t>
      </w:r>
      <w:r w:rsidRPr="00C36727">
        <w:t>I</w:t>
      </w:r>
      <w:r w:rsidRPr="00C36727">
        <w:rPr>
          <w:spacing w:val="1"/>
        </w:rPr>
        <w:t>B</w:t>
      </w:r>
      <w:r w:rsidRPr="00C36727">
        <w:t>,</w:t>
      </w:r>
      <w:r w:rsidRPr="00C36727">
        <w:rPr>
          <w:spacing w:val="-1"/>
        </w:rPr>
        <w:t xml:space="preserve"> </w:t>
      </w:r>
      <w:r w:rsidR="003B5238">
        <w:rPr>
          <w:spacing w:val="-1"/>
        </w:rPr>
        <w:t xml:space="preserve">stávající nebo nově zřízená PO, </w:t>
      </w:r>
      <w:r w:rsidRPr="00C36727">
        <w:rPr>
          <w:spacing w:val="-1"/>
        </w:rPr>
        <w:t>v</w:t>
      </w:r>
      <w:r w:rsidRPr="00C36727">
        <w:t>eře</w:t>
      </w:r>
      <w:r w:rsidRPr="00C36727">
        <w:rPr>
          <w:spacing w:val="-2"/>
        </w:rPr>
        <w:t>j</w:t>
      </w:r>
      <w:r w:rsidRPr="00C36727">
        <w:t>no</w:t>
      </w:r>
      <w:r w:rsidRPr="00C36727">
        <w:rPr>
          <w:spacing w:val="3"/>
        </w:rPr>
        <w:t>p</w:t>
      </w:r>
      <w:r w:rsidRPr="00C36727">
        <w:rPr>
          <w:spacing w:val="-1"/>
        </w:rPr>
        <w:t>r</w:t>
      </w:r>
      <w:r w:rsidRPr="00C36727">
        <w:t>á</w:t>
      </w:r>
      <w:r w:rsidRPr="00C36727">
        <w:rPr>
          <w:spacing w:val="-1"/>
        </w:rPr>
        <w:t>v</w:t>
      </w:r>
      <w:r w:rsidRPr="00C36727">
        <w:t>ní</w:t>
      </w:r>
      <w:r w:rsidRPr="00C36727">
        <w:rPr>
          <w:spacing w:val="-12"/>
        </w:rPr>
        <w:t xml:space="preserve"> </w:t>
      </w:r>
      <w:r w:rsidRPr="00C36727">
        <w:t>a</w:t>
      </w:r>
      <w:r w:rsidRPr="00C36727">
        <w:rPr>
          <w:spacing w:val="-1"/>
        </w:rPr>
        <w:t xml:space="preserve"> </w:t>
      </w:r>
      <w:r w:rsidRPr="00C36727">
        <w:rPr>
          <w:spacing w:val="1"/>
        </w:rPr>
        <w:t>s</w:t>
      </w:r>
      <w:r w:rsidRPr="00C36727">
        <w:t>ou</w:t>
      </w:r>
      <w:r w:rsidRPr="00C36727">
        <w:rPr>
          <w:spacing w:val="1"/>
        </w:rPr>
        <w:t>k</w:t>
      </w:r>
      <w:r w:rsidRPr="00C36727">
        <w:rPr>
          <w:spacing w:val="-1"/>
        </w:rPr>
        <w:t>r</w:t>
      </w:r>
      <w:r w:rsidRPr="00C36727">
        <w:rPr>
          <w:spacing w:val="2"/>
        </w:rPr>
        <w:t>o</w:t>
      </w:r>
      <w:r w:rsidRPr="00C36727">
        <w:rPr>
          <w:spacing w:val="-2"/>
        </w:rPr>
        <w:t>m</w:t>
      </w:r>
      <w:r w:rsidRPr="00C36727">
        <w:t>opr</w:t>
      </w:r>
      <w:r w:rsidRPr="00C36727">
        <w:rPr>
          <w:spacing w:val="2"/>
        </w:rPr>
        <w:t>á</w:t>
      </w:r>
      <w:r w:rsidRPr="00C36727">
        <w:rPr>
          <w:spacing w:val="-1"/>
        </w:rPr>
        <w:t>v</w:t>
      </w:r>
      <w:r w:rsidRPr="00C36727">
        <w:t>ní</w:t>
      </w:r>
      <w:r w:rsidRPr="00C36727">
        <w:rPr>
          <w:spacing w:val="-14"/>
        </w:rPr>
        <w:t xml:space="preserve"> </w:t>
      </w:r>
      <w:r w:rsidRPr="00C36727">
        <w:rPr>
          <w:spacing w:val="1"/>
        </w:rPr>
        <w:t>s</w:t>
      </w:r>
      <w:r w:rsidRPr="00C36727">
        <w:t>ub</w:t>
      </w:r>
      <w:r w:rsidRPr="00C36727">
        <w:rPr>
          <w:spacing w:val="-1"/>
        </w:rPr>
        <w:t>j</w:t>
      </w:r>
      <w:r w:rsidRPr="00C36727">
        <w:t>e</w:t>
      </w:r>
      <w:r w:rsidRPr="00C36727">
        <w:rPr>
          <w:spacing w:val="1"/>
        </w:rPr>
        <w:t>k</w:t>
      </w:r>
      <w:r w:rsidRPr="00C36727">
        <w:t>t</w:t>
      </w:r>
      <w:r w:rsidRPr="00C36727">
        <w:rPr>
          <w:spacing w:val="-1"/>
        </w:rPr>
        <w:t>y</w:t>
      </w:r>
      <w:r w:rsidR="002B70CC">
        <w:t>.</w:t>
      </w:r>
    </w:p>
    <w:p w:rsidR="00C36727" w:rsidRPr="00C36727" w:rsidRDefault="00C36727" w:rsidP="0049720A">
      <w:pPr>
        <w:pStyle w:val="Odskoknadpis4"/>
      </w:pPr>
      <w:r w:rsidRPr="00C36727">
        <w:t>N</w:t>
      </w:r>
      <w:r w:rsidRPr="00C36727">
        <w:rPr>
          <w:spacing w:val="-1"/>
        </w:rPr>
        <w:t>ut</w:t>
      </w:r>
      <w:r w:rsidRPr="00C36727">
        <w:rPr>
          <w:spacing w:val="2"/>
        </w:rPr>
        <w:t>n</w:t>
      </w:r>
      <w:r w:rsidRPr="00C36727">
        <w:rPr>
          <w:spacing w:val="-1"/>
        </w:rPr>
        <w:t>o</w:t>
      </w:r>
      <w:r w:rsidRPr="00C36727">
        <w:t>st</w:t>
      </w:r>
      <w:r w:rsidRPr="00C36727">
        <w:rPr>
          <w:spacing w:val="49"/>
        </w:rPr>
        <w:t xml:space="preserve"> </w:t>
      </w:r>
      <w:r w:rsidRPr="00C36727">
        <w:rPr>
          <w:spacing w:val="-2"/>
        </w:rPr>
        <w:t>v</w:t>
      </w:r>
      <w:r w:rsidRPr="00C36727">
        <w:t>ýbě</w:t>
      </w:r>
      <w:r w:rsidRPr="00C36727">
        <w:rPr>
          <w:spacing w:val="3"/>
        </w:rPr>
        <w:t>r</w:t>
      </w:r>
      <w:r w:rsidRPr="00C36727">
        <w:t>u</w:t>
      </w:r>
      <w:r w:rsidRPr="00C36727">
        <w:rPr>
          <w:spacing w:val="49"/>
        </w:rPr>
        <w:t xml:space="preserve"> </w:t>
      </w:r>
      <w:r w:rsidRPr="00C36727">
        <w:t>ta</w:t>
      </w:r>
      <w:r w:rsidRPr="00C36727">
        <w:rPr>
          <w:spacing w:val="1"/>
        </w:rPr>
        <w:t>k</w:t>
      </w:r>
      <w:r w:rsidRPr="00C36727">
        <w:t>o</w:t>
      </w:r>
      <w:r w:rsidRPr="00C36727">
        <w:rPr>
          <w:spacing w:val="-1"/>
        </w:rPr>
        <w:t>v</w:t>
      </w:r>
      <w:r w:rsidRPr="00C36727">
        <w:t>ého</w:t>
      </w:r>
      <w:r w:rsidRPr="00C36727">
        <w:rPr>
          <w:spacing w:val="51"/>
        </w:rPr>
        <w:t xml:space="preserve"> </w:t>
      </w:r>
      <w:r w:rsidRPr="00C36727">
        <w:t>su</w:t>
      </w:r>
      <w:r w:rsidRPr="00C36727">
        <w:rPr>
          <w:spacing w:val="-1"/>
        </w:rPr>
        <w:t>b</w:t>
      </w:r>
      <w:r w:rsidRPr="00C36727">
        <w:t>jek</w:t>
      </w:r>
      <w:r w:rsidRPr="00C36727">
        <w:rPr>
          <w:spacing w:val="2"/>
        </w:rPr>
        <w:t>t</w:t>
      </w:r>
      <w:r w:rsidRPr="00C36727">
        <w:t>u,</w:t>
      </w:r>
      <w:r w:rsidRPr="00C36727">
        <w:rPr>
          <w:spacing w:val="48"/>
        </w:rPr>
        <w:t xml:space="preserve"> </w:t>
      </w:r>
      <w:r w:rsidRPr="00C36727">
        <w:t>k</w:t>
      </w:r>
      <w:r w:rsidRPr="00C36727">
        <w:rPr>
          <w:spacing w:val="-1"/>
        </w:rPr>
        <w:t>t</w:t>
      </w:r>
      <w:r w:rsidRPr="00C36727">
        <w:t>e</w:t>
      </w:r>
      <w:r w:rsidRPr="00C36727">
        <w:rPr>
          <w:spacing w:val="1"/>
        </w:rPr>
        <w:t>r</w:t>
      </w:r>
      <w:r w:rsidRPr="00C36727">
        <w:t>ý</w:t>
      </w:r>
      <w:r w:rsidRPr="00C36727">
        <w:rPr>
          <w:spacing w:val="51"/>
        </w:rPr>
        <w:t xml:space="preserve"> </w:t>
      </w:r>
      <w:r w:rsidRPr="00C36727">
        <w:t>má</w:t>
      </w:r>
      <w:r w:rsidRPr="00C36727">
        <w:rPr>
          <w:spacing w:val="52"/>
        </w:rPr>
        <w:t xml:space="preserve"> </w:t>
      </w:r>
      <w:r w:rsidRPr="00C36727">
        <w:rPr>
          <w:spacing w:val="-1"/>
        </w:rPr>
        <w:t>p</w:t>
      </w:r>
      <w:r w:rsidRPr="00C36727">
        <w:t>řed</w:t>
      </w:r>
      <w:r w:rsidRPr="00C36727">
        <w:rPr>
          <w:spacing w:val="2"/>
        </w:rPr>
        <w:t>e</w:t>
      </w:r>
      <w:r w:rsidRPr="00C36727">
        <w:t>šlé</w:t>
      </w:r>
      <w:r w:rsidRPr="00C36727">
        <w:rPr>
          <w:spacing w:val="48"/>
        </w:rPr>
        <w:t xml:space="preserve"> </w:t>
      </w:r>
      <w:r w:rsidRPr="00C36727">
        <w:rPr>
          <w:spacing w:val="1"/>
        </w:rPr>
        <w:t>z</w:t>
      </w:r>
      <w:r w:rsidRPr="00C36727">
        <w:t>kuše</w:t>
      </w:r>
      <w:r w:rsidRPr="00C36727">
        <w:rPr>
          <w:spacing w:val="-1"/>
        </w:rPr>
        <w:t>no</w:t>
      </w:r>
      <w:r w:rsidRPr="00C36727">
        <w:t>sti</w:t>
      </w:r>
      <w:r w:rsidRPr="00C36727">
        <w:rPr>
          <w:spacing w:val="45"/>
        </w:rPr>
        <w:t xml:space="preserve"> </w:t>
      </w:r>
      <w:r w:rsidRPr="00C36727">
        <w:t>s</w:t>
      </w:r>
      <w:r w:rsidRPr="00C36727">
        <w:rPr>
          <w:spacing w:val="1"/>
        </w:rPr>
        <w:t xml:space="preserve"> </w:t>
      </w:r>
      <w:r w:rsidRPr="00C36727">
        <w:t>i</w:t>
      </w:r>
      <w:r w:rsidRPr="00C36727">
        <w:rPr>
          <w:spacing w:val="2"/>
        </w:rPr>
        <w:t>m</w:t>
      </w:r>
      <w:r w:rsidRPr="00C36727">
        <w:rPr>
          <w:spacing w:val="-1"/>
        </w:rPr>
        <w:t>p</w:t>
      </w:r>
      <w:r w:rsidRPr="00C36727">
        <w:t>lem</w:t>
      </w:r>
      <w:r w:rsidRPr="00C36727">
        <w:rPr>
          <w:spacing w:val="2"/>
        </w:rPr>
        <w:t>e</w:t>
      </w:r>
      <w:r w:rsidRPr="00C36727">
        <w:rPr>
          <w:spacing w:val="-1"/>
        </w:rPr>
        <w:t>nt</w:t>
      </w:r>
      <w:r w:rsidRPr="00C36727">
        <w:t>ací</w:t>
      </w:r>
      <w:r w:rsidRPr="00C36727">
        <w:rPr>
          <w:spacing w:val="44"/>
        </w:rPr>
        <w:t xml:space="preserve"> </w:t>
      </w:r>
      <w:r w:rsidRPr="00C36727">
        <w:t>obd</w:t>
      </w:r>
      <w:r w:rsidRPr="00C36727">
        <w:rPr>
          <w:spacing w:val="1"/>
        </w:rPr>
        <w:t>o</w:t>
      </w:r>
      <w:r w:rsidRPr="00C36727">
        <w:t>bn</w:t>
      </w:r>
      <w:r w:rsidRPr="00C36727">
        <w:rPr>
          <w:spacing w:val="1"/>
        </w:rPr>
        <w:t>ýc</w:t>
      </w:r>
      <w:r w:rsidRPr="00C36727">
        <w:t xml:space="preserve">h </w:t>
      </w:r>
      <w:r w:rsidRPr="00C36727">
        <w:rPr>
          <w:spacing w:val="-1"/>
        </w:rPr>
        <w:t>n</w:t>
      </w:r>
      <w:r w:rsidRPr="00C36727">
        <w:t>ástrojů</w:t>
      </w:r>
      <w:r w:rsidRPr="00C36727">
        <w:rPr>
          <w:spacing w:val="3"/>
        </w:rPr>
        <w:t xml:space="preserve"> </w:t>
      </w:r>
      <w:r w:rsidRPr="00C36727">
        <w:t>a</w:t>
      </w:r>
      <w:r w:rsidRPr="00C36727">
        <w:rPr>
          <w:spacing w:val="9"/>
        </w:rPr>
        <w:t xml:space="preserve"> </w:t>
      </w:r>
      <w:r w:rsidRPr="00C36727">
        <w:rPr>
          <w:spacing w:val="1"/>
        </w:rPr>
        <w:t>s</w:t>
      </w:r>
      <w:r w:rsidRPr="00C36727">
        <w:t>ou</w:t>
      </w:r>
      <w:r w:rsidRPr="00C36727">
        <w:rPr>
          <w:spacing w:val="1"/>
        </w:rPr>
        <w:t>č</w:t>
      </w:r>
      <w:r w:rsidRPr="00C36727">
        <w:t>a</w:t>
      </w:r>
      <w:r w:rsidRPr="00C36727">
        <w:rPr>
          <w:spacing w:val="1"/>
        </w:rPr>
        <w:t>s</w:t>
      </w:r>
      <w:r w:rsidRPr="00C36727">
        <w:t>ně</w:t>
      </w:r>
      <w:r w:rsidRPr="00C36727">
        <w:rPr>
          <w:spacing w:val="3"/>
        </w:rPr>
        <w:t xml:space="preserve"> </w:t>
      </w:r>
      <w:r w:rsidRPr="00C36727">
        <w:rPr>
          <w:spacing w:val="-1"/>
        </w:rPr>
        <w:t>d</w:t>
      </w:r>
      <w:r w:rsidRPr="00C36727">
        <w:t>isp</w:t>
      </w:r>
      <w:r w:rsidRPr="00C36727">
        <w:rPr>
          <w:spacing w:val="1"/>
        </w:rPr>
        <w:t>o</w:t>
      </w:r>
      <w:r w:rsidRPr="00C36727">
        <w:rPr>
          <w:spacing w:val="-1"/>
        </w:rPr>
        <w:t>nu</w:t>
      </w:r>
      <w:r w:rsidRPr="00C36727">
        <w:t>je</w:t>
      </w:r>
      <w:r w:rsidRPr="00C36727">
        <w:rPr>
          <w:spacing w:val="1"/>
        </w:rPr>
        <w:t xml:space="preserve"> </w:t>
      </w:r>
      <w:r w:rsidRPr="00C36727">
        <w:t>a</w:t>
      </w:r>
      <w:r w:rsidRPr="00C36727">
        <w:rPr>
          <w:spacing w:val="2"/>
        </w:rPr>
        <w:t>d</w:t>
      </w:r>
      <w:r w:rsidRPr="00C36727">
        <w:t>e</w:t>
      </w:r>
      <w:r w:rsidRPr="00C36727">
        <w:rPr>
          <w:spacing w:val="3"/>
        </w:rPr>
        <w:t>k</w:t>
      </w:r>
      <w:r w:rsidRPr="00C36727">
        <w:rPr>
          <w:spacing w:val="-2"/>
        </w:rPr>
        <w:t>v</w:t>
      </w:r>
      <w:r w:rsidRPr="00C36727">
        <w:t>át</w:t>
      </w:r>
      <w:r w:rsidRPr="00C36727">
        <w:rPr>
          <w:spacing w:val="-1"/>
        </w:rPr>
        <w:t>n</w:t>
      </w:r>
      <w:r w:rsidRPr="00C36727">
        <w:rPr>
          <w:spacing w:val="2"/>
        </w:rPr>
        <w:t>í</w:t>
      </w:r>
      <w:r w:rsidRPr="00C36727">
        <w:t>m</w:t>
      </w:r>
      <w:r w:rsidRPr="00C36727">
        <w:rPr>
          <w:spacing w:val="-1"/>
        </w:rPr>
        <w:t xml:space="preserve"> f</w:t>
      </w:r>
      <w:r w:rsidRPr="00C36727">
        <w:rPr>
          <w:spacing w:val="2"/>
        </w:rPr>
        <w:t>i</w:t>
      </w:r>
      <w:r w:rsidRPr="00C36727">
        <w:rPr>
          <w:spacing w:val="-1"/>
        </w:rPr>
        <w:t>n</w:t>
      </w:r>
      <w:r w:rsidRPr="00C36727">
        <w:t>an</w:t>
      </w:r>
      <w:r w:rsidRPr="00C36727">
        <w:rPr>
          <w:spacing w:val="2"/>
        </w:rPr>
        <w:t>č</w:t>
      </w:r>
      <w:r w:rsidRPr="00C36727">
        <w:rPr>
          <w:spacing w:val="-1"/>
        </w:rPr>
        <w:t>n</w:t>
      </w:r>
      <w:r w:rsidRPr="00C36727">
        <w:rPr>
          <w:spacing w:val="2"/>
        </w:rPr>
        <w:t>í</w:t>
      </w:r>
      <w:r w:rsidRPr="00C36727">
        <w:t>m,</w:t>
      </w:r>
      <w:r w:rsidRPr="00C36727">
        <w:rPr>
          <w:spacing w:val="1"/>
        </w:rPr>
        <w:t xml:space="preserve"> </w:t>
      </w:r>
      <w:r w:rsidRPr="00C36727">
        <w:t>ek</w:t>
      </w:r>
      <w:r w:rsidRPr="00C36727">
        <w:rPr>
          <w:spacing w:val="2"/>
        </w:rPr>
        <w:t>o</w:t>
      </w:r>
      <w:r w:rsidRPr="00C36727">
        <w:rPr>
          <w:spacing w:val="-1"/>
        </w:rPr>
        <w:t>no</w:t>
      </w:r>
      <w:r w:rsidRPr="00C36727">
        <w:t>mick</w:t>
      </w:r>
      <w:r w:rsidRPr="00C36727">
        <w:rPr>
          <w:spacing w:val="2"/>
        </w:rPr>
        <w:t>ý</w:t>
      </w:r>
      <w:r w:rsidRPr="00C36727">
        <w:t>m,</w:t>
      </w:r>
      <w:r w:rsidRPr="00C36727">
        <w:rPr>
          <w:spacing w:val="-4"/>
        </w:rPr>
        <w:t xml:space="preserve"> </w:t>
      </w:r>
      <w:r w:rsidRPr="00C36727">
        <w:rPr>
          <w:spacing w:val="-1"/>
        </w:rPr>
        <w:t>o</w:t>
      </w:r>
      <w:r w:rsidRPr="00C36727">
        <w:rPr>
          <w:spacing w:val="3"/>
        </w:rPr>
        <w:t>r</w:t>
      </w:r>
      <w:r w:rsidRPr="00C36727">
        <w:rPr>
          <w:spacing w:val="-1"/>
        </w:rPr>
        <w:t>g</w:t>
      </w:r>
      <w:r w:rsidRPr="00C36727">
        <w:t>ani</w:t>
      </w:r>
      <w:r w:rsidRPr="00C36727">
        <w:rPr>
          <w:spacing w:val="1"/>
        </w:rPr>
        <w:t>z</w:t>
      </w:r>
      <w:r w:rsidRPr="00C36727">
        <w:rPr>
          <w:spacing w:val="2"/>
        </w:rPr>
        <w:t>a</w:t>
      </w:r>
      <w:r w:rsidRPr="00C36727">
        <w:t>ční</w:t>
      </w:r>
      <w:r w:rsidRPr="00C36727">
        <w:rPr>
          <w:spacing w:val="-1"/>
        </w:rPr>
        <w:t>m</w:t>
      </w:r>
      <w:r w:rsidRPr="00C36727">
        <w:t>,</w:t>
      </w:r>
      <w:r w:rsidRPr="00C36727">
        <w:rPr>
          <w:spacing w:val="-2"/>
        </w:rPr>
        <w:t xml:space="preserve"> </w:t>
      </w:r>
      <w:r w:rsidRPr="00C36727">
        <w:rPr>
          <w:spacing w:val="2"/>
        </w:rPr>
        <w:t>t</w:t>
      </w:r>
      <w:r w:rsidRPr="00C36727">
        <w:t>ech</w:t>
      </w:r>
      <w:r w:rsidRPr="00C36727">
        <w:rPr>
          <w:spacing w:val="-1"/>
        </w:rPr>
        <w:t>n</w:t>
      </w:r>
      <w:r w:rsidRPr="00C36727">
        <w:t>ick</w:t>
      </w:r>
      <w:r w:rsidRPr="00C36727">
        <w:rPr>
          <w:spacing w:val="3"/>
        </w:rPr>
        <w:t>ý</w:t>
      </w:r>
      <w:r w:rsidRPr="00C36727">
        <w:t>m a</w:t>
      </w:r>
      <w:r w:rsidRPr="00C36727">
        <w:rPr>
          <w:spacing w:val="-1"/>
        </w:rPr>
        <w:t xml:space="preserve"> </w:t>
      </w:r>
      <w:r w:rsidRPr="00C36727">
        <w:t>správním</w:t>
      </w:r>
      <w:r w:rsidRPr="00C36727">
        <w:rPr>
          <w:spacing w:val="-9"/>
        </w:rPr>
        <w:t xml:space="preserve"> </w:t>
      </w:r>
      <w:r w:rsidRPr="00C36727">
        <w:rPr>
          <w:spacing w:val="1"/>
        </w:rPr>
        <w:t>z</w:t>
      </w:r>
      <w:r w:rsidRPr="00C36727">
        <w:t>á</w:t>
      </w:r>
      <w:r w:rsidRPr="00C36727">
        <w:rPr>
          <w:spacing w:val="1"/>
        </w:rPr>
        <w:t>z</w:t>
      </w:r>
      <w:r w:rsidRPr="00C36727">
        <w:t>emí</w:t>
      </w:r>
      <w:r w:rsidRPr="00C36727">
        <w:rPr>
          <w:spacing w:val="-1"/>
        </w:rPr>
        <w:t>m</w:t>
      </w:r>
      <w:r w:rsidR="002B70CC">
        <w:t>.</w:t>
      </w:r>
    </w:p>
    <w:p w:rsidR="00C36727" w:rsidRPr="00C36727" w:rsidRDefault="00C36727" w:rsidP="0049720A">
      <w:pPr>
        <w:pStyle w:val="Odskoknadpis4"/>
      </w:pPr>
      <w:r w:rsidRPr="00C36727">
        <w:t xml:space="preserve">Výběr subjektů musí být v souladu s národní a unijní legislativou, zejména pak </w:t>
      </w:r>
      <w:r w:rsidR="002B70CC">
        <w:t xml:space="preserve">se </w:t>
      </w:r>
      <w:r w:rsidR="00E26D91">
        <w:t xml:space="preserve">Zákonem </w:t>
      </w:r>
      <w:r w:rsidR="00CE1267">
        <w:t>o </w:t>
      </w:r>
      <w:r w:rsidR="00E26D91">
        <w:t>zadávání veřejných zakázek („</w:t>
      </w:r>
      <w:r w:rsidRPr="00C36727">
        <w:t>ZVZ</w:t>
      </w:r>
      <w:r w:rsidR="00E26D91">
        <w:t>“)</w:t>
      </w:r>
      <w:r w:rsidRPr="00C36727">
        <w:t>.</w:t>
      </w:r>
    </w:p>
    <w:p w:rsidR="00C36727" w:rsidRDefault="00C36727" w:rsidP="0049720A">
      <w:pPr>
        <w:pStyle w:val="Odskoknadpis4"/>
      </w:pPr>
      <w:r w:rsidRPr="00C36727">
        <w:t>Na</w:t>
      </w:r>
      <w:r w:rsidRPr="00C36727">
        <w:rPr>
          <w:spacing w:val="-1"/>
        </w:rPr>
        <w:t>ř</w:t>
      </w:r>
      <w:r w:rsidRPr="00C36727">
        <w:t>í</w:t>
      </w:r>
      <w:r w:rsidRPr="00C36727">
        <w:rPr>
          <w:spacing w:val="-1"/>
        </w:rPr>
        <w:t>z</w:t>
      </w:r>
      <w:r w:rsidRPr="00C36727">
        <w:t>ení</w:t>
      </w:r>
      <w:r w:rsidRPr="00C36727">
        <w:rPr>
          <w:spacing w:val="6"/>
        </w:rPr>
        <w:t xml:space="preserve"> </w:t>
      </w:r>
      <w:r w:rsidRPr="00C36727">
        <w:rPr>
          <w:spacing w:val="-1"/>
        </w:rPr>
        <w:t>v</w:t>
      </w:r>
      <w:r w:rsidRPr="00C36727">
        <w:t>e</w:t>
      </w:r>
      <w:r w:rsidRPr="00C36727">
        <w:rPr>
          <w:spacing w:val="8"/>
        </w:rPr>
        <w:t xml:space="preserve"> </w:t>
      </w:r>
      <w:r w:rsidRPr="009D1D75">
        <w:t>své</w:t>
      </w:r>
      <w:r w:rsidRPr="00C36727">
        <w:rPr>
          <w:spacing w:val="7"/>
        </w:rPr>
        <w:t xml:space="preserve"> </w:t>
      </w:r>
      <w:r w:rsidRPr="00C36727">
        <w:t>pod</w:t>
      </w:r>
      <w:r w:rsidRPr="00C36727">
        <w:rPr>
          <w:spacing w:val="2"/>
        </w:rPr>
        <w:t>s</w:t>
      </w:r>
      <w:r w:rsidRPr="00C36727">
        <w:t>tatě</w:t>
      </w:r>
      <w:r w:rsidRPr="00C36727">
        <w:rPr>
          <w:spacing w:val="3"/>
        </w:rPr>
        <w:t xml:space="preserve"> </w:t>
      </w:r>
      <w:r w:rsidRPr="00C36727">
        <w:t>de</w:t>
      </w:r>
      <w:r w:rsidRPr="00C36727">
        <w:rPr>
          <w:spacing w:val="3"/>
        </w:rPr>
        <w:t>f</w:t>
      </w:r>
      <w:r w:rsidRPr="00C36727">
        <w:rPr>
          <w:spacing w:val="1"/>
        </w:rPr>
        <w:t>i</w:t>
      </w:r>
      <w:r w:rsidRPr="00C36727">
        <w:t>nu</w:t>
      </w:r>
      <w:r w:rsidRPr="00C36727">
        <w:rPr>
          <w:spacing w:val="-1"/>
        </w:rPr>
        <w:t>j</w:t>
      </w:r>
      <w:r w:rsidRPr="00C36727">
        <w:t>í</w:t>
      </w:r>
      <w:r w:rsidRPr="00C36727">
        <w:rPr>
          <w:spacing w:val="4"/>
        </w:rPr>
        <w:t xml:space="preserve"> </w:t>
      </w:r>
      <w:r w:rsidRPr="00C36727">
        <w:t>po</w:t>
      </w:r>
      <w:r w:rsidRPr="00C36727">
        <w:rPr>
          <w:spacing w:val="-1"/>
        </w:rPr>
        <w:t>ž</w:t>
      </w:r>
      <w:r w:rsidRPr="00C36727">
        <w:t>ada</w:t>
      </w:r>
      <w:r w:rsidRPr="00C36727">
        <w:rPr>
          <w:spacing w:val="-1"/>
        </w:rPr>
        <w:t>v</w:t>
      </w:r>
      <w:r w:rsidRPr="00C36727">
        <w:t>e</w:t>
      </w:r>
      <w:r w:rsidRPr="00C36727">
        <w:rPr>
          <w:spacing w:val="1"/>
        </w:rPr>
        <w:t>k</w:t>
      </w:r>
      <w:r w:rsidRPr="00C36727">
        <w:t>,</w:t>
      </w:r>
      <w:r w:rsidRPr="00C36727">
        <w:rPr>
          <w:spacing w:val="1"/>
        </w:rPr>
        <w:t xml:space="preserve"> </w:t>
      </w:r>
      <w:r w:rsidRPr="00C36727">
        <w:t>aby</w:t>
      </w:r>
      <w:r w:rsidRPr="00C36727">
        <w:rPr>
          <w:spacing w:val="9"/>
        </w:rPr>
        <w:t xml:space="preserve"> </w:t>
      </w:r>
      <w:r w:rsidRPr="00C36727">
        <w:rPr>
          <w:spacing w:val="-1"/>
        </w:rPr>
        <w:t>p</w:t>
      </w:r>
      <w:r w:rsidRPr="00C36727">
        <w:t>ři</w:t>
      </w:r>
      <w:r w:rsidRPr="00C36727">
        <w:rPr>
          <w:spacing w:val="10"/>
        </w:rPr>
        <w:t xml:space="preserve"> </w:t>
      </w:r>
      <w:r w:rsidRPr="00C36727">
        <w:t>v</w:t>
      </w:r>
      <w:r w:rsidRPr="00C36727">
        <w:rPr>
          <w:spacing w:val="-2"/>
        </w:rPr>
        <w:t>y</w:t>
      </w:r>
      <w:r w:rsidRPr="00C36727">
        <w:rPr>
          <w:spacing w:val="2"/>
        </w:rPr>
        <w:t>t</w:t>
      </w:r>
      <w:r w:rsidRPr="00C36727">
        <w:rPr>
          <w:spacing w:val="-2"/>
        </w:rPr>
        <w:t>v</w:t>
      </w:r>
      <w:r w:rsidRPr="00C36727">
        <w:t>á</w:t>
      </w:r>
      <w:r w:rsidRPr="00C36727">
        <w:rPr>
          <w:spacing w:val="1"/>
        </w:rPr>
        <w:t>ř</w:t>
      </w:r>
      <w:r w:rsidRPr="00C36727">
        <w:rPr>
          <w:spacing w:val="2"/>
        </w:rPr>
        <w:t>e</w:t>
      </w:r>
      <w:r w:rsidRPr="00C36727">
        <w:rPr>
          <w:spacing w:val="-1"/>
        </w:rPr>
        <w:t>n</w:t>
      </w:r>
      <w:r w:rsidRPr="00C36727">
        <w:t>í,</w:t>
      </w:r>
      <w:r w:rsidRPr="00C36727">
        <w:rPr>
          <w:spacing w:val="2"/>
        </w:rPr>
        <w:t xml:space="preserve"> </w:t>
      </w:r>
      <w:r w:rsidRPr="00C36727">
        <w:t>spr</w:t>
      </w:r>
      <w:r w:rsidRPr="00C36727">
        <w:rPr>
          <w:spacing w:val="3"/>
        </w:rPr>
        <w:t>á</w:t>
      </w:r>
      <w:r w:rsidRPr="00C36727">
        <w:rPr>
          <w:spacing w:val="-2"/>
        </w:rPr>
        <w:t>v</w:t>
      </w:r>
      <w:r w:rsidRPr="00C36727">
        <w:t>ě</w:t>
      </w:r>
      <w:r w:rsidRPr="00C36727">
        <w:rPr>
          <w:spacing w:val="4"/>
        </w:rPr>
        <w:t xml:space="preserve"> </w:t>
      </w:r>
      <w:r w:rsidRPr="00C36727">
        <w:t>a</w:t>
      </w:r>
      <w:r w:rsidRPr="00C36727">
        <w:rPr>
          <w:spacing w:val="9"/>
        </w:rPr>
        <w:t xml:space="preserve"> </w:t>
      </w:r>
      <w:r w:rsidRPr="00C36727">
        <w:t>m</w:t>
      </w:r>
      <w:r w:rsidRPr="00C36727">
        <w:rPr>
          <w:spacing w:val="1"/>
        </w:rPr>
        <w:t>o</w:t>
      </w:r>
      <w:r w:rsidRPr="00C36727">
        <w:rPr>
          <w:spacing w:val="2"/>
        </w:rPr>
        <w:t>n</w:t>
      </w:r>
      <w:r w:rsidRPr="00C36727">
        <w:t>i</w:t>
      </w:r>
      <w:r w:rsidRPr="00C36727">
        <w:rPr>
          <w:spacing w:val="-1"/>
        </w:rPr>
        <w:t>to</w:t>
      </w:r>
      <w:r w:rsidRPr="00C36727">
        <w:t>r</w:t>
      </w:r>
      <w:r w:rsidRPr="00C36727">
        <w:rPr>
          <w:spacing w:val="2"/>
        </w:rPr>
        <w:t>o</w:t>
      </w:r>
      <w:r w:rsidRPr="00C36727">
        <w:rPr>
          <w:spacing w:val="-2"/>
        </w:rPr>
        <w:t>v</w:t>
      </w:r>
      <w:r w:rsidRPr="00C36727">
        <w:t xml:space="preserve">ání </w:t>
      </w:r>
      <w:r w:rsidR="00420428">
        <w:rPr>
          <w:spacing w:val="-1"/>
        </w:rPr>
        <w:t>IFN</w:t>
      </w:r>
      <w:r w:rsidRPr="00C36727">
        <w:rPr>
          <w:spacing w:val="1"/>
        </w:rPr>
        <w:t xml:space="preserve"> </w:t>
      </w:r>
      <w:r w:rsidRPr="00C36727">
        <w:rPr>
          <w:spacing w:val="2"/>
        </w:rPr>
        <w:t>b</w:t>
      </w:r>
      <w:r w:rsidRPr="00C36727">
        <w:rPr>
          <w:spacing w:val="-2"/>
        </w:rPr>
        <w:t>y</w:t>
      </w:r>
      <w:r w:rsidRPr="00C36727">
        <w:rPr>
          <w:spacing w:val="2"/>
        </w:rPr>
        <w:t>l</w:t>
      </w:r>
      <w:r w:rsidRPr="00C36727">
        <w:t>y</w:t>
      </w:r>
      <w:r w:rsidRPr="00C36727">
        <w:rPr>
          <w:spacing w:val="7"/>
        </w:rPr>
        <w:t xml:space="preserve"> </w:t>
      </w:r>
      <w:r w:rsidRPr="00C36727">
        <w:t>v</w:t>
      </w:r>
      <w:r w:rsidRPr="00C36727">
        <w:rPr>
          <w:spacing w:val="-2"/>
        </w:rPr>
        <w:t>y</w:t>
      </w:r>
      <w:r w:rsidRPr="00C36727">
        <w:rPr>
          <w:spacing w:val="-1"/>
        </w:rPr>
        <w:t>u</w:t>
      </w:r>
      <w:r w:rsidRPr="00C36727">
        <w:rPr>
          <w:spacing w:val="1"/>
        </w:rPr>
        <w:t>ž</w:t>
      </w:r>
      <w:r w:rsidRPr="00C36727">
        <w:t>i</w:t>
      </w:r>
      <w:r w:rsidRPr="00C36727">
        <w:rPr>
          <w:spacing w:val="2"/>
        </w:rPr>
        <w:t>t</w:t>
      </w:r>
      <w:r w:rsidRPr="00C36727">
        <w:t>y</w:t>
      </w:r>
      <w:r w:rsidRPr="00C36727">
        <w:rPr>
          <w:spacing w:val="1"/>
        </w:rPr>
        <w:t xml:space="preserve"> </w:t>
      </w:r>
      <w:r w:rsidRPr="00C36727">
        <w:t>st</w:t>
      </w:r>
      <w:r w:rsidRPr="00C36727">
        <w:rPr>
          <w:spacing w:val="2"/>
        </w:rPr>
        <w:t>an</w:t>
      </w:r>
      <w:r w:rsidRPr="00C36727">
        <w:rPr>
          <w:spacing w:val="-1"/>
        </w:rPr>
        <w:t>d</w:t>
      </w:r>
      <w:r w:rsidRPr="00C36727">
        <w:t>a</w:t>
      </w:r>
      <w:r w:rsidRPr="00C36727">
        <w:rPr>
          <w:spacing w:val="1"/>
        </w:rPr>
        <w:t>r</w:t>
      </w:r>
      <w:r w:rsidRPr="00C36727">
        <w:rPr>
          <w:spacing w:val="-1"/>
        </w:rPr>
        <w:t>d</w:t>
      </w:r>
      <w:r w:rsidRPr="00C36727">
        <w:t>i</w:t>
      </w:r>
      <w:r w:rsidRPr="00C36727">
        <w:rPr>
          <w:spacing w:val="1"/>
        </w:rPr>
        <w:t>z</w:t>
      </w:r>
      <w:r w:rsidRPr="00C36727">
        <w:rPr>
          <w:spacing w:val="2"/>
        </w:rPr>
        <w:t>o</w:t>
      </w:r>
      <w:r w:rsidRPr="00C36727">
        <w:rPr>
          <w:spacing w:val="-2"/>
        </w:rPr>
        <w:t>v</w:t>
      </w:r>
      <w:r w:rsidRPr="00C36727">
        <w:t>ané</w:t>
      </w:r>
      <w:r w:rsidRPr="00C36727">
        <w:rPr>
          <w:spacing w:val="-6"/>
        </w:rPr>
        <w:t xml:space="preserve"> </w:t>
      </w:r>
      <w:r w:rsidRPr="00C36727">
        <w:rPr>
          <w:spacing w:val="-1"/>
        </w:rPr>
        <w:t>f</w:t>
      </w:r>
      <w:r w:rsidRPr="00C36727">
        <w:t>in</w:t>
      </w:r>
      <w:r w:rsidRPr="00C36727">
        <w:rPr>
          <w:spacing w:val="2"/>
        </w:rPr>
        <w:t>a</w:t>
      </w:r>
      <w:r w:rsidRPr="00C36727">
        <w:rPr>
          <w:spacing w:val="-1"/>
        </w:rPr>
        <w:t>n</w:t>
      </w:r>
      <w:r w:rsidRPr="00C36727">
        <w:t>ční</w:t>
      </w:r>
      <w:r w:rsidRPr="00C36727">
        <w:rPr>
          <w:spacing w:val="2"/>
        </w:rPr>
        <w:t xml:space="preserve"> </w:t>
      </w:r>
      <w:r w:rsidR="00787752">
        <w:t>mechanizm</w:t>
      </w:r>
      <w:r w:rsidRPr="00C36727">
        <w:t>y</w:t>
      </w:r>
      <w:r w:rsidRPr="00C36727">
        <w:rPr>
          <w:spacing w:val="-6"/>
        </w:rPr>
        <w:t xml:space="preserve"> </w:t>
      </w:r>
      <w:r w:rsidRPr="00C36727">
        <w:t>a</w:t>
      </w:r>
      <w:r w:rsidRPr="00C36727">
        <w:rPr>
          <w:spacing w:val="9"/>
        </w:rPr>
        <w:t xml:space="preserve"> </w:t>
      </w:r>
      <w:r w:rsidRPr="00C36727">
        <w:rPr>
          <w:spacing w:val="1"/>
        </w:rPr>
        <w:t>z</w:t>
      </w:r>
      <w:r w:rsidRPr="00C36727">
        <w:t>ap</w:t>
      </w:r>
      <w:r w:rsidRPr="00C36727">
        <w:rPr>
          <w:spacing w:val="-1"/>
        </w:rPr>
        <w:t>o</w:t>
      </w:r>
      <w:r w:rsidRPr="00C36727">
        <w:t>j</w:t>
      </w:r>
      <w:r w:rsidRPr="00C36727">
        <w:rPr>
          <w:spacing w:val="2"/>
        </w:rPr>
        <w:t>en</w:t>
      </w:r>
      <w:r w:rsidRPr="00C36727">
        <w:t>y</w:t>
      </w:r>
      <w:r w:rsidRPr="00C36727">
        <w:rPr>
          <w:spacing w:val="-1"/>
        </w:rPr>
        <w:t xml:space="preserve"> p</w:t>
      </w:r>
      <w:r w:rsidRPr="00C36727">
        <w:t>řevá</w:t>
      </w:r>
      <w:r w:rsidRPr="00C36727">
        <w:rPr>
          <w:spacing w:val="2"/>
        </w:rPr>
        <w:t>ž</w:t>
      </w:r>
      <w:r w:rsidRPr="00C36727">
        <w:rPr>
          <w:spacing w:val="-1"/>
        </w:rPr>
        <w:t>n</w:t>
      </w:r>
      <w:r w:rsidRPr="00C36727">
        <w:t>ě</w:t>
      </w:r>
      <w:r w:rsidRPr="00C36727">
        <w:rPr>
          <w:spacing w:val="2"/>
        </w:rPr>
        <w:t xml:space="preserve"> </w:t>
      </w:r>
      <w:r w:rsidRPr="00C36727">
        <w:rPr>
          <w:spacing w:val="-1"/>
        </w:rPr>
        <w:t>f</w:t>
      </w:r>
      <w:r w:rsidRPr="00C36727">
        <w:t>ina</w:t>
      </w:r>
      <w:r w:rsidRPr="00C36727">
        <w:rPr>
          <w:spacing w:val="-1"/>
        </w:rPr>
        <w:t>n</w:t>
      </w:r>
      <w:r w:rsidRPr="00C36727">
        <w:t>ční</w:t>
      </w:r>
      <w:r w:rsidRPr="00C36727">
        <w:rPr>
          <w:spacing w:val="2"/>
        </w:rPr>
        <w:t xml:space="preserve"> </w:t>
      </w:r>
      <w:r w:rsidRPr="00C36727">
        <w:t>in</w:t>
      </w:r>
      <w:r w:rsidRPr="00C36727">
        <w:rPr>
          <w:spacing w:val="2"/>
        </w:rPr>
        <w:t>s</w:t>
      </w:r>
      <w:r w:rsidRPr="00C36727">
        <w:rPr>
          <w:spacing w:val="-1"/>
        </w:rPr>
        <w:t>t</w:t>
      </w:r>
      <w:r w:rsidRPr="00C36727">
        <w:t>i</w:t>
      </w:r>
      <w:r w:rsidRPr="00C36727">
        <w:rPr>
          <w:spacing w:val="-1"/>
        </w:rPr>
        <w:t>tu</w:t>
      </w:r>
      <w:r w:rsidRPr="00C36727">
        <w:t>c</w:t>
      </w:r>
      <w:r w:rsidRPr="00C36727">
        <w:rPr>
          <w:spacing w:val="2"/>
        </w:rPr>
        <w:t>e</w:t>
      </w:r>
      <w:r w:rsidRPr="00C36727">
        <w:t>, a</w:t>
      </w:r>
      <w:r w:rsidR="00E871A7">
        <w:rPr>
          <w:spacing w:val="-1"/>
        </w:rPr>
        <w:t> </w:t>
      </w:r>
      <w:r w:rsidRPr="00C36727">
        <w:t>to</w:t>
      </w:r>
      <w:r w:rsidR="00E871A7">
        <w:rPr>
          <w:spacing w:val="-2"/>
        </w:rPr>
        <w:t> </w:t>
      </w:r>
      <w:r w:rsidR="00CE1267" w:rsidRPr="00C36727">
        <w:t>z</w:t>
      </w:r>
      <w:r w:rsidR="00CE1267">
        <w:rPr>
          <w:spacing w:val="-2"/>
        </w:rPr>
        <w:t> </w:t>
      </w:r>
      <w:r w:rsidRPr="00C36727">
        <w:t>dů</w:t>
      </w:r>
      <w:r w:rsidRPr="00C36727">
        <w:rPr>
          <w:spacing w:val="-1"/>
        </w:rPr>
        <w:t>v</w:t>
      </w:r>
      <w:r w:rsidRPr="00C36727">
        <w:t>odu</w:t>
      </w:r>
      <w:r w:rsidRPr="00C36727">
        <w:rPr>
          <w:spacing w:val="-6"/>
        </w:rPr>
        <w:t xml:space="preserve"> </w:t>
      </w:r>
      <w:r w:rsidRPr="00C36727">
        <w:t>toho,</w:t>
      </w:r>
      <w:r w:rsidRPr="00C36727">
        <w:rPr>
          <w:spacing w:val="-1"/>
        </w:rPr>
        <w:t xml:space="preserve"> </w:t>
      </w:r>
      <w:r w:rsidRPr="00C36727">
        <w:t>aby</w:t>
      </w:r>
      <w:r w:rsidRPr="00C36727">
        <w:rPr>
          <w:spacing w:val="-4"/>
        </w:rPr>
        <w:t xml:space="preserve"> </w:t>
      </w:r>
      <w:r w:rsidRPr="00C36727">
        <w:rPr>
          <w:spacing w:val="2"/>
        </w:rPr>
        <w:t>b</w:t>
      </w:r>
      <w:r w:rsidRPr="00C36727">
        <w:rPr>
          <w:spacing w:val="-1"/>
        </w:rPr>
        <w:t>y</w:t>
      </w:r>
      <w:r w:rsidRPr="00C36727">
        <w:t xml:space="preserve">l </w:t>
      </w:r>
      <w:r w:rsidRPr="00C36727">
        <w:rPr>
          <w:spacing w:val="2"/>
        </w:rPr>
        <w:t>u</w:t>
      </w:r>
      <w:r w:rsidRPr="00C36727">
        <w:rPr>
          <w:spacing w:val="-1"/>
        </w:rPr>
        <w:t>p</w:t>
      </w:r>
      <w:r w:rsidRPr="00C36727">
        <w:t>lat</w:t>
      </w:r>
      <w:r w:rsidRPr="00C36727">
        <w:rPr>
          <w:spacing w:val="-1"/>
        </w:rPr>
        <w:t>ň</w:t>
      </w:r>
      <w:r w:rsidRPr="00C36727">
        <w:rPr>
          <w:spacing w:val="2"/>
        </w:rPr>
        <w:t>o</w:t>
      </w:r>
      <w:r w:rsidRPr="00C36727">
        <w:t>ván</w:t>
      </w:r>
      <w:r w:rsidRPr="00C36727">
        <w:rPr>
          <w:spacing w:val="-10"/>
        </w:rPr>
        <w:t xml:space="preserve"> </w:t>
      </w:r>
      <w:r w:rsidRPr="00C36727">
        <w:rPr>
          <w:spacing w:val="-1"/>
        </w:rPr>
        <w:t>t</w:t>
      </w:r>
      <w:r w:rsidRPr="00C36727">
        <w:rPr>
          <w:spacing w:val="3"/>
        </w:rPr>
        <w:t>z</w:t>
      </w:r>
      <w:r w:rsidRPr="00C36727">
        <w:rPr>
          <w:spacing w:val="-2"/>
        </w:rPr>
        <w:t>v</w:t>
      </w:r>
      <w:r w:rsidRPr="00C36727">
        <w:t>.</w:t>
      </w:r>
      <w:r w:rsidRPr="00C36727">
        <w:rPr>
          <w:spacing w:val="-3"/>
        </w:rPr>
        <w:t xml:space="preserve"> </w:t>
      </w:r>
      <w:r w:rsidRPr="00C36727">
        <w:rPr>
          <w:spacing w:val="1"/>
        </w:rPr>
        <w:t>„</w:t>
      </w:r>
      <w:r w:rsidRPr="00C36727">
        <w:t>so</w:t>
      </w:r>
      <w:r w:rsidRPr="00C36727">
        <w:rPr>
          <w:spacing w:val="1"/>
        </w:rPr>
        <w:t>u</w:t>
      </w:r>
      <w:r w:rsidRPr="00C36727">
        <w:rPr>
          <w:spacing w:val="-1"/>
        </w:rPr>
        <w:t>n</w:t>
      </w:r>
      <w:r w:rsidRPr="00C36727">
        <w:t>d</w:t>
      </w:r>
      <w:r w:rsidRPr="00C36727">
        <w:rPr>
          <w:spacing w:val="-6"/>
        </w:rPr>
        <w:t xml:space="preserve"> </w:t>
      </w:r>
      <w:r w:rsidRPr="00C36727">
        <w:rPr>
          <w:spacing w:val="-1"/>
        </w:rPr>
        <w:t>f</w:t>
      </w:r>
      <w:r w:rsidRPr="00C36727">
        <w:rPr>
          <w:spacing w:val="2"/>
        </w:rPr>
        <w:t>i</w:t>
      </w:r>
      <w:r w:rsidRPr="00C36727">
        <w:rPr>
          <w:spacing w:val="-1"/>
        </w:rPr>
        <w:t>n</w:t>
      </w:r>
      <w:r w:rsidRPr="00C36727">
        <w:rPr>
          <w:spacing w:val="2"/>
        </w:rPr>
        <w:t>a</w:t>
      </w:r>
      <w:r w:rsidRPr="00C36727">
        <w:rPr>
          <w:spacing w:val="-1"/>
        </w:rPr>
        <w:t>n</w:t>
      </w:r>
      <w:r w:rsidRPr="00C36727">
        <w:t>cial</w:t>
      </w:r>
      <w:r w:rsidRPr="00C36727">
        <w:rPr>
          <w:spacing w:val="-7"/>
        </w:rPr>
        <w:t xml:space="preserve"> </w:t>
      </w:r>
      <w:r w:rsidRPr="00C36727">
        <w:t>ma</w:t>
      </w:r>
      <w:r w:rsidRPr="00C36727">
        <w:rPr>
          <w:spacing w:val="-1"/>
        </w:rPr>
        <w:t>n</w:t>
      </w:r>
      <w:r w:rsidRPr="00C36727">
        <w:rPr>
          <w:spacing w:val="2"/>
        </w:rPr>
        <w:t>a</w:t>
      </w:r>
      <w:r w:rsidRPr="00C36727">
        <w:rPr>
          <w:spacing w:val="-1"/>
        </w:rPr>
        <w:t>g</w:t>
      </w:r>
      <w:r w:rsidRPr="00C36727">
        <w:t>eme</w:t>
      </w:r>
      <w:r w:rsidRPr="00C36727">
        <w:rPr>
          <w:spacing w:val="1"/>
        </w:rPr>
        <w:t>n</w:t>
      </w:r>
      <w:r w:rsidRPr="00C36727">
        <w:rPr>
          <w:spacing w:val="-1"/>
        </w:rPr>
        <w:t>t</w:t>
      </w:r>
      <w:r w:rsidRPr="00C36727">
        <w:rPr>
          <w:spacing w:val="1"/>
        </w:rPr>
        <w:t>“</w:t>
      </w:r>
      <w:r w:rsidRPr="00C36727">
        <w:t>.</w:t>
      </w:r>
    </w:p>
    <w:p w:rsidR="003063A0" w:rsidRDefault="003063A0" w:rsidP="003063A0">
      <w:pPr>
        <w:pStyle w:val="Nadpis3"/>
      </w:pPr>
      <w:bookmarkStart w:id="69" w:name="_Toc410115464"/>
      <w:r>
        <w:t>Zodpovědnost za implementaci IFN</w:t>
      </w:r>
      <w:bookmarkEnd w:id="69"/>
    </w:p>
    <w:p w:rsidR="003063A0" w:rsidRPr="00FB24E1" w:rsidRDefault="003063A0" w:rsidP="003063A0">
      <w:pPr>
        <w:rPr>
          <w:lang w:eastAsia="cs-CZ"/>
        </w:rPr>
      </w:pPr>
      <w:r>
        <w:rPr>
          <w:lang w:eastAsia="cs-CZ"/>
        </w:rPr>
        <w:t>Za implementaci a nastavení IFN jsou zodpovědné jednotlivé řídící orgány</w:t>
      </w:r>
      <w:r w:rsidR="00AB730E">
        <w:rPr>
          <w:lang w:eastAsia="cs-CZ"/>
        </w:rPr>
        <w:t>,</w:t>
      </w:r>
      <w:r>
        <w:rPr>
          <w:lang w:eastAsia="cs-CZ"/>
        </w:rPr>
        <w:t xml:space="preserve"> a to na základě předběžných hodnocení operačních programů. Nicméně z hlediska synergií, odstran</w:t>
      </w:r>
      <w:r w:rsidR="00501760">
        <w:rPr>
          <w:lang w:eastAsia="cs-CZ"/>
        </w:rPr>
        <w:t>ě</w:t>
      </w:r>
      <w:r>
        <w:rPr>
          <w:lang w:eastAsia="cs-CZ"/>
        </w:rPr>
        <w:t>ní duplic</w:t>
      </w:r>
      <w:r w:rsidR="00501760">
        <w:rPr>
          <w:lang w:eastAsia="cs-CZ"/>
        </w:rPr>
        <w:t>i</w:t>
      </w:r>
      <w:r>
        <w:rPr>
          <w:lang w:eastAsia="cs-CZ"/>
        </w:rPr>
        <w:t xml:space="preserve">t, kontrolních mechanismů a podobně je vhodné, a tím se zabývá i tato analýza, celkové prostředí pro provádění IFN koordinovat na celostátní úrovni (tj. nezasahovat ŘO do jejich kompetencí </w:t>
      </w:r>
      <w:r w:rsidR="008846C4">
        <w:rPr>
          <w:lang w:eastAsia="cs-CZ"/>
        </w:rPr>
        <w:t>a </w:t>
      </w:r>
      <w:r>
        <w:rPr>
          <w:lang w:eastAsia="cs-CZ"/>
        </w:rPr>
        <w:t xml:space="preserve">obsahu) s cílem nastavení efektivního systému řízení IFN a to i s ohledem na vazby na EK </w:t>
      </w:r>
      <w:r w:rsidR="008846C4">
        <w:rPr>
          <w:lang w:eastAsia="cs-CZ"/>
        </w:rPr>
        <w:t>a </w:t>
      </w:r>
      <w:r>
        <w:rPr>
          <w:lang w:eastAsia="cs-CZ"/>
        </w:rPr>
        <w:t>jimi zřízené IFN.</w:t>
      </w:r>
    </w:p>
    <w:p w:rsidR="006C6BEC" w:rsidRDefault="003063A0">
      <w:pPr>
        <w:pStyle w:val="Nadpis3"/>
      </w:pPr>
      <w:bookmarkStart w:id="70" w:name="_Toc410115465"/>
      <w:r>
        <w:t>Dopady na státní rozpočet</w:t>
      </w:r>
      <w:r w:rsidR="00666204">
        <w:rPr>
          <w:rStyle w:val="Znakapoznpodarou"/>
        </w:rPr>
        <w:footnoteReference w:id="130"/>
      </w:r>
      <w:bookmarkEnd w:id="70"/>
    </w:p>
    <w:p w:rsidR="006C6BEC" w:rsidRDefault="003063A0">
      <w:pPr>
        <w:rPr>
          <w:lang w:eastAsia="cs-CZ"/>
        </w:rPr>
      </w:pPr>
      <w:r>
        <w:rPr>
          <w:lang w:eastAsia="cs-CZ"/>
        </w:rPr>
        <w:t>ČR není v současné situaci v pozici, kdy by mohla rozhodovat o tom</w:t>
      </w:r>
      <w:r w:rsidR="00501760">
        <w:rPr>
          <w:lang w:eastAsia="cs-CZ"/>
        </w:rPr>
        <w:t>,</w:t>
      </w:r>
      <w:r>
        <w:rPr>
          <w:lang w:eastAsia="cs-CZ"/>
        </w:rPr>
        <w:t xml:space="preserve"> zda IFN bude využívat </w:t>
      </w:r>
      <w:r w:rsidR="00CE1267">
        <w:rPr>
          <w:lang w:eastAsia="cs-CZ"/>
        </w:rPr>
        <w:t>či </w:t>
      </w:r>
      <w:r>
        <w:rPr>
          <w:lang w:eastAsia="cs-CZ"/>
        </w:rPr>
        <w:t>nikoliv. IFN jsou jednou z hlavních priorit EK pro povzbuzení hospodářského růstu a nasazení IFN je vyžadováno. IFN jsou také hlavní součástí Junckerova balíčku. Tato analýza podrobně neanalyzuje dopady na státní rozpočet a to z důvodu, že</w:t>
      </w:r>
      <w:r w:rsidR="004F67E7">
        <w:rPr>
          <w:lang w:eastAsia="cs-CZ"/>
        </w:rPr>
        <w:t>,</w:t>
      </w:r>
      <w:r>
        <w:rPr>
          <w:lang w:eastAsia="cs-CZ"/>
        </w:rPr>
        <w:t xml:space="preserve"> jak bylo uvedeno v předchozím </w:t>
      </w:r>
      <w:r>
        <w:rPr>
          <w:lang w:eastAsia="cs-CZ"/>
        </w:rPr>
        <w:lastRenderedPageBreak/>
        <w:t xml:space="preserve">odstavci, je za implementaci IFN zodpovědný ŘO příslušného operačního programu. Nicméně v úvahách o efektivitě nakládání s EU zdroji a také s prostředky státního rozpočtu ČR jsou v dalším textu preferována taková řešení, která koncentrují výkon určitých aktivit do jednoho centrálního místa z důvodu celkové nákladovosti systému (nedává příliš smysl, aby si jednotlivé ŘO </w:t>
      </w:r>
      <w:r w:rsidR="00CB0B24">
        <w:rPr>
          <w:lang w:eastAsia="cs-CZ"/>
        </w:rPr>
        <w:t>vytvářely vlastní jednotky poskytování služeb k IFN, pokud je možné je jakkoliv centralizovat</w:t>
      </w:r>
      <w:r w:rsidR="00775361">
        <w:rPr>
          <w:lang w:eastAsia="cs-CZ"/>
        </w:rPr>
        <w:t>)</w:t>
      </w:r>
      <w:r w:rsidR="00CB0B24">
        <w:rPr>
          <w:lang w:eastAsia="cs-CZ"/>
        </w:rPr>
        <w:t xml:space="preserve">. I bez podrobnější </w:t>
      </w:r>
      <w:r w:rsidR="00775361">
        <w:rPr>
          <w:lang w:eastAsia="cs-CZ"/>
        </w:rPr>
        <w:t xml:space="preserve">analýzy </w:t>
      </w:r>
      <w:r w:rsidR="00CB0B24">
        <w:rPr>
          <w:lang w:eastAsia="cs-CZ"/>
        </w:rPr>
        <w:t xml:space="preserve">je zřejmé, že poskytování služeb např. 10 různých IFN z jednoho místa je ekonomicky efektivnější než vytvářet 10 samostatných jednotek. </w:t>
      </w:r>
      <w:r w:rsidR="00AF0830">
        <w:rPr>
          <w:lang w:eastAsia="cs-CZ"/>
        </w:rPr>
        <w:t>Provozní náklady implementační struktury IFN</w:t>
      </w:r>
      <w:r w:rsidR="004C2CF1">
        <w:rPr>
          <w:lang w:eastAsia="cs-CZ"/>
        </w:rPr>
        <w:t>,</w:t>
      </w:r>
      <w:r w:rsidR="00AF0830">
        <w:rPr>
          <w:lang w:eastAsia="cs-CZ"/>
        </w:rPr>
        <w:t xml:space="preserve"> </w:t>
      </w:r>
      <w:r w:rsidR="004C2CF1">
        <w:rPr>
          <w:lang w:eastAsia="cs-CZ"/>
        </w:rPr>
        <w:t>t</w:t>
      </w:r>
      <w:r w:rsidR="00AF0830">
        <w:rPr>
          <w:lang w:eastAsia="cs-CZ"/>
        </w:rPr>
        <w:t xml:space="preserve">j. jak činnost </w:t>
      </w:r>
      <w:r w:rsidR="009C22FB">
        <w:rPr>
          <w:lang w:eastAsia="cs-CZ"/>
        </w:rPr>
        <w:t>F</w:t>
      </w:r>
      <w:r w:rsidR="00AF0830">
        <w:rPr>
          <w:lang w:eastAsia="cs-CZ"/>
        </w:rPr>
        <w:t>ondu fondů</w:t>
      </w:r>
      <w:r w:rsidR="004C2CF1">
        <w:rPr>
          <w:lang w:eastAsia="cs-CZ"/>
        </w:rPr>
        <w:t>,</w:t>
      </w:r>
      <w:r w:rsidR="00AF0830">
        <w:rPr>
          <w:lang w:eastAsia="cs-CZ"/>
        </w:rPr>
        <w:t xml:space="preserve"> tak i činnost finančního zprostředkovatele IFN</w:t>
      </w:r>
      <w:r w:rsidR="004C2CF1">
        <w:rPr>
          <w:lang w:eastAsia="cs-CZ"/>
        </w:rPr>
        <w:t>,</w:t>
      </w:r>
      <w:r w:rsidR="00AF0830">
        <w:rPr>
          <w:lang w:eastAsia="cs-CZ"/>
        </w:rPr>
        <w:t xml:space="preserve"> jsou hrazeny z </w:t>
      </w:r>
      <w:r w:rsidR="009817ED">
        <w:rPr>
          <w:lang w:eastAsia="cs-CZ"/>
        </w:rPr>
        <w:t>ESIF</w:t>
      </w:r>
      <w:r w:rsidR="00AF0830">
        <w:rPr>
          <w:lang w:eastAsia="cs-CZ"/>
        </w:rPr>
        <w:t>. Nařízení EK uvádí maximální hodnoty, které mohou být ze zdrojů ESIF celkově vyplaceny. Při hodnocení efektivity implementace IFN je</w:t>
      </w:r>
      <w:r w:rsidR="00E871A7">
        <w:rPr>
          <w:lang w:eastAsia="cs-CZ"/>
        </w:rPr>
        <w:t> </w:t>
      </w:r>
      <w:r w:rsidR="00AF0830">
        <w:rPr>
          <w:lang w:eastAsia="cs-CZ"/>
        </w:rPr>
        <w:t xml:space="preserve">preferováno řešení celkově snižující náklady na správu a také řešení, kdy z prostředků </w:t>
      </w:r>
      <w:r w:rsidR="009817ED">
        <w:rPr>
          <w:lang w:eastAsia="cs-CZ"/>
        </w:rPr>
        <w:t>ESIF</w:t>
      </w:r>
      <w:r w:rsidR="00AF0830">
        <w:rPr>
          <w:lang w:eastAsia="cs-CZ"/>
        </w:rPr>
        <w:t xml:space="preserve"> jsou hrazeny služby primárně subjektů se sídlem v ČR.</w:t>
      </w:r>
    </w:p>
    <w:p w:rsidR="006C6BEC" w:rsidRDefault="00AF0830">
      <w:pPr>
        <w:pStyle w:val="Nadpis3"/>
      </w:pPr>
      <w:bookmarkStart w:id="71" w:name="_Toc410115466"/>
      <w:r>
        <w:t>Vztah k</w:t>
      </w:r>
      <w:r w:rsidR="00CB0B24">
        <w:t xml:space="preserve"> státní pokladně</w:t>
      </w:r>
      <w:bookmarkEnd w:id="71"/>
    </w:p>
    <w:p w:rsidR="000438CB" w:rsidRDefault="00E87264" w:rsidP="00B54C37">
      <w:r w:rsidRPr="00E87264">
        <w:t xml:space="preserve">Vzhledem k tomu, že v současné době není zřejmé, v jaké podobě bude existovat zákon o státní pokladně, je obtížné tuto oblast vyhodnocovat. </w:t>
      </w:r>
      <w:r w:rsidR="000E42E0">
        <w:t>P</w:t>
      </w:r>
      <w:r w:rsidRPr="00E87264">
        <w:t xml:space="preserve">rostředky alokované v IFN jsou zdrojové prostředky ESIF, resp. prostředky rozpočtu EK, </w:t>
      </w:r>
      <w:r w:rsidR="000E42E0">
        <w:t xml:space="preserve">u kterých má </w:t>
      </w:r>
      <w:r w:rsidRPr="00E87264">
        <w:t xml:space="preserve">docházet k propojování veřejných </w:t>
      </w:r>
      <w:r w:rsidR="009A2A05" w:rsidRPr="00E87264">
        <w:t>a</w:t>
      </w:r>
      <w:r w:rsidR="009A2A05">
        <w:t> </w:t>
      </w:r>
      <w:r w:rsidRPr="00E87264">
        <w:t>soukromých zdrojů</w:t>
      </w:r>
      <w:r w:rsidR="000E42E0">
        <w:t>.</w:t>
      </w:r>
      <w:r w:rsidRPr="00E87264">
        <w:t xml:space="preserve"> </w:t>
      </w:r>
      <w:r w:rsidR="000E42E0">
        <w:t>A</w:t>
      </w:r>
      <w:r w:rsidRPr="00E87264">
        <w:t>by nedocházelo k porušování pravidel při čerpání prostředků ESIF</w:t>
      </w:r>
      <w:r w:rsidR="000E42E0">
        <w:t xml:space="preserve">, </w:t>
      </w:r>
      <w:r w:rsidR="000E42E0" w:rsidRPr="002003D1">
        <w:t xml:space="preserve">neměly </w:t>
      </w:r>
      <w:r w:rsidR="003D7AFB">
        <w:t xml:space="preserve">by </w:t>
      </w:r>
      <w:r w:rsidR="000E42E0" w:rsidRPr="002003D1">
        <w:t>být prostředky alokované v IFN součástí státní pokladny</w:t>
      </w:r>
      <w:r w:rsidRPr="00E87264">
        <w:t>. Toto platí bez ohledu na výběr konkrétní varianty při implementaci IFN. Bude tedy potřeba dbát zvýšené pozornosti při koordinaci implementace IFN a přípravě státní pokladny, což bude předmětem navazující etapy prací na implementaci IFN (viz také Shrnutí – bod 4).</w:t>
      </w:r>
    </w:p>
    <w:p w:rsidR="000438CB" w:rsidRDefault="00E87264">
      <w:pPr>
        <w:pStyle w:val="Nadpis3"/>
        <w:ind w:left="567" w:hanging="567"/>
      </w:pPr>
      <w:bookmarkStart w:id="72" w:name="_Toc410115467"/>
      <w:r w:rsidRPr="00E87264">
        <w:t>Pr</w:t>
      </w:r>
      <w:r w:rsidR="00C36727" w:rsidRPr="003D7AFB">
        <w:t>á</w:t>
      </w:r>
      <w:r w:rsidRPr="00E87264">
        <w:t>v</w:t>
      </w:r>
      <w:r w:rsidR="00C36727" w:rsidRPr="003D7AFB">
        <w:t>ní</w:t>
      </w:r>
      <w:r w:rsidRPr="00E87264">
        <w:t xml:space="preserve"> subjektivita IFN</w:t>
      </w:r>
      <w:bookmarkEnd w:id="72"/>
    </w:p>
    <w:p w:rsidR="00C36727" w:rsidRPr="00762D1D" w:rsidRDefault="00C36727" w:rsidP="0049720A">
      <w:pPr>
        <w:pStyle w:val="Odskoknadpis4"/>
      </w:pPr>
      <w:r w:rsidRPr="00762D1D">
        <w:rPr>
          <w:spacing w:val="1"/>
        </w:rPr>
        <w:t>J</w:t>
      </w:r>
      <w:r w:rsidRPr="00762D1D">
        <w:t>edn</w:t>
      </w:r>
      <w:r w:rsidRPr="00762D1D">
        <w:rPr>
          <w:spacing w:val="1"/>
        </w:rPr>
        <w:t>o</w:t>
      </w:r>
      <w:r w:rsidRPr="00762D1D">
        <w:t>t</w:t>
      </w:r>
      <w:r w:rsidRPr="00762D1D">
        <w:rPr>
          <w:spacing w:val="1"/>
        </w:rPr>
        <w:t>li</w:t>
      </w:r>
      <w:r w:rsidRPr="00762D1D">
        <w:rPr>
          <w:spacing w:val="-1"/>
        </w:rPr>
        <w:t>v</w:t>
      </w:r>
      <w:r w:rsidRPr="00762D1D">
        <w:t>á</w:t>
      </w:r>
      <w:r w:rsidRPr="00762D1D">
        <w:rPr>
          <w:spacing w:val="4"/>
        </w:rPr>
        <w:t xml:space="preserve"> </w:t>
      </w:r>
      <w:r w:rsidRPr="00762D1D">
        <w:rPr>
          <w:spacing w:val="-1"/>
        </w:rPr>
        <w:t>n</w:t>
      </w:r>
      <w:r w:rsidRPr="00762D1D">
        <w:t>a</w:t>
      </w:r>
      <w:r w:rsidRPr="00762D1D">
        <w:rPr>
          <w:spacing w:val="1"/>
        </w:rPr>
        <w:t>ř</w:t>
      </w:r>
      <w:r w:rsidRPr="00762D1D">
        <w:t>í</w:t>
      </w:r>
      <w:r w:rsidRPr="00762D1D">
        <w:rPr>
          <w:spacing w:val="1"/>
        </w:rPr>
        <w:t>z</w:t>
      </w:r>
      <w:r w:rsidRPr="00762D1D">
        <w:t>ení</w:t>
      </w:r>
      <w:r w:rsidRPr="00762D1D">
        <w:rPr>
          <w:spacing w:val="3"/>
        </w:rPr>
        <w:t xml:space="preserve"> </w:t>
      </w:r>
      <w:r w:rsidRPr="00762D1D">
        <w:rPr>
          <w:spacing w:val="1"/>
        </w:rPr>
        <w:t>E</w:t>
      </w:r>
      <w:r w:rsidRPr="00762D1D">
        <w:t>K</w:t>
      </w:r>
      <w:r w:rsidRPr="00762D1D">
        <w:rPr>
          <w:spacing w:val="9"/>
        </w:rPr>
        <w:t xml:space="preserve"> </w:t>
      </w:r>
      <w:r w:rsidRPr="00762D1D">
        <w:t>speci</w:t>
      </w:r>
      <w:r w:rsidRPr="00762D1D">
        <w:rPr>
          <w:spacing w:val="-1"/>
        </w:rPr>
        <w:t>f</w:t>
      </w:r>
      <w:r w:rsidRPr="00762D1D">
        <w:t>ic</w:t>
      </w:r>
      <w:r w:rsidRPr="00762D1D">
        <w:rPr>
          <w:spacing w:val="3"/>
        </w:rPr>
        <w:t>k</w:t>
      </w:r>
      <w:r w:rsidRPr="00762D1D">
        <w:t xml:space="preserve">y </w:t>
      </w:r>
      <w:r w:rsidRPr="00762D1D">
        <w:rPr>
          <w:spacing w:val="-1"/>
        </w:rPr>
        <w:t>n</w:t>
      </w:r>
      <w:r w:rsidRPr="00762D1D">
        <w:rPr>
          <w:spacing w:val="2"/>
        </w:rPr>
        <w:t>e</w:t>
      </w:r>
      <w:r w:rsidRPr="00762D1D">
        <w:rPr>
          <w:spacing w:val="-1"/>
        </w:rPr>
        <w:t>d</w:t>
      </w:r>
      <w:r w:rsidRPr="00762D1D">
        <w:t>ef</w:t>
      </w:r>
      <w:r w:rsidRPr="00762D1D">
        <w:rPr>
          <w:spacing w:val="2"/>
        </w:rPr>
        <w:t>i</w:t>
      </w:r>
      <w:r w:rsidRPr="00762D1D">
        <w:rPr>
          <w:spacing w:val="-1"/>
        </w:rPr>
        <w:t>nu</w:t>
      </w:r>
      <w:r w:rsidRPr="00762D1D">
        <w:t>jí</w:t>
      </w:r>
      <w:r w:rsidRPr="00762D1D">
        <w:rPr>
          <w:spacing w:val="3"/>
        </w:rPr>
        <w:t xml:space="preserve"> </w:t>
      </w:r>
      <w:r w:rsidRPr="00762D1D">
        <w:rPr>
          <w:spacing w:val="2"/>
        </w:rPr>
        <w:t>po</w:t>
      </w:r>
      <w:r w:rsidRPr="00762D1D">
        <w:rPr>
          <w:spacing w:val="1"/>
        </w:rPr>
        <w:t>ž</w:t>
      </w:r>
      <w:r w:rsidRPr="00762D1D">
        <w:t>ada</w:t>
      </w:r>
      <w:r w:rsidRPr="00762D1D">
        <w:rPr>
          <w:spacing w:val="-2"/>
        </w:rPr>
        <w:t>v</w:t>
      </w:r>
      <w:r w:rsidRPr="00762D1D">
        <w:rPr>
          <w:spacing w:val="2"/>
        </w:rPr>
        <w:t>k</w:t>
      </w:r>
      <w:r w:rsidRPr="00762D1D">
        <w:t>y</w:t>
      </w:r>
      <w:r w:rsidRPr="00762D1D">
        <w:rPr>
          <w:spacing w:val="1"/>
        </w:rPr>
        <w:t xml:space="preserve"> </w:t>
      </w:r>
      <w:r w:rsidRPr="00762D1D">
        <w:rPr>
          <w:spacing w:val="-1"/>
        </w:rPr>
        <w:t>n</w:t>
      </w:r>
      <w:r w:rsidRPr="00762D1D">
        <w:t>a</w:t>
      </w:r>
      <w:r w:rsidRPr="00762D1D">
        <w:rPr>
          <w:spacing w:val="9"/>
        </w:rPr>
        <w:t xml:space="preserve"> </w:t>
      </w:r>
      <w:r w:rsidRPr="00762D1D">
        <w:rPr>
          <w:spacing w:val="-1"/>
        </w:rPr>
        <w:t>p</w:t>
      </w:r>
      <w:r w:rsidRPr="00762D1D">
        <w:t>r</w:t>
      </w:r>
      <w:r w:rsidRPr="00762D1D">
        <w:rPr>
          <w:spacing w:val="2"/>
        </w:rPr>
        <w:t>á</w:t>
      </w:r>
      <w:r w:rsidRPr="00762D1D">
        <w:rPr>
          <w:spacing w:val="-2"/>
        </w:rPr>
        <w:t>v</w:t>
      </w:r>
      <w:r w:rsidRPr="00762D1D">
        <w:rPr>
          <w:spacing w:val="-1"/>
        </w:rPr>
        <w:t>n</w:t>
      </w:r>
      <w:r w:rsidRPr="00762D1D">
        <w:t>í</w:t>
      </w:r>
      <w:r w:rsidRPr="00762D1D">
        <w:rPr>
          <w:spacing w:val="6"/>
        </w:rPr>
        <w:t xml:space="preserve"> </w:t>
      </w:r>
      <w:r w:rsidRPr="00762D1D">
        <w:rPr>
          <w:spacing w:val="2"/>
        </w:rPr>
        <w:t>su</w:t>
      </w:r>
      <w:r w:rsidRPr="00762D1D">
        <w:rPr>
          <w:spacing w:val="-1"/>
        </w:rPr>
        <w:t>b</w:t>
      </w:r>
      <w:r w:rsidRPr="00762D1D">
        <w:t>jekt</w:t>
      </w:r>
      <w:r w:rsidRPr="00762D1D">
        <w:rPr>
          <w:spacing w:val="2"/>
        </w:rPr>
        <w:t>i</w:t>
      </w:r>
      <w:r w:rsidRPr="00762D1D">
        <w:rPr>
          <w:spacing w:val="-2"/>
        </w:rPr>
        <w:t>v</w:t>
      </w:r>
      <w:r w:rsidRPr="00762D1D">
        <w:t>i</w:t>
      </w:r>
      <w:r w:rsidRPr="00762D1D">
        <w:rPr>
          <w:spacing w:val="2"/>
        </w:rPr>
        <w:t>t</w:t>
      </w:r>
      <w:r w:rsidRPr="00762D1D">
        <w:t>u</w:t>
      </w:r>
      <w:r w:rsidRPr="00762D1D">
        <w:rPr>
          <w:spacing w:val="6"/>
        </w:rPr>
        <w:t xml:space="preserve"> </w:t>
      </w:r>
      <w:r w:rsidRPr="00762D1D">
        <w:t>su</w:t>
      </w:r>
      <w:r w:rsidRPr="00762D1D">
        <w:rPr>
          <w:spacing w:val="-1"/>
        </w:rPr>
        <w:t>b</w:t>
      </w:r>
      <w:r w:rsidRPr="00762D1D">
        <w:t>je</w:t>
      </w:r>
      <w:r w:rsidRPr="00762D1D">
        <w:rPr>
          <w:spacing w:val="3"/>
        </w:rPr>
        <w:t>k</w:t>
      </w:r>
      <w:r w:rsidRPr="00762D1D">
        <w:rPr>
          <w:spacing w:val="-1"/>
        </w:rPr>
        <w:t>t</w:t>
      </w:r>
      <w:r w:rsidRPr="00762D1D">
        <w:t>ů im</w:t>
      </w:r>
      <w:r w:rsidRPr="00762D1D">
        <w:rPr>
          <w:spacing w:val="-1"/>
        </w:rPr>
        <w:t>p</w:t>
      </w:r>
      <w:r w:rsidRPr="00762D1D">
        <w:t>lem</w:t>
      </w:r>
      <w:r w:rsidRPr="00762D1D">
        <w:rPr>
          <w:spacing w:val="2"/>
        </w:rPr>
        <w:t>e</w:t>
      </w:r>
      <w:r w:rsidRPr="00762D1D">
        <w:rPr>
          <w:spacing w:val="-1"/>
        </w:rPr>
        <w:t>ntu</w:t>
      </w:r>
      <w:r w:rsidRPr="00762D1D">
        <w:t>jící</w:t>
      </w:r>
      <w:r w:rsidRPr="00762D1D">
        <w:rPr>
          <w:spacing w:val="3"/>
        </w:rPr>
        <w:t>c</w:t>
      </w:r>
      <w:r w:rsidRPr="00762D1D">
        <w:t>h</w:t>
      </w:r>
      <w:r w:rsidRPr="00762D1D">
        <w:rPr>
          <w:spacing w:val="-12"/>
        </w:rPr>
        <w:t xml:space="preserve"> </w:t>
      </w:r>
      <w:r w:rsidR="00A56B56">
        <w:rPr>
          <w:spacing w:val="-1"/>
        </w:rPr>
        <w:t>IFN</w:t>
      </w:r>
      <w:r w:rsidRPr="00762D1D">
        <w:t>.</w:t>
      </w:r>
      <w:r w:rsidRPr="00762D1D">
        <w:rPr>
          <w:spacing w:val="-2"/>
        </w:rPr>
        <w:t xml:space="preserve"> </w:t>
      </w:r>
      <w:r w:rsidRPr="00762D1D">
        <w:rPr>
          <w:spacing w:val="3"/>
        </w:rPr>
        <w:t>P</w:t>
      </w:r>
      <w:r w:rsidRPr="00762D1D">
        <w:rPr>
          <w:spacing w:val="-1"/>
        </w:rPr>
        <w:t>o</w:t>
      </w:r>
      <w:r w:rsidRPr="00762D1D">
        <w:rPr>
          <w:spacing w:val="1"/>
        </w:rPr>
        <w:t>ž</w:t>
      </w:r>
      <w:r w:rsidRPr="00762D1D">
        <w:t>ad</w:t>
      </w:r>
      <w:r w:rsidRPr="00762D1D">
        <w:rPr>
          <w:spacing w:val="2"/>
        </w:rPr>
        <w:t>a</w:t>
      </w:r>
      <w:r w:rsidRPr="00762D1D">
        <w:rPr>
          <w:spacing w:val="-2"/>
        </w:rPr>
        <w:t>v</w:t>
      </w:r>
      <w:r w:rsidRPr="00762D1D">
        <w:t>kem</w:t>
      </w:r>
      <w:r w:rsidRPr="00762D1D">
        <w:rPr>
          <w:spacing w:val="-7"/>
        </w:rPr>
        <w:t xml:space="preserve"> </w:t>
      </w:r>
      <w:r w:rsidRPr="00762D1D">
        <w:t>n</w:t>
      </w:r>
      <w:r w:rsidRPr="00762D1D">
        <w:rPr>
          <w:spacing w:val="1"/>
        </w:rPr>
        <w:t>i</w:t>
      </w:r>
      <w:r w:rsidRPr="00762D1D">
        <w:rPr>
          <w:spacing w:val="3"/>
        </w:rPr>
        <w:t>c</w:t>
      </w:r>
      <w:r w:rsidRPr="00762D1D">
        <w:rPr>
          <w:spacing w:val="-2"/>
        </w:rPr>
        <w:t>m</w:t>
      </w:r>
      <w:r w:rsidRPr="00762D1D">
        <w:t>éně</w:t>
      </w:r>
      <w:r w:rsidRPr="00762D1D">
        <w:rPr>
          <w:spacing w:val="1"/>
        </w:rPr>
        <w:t xml:space="preserve"> </w:t>
      </w:r>
      <w:r w:rsidRPr="00762D1D">
        <w:rPr>
          <w:spacing w:val="-1"/>
        </w:rPr>
        <w:t>j</w:t>
      </w:r>
      <w:r w:rsidRPr="00762D1D">
        <w:t>e,</w:t>
      </w:r>
      <w:r w:rsidRPr="00762D1D">
        <w:rPr>
          <w:spacing w:val="3"/>
        </w:rPr>
        <w:t xml:space="preserve"> </w:t>
      </w:r>
      <w:r w:rsidRPr="00762D1D">
        <w:t>a</w:t>
      </w:r>
      <w:r w:rsidRPr="00762D1D">
        <w:rPr>
          <w:spacing w:val="3"/>
        </w:rPr>
        <w:t>b</w:t>
      </w:r>
      <w:r w:rsidRPr="00762D1D">
        <w:t>y</w:t>
      </w:r>
      <w:r w:rsidRPr="00762D1D">
        <w:rPr>
          <w:spacing w:val="4"/>
        </w:rPr>
        <w:t xml:space="preserve"> </w:t>
      </w:r>
      <w:r w:rsidR="00A56B56">
        <w:rPr>
          <w:spacing w:val="-1"/>
        </w:rPr>
        <w:t>IFN</w:t>
      </w:r>
      <w:r w:rsidRPr="00762D1D">
        <w:rPr>
          <w:spacing w:val="-2"/>
        </w:rPr>
        <w:t xml:space="preserve"> </w:t>
      </w:r>
      <w:r w:rsidRPr="00762D1D">
        <w:rPr>
          <w:spacing w:val="2"/>
        </w:rPr>
        <w:t>b</w:t>
      </w:r>
      <w:r w:rsidRPr="00762D1D">
        <w:rPr>
          <w:spacing w:val="-2"/>
        </w:rPr>
        <w:t>y</w:t>
      </w:r>
      <w:r w:rsidRPr="00762D1D">
        <w:rPr>
          <w:spacing w:val="2"/>
        </w:rPr>
        <w:t>l</w:t>
      </w:r>
      <w:r w:rsidRPr="00762D1D">
        <w:t xml:space="preserve">y </w:t>
      </w:r>
      <w:r w:rsidRPr="00762D1D">
        <w:rPr>
          <w:spacing w:val="1"/>
        </w:rPr>
        <w:t>z</w:t>
      </w:r>
      <w:r w:rsidRPr="00762D1D">
        <w:t>ří</w:t>
      </w:r>
      <w:r w:rsidRPr="00762D1D">
        <w:rPr>
          <w:spacing w:val="1"/>
        </w:rPr>
        <w:t>z</w:t>
      </w:r>
      <w:r w:rsidRPr="00762D1D">
        <w:t>e</w:t>
      </w:r>
      <w:r w:rsidRPr="00762D1D">
        <w:rPr>
          <w:spacing w:val="2"/>
        </w:rPr>
        <w:t>n</w:t>
      </w:r>
      <w:r w:rsidRPr="00762D1D">
        <w:t xml:space="preserve">y </w:t>
      </w:r>
      <w:r w:rsidR="003B5238" w:rsidRPr="00762D1D">
        <w:t>na</w:t>
      </w:r>
      <w:r w:rsidR="003B5238" w:rsidRPr="00762D1D">
        <w:rPr>
          <w:spacing w:val="9"/>
        </w:rPr>
        <w:t xml:space="preserve"> </w:t>
      </w:r>
      <w:r w:rsidR="003B5238" w:rsidRPr="00762D1D">
        <w:rPr>
          <w:spacing w:val="-1"/>
        </w:rPr>
        <w:t>z</w:t>
      </w:r>
      <w:r w:rsidR="003B5238" w:rsidRPr="00762D1D">
        <w:t>á</w:t>
      </w:r>
      <w:r w:rsidR="003B5238" w:rsidRPr="00762D1D">
        <w:rPr>
          <w:spacing w:val="1"/>
        </w:rPr>
        <w:t>kl</w:t>
      </w:r>
      <w:r w:rsidR="003B5238" w:rsidRPr="00762D1D">
        <w:t>adě</w:t>
      </w:r>
      <w:r w:rsidR="003B5238" w:rsidRPr="00762D1D">
        <w:rPr>
          <w:spacing w:val="3"/>
        </w:rPr>
        <w:t xml:space="preserve"> </w:t>
      </w:r>
      <w:r w:rsidR="003B5238" w:rsidRPr="00762D1D">
        <w:t>doh</w:t>
      </w:r>
      <w:r w:rsidR="003B5238" w:rsidRPr="00762D1D">
        <w:rPr>
          <w:spacing w:val="1"/>
        </w:rPr>
        <w:t>o</w:t>
      </w:r>
      <w:r w:rsidR="003B5238" w:rsidRPr="00762D1D">
        <w:t>d</w:t>
      </w:r>
      <w:r w:rsidR="003B5238" w:rsidRPr="00762D1D">
        <w:rPr>
          <w:spacing w:val="4"/>
        </w:rPr>
        <w:t xml:space="preserve"> </w:t>
      </w:r>
      <w:r w:rsidR="009A2A05" w:rsidRPr="00762D1D">
        <w:t>o</w:t>
      </w:r>
      <w:r w:rsidR="009A2A05">
        <w:rPr>
          <w:spacing w:val="8"/>
        </w:rPr>
        <w:t> </w:t>
      </w:r>
      <w:r w:rsidR="003B5238" w:rsidRPr="00762D1D">
        <w:rPr>
          <w:spacing w:val="1"/>
        </w:rPr>
        <w:t>s</w:t>
      </w:r>
      <w:r w:rsidR="003B5238" w:rsidRPr="00762D1D">
        <w:rPr>
          <w:spacing w:val="2"/>
        </w:rPr>
        <w:t>p</w:t>
      </w:r>
      <w:r w:rsidR="003B5238" w:rsidRPr="00762D1D">
        <w:t>o</w:t>
      </w:r>
      <w:r w:rsidR="003B5238" w:rsidRPr="00762D1D">
        <w:rPr>
          <w:spacing w:val="1"/>
        </w:rPr>
        <w:t>l</w:t>
      </w:r>
      <w:r w:rsidR="003B5238" w:rsidRPr="00762D1D">
        <w:t>uf</w:t>
      </w:r>
      <w:r w:rsidR="003B5238" w:rsidRPr="00762D1D">
        <w:rPr>
          <w:spacing w:val="1"/>
        </w:rPr>
        <w:t>i</w:t>
      </w:r>
      <w:r w:rsidR="003B5238" w:rsidRPr="00762D1D">
        <w:t>nan</w:t>
      </w:r>
      <w:r w:rsidR="003B5238" w:rsidRPr="00762D1D">
        <w:rPr>
          <w:spacing w:val="2"/>
        </w:rPr>
        <w:t>c</w:t>
      </w:r>
      <w:r w:rsidR="003B5238" w:rsidRPr="00762D1D">
        <w:t>o</w:t>
      </w:r>
      <w:r w:rsidR="003B5238" w:rsidRPr="00762D1D">
        <w:rPr>
          <w:spacing w:val="-1"/>
        </w:rPr>
        <w:t>v</w:t>
      </w:r>
      <w:r w:rsidR="003B5238" w:rsidRPr="00762D1D">
        <w:t xml:space="preserve">ání </w:t>
      </w:r>
      <w:r w:rsidRPr="00762D1D">
        <w:t>bu</w:t>
      </w:r>
      <w:r w:rsidRPr="00762D1D">
        <w:rPr>
          <w:spacing w:val="1"/>
        </w:rPr>
        <w:t>ď</w:t>
      </w:r>
      <w:r w:rsidRPr="00762D1D">
        <w:t>to jako</w:t>
      </w:r>
      <w:r w:rsidRPr="00762D1D">
        <w:rPr>
          <w:spacing w:val="4"/>
        </w:rPr>
        <w:t xml:space="preserve"> </w:t>
      </w:r>
      <w:r w:rsidRPr="00762D1D">
        <w:rPr>
          <w:spacing w:val="-1"/>
        </w:rPr>
        <w:t>n</w:t>
      </w:r>
      <w:r w:rsidRPr="00762D1D">
        <w:t>e</w:t>
      </w:r>
      <w:r w:rsidRPr="00762D1D">
        <w:rPr>
          <w:spacing w:val="1"/>
        </w:rPr>
        <w:t>z</w:t>
      </w:r>
      <w:r w:rsidRPr="00762D1D">
        <w:rPr>
          <w:spacing w:val="2"/>
        </w:rPr>
        <w:t>á</w:t>
      </w:r>
      <w:r w:rsidRPr="00762D1D">
        <w:rPr>
          <w:spacing w:val="-2"/>
        </w:rPr>
        <w:t>v</w:t>
      </w:r>
      <w:r w:rsidRPr="00762D1D">
        <w:t>islé</w:t>
      </w:r>
      <w:r w:rsidRPr="00762D1D">
        <w:rPr>
          <w:spacing w:val="4"/>
        </w:rPr>
        <w:t xml:space="preserve"> </w:t>
      </w:r>
      <w:r w:rsidRPr="00762D1D">
        <w:rPr>
          <w:spacing w:val="-1"/>
        </w:rPr>
        <w:t>p</w:t>
      </w:r>
      <w:r w:rsidRPr="00762D1D">
        <w:t>r</w:t>
      </w:r>
      <w:r w:rsidRPr="00762D1D">
        <w:rPr>
          <w:spacing w:val="2"/>
        </w:rPr>
        <w:t>á</w:t>
      </w:r>
      <w:r w:rsidRPr="00762D1D">
        <w:rPr>
          <w:spacing w:val="-2"/>
        </w:rPr>
        <w:t>v</w:t>
      </w:r>
      <w:r w:rsidRPr="00762D1D">
        <w:rPr>
          <w:spacing w:val="-1"/>
        </w:rPr>
        <w:t>n</w:t>
      </w:r>
      <w:r w:rsidRPr="00762D1D">
        <w:t>í</w:t>
      </w:r>
      <w:r w:rsidRPr="00762D1D">
        <w:rPr>
          <w:spacing w:val="4"/>
        </w:rPr>
        <w:t xml:space="preserve"> </w:t>
      </w:r>
      <w:r w:rsidRPr="00762D1D">
        <w:rPr>
          <w:spacing w:val="2"/>
        </w:rPr>
        <w:t>s</w:t>
      </w:r>
      <w:r w:rsidRPr="00762D1D">
        <w:rPr>
          <w:spacing w:val="-1"/>
        </w:rPr>
        <w:t>ub</w:t>
      </w:r>
      <w:r w:rsidRPr="00762D1D">
        <w:rPr>
          <w:spacing w:val="4"/>
        </w:rPr>
        <w:t>j</w:t>
      </w:r>
      <w:r w:rsidRPr="00762D1D">
        <w:t>ek</w:t>
      </w:r>
      <w:r w:rsidRPr="00762D1D">
        <w:rPr>
          <w:spacing w:val="2"/>
        </w:rPr>
        <w:t>t</w:t>
      </w:r>
      <w:r w:rsidRPr="00762D1D">
        <w:t xml:space="preserve">y </w:t>
      </w:r>
      <w:r w:rsidRPr="00762D1D">
        <w:rPr>
          <w:spacing w:val="1"/>
        </w:rPr>
        <w:t>s</w:t>
      </w:r>
      <w:r w:rsidRPr="00762D1D">
        <w:t>pr</w:t>
      </w:r>
      <w:r w:rsidRPr="00762D1D">
        <w:rPr>
          <w:spacing w:val="2"/>
        </w:rPr>
        <w:t>a</w:t>
      </w:r>
      <w:r w:rsidRPr="00762D1D">
        <w:rPr>
          <w:spacing w:val="-1"/>
        </w:rPr>
        <w:t>v</w:t>
      </w:r>
      <w:r w:rsidRPr="00762D1D">
        <w:t>o</w:t>
      </w:r>
      <w:r w:rsidRPr="00762D1D">
        <w:rPr>
          <w:spacing w:val="-1"/>
        </w:rPr>
        <w:t>v</w:t>
      </w:r>
      <w:r w:rsidRPr="00762D1D">
        <w:t>ané</w:t>
      </w:r>
      <w:r w:rsidRPr="00762D1D">
        <w:rPr>
          <w:spacing w:val="1"/>
        </w:rPr>
        <w:t xml:space="preserve"> </w:t>
      </w:r>
      <w:r w:rsidRPr="00762D1D">
        <w:t>a</w:t>
      </w:r>
      <w:r w:rsidRPr="00762D1D">
        <w:rPr>
          <w:spacing w:val="1"/>
        </w:rPr>
        <w:t>kci</w:t>
      </w:r>
      <w:r w:rsidRPr="00762D1D">
        <w:t>onáři</w:t>
      </w:r>
      <w:r w:rsidR="00724305">
        <w:t xml:space="preserve"> (kapitálové struktury)</w:t>
      </w:r>
      <w:r w:rsidRPr="00762D1D">
        <w:rPr>
          <w:spacing w:val="2"/>
        </w:rPr>
        <w:t xml:space="preserve"> </w:t>
      </w:r>
      <w:r w:rsidRPr="00762D1D">
        <w:t>nebo jako</w:t>
      </w:r>
      <w:r w:rsidRPr="00762D1D">
        <w:rPr>
          <w:spacing w:val="8"/>
        </w:rPr>
        <w:t xml:space="preserve"> </w:t>
      </w:r>
      <w:r w:rsidRPr="00762D1D">
        <w:t>sam</w:t>
      </w:r>
      <w:r w:rsidRPr="00762D1D">
        <w:rPr>
          <w:spacing w:val="-1"/>
        </w:rPr>
        <w:t>o</w:t>
      </w:r>
      <w:r w:rsidRPr="00762D1D">
        <w:rPr>
          <w:spacing w:val="2"/>
        </w:rPr>
        <w:t>s</w:t>
      </w:r>
      <w:r w:rsidRPr="00762D1D">
        <w:rPr>
          <w:spacing w:val="-1"/>
        </w:rPr>
        <w:t>t</w:t>
      </w:r>
      <w:r w:rsidRPr="00762D1D">
        <w:t>a</w:t>
      </w:r>
      <w:r w:rsidRPr="00762D1D">
        <w:rPr>
          <w:spacing w:val="2"/>
        </w:rPr>
        <w:t>t</w:t>
      </w:r>
      <w:r w:rsidRPr="00762D1D">
        <w:rPr>
          <w:spacing w:val="-1"/>
        </w:rPr>
        <w:t>n</w:t>
      </w:r>
      <w:r w:rsidRPr="00762D1D">
        <w:t>é</w:t>
      </w:r>
      <w:r w:rsidRPr="00762D1D">
        <w:rPr>
          <w:spacing w:val="1"/>
        </w:rPr>
        <w:t xml:space="preserve"> </w:t>
      </w:r>
      <w:r w:rsidRPr="00762D1D">
        <w:rPr>
          <w:spacing w:val="-1"/>
        </w:rPr>
        <w:t>f</w:t>
      </w:r>
      <w:r w:rsidRPr="00762D1D">
        <w:t>in</w:t>
      </w:r>
      <w:r w:rsidRPr="00762D1D">
        <w:rPr>
          <w:spacing w:val="2"/>
        </w:rPr>
        <w:t>a</w:t>
      </w:r>
      <w:r w:rsidRPr="00762D1D">
        <w:rPr>
          <w:spacing w:val="-1"/>
        </w:rPr>
        <w:t>n</w:t>
      </w:r>
      <w:r w:rsidRPr="00762D1D">
        <w:t>ční</w:t>
      </w:r>
      <w:r w:rsidRPr="00762D1D">
        <w:rPr>
          <w:spacing w:val="7"/>
        </w:rPr>
        <w:t xml:space="preserve"> </w:t>
      </w:r>
      <w:r w:rsidRPr="00762D1D">
        <w:t>a</w:t>
      </w:r>
      <w:r w:rsidRPr="00762D1D">
        <w:rPr>
          <w:spacing w:val="11"/>
        </w:rPr>
        <w:t xml:space="preserve"> </w:t>
      </w:r>
      <w:r w:rsidRPr="00762D1D">
        <w:rPr>
          <w:spacing w:val="-1"/>
        </w:rPr>
        <w:t>ú</w:t>
      </w:r>
      <w:r w:rsidRPr="00762D1D">
        <w:t>čet</w:t>
      </w:r>
      <w:r w:rsidRPr="00762D1D">
        <w:rPr>
          <w:spacing w:val="-1"/>
        </w:rPr>
        <w:t>n</w:t>
      </w:r>
      <w:r w:rsidRPr="00762D1D">
        <w:t>í</w:t>
      </w:r>
      <w:r w:rsidRPr="00762D1D">
        <w:rPr>
          <w:spacing w:val="7"/>
        </w:rPr>
        <w:t xml:space="preserve"> </w:t>
      </w:r>
      <w:r w:rsidRPr="00762D1D">
        <w:t>j</w:t>
      </w:r>
      <w:r w:rsidRPr="00762D1D">
        <w:rPr>
          <w:spacing w:val="2"/>
        </w:rPr>
        <w:t>e</w:t>
      </w:r>
      <w:r w:rsidRPr="00762D1D">
        <w:rPr>
          <w:spacing w:val="-1"/>
        </w:rPr>
        <w:t>d</w:t>
      </w:r>
      <w:r w:rsidRPr="00762D1D">
        <w:rPr>
          <w:spacing w:val="2"/>
        </w:rPr>
        <w:t>n</w:t>
      </w:r>
      <w:r w:rsidRPr="00762D1D">
        <w:rPr>
          <w:spacing w:val="-1"/>
        </w:rPr>
        <w:t>ot</w:t>
      </w:r>
      <w:r w:rsidRPr="00762D1D">
        <w:rPr>
          <w:spacing w:val="2"/>
        </w:rPr>
        <w:t>k</w:t>
      </w:r>
      <w:r w:rsidRPr="00762D1D">
        <w:t>y</w:t>
      </w:r>
      <w:r w:rsidRPr="00762D1D">
        <w:rPr>
          <w:spacing w:val="4"/>
        </w:rPr>
        <w:t xml:space="preserve"> </w:t>
      </w:r>
      <w:r w:rsidR="00724305">
        <w:rPr>
          <w:spacing w:val="4"/>
        </w:rPr>
        <w:t xml:space="preserve">(úvěry, záruky) </w:t>
      </w:r>
      <w:r w:rsidRPr="00762D1D">
        <w:t>v</w:t>
      </w:r>
      <w:r w:rsidRPr="00762D1D">
        <w:rPr>
          <w:spacing w:val="-1"/>
        </w:rPr>
        <w:t xml:space="preserve"> </w:t>
      </w:r>
      <w:r w:rsidRPr="00762D1D">
        <w:t>rámci</w:t>
      </w:r>
      <w:r w:rsidRPr="00762D1D">
        <w:rPr>
          <w:spacing w:val="9"/>
        </w:rPr>
        <w:t xml:space="preserve"> </w:t>
      </w:r>
      <w:r w:rsidRPr="00762D1D">
        <w:rPr>
          <w:spacing w:val="2"/>
        </w:rPr>
        <w:t>f</w:t>
      </w:r>
      <w:r w:rsidRPr="00762D1D">
        <w:t>ina</w:t>
      </w:r>
      <w:r w:rsidRPr="00762D1D">
        <w:rPr>
          <w:spacing w:val="-1"/>
        </w:rPr>
        <w:t>n</w:t>
      </w:r>
      <w:r w:rsidRPr="00762D1D">
        <w:t>ční</w:t>
      </w:r>
      <w:r w:rsidRPr="00762D1D">
        <w:rPr>
          <w:spacing w:val="2"/>
        </w:rPr>
        <w:t>c</w:t>
      </w:r>
      <w:r w:rsidRPr="00762D1D">
        <w:t>h</w:t>
      </w:r>
      <w:r w:rsidRPr="00762D1D">
        <w:rPr>
          <w:spacing w:val="2"/>
        </w:rPr>
        <w:t xml:space="preserve"> </w:t>
      </w:r>
      <w:r w:rsidRPr="00762D1D">
        <w:t>ins</w:t>
      </w:r>
      <w:r w:rsidRPr="00762D1D">
        <w:rPr>
          <w:spacing w:val="-1"/>
        </w:rPr>
        <w:t>t</w:t>
      </w:r>
      <w:r w:rsidRPr="00762D1D">
        <w:rPr>
          <w:spacing w:val="2"/>
        </w:rPr>
        <w:t>i</w:t>
      </w:r>
      <w:r w:rsidRPr="00762D1D">
        <w:rPr>
          <w:spacing w:val="-1"/>
        </w:rPr>
        <w:t>tu</w:t>
      </w:r>
      <w:r w:rsidRPr="00762D1D">
        <w:t>c</w:t>
      </w:r>
      <w:r w:rsidRPr="00762D1D">
        <w:rPr>
          <w:spacing w:val="2"/>
        </w:rPr>
        <w:t>í</w:t>
      </w:r>
      <w:r w:rsidRPr="00762D1D">
        <w:t>.</w:t>
      </w:r>
      <w:r w:rsidRPr="00762D1D">
        <w:rPr>
          <w:spacing w:val="7"/>
        </w:rPr>
        <w:t xml:space="preserve"> </w:t>
      </w:r>
      <w:r w:rsidRPr="00762D1D">
        <w:rPr>
          <w:spacing w:val="-1"/>
        </w:rPr>
        <w:t>Zv</w:t>
      </w:r>
      <w:r w:rsidRPr="00762D1D">
        <w:t>o</w:t>
      </w:r>
      <w:r w:rsidRPr="00762D1D">
        <w:rPr>
          <w:spacing w:val="1"/>
        </w:rPr>
        <w:t>l</w:t>
      </w:r>
      <w:r w:rsidRPr="00762D1D">
        <w:t>e</w:t>
      </w:r>
      <w:r w:rsidRPr="00762D1D">
        <w:rPr>
          <w:spacing w:val="3"/>
        </w:rPr>
        <w:t>n</w:t>
      </w:r>
      <w:r w:rsidRPr="00762D1D">
        <w:t>á</w:t>
      </w:r>
      <w:r w:rsidRPr="00762D1D">
        <w:rPr>
          <w:spacing w:val="5"/>
        </w:rPr>
        <w:t xml:space="preserve"> </w:t>
      </w:r>
      <w:r w:rsidRPr="00762D1D">
        <w:rPr>
          <w:spacing w:val="1"/>
        </w:rPr>
        <w:t>s</w:t>
      </w:r>
      <w:r w:rsidRPr="00762D1D">
        <w:t>t</w:t>
      </w:r>
      <w:r w:rsidRPr="00762D1D">
        <w:rPr>
          <w:spacing w:val="-1"/>
        </w:rPr>
        <w:t>r</w:t>
      </w:r>
      <w:r w:rsidRPr="00762D1D">
        <w:t>u</w:t>
      </w:r>
      <w:r w:rsidRPr="00762D1D">
        <w:rPr>
          <w:spacing w:val="1"/>
        </w:rPr>
        <w:t>k</w:t>
      </w:r>
      <w:r w:rsidRPr="00762D1D">
        <w:t>tura</w:t>
      </w:r>
      <w:r w:rsidRPr="00762D1D">
        <w:rPr>
          <w:spacing w:val="5"/>
        </w:rPr>
        <w:t xml:space="preserve"> </w:t>
      </w:r>
      <w:r w:rsidRPr="00762D1D">
        <w:rPr>
          <w:spacing w:val="-2"/>
        </w:rPr>
        <w:t>m</w:t>
      </w:r>
      <w:r w:rsidRPr="00762D1D">
        <w:t>u</w:t>
      </w:r>
      <w:r w:rsidRPr="00762D1D">
        <w:rPr>
          <w:spacing w:val="1"/>
        </w:rPr>
        <w:t>s</w:t>
      </w:r>
      <w:r w:rsidRPr="00762D1D">
        <w:t>í b</w:t>
      </w:r>
      <w:r w:rsidRPr="00762D1D">
        <w:rPr>
          <w:spacing w:val="1"/>
        </w:rPr>
        <w:t>ý</w:t>
      </w:r>
      <w:r w:rsidRPr="00762D1D">
        <w:t>t</w:t>
      </w:r>
      <w:r w:rsidRPr="00762D1D">
        <w:rPr>
          <w:spacing w:val="-2"/>
        </w:rPr>
        <w:t xml:space="preserve"> </w:t>
      </w:r>
      <w:r w:rsidRPr="00762D1D">
        <w:t>v</w:t>
      </w:r>
      <w:r w:rsidRPr="00762D1D">
        <w:rPr>
          <w:spacing w:val="-2"/>
        </w:rPr>
        <w:t xml:space="preserve"> </w:t>
      </w:r>
      <w:r w:rsidRPr="00762D1D">
        <w:rPr>
          <w:spacing w:val="1"/>
        </w:rPr>
        <w:t>s</w:t>
      </w:r>
      <w:r w:rsidRPr="00762D1D">
        <w:t>ou</w:t>
      </w:r>
      <w:r w:rsidRPr="00762D1D">
        <w:rPr>
          <w:spacing w:val="1"/>
        </w:rPr>
        <w:t>l</w:t>
      </w:r>
      <w:r w:rsidRPr="00762D1D">
        <w:t>adu</w:t>
      </w:r>
      <w:r w:rsidRPr="00762D1D">
        <w:rPr>
          <w:spacing w:val="-7"/>
        </w:rPr>
        <w:t xml:space="preserve"> </w:t>
      </w:r>
      <w:r w:rsidRPr="00762D1D">
        <w:t>s</w:t>
      </w:r>
      <w:r w:rsidRPr="00762D1D">
        <w:rPr>
          <w:spacing w:val="1"/>
        </w:rPr>
        <w:t xml:space="preserve"> </w:t>
      </w:r>
      <w:r w:rsidRPr="00762D1D">
        <w:rPr>
          <w:spacing w:val="-1"/>
        </w:rPr>
        <w:t>Z</w:t>
      </w:r>
      <w:r w:rsidRPr="00762D1D">
        <w:rPr>
          <w:spacing w:val="1"/>
        </w:rPr>
        <w:t>V</w:t>
      </w:r>
      <w:r w:rsidRPr="00762D1D">
        <w:rPr>
          <w:spacing w:val="-1"/>
        </w:rPr>
        <w:t>Z</w:t>
      </w:r>
      <w:r w:rsidRPr="00762D1D">
        <w:t>,</w:t>
      </w:r>
      <w:r w:rsidRPr="00762D1D">
        <w:rPr>
          <w:spacing w:val="-4"/>
        </w:rPr>
        <w:t xml:space="preserve"> </w:t>
      </w:r>
      <w:r w:rsidRPr="00762D1D">
        <w:rPr>
          <w:spacing w:val="-1"/>
        </w:rPr>
        <w:t>v</w:t>
      </w:r>
      <w:r w:rsidRPr="00762D1D">
        <w:t>eře</w:t>
      </w:r>
      <w:r w:rsidRPr="00762D1D">
        <w:rPr>
          <w:spacing w:val="-2"/>
        </w:rPr>
        <w:t>j</w:t>
      </w:r>
      <w:r w:rsidRPr="00762D1D">
        <w:t>n</w:t>
      </w:r>
      <w:r w:rsidRPr="00762D1D">
        <w:rPr>
          <w:spacing w:val="3"/>
        </w:rPr>
        <w:t>o</w:t>
      </w:r>
      <w:r w:rsidRPr="00762D1D">
        <w:t>u</w:t>
      </w:r>
      <w:r w:rsidRPr="00762D1D">
        <w:rPr>
          <w:spacing w:val="-7"/>
        </w:rPr>
        <w:t xml:space="preserve"> </w:t>
      </w:r>
      <w:r w:rsidRPr="00762D1D">
        <w:t>podporou</w:t>
      </w:r>
      <w:r w:rsidRPr="00762D1D">
        <w:rPr>
          <w:spacing w:val="-8"/>
        </w:rPr>
        <w:t xml:space="preserve"> </w:t>
      </w:r>
      <w:r w:rsidRPr="00762D1D">
        <w:t>a</w:t>
      </w:r>
      <w:r w:rsidRPr="00762D1D">
        <w:rPr>
          <w:spacing w:val="-1"/>
        </w:rPr>
        <w:t xml:space="preserve"> </w:t>
      </w:r>
      <w:r w:rsidRPr="00762D1D">
        <w:rPr>
          <w:spacing w:val="1"/>
        </w:rPr>
        <w:t>d</w:t>
      </w:r>
      <w:r w:rsidRPr="00762D1D">
        <w:t>a</w:t>
      </w:r>
      <w:r w:rsidRPr="00762D1D">
        <w:rPr>
          <w:spacing w:val="1"/>
        </w:rPr>
        <w:t>lš</w:t>
      </w:r>
      <w:r w:rsidRPr="00762D1D">
        <w:t>í</w:t>
      </w:r>
      <w:r w:rsidRPr="00762D1D">
        <w:rPr>
          <w:spacing w:val="-3"/>
        </w:rPr>
        <w:t xml:space="preserve"> </w:t>
      </w:r>
      <w:r w:rsidRPr="00762D1D">
        <w:t>na</w:t>
      </w:r>
      <w:r w:rsidRPr="00762D1D">
        <w:rPr>
          <w:spacing w:val="-1"/>
        </w:rPr>
        <w:t>v</w:t>
      </w:r>
      <w:r w:rsidRPr="00762D1D">
        <w:t>a</w:t>
      </w:r>
      <w:r w:rsidRPr="00762D1D">
        <w:rPr>
          <w:spacing w:val="-1"/>
        </w:rPr>
        <w:t>z</w:t>
      </w:r>
      <w:r w:rsidRPr="00762D1D">
        <w:rPr>
          <w:spacing w:val="2"/>
        </w:rPr>
        <w:t>u</w:t>
      </w:r>
      <w:r w:rsidRPr="00762D1D">
        <w:rPr>
          <w:spacing w:val="-1"/>
        </w:rPr>
        <w:t>j</w:t>
      </w:r>
      <w:r w:rsidRPr="00762D1D">
        <w:t>í</w:t>
      </w:r>
      <w:r w:rsidRPr="00762D1D">
        <w:rPr>
          <w:spacing w:val="1"/>
        </w:rPr>
        <w:t>c</w:t>
      </w:r>
      <w:r w:rsidRPr="00762D1D">
        <w:t>í</w:t>
      </w:r>
      <w:r w:rsidRPr="00762D1D">
        <w:rPr>
          <w:spacing w:val="-8"/>
        </w:rPr>
        <w:t xml:space="preserve"> </w:t>
      </w:r>
      <w:r w:rsidRPr="00762D1D">
        <w:t>un</w:t>
      </w:r>
      <w:r w:rsidRPr="00762D1D">
        <w:rPr>
          <w:spacing w:val="2"/>
        </w:rPr>
        <w:t>i</w:t>
      </w:r>
      <w:r w:rsidRPr="00762D1D">
        <w:rPr>
          <w:spacing w:val="-1"/>
        </w:rPr>
        <w:t>j</w:t>
      </w:r>
      <w:r w:rsidRPr="00762D1D">
        <w:t>ní</w:t>
      </w:r>
      <w:r w:rsidRPr="00762D1D">
        <w:rPr>
          <w:spacing w:val="-5"/>
        </w:rPr>
        <w:t xml:space="preserve"> </w:t>
      </w:r>
      <w:r w:rsidRPr="00762D1D">
        <w:t>a</w:t>
      </w:r>
      <w:r w:rsidRPr="00762D1D">
        <w:rPr>
          <w:spacing w:val="-1"/>
        </w:rPr>
        <w:t xml:space="preserve"> </w:t>
      </w:r>
      <w:r w:rsidRPr="00762D1D">
        <w:t>národní</w:t>
      </w:r>
      <w:r w:rsidRPr="00762D1D">
        <w:rPr>
          <w:spacing w:val="-6"/>
        </w:rPr>
        <w:t xml:space="preserve"> </w:t>
      </w:r>
      <w:r w:rsidRPr="00762D1D">
        <w:rPr>
          <w:spacing w:val="1"/>
        </w:rPr>
        <w:t>l</w:t>
      </w:r>
      <w:r w:rsidRPr="00762D1D">
        <w:t>eg</w:t>
      </w:r>
      <w:r w:rsidRPr="00762D1D">
        <w:rPr>
          <w:spacing w:val="1"/>
        </w:rPr>
        <w:t>is</w:t>
      </w:r>
      <w:r w:rsidRPr="00762D1D">
        <w:rPr>
          <w:spacing w:val="4"/>
        </w:rPr>
        <w:t>l</w:t>
      </w:r>
      <w:r w:rsidRPr="00762D1D">
        <w:t>at</w:t>
      </w:r>
      <w:r w:rsidRPr="00762D1D">
        <w:rPr>
          <w:spacing w:val="1"/>
        </w:rPr>
        <w:t>i</w:t>
      </w:r>
      <w:r w:rsidRPr="00762D1D">
        <w:rPr>
          <w:spacing w:val="-1"/>
        </w:rPr>
        <w:t>v</w:t>
      </w:r>
      <w:r w:rsidRPr="00762D1D">
        <w:t>ou.</w:t>
      </w:r>
    </w:p>
    <w:p w:rsidR="00C36727" w:rsidRPr="00762D1D" w:rsidRDefault="00C36727" w:rsidP="0049720A">
      <w:pPr>
        <w:pStyle w:val="Odskoknadpis4"/>
      </w:pPr>
      <w:r w:rsidRPr="00762D1D">
        <w:t>V případě,</w:t>
      </w:r>
      <w:r w:rsidRPr="00762D1D">
        <w:rPr>
          <w:spacing w:val="5"/>
        </w:rPr>
        <w:t xml:space="preserve"> </w:t>
      </w:r>
      <w:r w:rsidRPr="00762D1D">
        <w:rPr>
          <w:spacing w:val="-1"/>
        </w:rPr>
        <w:t>ž</w:t>
      </w:r>
      <w:r w:rsidRPr="00762D1D">
        <w:t>e</w:t>
      </w:r>
      <w:r w:rsidRPr="00762D1D">
        <w:rPr>
          <w:spacing w:val="10"/>
        </w:rPr>
        <w:t xml:space="preserve"> </w:t>
      </w:r>
      <w:r w:rsidRPr="00762D1D">
        <w:t>d</w:t>
      </w:r>
      <w:r w:rsidRPr="00762D1D">
        <w:rPr>
          <w:spacing w:val="3"/>
        </w:rPr>
        <w:t>o</w:t>
      </w:r>
      <w:r w:rsidRPr="00762D1D">
        <w:rPr>
          <w:spacing w:val="-1"/>
        </w:rPr>
        <w:t>j</w:t>
      </w:r>
      <w:r w:rsidRPr="00762D1D">
        <w:t>de</w:t>
      </w:r>
      <w:r w:rsidRPr="00762D1D">
        <w:rPr>
          <w:spacing w:val="7"/>
        </w:rPr>
        <w:t xml:space="preserve"> </w:t>
      </w:r>
      <w:r w:rsidRPr="00762D1D">
        <w:t>k</w:t>
      </w:r>
      <w:r w:rsidRPr="00762D1D">
        <w:rPr>
          <w:spacing w:val="1"/>
        </w:rPr>
        <w:t xml:space="preserve"> </w:t>
      </w:r>
      <w:r w:rsidRPr="00762D1D">
        <w:rPr>
          <w:spacing w:val="-1"/>
        </w:rPr>
        <w:t>z</w:t>
      </w:r>
      <w:r w:rsidRPr="00762D1D">
        <w:rPr>
          <w:spacing w:val="2"/>
        </w:rPr>
        <w:t>a</w:t>
      </w:r>
      <w:r w:rsidRPr="00762D1D">
        <w:rPr>
          <w:spacing w:val="-1"/>
        </w:rPr>
        <w:t>j</w:t>
      </w:r>
      <w:r w:rsidRPr="00762D1D">
        <w:rPr>
          <w:spacing w:val="1"/>
        </w:rPr>
        <w:t>iš</w:t>
      </w:r>
      <w:r w:rsidRPr="00762D1D">
        <w:t>tění</w:t>
      </w:r>
      <w:r w:rsidRPr="00762D1D">
        <w:rPr>
          <w:spacing w:val="6"/>
        </w:rPr>
        <w:t xml:space="preserve"> </w:t>
      </w:r>
      <w:r w:rsidRPr="00762D1D">
        <w:rPr>
          <w:spacing w:val="-1"/>
        </w:rPr>
        <w:t>v</w:t>
      </w:r>
      <w:r w:rsidRPr="00762D1D">
        <w:rPr>
          <w:spacing w:val="1"/>
        </w:rPr>
        <w:t>ýš</w:t>
      </w:r>
      <w:r w:rsidRPr="00762D1D">
        <w:t>e</w:t>
      </w:r>
      <w:r w:rsidRPr="00762D1D">
        <w:rPr>
          <w:spacing w:val="8"/>
        </w:rPr>
        <w:t xml:space="preserve"> </w:t>
      </w:r>
      <w:r w:rsidRPr="00762D1D">
        <w:t>u</w:t>
      </w:r>
      <w:r w:rsidRPr="00762D1D">
        <w:rPr>
          <w:spacing w:val="-1"/>
        </w:rPr>
        <w:t>v</w:t>
      </w:r>
      <w:r w:rsidRPr="00762D1D">
        <w:t>ede</w:t>
      </w:r>
      <w:r w:rsidRPr="00762D1D">
        <w:rPr>
          <w:spacing w:val="1"/>
        </w:rPr>
        <w:t>n</w:t>
      </w:r>
      <w:r w:rsidRPr="00762D1D">
        <w:t>ého,</w:t>
      </w:r>
      <w:r w:rsidRPr="00762D1D">
        <w:rPr>
          <w:spacing w:val="5"/>
        </w:rPr>
        <w:t xml:space="preserve"> </w:t>
      </w:r>
      <w:r w:rsidRPr="00762D1D">
        <w:t>členské</w:t>
      </w:r>
      <w:r w:rsidRPr="00762D1D">
        <w:rPr>
          <w:spacing w:val="8"/>
        </w:rPr>
        <w:t xml:space="preserve"> </w:t>
      </w:r>
      <w:r w:rsidRPr="00762D1D">
        <w:t>stá</w:t>
      </w:r>
      <w:r w:rsidRPr="00762D1D">
        <w:rPr>
          <w:spacing w:val="1"/>
        </w:rPr>
        <w:t>t</w:t>
      </w:r>
      <w:r w:rsidRPr="00762D1D">
        <w:t>y</w:t>
      </w:r>
      <w:r w:rsidRPr="00762D1D">
        <w:rPr>
          <w:spacing w:val="6"/>
        </w:rPr>
        <w:t xml:space="preserve"> </w:t>
      </w:r>
      <w:r w:rsidRPr="00762D1D">
        <w:t>a</w:t>
      </w:r>
      <w:r w:rsidRPr="00762D1D">
        <w:rPr>
          <w:spacing w:val="11"/>
        </w:rPr>
        <w:t xml:space="preserve"> </w:t>
      </w:r>
      <w:r w:rsidRPr="00762D1D">
        <w:rPr>
          <w:spacing w:val="2"/>
        </w:rPr>
        <w:t>Ř</w:t>
      </w:r>
      <w:r w:rsidRPr="00762D1D">
        <w:t>O</w:t>
      </w:r>
      <w:r w:rsidRPr="00762D1D">
        <w:rPr>
          <w:spacing w:val="8"/>
        </w:rPr>
        <w:t xml:space="preserve"> </w:t>
      </w:r>
      <w:r w:rsidRPr="00762D1D">
        <w:rPr>
          <w:spacing w:val="-1"/>
        </w:rPr>
        <w:t>d</w:t>
      </w:r>
      <w:r w:rsidRPr="00762D1D">
        <w:t>i</w:t>
      </w:r>
      <w:r w:rsidRPr="00762D1D">
        <w:rPr>
          <w:spacing w:val="2"/>
        </w:rPr>
        <w:t>s</w:t>
      </w:r>
      <w:r w:rsidRPr="00762D1D">
        <w:rPr>
          <w:spacing w:val="-1"/>
        </w:rPr>
        <w:t>po</w:t>
      </w:r>
      <w:r w:rsidRPr="00762D1D">
        <w:rPr>
          <w:spacing w:val="2"/>
        </w:rPr>
        <w:t>n</w:t>
      </w:r>
      <w:r w:rsidRPr="00762D1D">
        <w:rPr>
          <w:spacing w:val="-1"/>
        </w:rPr>
        <w:t>u</w:t>
      </w:r>
      <w:r w:rsidRPr="00762D1D">
        <w:t>jí</w:t>
      </w:r>
      <w:r w:rsidRPr="00762D1D">
        <w:rPr>
          <w:spacing w:val="5"/>
        </w:rPr>
        <w:t xml:space="preserve"> </w:t>
      </w:r>
      <w:r w:rsidRPr="00762D1D">
        <w:rPr>
          <w:spacing w:val="1"/>
        </w:rPr>
        <w:t>z</w:t>
      </w:r>
      <w:r w:rsidRPr="00762D1D">
        <w:rPr>
          <w:spacing w:val="-1"/>
        </w:rPr>
        <w:t>n</w:t>
      </w:r>
      <w:r w:rsidRPr="00762D1D">
        <w:t>a</w:t>
      </w:r>
      <w:r w:rsidRPr="00762D1D">
        <w:rPr>
          <w:spacing w:val="3"/>
        </w:rPr>
        <w:t>č</w:t>
      </w:r>
      <w:r w:rsidRPr="00762D1D">
        <w:rPr>
          <w:spacing w:val="-1"/>
        </w:rPr>
        <w:t>no</w:t>
      </w:r>
      <w:r w:rsidRPr="00762D1D">
        <w:t>u</w:t>
      </w:r>
      <w:r w:rsidRPr="00762D1D">
        <w:rPr>
          <w:spacing w:val="6"/>
        </w:rPr>
        <w:t xml:space="preserve"> </w:t>
      </w:r>
      <w:r w:rsidRPr="00762D1D">
        <w:t>mírou</w:t>
      </w:r>
      <w:r w:rsidRPr="00762D1D">
        <w:rPr>
          <w:spacing w:val="6"/>
        </w:rPr>
        <w:t xml:space="preserve"> </w:t>
      </w:r>
      <w:r w:rsidRPr="00762D1D">
        <w:rPr>
          <w:spacing w:val="2"/>
        </w:rPr>
        <w:t>s</w:t>
      </w:r>
      <w:r w:rsidRPr="00762D1D">
        <w:t>vo</w:t>
      </w:r>
      <w:r w:rsidRPr="00762D1D">
        <w:rPr>
          <w:spacing w:val="-1"/>
        </w:rPr>
        <w:t>b</w:t>
      </w:r>
      <w:r w:rsidRPr="00762D1D">
        <w:rPr>
          <w:spacing w:val="2"/>
        </w:rPr>
        <w:t>od</w:t>
      </w:r>
      <w:r w:rsidRPr="00762D1D">
        <w:t>y</w:t>
      </w:r>
      <w:r w:rsidR="00A320C9">
        <w:t xml:space="preserve"> </w:t>
      </w:r>
      <w:r w:rsidRPr="00762D1D">
        <w:rPr>
          <w:spacing w:val="-2"/>
        </w:rPr>
        <w:t>v</w:t>
      </w:r>
      <w:r w:rsidRPr="00762D1D">
        <w:t>e</w:t>
      </w:r>
      <w:r w:rsidRPr="00762D1D">
        <w:rPr>
          <w:spacing w:val="1"/>
        </w:rPr>
        <w:t xml:space="preserve"> </w:t>
      </w:r>
      <w:r w:rsidRPr="00762D1D">
        <w:rPr>
          <w:spacing w:val="-2"/>
        </w:rPr>
        <w:t>v</w:t>
      </w:r>
      <w:r w:rsidRPr="00762D1D">
        <w:rPr>
          <w:spacing w:val="1"/>
        </w:rPr>
        <w:t>z</w:t>
      </w:r>
      <w:r w:rsidRPr="00762D1D">
        <w:rPr>
          <w:spacing w:val="-1"/>
        </w:rPr>
        <w:t>t</w:t>
      </w:r>
      <w:r w:rsidRPr="00762D1D">
        <w:t>a</w:t>
      </w:r>
      <w:r w:rsidRPr="00762D1D">
        <w:rPr>
          <w:spacing w:val="2"/>
        </w:rPr>
        <w:t>h</w:t>
      </w:r>
      <w:r w:rsidRPr="00762D1D">
        <w:t>u</w:t>
      </w:r>
      <w:r w:rsidRPr="00762D1D">
        <w:rPr>
          <w:spacing w:val="-6"/>
        </w:rPr>
        <w:t xml:space="preserve"> </w:t>
      </w:r>
      <w:r w:rsidRPr="00762D1D">
        <w:t>k</w:t>
      </w:r>
      <w:r w:rsidRPr="00762D1D">
        <w:rPr>
          <w:spacing w:val="3"/>
        </w:rPr>
        <w:t xml:space="preserve"> </w:t>
      </w:r>
      <w:r w:rsidRPr="00762D1D">
        <w:rPr>
          <w:spacing w:val="-2"/>
        </w:rPr>
        <w:t>v</w:t>
      </w:r>
      <w:r w:rsidRPr="00762D1D">
        <w:rPr>
          <w:spacing w:val="-1"/>
        </w:rPr>
        <w:t>o</w:t>
      </w:r>
      <w:r w:rsidRPr="00762D1D">
        <w:rPr>
          <w:spacing w:val="2"/>
        </w:rPr>
        <w:t>l</w:t>
      </w:r>
      <w:r w:rsidRPr="00762D1D">
        <w:rPr>
          <w:spacing w:val="-1"/>
        </w:rPr>
        <w:t>b</w:t>
      </w:r>
      <w:r w:rsidRPr="00762D1D">
        <w:t>ě</w:t>
      </w:r>
      <w:r w:rsidRPr="00762D1D">
        <w:rPr>
          <w:spacing w:val="-4"/>
        </w:rPr>
        <w:t xml:space="preserve"> </w:t>
      </w:r>
      <w:r w:rsidRPr="00762D1D">
        <w:t>pr</w:t>
      </w:r>
      <w:r w:rsidRPr="00762D1D">
        <w:rPr>
          <w:spacing w:val="3"/>
        </w:rPr>
        <w:t>á</w:t>
      </w:r>
      <w:r w:rsidRPr="00762D1D">
        <w:rPr>
          <w:spacing w:val="-2"/>
        </w:rPr>
        <w:t>v</w:t>
      </w:r>
      <w:r w:rsidRPr="00762D1D">
        <w:rPr>
          <w:spacing w:val="-1"/>
        </w:rPr>
        <w:t>n</w:t>
      </w:r>
      <w:r w:rsidRPr="00762D1D">
        <w:t>í</w:t>
      </w:r>
      <w:r w:rsidRPr="00762D1D">
        <w:rPr>
          <w:spacing w:val="-5"/>
        </w:rPr>
        <w:t xml:space="preserve"> </w:t>
      </w:r>
      <w:r w:rsidRPr="00762D1D">
        <w:rPr>
          <w:spacing w:val="3"/>
        </w:rPr>
        <w:t>s</w:t>
      </w:r>
      <w:r w:rsidRPr="00762D1D">
        <w:rPr>
          <w:spacing w:val="-1"/>
        </w:rPr>
        <w:t>ub</w:t>
      </w:r>
      <w:r w:rsidRPr="00762D1D">
        <w:t>jekt</w:t>
      </w:r>
      <w:r w:rsidRPr="00762D1D">
        <w:rPr>
          <w:spacing w:val="2"/>
        </w:rPr>
        <w:t>i</w:t>
      </w:r>
      <w:r w:rsidRPr="00762D1D">
        <w:rPr>
          <w:spacing w:val="-2"/>
        </w:rPr>
        <w:t>v</w:t>
      </w:r>
      <w:r w:rsidRPr="00762D1D">
        <w:rPr>
          <w:spacing w:val="2"/>
        </w:rPr>
        <w:t>it</w:t>
      </w:r>
      <w:r w:rsidRPr="00762D1D">
        <w:t>y</w:t>
      </w:r>
      <w:r w:rsidRPr="00762D1D">
        <w:rPr>
          <w:spacing w:val="-11"/>
        </w:rPr>
        <w:t xml:space="preserve"> </w:t>
      </w:r>
      <w:r w:rsidRPr="00762D1D">
        <w:rPr>
          <w:spacing w:val="-1"/>
        </w:rPr>
        <w:t>j</w:t>
      </w:r>
      <w:r w:rsidRPr="00762D1D">
        <w:t>edn</w:t>
      </w:r>
      <w:r w:rsidRPr="00762D1D">
        <w:rPr>
          <w:spacing w:val="1"/>
        </w:rPr>
        <w:t>o</w:t>
      </w:r>
      <w:r w:rsidRPr="00762D1D">
        <w:t>t</w:t>
      </w:r>
      <w:r w:rsidRPr="00762D1D">
        <w:rPr>
          <w:spacing w:val="1"/>
        </w:rPr>
        <w:t>li</w:t>
      </w:r>
      <w:r w:rsidRPr="00762D1D">
        <w:rPr>
          <w:spacing w:val="-1"/>
        </w:rPr>
        <w:t>v</w:t>
      </w:r>
      <w:r w:rsidRPr="00762D1D">
        <w:rPr>
          <w:spacing w:val="1"/>
        </w:rPr>
        <w:t>ýc</w:t>
      </w:r>
      <w:r w:rsidRPr="00762D1D">
        <w:t>h</w:t>
      </w:r>
      <w:r w:rsidRPr="00762D1D">
        <w:rPr>
          <w:spacing w:val="-9"/>
        </w:rPr>
        <w:t xml:space="preserve"> </w:t>
      </w:r>
      <w:r w:rsidRPr="00762D1D">
        <w:t>su</w:t>
      </w:r>
      <w:r w:rsidRPr="00762D1D">
        <w:rPr>
          <w:spacing w:val="-1"/>
        </w:rPr>
        <w:t>b</w:t>
      </w:r>
      <w:r w:rsidRPr="00762D1D">
        <w:rPr>
          <w:spacing w:val="2"/>
        </w:rPr>
        <w:t>j</w:t>
      </w:r>
      <w:r w:rsidRPr="00762D1D">
        <w:t>ektů</w:t>
      </w:r>
      <w:r w:rsidRPr="00762D1D">
        <w:rPr>
          <w:spacing w:val="-8"/>
        </w:rPr>
        <w:t xml:space="preserve"> </w:t>
      </w:r>
      <w:r w:rsidRPr="00762D1D">
        <w:t>i</w:t>
      </w:r>
      <w:r w:rsidRPr="00762D1D">
        <w:rPr>
          <w:spacing w:val="2"/>
        </w:rPr>
        <w:t>m</w:t>
      </w:r>
      <w:r w:rsidRPr="00762D1D">
        <w:rPr>
          <w:spacing w:val="-1"/>
        </w:rPr>
        <w:t>p</w:t>
      </w:r>
      <w:r w:rsidRPr="00762D1D">
        <w:t>leme</w:t>
      </w:r>
      <w:r w:rsidRPr="00762D1D">
        <w:rPr>
          <w:spacing w:val="2"/>
        </w:rPr>
        <w:t>n</w:t>
      </w:r>
      <w:r w:rsidRPr="00762D1D">
        <w:rPr>
          <w:spacing w:val="-1"/>
        </w:rPr>
        <w:t>tu</w:t>
      </w:r>
      <w:r w:rsidRPr="00762D1D">
        <w:t>jící</w:t>
      </w:r>
      <w:r w:rsidRPr="00762D1D">
        <w:rPr>
          <w:spacing w:val="3"/>
        </w:rPr>
        <w:t>c</w:t>
      </w:r>
      <w:r w:rsidRPr="00762D1D">
        <w:t>h</w:t>
      </w:r>
      <w:r w:rsidRPr="00762D1D">
        <w:rPr>
          <w:spacing w:val="-15"/>
        </w:rPr>
        <w:t xml:space="preserve"> </w:t>
      </w:r>
      <w:r w:rsidR="00A56B56">
        <w:rPr>
          <w:spacing w:val="-1"/>
        </w:rPr>
        <w:t>IFN</w:t>
      </w:r>
      <w:r w:rsidRPr="00762D1D">
        <w:t>.</w:t>
      </w:r>
    </w:p>
    <w:p w:rsidR="00C36727" w:rsidRPr="00762D1D" w:rsidRDefault="00C36727" w:rsidP="00171265">
      <w:pPr>
        <w:pStyle w:val="Nadpis3"/>
      </w:pPr>
      <w:bookmarkStart w:id="73" w:name="_Toc410115468"/>
      <w:r w:rsidRPr="00762D1D">
        <w:t>D</w:t>
      </w:r>
      <w:r w:rsidRPr="00762D1D">
        <w:rPr>
          <w:spacing w:val="1"/>
        </w:rPr>
        <w:t>o</w:t>
      </w:r>
      <w:r w:rsidRPr="00762D1D">
        <w:t>hoda</w:t>
      </w:r>
      <w:r w:rsidRPr="00762D1D">
        <w:rPr>
          <w:spacing w:val="-7"/>
        </w:rPr>
        <w:t xml:space="preserve"> </w:t>
      </w:r>
      <w:r w:rsidRPr="00762D1D">
        <w:t>o</w:t>
      </w:r>
      <w:r w:rsidRPr="00762D1D">
        <w:rPr>
          <w:spacing w:val="-1"/>
        </w:rPr>
        <w:t xml:space="preserve"> </w:t>
      </w:r>
      <w:r w:rsidRPr="00762D1D">
        <w:rPr>
          <w:spacing w:val="1"/>
        </w:rPr>
        <w:t>f</w:t>
      </w:r>
      <w:r w:rsidRPr="00762D1D">
        <w:t>ina</w:t>
      </w:r>
      <w:r w:rsidRPr="00762D1D">
        <w:rPr>
          <w:spacing w:val="1"/>
        </w:rPr>
        <w:t>n</w:t>
      </w:r>
      <w:r w:rsidRPr="00762D1D">
        <w:t>co</w:t>
      </w:r>
      <w:r w:rsidRPr="00762D1D">
        <w:rPr>
          <w:spacing w:val="2"/>
        </w:rPr>
        <w:t>v</w:t>
      </w:r>
      <w:r w:rsidRPr="00762D1D">
        <w:t>ání</w:t>
      </w:r>
      <w:bookmarkEnd w:id="73"/>
    </w:p>
    <w:p w:rsidR="000C0B4C" w:rsidRDefault="00C36727" w:rsidP="0049720A">
      <w:pPr>
        <w:pStyle w:val="Odskoknadpis4"/>
      </w:pPr>
      <w:r w:rsidRPr="00762D1D">
        <w:t>D</w:t>
      </w:r>
      <w:r w:rsidRPr="00762D1D">
        <w:rPr>
          <w:spacing w:val="-1"/>
        </w:rPr>
        <w:t>oh</w:t>
      </w:r>
      <w:r w:rsidRPr="00762D1D">
        <w:rPr>
          <w:spacing w:val="2"/>
        </w:rPr>
        <w:t>o</w:t>
      </w:r>
      <w:r w:rsidRPr="00762D1D">
        <w:rPr>
          <w:spacing w:val="-1"/>
        </w:rPr>
        <w:t>d</w:t>
      </w:r>
      <w:r w:rsidRPr="00762D1D">
        <w:t>a</w:t>
      </w:r>
      <w:r w:rsidRPr="00762D1D">
        <w:rPr>
          <w:spacing w:val="39"/>
        </w:rPr>
        <w:t xml:space="preserve"> </w:t>
      </w:r>
      <w:r w:rsidRPr="00762D1D">
        <w:t>o</w:t>
      </w:r>
      <w:r w:rsidRPr="00762D1D">
        <w:rPr>
          <w:spacing w:val="46"/>
        </w:rPr>
        <w:t xml:space="preserve"> </w:t>
      </w:r>
      <w:r w:rsidRPr="00762D1D">
        <w:rPr>
          <w:spacing w:val="-1"/>
        </w:rPr>
        <w:t>f</w:t>
      </w:r>
      <w:r w:rsidRPr="00762D1D">
        <w:t>ina</w:t>
      </w:r>
      <w:r w:rsidRPr="00762D1D">
        <w:rPr>
          <w:spacing w:val="1"/>
        </w:rPr>
        <w:t>n</w:t>
      </w:r>
      <w:r w:rsidRPr="00762D1D">
        <w:t>c</w:t>
      </w:r>
      <w:r w:rsidRPr="00762D1D">
        <w:rPr>
          <w:spacing w:val="2"/>
        </w:rPr>
        <w:t>o</w:t>
      </w:r>
      <w:r w:rsidRPr="00762D1D">
        <w:rPr>
          <w:spacing w:val="-2"/>
        </w:rPr>
        <w:t>v</w:t>
      </w:r>
      <w:r w:rsidRPr="00762D1D">
        <w:t>ání</w:t>
      </w:r>
      <w:r w:rsidRPr="00762D1D">
        <w:rPr>
          <w:spacing w:val="36"/>
        </w:rPr>
        <w:t xml:space="preserve"> </w:t>
      </w:r>
      <w:r w:rsidRPr="00762D1D">
        <w:rPr>
          <w:spacing w:val="2"/>
        </w:rPr>
        <w:t>p</w:t>
      </w:r>
      <w:r w:rsidRPr="00762D1D">
        <w:rPr>
          <w:spacing w:val="-1"/>
        </w:rPr>
        <w:t>ř</w:t>
      </w:r>
      <w:r w:rsidRPr="00762D1D">
        <w:rPr>
          <w:spacing w:val="2"/>
        </w:rPr>
        <w:t>e</w:t>
      </w:r>
      <w:r w:rsidRPr="00762D1D">
        <w:t>d</w:t>
      </w:r>
      <w:r w:rsidRPr="00762D1D">
        <w:rPr>
          <w:spacing w:val="1"/>
        </w:rPr>
        <w:t>s</w:t>
      </w:r>
      <w:r w:rsidRPr="00762D1D">
        <w:t>ta</w:t>
      </w:r>
      <w:r w:rsidRPr="00762D1D">
        <w:rPr>
          <w:spacing w:val="-1"/>
        </w:rPr>
        <w:t>v</w:t>
      </w:r>
      <w:r w:rsidRPr="00762D1D">
        <w:rPr>
          <w:spacing w:val="1"/>
        </w:rPr>
        <w:t>u</w:t>
      </w:r>
      <w:r w:rsidRPr="00762D1D">
        <w:rPr>
          <w:spacing w:val="-1"/>
        </w:rPr>
        <w:t>j</w:t>
      </w:r>
      <w:r w:rsidRPr="00762D1D">
        <w:t>e</w:t>
      </w:r>
      <w:r w:rsidRPr="00762D1D">
        <w:rPr>
          <w:spacing w:val="36"/>
        </w:rPr>
        <w:t xml:space="preserve"> </w:t>
      </w:r>
      <w:r w:rsidRPr="00762D1D">
        <w:rPr>
          <w:spacing w:val="1"/>
        </w:rPr>
        <w:t>z</w:t>
      </w:r>
      <w:r w:rsidRPr="00762D1D">
        <w:t>ákla</w:t>
      </w:r>
      <w:r w:rsidRPr="00762D1D">
        <w:rPr>
          <w:spacing w:val="-1"/>
        </w:rPr>
        <w:t>dn</w:t>
      </w:r>
      <w:r w:rsidRPr="00762D1D">
        <w:t>í</w:t>
      </w:r>
      <w:r w:rsidRPr="00762D1D">
        <w:rPr>
          <w:spacing w:val="41"/>
        </w:rPr>
        <w:t xml:space="preserve"> </w:t>
      </w:r>
      <w:r w:rsidRPr="00762D1D">
        <w:t>sml</w:t>
      </w:r>
      <w:r w:rsidRPr="00762D1D">
        <w:rPr>
          <w:spacing w:val="1"/>
        </w:rPr>
        <w:t>u</w:t>
      </w:r>
      <w:r w:rsidRPr="00762D1D">
        <w:t>vní</w:t>
      </w:r>
      <w:r w:rsidRPr="00762D1D">
        <w:rPr>
          <w:spacing w:val="40"/>
        </w:rPr>
        <w:t xml:space="preserve"> </w:t>
      </w:r>
      <w:r w:rsidRPr="00762D1D">
        <w:rPr>
          <w:spacing w:val="-1"/>
        </w:rPr>
        <w:t>do</w:t>
      </w:r>
      <w:r w:rsidRPr="00762D1D">
        <w:t>k</w:t>
      </w:r>
      <w:r w:rsidRPr="00762D1D">
        <w:rPr>
          <w:spacing w:val="2"/>
        </w:rPr>
        <w:t>u</w:t>
      </w:r>
      <w:r w:rsidRPr="00762D1D">
        <w:t>me</w:t>
      </w:r>
      <w:r w:rsidRPr="00762D1D">
        <w:rPr>
          <w:spacing w:val="-1"/>
        </w:rPr>
        <w:t>n</w:t>
      </w:r>
      <w:r w:rsidRPr="00762D1D">
        <w:rPr>
          <w:spacing w:val="1"/>
        </w:rPr>
        <w:t>t</w:t>
      </w:r>
      <w:r w:rsidRPr="00762D1D">
        <w:t>,</w:t>
      </w:r>
      <w:r w:rsidRPr="00762D1D">
        <w:rPr>
          <w:spacing w:val="39"/>
        </w:rPr>
        <w:t xml:space="preserve"> </w:t>
      </w:r>
      <w:r w:rsidRPr="00762D1D">
        <w:t>na</w:t>
      </w:r>
      <w:r w:rsidRPr="00762D1D">
        <w:rPr>
          <w:spacing w:val="44"/>
        </w:rPr>
        <w:t xml:space="preserve"> </w:t>
      </w:r>
      <w:r w:rsidRPr="00762D1D">
        <w:rPr>
          <w:spacing w:val="-1"/>
        </w:rPr>
        <w:t>z</w:t>
      </w:r>
      <w:r w:rsidRPr="00762D1D">
        <w:t>á</w:t>
      </w:r>
      <w:r w:rsidRPr="00762D1D">
        <w:rPr>
          <w:spacing w:val="1"/>
        </w:rPr>
        <w:t>kl</w:t>
      </w:r>
      <w:r w:rsidRPr="00762D1D">
        <w:t>adě</w:t>
      </w:r>
      <w:r w:rsidRPr="00762D1D">
        <w:rPr>
          <w:spacing w:val="40"/>
        </w:rPr>
        <w:t xml:space="preserve"> </w:t>
      </w:r>
      <w:r w:rsidRPr="00762D1D">
        <w:rPr>
          <w:spacing w:val="1"/>
        </w:rPr>
        <w:t>k</w:t>
      </w:r>
      <w:r w:rsidRPr="00762D1D">
        <w:t>terého</w:t>
      </w:r>
      <w:r w:rsidRPr="00762D1D">
        <w:rPr>
          <w:spacing w:val="39"/>
        </w:rPr>
        <w:t xml:space="preserve"> </w:t>
      </w:r>
      <w:r w:rsidRPr="00762D1D">
        <w:t>bude</w:t>
      </w:r>
      <w:r w:rsidRPr="00762D1D">
        <w:rPr>
          <w:spacing w:val="42"/>
        </w:rPr>
        <w:t xml:space="preserve"> </w:t>
      </w:r>
      <w:r w:rsidRPr="00762D1D">
        <w:t>do</w:t>
      </w:r>
      <w:r w:rsidRPr="00762D1D">
        <w:rPr>
          <w:spacing w:val="1"/>
        </w:rPr>
        <w:t>c</w:t>
      </w:r>
      <w:r w:rsidRPr="00762D1D">
        <w:t>há</w:t>
      </w:r>
      <w:r w:rsidRPr="00762D1D">
        <w:rPr>
          <w:spacing w:val="-1"/>
        </w:rPr>
        <w:t>z</w:t>
      </w:r>
      <w:r w:rsidRPr="00762D1D">
        <w:t>et k</w:t>
      </w:r>
      <w:r w:rsidRPr="00762D1D">
        <w:rPr>
          <w:spacing w:val="-1"/>
        </w:rPr>
        <w:t xml:space="preserve"> </w:t>
      </w:r>
      <w:r w:rsidRPr="00762D1D">
        <w:t>im</w:t>
      </w:r>
      <w:r w:rsidRPr="00762D1D">
        <w:rPr>
          <w:spacing w:val="-1"/>
        </w:rPr>
        <w:t>p</w:t>
      </w:r>
      <w:r w:rsidRPr="00762D1D">
        <w:t>lem</w:t>
      </w:r>
      <w:r w:rsidRPr="00762D1D">
        <w:rPr>
          <w:spacing w:val="2"/>
        </w:rPr>
        <w:t>e</w:t>
      </w:r>
      <w:r w:rsidRPr="00762D1D">
        <w:rPr>
          <w:spacing w:val="-1"/>
        </w:rPr>
        <w:t>nt</w:t>
      </w:r>
      <w:r w:rsidRPr="00762D1D">
        <w:t>aci</w:t>
      </w:r>
      <w:r w:rsidRPr="00762D1D">
        <w:rPr>
          <w:spacing w:val="29"/>
        </w:rPr>
        <w:t xml:space="preserve"> </w:t>
      </w:r>
      <w:r w:rsidR="00420428">
        <w:rPr>
          <w:spacing w:val="-1"/>
        </w:rPr>
        <w:t>IFN</w:t>
      </w:r>
      <w:r w:rsidRPr="00762D1D">
        <w:t>.</w:t>
      </w:r>
      <w:r w:rsidRPr="00762D1D">
        <w:rPr>
          <w:spacing w:val="31"/>
        </w:rPr>
        <w:t xml:space="preserve"> </w:t>
      </w:r>
      <w:r w:rsidRPr="00762D1D">
        <w:rPr>
          <w:spacing w:val="1"/>
        </w:rPr>
        <w:t>O</w:t>
      </w:r>
      <w:r w:rsidRPr="00762D1D">
        <w:rPr>
          <w:spacing w:val="-1"/>
        </w:rPr>
        <w:t>b</w:t>
      </w:r>
      <w:r w:rsidRPr="00762D1D">
        <w:t>ecné</w:t>
      </w:r>
      <w:r w:rsidRPr="00762D1D">
        <w:rPr>
          <w:spacing w:val="34"/>
        </w:rPr>
        <w:t xml:space="preserve"> </w:t>
      </w:r>
      <w:r w:rsidRPr="00762D1D">
        <w:rPr>
          <w:spacing w:val="-1"/>
        </w:rPr>
        <w:t>n</w:t>
      </w:r>
      <w:r w:rsidRPr="00762D1D">
        <w:t>a</w:t>
      </w:r>
      <w:r w:rsidRPr="00762D1D">
        <w:rPr>
          <w:spacing w:val="1"/>
        </w:rPr>
        <w:t>ř</w:t>
      </w:r>
      <w:r w:rsidRPr="00762D1D">
        <w:t>í</w:t>
      </w:r>
      <w:r w:rsidRPr="00762D1D">
        <w:rPr>
          <w:spacing w:val="1"/>
        </w:rPr>
        <w:t>z</w:t>
      </w:r>
      <w:r w:rsidRPr="00762D1D">
        <w:t>e</w:t>
      </w:r>
      <w:r w:rsidRPr="00762D1D">
        <w:rPr>
          <w:spacing w:val="2"/>
        </w:rPr>
        <w:t>n</w:t>
      </w:r>
      <w:r w:rsidRPr="00762D1D">
        <w:t>í</w:t>
      </w:r>
      <w:r w:rsidRPr="00762D1D">
        <w:rPr>
          <w:spacing w:val="33"/>
        </w:rPr>
        <w:t xml:space="preserve"> </w:t>
      </w:r>
      <w:r w:rsidRPr="00762D1D">
        <w:t>pou</w:t>
      </w:r>
      <w:r w:rsidRPr="00762D1D">
        <w:rPr>
          <w:spacing w:val="-1"/>
        </w:rPr>
        <w:t>z</w:t>
      </w:r>
      <w:r w:rsidRPr="00762D1D">
        <w:t>e</w:t>
      </w:r>
      <w:r w:rsidRPr="00762D1D">
        <w:rPr>
          <w:spacing w:val="36"/>
        </w:rPr>
        <w:t xml:space="preserve"> </w:t>
      </w:r>
      <w:r w:rsidRPr="00762D1D">
        <w:rPr>
          <w:spacing w:val="-1"/>
        </w:rPr>
        <w:t>d</w:t>
      </w:r>
      <w:r w:rsidRPr="00762D1D">
        <w:t>efi</w:t>
      </w:r>
      <w:r w:rsidRPr="00762D1D">
        <w:rPr>
          <w:spacing w:val="1"/>
        </w:rPr>
        <w:t>n</w:t>
      </w:r>
      <w:r w:rsidRPr="00762D1D">
        <w:rPr>
          <w:spacing w:val="-1"/>
        </w:rPr>
        <w:t>u</w:t>
      </w:r>
      <w:r w:rsidRPr="00762D1D">
        <w:t>je</w:t>
      </w:r>
      <w:r w:rsidRPr="00762D1D">
        <w:rPr>
          <w:spacing w:val="31"/>
        </w:rPr>
        <w:t xml:space="preserve"> </w:t>
      </w:r>
      <w:r w:rsidRPr="00762D1D">
        <w:rPr>
          <w:spacing w:val="1"/>
        </w:rPr>
        <w:t>z</w:t>
      </w:r>
      <w:r w:rsidRPr="00762D1D">
        <w:t>ákla</w:t>
      </w:r>
      <w:r w:rsidRPr="00762D1D">
        <w:rPr>
          <w:spacing w:val="-1"/>
        </w:rPr>
        <w:t>dn</w:t>
      </w:r>
      <w:r w:rsidRPr="00762D1D">
        <w:t>í</w:t>
      </w:r>
      <w:r w:rsidRPr="00762D1D">
        <w:rPr>
          <w:spacing w:val="36"/>
        </w:rPr>
        <w:t xml:space="preserve"> </w:t>
      </w:r>
      <w:r w:rsidRPr="00762D1D">
        <w:rPr>
          <w:spacing w:val="-1"/>
        </w:rPr>
        <w:t>o</w:t>
      </w:r>
      <w:r w:rsidRPr="00762D1D">
        <w:t>k</w:t>
      </w:r>
      <w:r w:rsidRPr="00762D1D">
        <w:rPr>
          <w:spacing w:val="1"/>
        </w:rPr>
        <w:t>r</w:t>
      </w:r>
      <w:r w:rsidRPr="00762D1D">
        <w:rPr>
          <w:spacing w:val="-1"/>
        </w:rPr>
        <w:t>u</w:t>
      </w:r>
      <w:r w:rsidRPr="00762D1D">
        <w:t>h</w:t>
      </w:r>
      <w:r w:rsidRPr="00762D1D">
        <w:rPr>
          <w:spacing w:val="35"/>
        </w:rPr>
        <w:t xml:space="preserve"> </w:t>
      </w:r>
      <w:r w:rsidRPr="00762D1D">
        <w:rPr>
          <w:spacing w:val="-1"/>
        </w:rPr>
        <w:t>po</w:t>
      </w:r>
      <w:r w:rsidRPr="00762D1D">
        <w:rPr>
          <w:spacing w:val="1"/>
        </w:rPr>
        <w:t>ž</w:t>
      </w:r>
      <w:r w:rsidRPr="00762D1D">
        <w:t>ad</w:t>
      </w:r>
      <w:r w:rsidRPr="00762D1D">
        <w:rPr>
          <w:spacing w:val="2"/>
        </w:rPr>
        <w:t>a</w:t>
      </w:r>
      <w:r w:rsidRPr="00762D1D">
        <w:rPr>
          <w:spacing w:val="-2"/>
        </w:rPr>
        <w:t>v</w:t>
      </w:r>
      <w:r w:rsidRPr="00762D1D">
        <w:t>ků</w:t>
      </w:r>
      <w:r w:rsidRPr="00762D1D">
        <w:rPr>
          <w:spacing w:val="33"/>
        </w:rPr>
        <w:t xml:space="preserve"> </w:t>
      </w:r>
      <w:r w:rsidR="009A2A05" w:rsidRPr="00762D1D">
        <w:t>a</w:t>
      </w:r>
      <w:r w:rsidR="009A2A05">
        <w:t> </w:t>
      </w:r>
      <w:r w:rsidRPr="00762D1D">
        <w:t>pod</w:t>
      </w:r>
      <w:r w:rsidRPr="00762D1D">
        <w:rPr>
          <w:spacing w:val="-1"/>
        </w:rPr>
        <w:t>m</w:t>
      </w:r>
      <w:r w:rsidRPr="00762D1D">
        <w:t>íne</w:t>
      </w:r>
      <w:r w:rsidRPr="00762D1D">
        <w:rPr>
          <w:spacing w:val="2"/>
        </w:rPr>
        <w:t>k</w:t>
      </w:r>
      <w:r w:rsidRPr="00762D1D">
        <w:t xml:space="preserve">, </w:t>
      </w:r>
      <w:r w:rsidRPr="00762D1D">
        <w:rPr>
          <w:spacing w:val="-1"/>
        </w:rPr>
        <w:t>j</w:t>
      </w:r>
      <w:r w:rsidRPr="00762D1D">
        <w:t xml:space="preserve">enž </w:t>
      </w:r>
      <w:r w:rsidRPr="00762D1D">
        <w:rPr>
          <w:spacing w:val="-2"/>
        </w:rPr>
        <w:t>m</w:t>
      </w:r>
      <w:r w:rsidRPr="00762D1D">
        <w:t>u</w:t>
      </w:r>
      <w:r w:rsidRPr="00762D1D">
        <w:rPr>
          <w:spacing w:val="1"/>
        </w:rPr>
        <w:t>s</w:t>
      </w:r>
      <w:r w:rsidRPr="00762D1D">
        <w:t>í b</w:t>
      </w:r>
      <w:r w:rsidRPr="00762D1D">
        <w:rPr>
          <w:spacing w:val="1"/>
        </w:rPr>
        <w:t>ý</w:t>
      </w:r>
      <w:r w:rsidRPr="00762D1D">
        <w:t xml:space="preserve">t v </w:t>
      </w:r>
      <w:r w:rsidRPr="00762D1D">
        <w:rPr>
          <w:spacing w:val="-1"/>
        </w:rPr>
        <w:t>r</w:t>
      </w:r>
      <w:r w:rsidRPr="00762D1D">
        <w:rPr>
          <w:spacing w:val="2"/>
        </w:rPr>
        <w:t>á</w:t>
      </w:r>
      <w:r w:rsidRPr="00762D1D">
        <w:rPr>
          <w:spacing w:val="-2"/>
        </w:rPr>
        <w:t>m</w:t>
      </w:r>
      <w:r w:rsidRPr="00762D1D">
        <w:rPr>
          <w:spacing w:val="1"/>
        </w:rPr>
        <w:t>c</w:t>
      </w:r>
      <w:r w:rsidRPr="00762D1D">
        <w:t>i této doh</w:t>
      </w:r>
      <w:r w:rsidRPr="00762D1D">
        <w:rPr>
          <w:spacing w:val="1"/>
        </w:rPr>
        <w:t>o</w:t>
      </w:r>
      <w:r w:rsidRPr="00762D1D">
        <w:rPr>
          <w:spacing w:val="2"/>
        </w:rPr>
        <w:t>d</w:t>
      </w:r>
      <w:r w:rsidRPr="00762D1D">
        <w:t>y o</w:t>
      </w:r>
      <w:r w:rsidRPr="00762D1D">
        <w:rPr>
          <w:spacing w:val="3"/>
        </w:rPr>
        <w:t>b</w:t>
      </w:r>
      <w:r w:rsidRPr="00762D1D">
        <w:rPr>
          <w:spacing w:val="1"/>
        </w:rPr>
        <w:t>s</w:t>
      </w:r>
      <w:r w:rsidRPr="00762D1D">
        <w:t>a</w:t>
      </w:r>
      <w:r w:rsidRPr="00762D1D">
        <w:rPr>
          <w:spacing w:val="-1"/>
        </w:rPr>
        <w:t>ž</w:t>
      </w:r>
      <w:r w:rsidRPr="00762D1D">
        <w:t>en</w:t>
      </w:r>
      <w:r w:rsidRPr="00762D1D">
        <w:rPr>
          <w:spacing w:val="-1"/>
        </w:rPr>
        <w:t>y</w:t>
      </w:r>
      <w:r w:rsidRPr="00762D1D">
        <w:t xml:space="preserve">. </w:t>
      </w:r>
      <w:r w:rsidRPr="00762D1D">
        <w:rPr>
          <w:spacing w:val="-1"/>
        </w:rPr>
        <w:t>Z</w:t>
      </w:r>
      <w:r w:rsidRPr="00762D1D">
        <w:t xml:space="preserve">a </w:t>
      </w:r>
      <w:r w:rsidRPr="00762D1D">
        <w:rPr>
          <w:spacing w:val="-1"/>
        </w:rPr>
        <w:t>p</w:t>
      </w:r>
      <w:r w:rsidRPr="00762D1D">
        <w:t>ř</w:t>
      </w:r>
      <w:r w:rsidRPr="00762D1D">
        <w:rPr>
          <w:spacing w:val="2"/>
        </w:rPr>
        <w:t>e</w:t>
      </w:r>
      <w:r w:rsidRPr="00762D1D">
        <w:rPr>
          <w:spacing w:val="-1"/>
        </w:rPr>
        <w:t>dpo</w:t>
      </w:r>
      <w:r w:rsidRPr="00762D1D">
        <w:t>kl</w:t>
      </w:r>
      <w:r w:rsidRPr="00762D1D">
        <w:rPr>
          <w:spacing w:val="3"/>
        </w:rPr>
        <w:t>a</w:t>
      </w:r>
      <w:r w:rsidRPr="00762D1D">
        <w:rPr>
          <w:spacing w:val="-1"/>
        </w:rPr>
        <w:t>d</w:t>
      </w:r>
      <w:r w:rsidRPr="00762D1D">
        <w:t>u respek</w:t>
      </w:r>
      <w:r w:rsidRPr="00762D1D">
        <w:rPr>
          <w:spacing w:val="-1"/>
        </w:rPr>
        <w:t>t</w:t>
      </w:r>
      <w:r w:rsidRPr="00762D1D">
        <w:rPr>
          <w:spacing w:val="2"/>
        </w:rPr>
        <w:t>o</w:t>
      </w:r>
      <w:r w:rsidRPr="00762D1D">
        <w:rPr>
          <w:spacing w:val="-2"/>
        </w:rPr>
        <w:t>v</w:t>
      </w:r>
      <w:r w:rsidRPr="00762D1D">
        <w:rPr>
          <w:spacing w:val="2"/>
        </w:rPr>
        <w:t>á</w:t>
      </w:r>
      <w:r w:rsidRPr="00762D1D">
        <w:rPr>
          <w:spacing w:val="-1"/>
        </w:rPr>
        <w:t>n</w:t>
      </w:r>
      <w:r w:rsidRPr="00762D1D">
        <w:t xml:space="preserve">í </w:t>
      </w:r>
      <w:r w:rsidRPr="00762D1D">
        <w:rPr>
          <w:spacing w:val="-1"/>
        </w:rPr>
        <w:t>t</w:t>
      </w:r>
      <w:r w:rsidRPr="00762D1D">
        <w:t>ěch</w:t>
      </w:r>
      <w:r w:rsidRPr="00762D1D">
        <w:rPr>
          <w:spacing w:val="1"/>
        </w:rPr>
        <w:t>t</w:t>
      </w:r>
      <w:r w:rsidRPr="00762D1D">
        <w:t>o mi</w:t>
      </w:r>
      <w:r w:rsidRPr="00762D1D">
        <w:rPr>
          <w:spacing w:val="-1"/>
        </w:rPr>
        <w:t>n</w:t>
      </w:r>
      <w:r w:rsidRPr="00762D1D">
        <w:t>imá</w:t>
      </w:r>
      <w:r w:rsidRPr="00762D1D">
        <w:rPr>
          <w:spacing w:val="2"/>
        </w:rPr>
        <w:t>l</w:t>
      </w:r>
      <w:r w:rsidRPr="00762D1D">
        <w:rPr>
          <w:spacing w:val="-1"/>
        </w:rPr>
        <w:t>n</w:t>
      </w:r>
      <w:r w:rsidRPr="00762D1D">
        <w:t>ích</w:t>
      </w:r>
      <w:r w:rsidRPr="00762D1D">
        <w:rPr>
          <w:spacing w:val="-9"/>
        </w:rPr>
        <w:t xml:space="preserve"> </w:t>
      </w:r>
      <w:r w:rsidRPr="00762D1D">
        <w:rPr>
          <w:spacing w:val="-1"/>
        </w:rPr>
        <w:t>po</w:t>
      </w:r>
      <w:r w:rsidRPr="00762D1D">
        <w:rPr>
          <w:spacing w:val="1"/>
        </w:rPr>
        <w:t>ž</w:t>
      </w:r>
      <w:r w:rsidRPr="00762D1D">
        <w:t>ad</w:t>
      </w:r>
      <w:r w:rsidRPr="00762D1D">
        <w:rPr>
          <w:spacing w:val="2"/>
        </w:rPr>
        <w:t>a</w:t>
      </w:r>
      <w:r w:rsidRPr="00762D1D">
        <w:rPr>
          <w:spacing w:val="-2"/>
        </w:rPr>
        <w:t>v</w:t>
      </w:r>
      <w:r w:rsidRPr="00762D1D">
        <w:rPr>
          <w:spacing w:val="2"/>
        </w:rPr>
        <w:t>k</w:t>
      </w:r>
      <w:r w:rsidRPr="00762D1D">
        <w:t>ů</w:t>
      </w:r>
      <w:r w:rsidRPr="00762D1D">
        <w:rPr>
          <w:spacing w:val="-7"/>
        </w:rPr>
        <w:t xml:space="preserve"> </w:t>
      </w:r>
      <w:r w:rsidRPr="00762D1D">
        <w:t>ŘO</w:t>
      </w:r>
      <w:r w:rsidRPr="00762D1D">
        <w:rPr>
          <w:spacing w:val="-2"/>
        </w:rPr>
        <w:t xml:space="preserve"> </w:t>
      </w:r>
      <w:r w:rsidRPr="00762D1D">
        <w:rPr>
          <w:spacing w:val="-1"/>
        </w:rPr>
        <w:t>d</w:t>
      </w:r>
      <w:r w:rsidRPr="00762D1D">
        <w:t>isp</w:t>
      </w:r>
      <w:r w:rsidRPr="00762D1D">
        <w:rPr>
          <w:spacing w:val="1"/>
        </w:rPr>
        <w:t>o</w:t>
      </w:r>
      <w:r w:rsidRPr="00762D1D">
        <w:rPr>
          <w:spacing w:val="-1"/>
        </w:rPr>
        <w:t>nu</w:t>
      </w:r>
      <w:r w:rsidRPr="00762D1D">
        <w:t>je</w:t>
      </w:r>
      <w:r w:rsidRPr="00762D1D">
        <w:rPr>
          <w:spacing w:val="-6"/>
        </w:rPr>
        <w:t xml:space="preserve"> </w:t>
      </w:r>
      <w:r w:rsidRPr="00762D1D">
        <w:rPr>
          <w:spacing w:val="1"/>
        </w:rPr>
        <w:t>z</w:t>
      </w:r>
      <w:r w:rsidRPr="00762D1D">
        <w:rPr>
          <w:spacing w:val="-1"/>
        </w:rPr>
        <w:t>n</w:t>
      </w:r>
      <w:r w:rsidRPr="00762D1D">
        <w:t>ačn</w:t>
      </w:r>
      <w:r w:rsidRPr="00762D1D">
        <w:rPr>
          <w:spacing w:val="2"/>
        </w:rPr>
        <w:t>ý</w:t>
      </w:r>
      <w:r w:rsidRPr="00762D1D">
        <w:t>m</w:t>
      </w:r>
      <w:r w:rsidRPr="00762D1D">
        <w:rPr>
          <w:spacing w:val="-6"/>
        </w:rPr>
        <w:t xml:space="preserve"> </w:t>
      </w:r>
      <w:r w:rsidRPr="00762D1D">
        <w:rPr>
          <w:spacing w:val="-1"/>
        </w:rPr>
        <w:t>p</w:t>
      </w:r>
      <w:r w:rsidRPr="00762D1D">
        <w:rPr>
          <w:spacing w:val="3"/>
        </w:rPr>
        <w:t>r</w:t>
      </w:r>
      <w:r w:rsidRPr="00762D1D">
        <w:rPr>
          <w:spacing w:val="-1"/>
        </w:rPr>
        <w:t>o</w:t>
      </w:r>
      <w:r w:rsidRPr="00762D1D">
        <w:t>st</w:t>
      </w:r>
      <w:r w:rsidRPr="00762D1D">
        <w:rPr>
          <w:spacing w:val="-1"/>
        </w:rPr>
        <w:t>o</w:t>
      </w:r>
      <w:r w:rsidRPr="00762D1D">
        <w:t>rem</w:t>
      </w:r>
      <w:r w:rsidRPr="00762D1D">
        <w:rPr>
          <w:spacing w:val="-7"/>
        </w:rPr>
        <w:t xml:space="preserve"> </w:t>
      </w:r>
      <w:r w:rsidRPr="00762D1D">
        <w:rPr>
          <w:spacing w:val="-1"/>
        </w:rPr>
        <w:t>p</w:t>
      </w:r>
      <w:r w:rsidRPr="00762D1D">
        <w:rPr>
          <w:spacing w:val="3"/>
        </w:rPr>
        <w:t>r</w:t>
      </w:r>
      <w:r w:rsidRPr="00762D1D">
        <w:t>o</w:t>
      </w:r>
      <w:r w:rsidRPr="00762D1D">
        <w:rPr>
          <w:spacing w:val="-1"/>
        </w:rPr>
        <w:t xml:space="preserve"> up</w:t>
      </w:r>
      <w:r w:rsidRPr="00762D1D">
        <w:t>r</w:t>
      </w:r>
      <w:r w:rsidRPr="00762D1D">
        <w:rPr>
          <w:spacing w:val="2"/>
        </w:rPr>
        <w:t>a</w:t>
      </w:r>
      <w:r w:rsidRPr="00762D1D">
        <w:rPr>
          <w:spacing w:val="-2"/>
        </w:rPr>
        <w:t>v</w:t>
      </w:r>
      <w:r w:rsidRPr="00762D1D">
        <w:t>ení</w:t>
      </w:r>
      <w:r w:rsidRPr="00762D1D">
        <w:rPr>
          <w:spacing w:val="-4"/>
        </w:rPr>
        <w:t xml:space="preserve"> </w:t>
      </w:r>
      <w:r w:rsidRPr="00762D1D">
        <w:rPr>
          <w:spacing w:val="-1"/>
        </w:rPr>
        <w:t>do</w:t>
      </w:r>
      <w:r w:rsidRPr="00762D1D">
        <w:rPr>
          <w:spacing w:val="2"/>
        </w:rPr>
        <w:t>h</w:t>
      </w:r>
      <w:r w:rsidRPr="00762D1D">
        <w:rPr>
          <w:spacing w:val="-1"/>
        </w:rPr>
        <w:t>o</w:t>
      </w:r>
      <w:r w:rsidRPr="00762D1D">
        <w:rPr>
          <w:spacing w:val="2"/>
        </w:rPr>
        <w:t>d</w:t>
      </w:r>
      <w:r w:rsidRPr="00762D1D">
        <w:t>y</w:t>
      </w:r>
      <w:r w:rsidRPr="00762D1D">
        <w:rPr>
          <w:spacing w:val="-3"/>
        </w:rPr>
        <w:t xml:space="preserve"> </w:t>
      </w:r>
      <w:r w:rsidRPr="00762D1D">
        <w:t>o</w:t>
      </w:r>
      <w:r w:rsidRPr="00762D1D">
        <w:rPr>
          <w:spacing w:val="2"/>
        </w:rPr>
        <w:t xml:space="preserve"> f</w:t>
      </w:r>
      <w:r w:rsidRPr="00762D1D">
        <w:rPr>
          <w:spacing w:val="1"/>
        </w:rPr>
        <w:t>i</w:t>
      </w:r>
      <w:r w:rsidRPr="00762D1D">
        <w:t>nan</w:t>
      </w:r>
      <w:r w:rsidRPr="00762D1D">
        <w:rPr>
          <w:spacing w:val="2"/>
        </w:rPr>
        <w:t>c</w:t>
      </w:r>
      <w:r w:rsidRPr="00762D1D">
        <w:t>o</w:t>
      </w:r>
      <w:r w:rsidRPr="00762D1D">
        <w:rPr>
          <w:spacing w:val="-1"/>
        </w:rPr>
        <w:t>v</w:t>
      </w:r>
      <w:r w:rsidRPr="00762D1D">
        <w:t>ání</w:t>
      </w:r>
      <w:r w:rsidRPr="00762D1D">
        <w:rPr>
          <w:spacing w:val="-5"/>
        </w:rPr>
        <w:t xml:space="preserve"> </w:t>
      </w:r>
      <w:r w:rsidRPr="00762D1D">
        <w:rPr>
          <w:spacing w:val="-1"/>
        </w:rPr>
        <w:t>d</w:t>
      </w:r>
      <w:r w:rsidRPr="00762D1D">
        <w:t>le s</w:t>
      </w:r>
      <w:r w:rsidRPr="00762D1D">
        <w:rPr>
          <w:spacing w:val="-2"/>
        </w:rPr>
        <w:t>v</w:t>
      </w:r>
      <w:r w:rsidRPr="00762D1D">
        <w:t>ých</w:t>
      </w:r>
      <w:r w:rsidRPr="00762D1D">
        <w:rPr>
          <w:spacing w:val="-3"/>
        </w:rPr>
        <w:t xml:space="preserve"> </w:t>
      </w:r>
      <w:r w:rsidRPr="00762D1D">
        <w:rPr>
          <w:spacing w:val="-1"/>
        </w:rPr>
        <w:t>p</w:t>
      </w:r>
      <w:r w:rsidRPr="00762D1D">
        <w:t>ředs</w:t>
      </w:r>
      <w:r w:rsidRPr="00762D1D">
        <w:rPr>
          <w:spacing w:val="-1"/>
        </w:rPr>
        <w:t>t</w:t>
      </w:r>
      <w:r w:rsidRPr="00762D1D">
        <w:rPr>
          <w:spacing w:val="2"/>
        </w:rPr>
        <w:t>a</w:t>
      </w:r>
      <w:r w:rsidRPr="00762D1D">
        <w:t>v</w:t>
      </w:r>
      <w:r w:rsidRPr="00762D1D">
        <w:rPr>
          <w:spacing w:val="-8"/>
        </w:rPr>
        <w:t xml:space="preserve"> </w:t>
      </w:r>
      <w:r w:rsidRPr="00762D1D">
        <w:t>a</w:t>
      </w:r>
      <w:r w:rsidRPr="00762D1D">
        <w:rPr>
          <w:spacing w:val="-1"/>
        </w:rPr>
        <w:t xml:space="preserve"> </w:t>
      </w:r>
      <w:r w:rsidRPr="00762D1D">
        <w:t>p</w:t>
      </w:r>
      <w:r w:rsidRPr="00762D1D">
        <w:rPr>
          <w:spacing w:val="2"/>
        </w:rPr>
        <w:t>o</w:t>
      </w:r>
      <w:r w:rsidRPr="00762D1D">
        <w:rPr>
          <w:spacing w:val="-1"/>
        </w:rPr>
        <w:t>t</w:t>
      </w:r>
      <w:r w:rsidRPr="00762D1D">
        <w:t>řeb</w:t>
      </w:r>
      <w:r w:rsidR="008E048E">
        <w:t xml:space="preserve"> při respektování příslušných nařízení ESIF.</w:t>
      </w:r>
    </w:p>
    <w:p w:rsidR="0089495C" w:rsidRDefault="0089495C" w:rsidP="00171265">
      <w:pPr>
        <w:pStyle w:val="Nadpis2"/>
      </w:pPr>
      <w:bookmarkStart w:id="74" w:name="_Toc410115469"/>
      <w:r>
        <w:lastRenderedPageBreak/>
        <w:t>Typy zapojených subjektů</w:t>
      </w:r>
      <w:bookmarkEnd w:id="74"/>
    </w:p>
    <w:p w:rsidR="00297EC0" w:rsidRPr="00297EC0" w:rsidRDefault="002921B3" w:rsidP="00636988">
      <w:pPr>
        <w:pStyle w:val="Titulek"/>
      </w:pPr>
      <w:bookmarkStart w:id="75" w:name="_Toc409446424"/>
      <w:r>
        <w:t xml:space="preserve">Schéma </w:t>
      </w:r>
      <w:fldSimple w:instr=" SEQ Schéma \* ARABIC ">
        <w:r w:rsidR="006C5EA3">
          <w:rPr>
            <w:noProof/>
          </w:rPr>
          <w:t>16</w:t>
        </w:r>
      </w:fldSimple>
      <w:r w:rsidR="00435883">
        <w:t>:</w:t>
      </w:r>
      <w:r w:rsidR="00435883">
        <w:tab/>
        <w:t xml:space="preserve"> Jednotlivé úrovně</w:t>
      </w:r>
      <w:r w:rsidR="00297EC0">
        <w:t xml:space="preserve"> IFN</w:t>
      </w:r>
      <w:bookmarkEnd w:id="75"/>
    </w:p>
    <w:p w:rsidR="0089495C" w:rsidRDefault="0055330E" w:rsidP="00543F94">
      <w:pPr>
        <w:ind w:left="284" w:hanging="283"/>
        <w:jc w:val="center"/>
      </w:pPr>
      <w:r>
        <w:rPr>
          <w:noProof/>
          <w:lang w:eastAsia="cs-CZ"/>
        </w:rPr>
        <w:drawing>
          <wp:inline distT="0" distB="0" distL="0" distR="0" wp14:anchorId="33AB6893" wp14:editId="51D78D71">
            <wp:extent cx="5653405" cy="5247640"/>
            <wp:effectExtent l="19050" t="0" r="4445" b="0"/>
            <wp:docPr id="28"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37"/>
                    <a:srcRect/>
                    <a:stretch>
                      <a:fillRect/>
                    </a:stretch>
                  </pic:blipFill>
                  <pic:spPr bwMode="auto">
                    <a:xfrm>
                      <a:off x="0" y="0"/>
                      <a:ext cx="5653405" cy="5247640"/>
                    </a:xfrm>
                    <a:prstGeom prst="rect">
                      <a:avLst/>
                    </a:prstGeom>
                    <a:noFill/>
                    <a:ln w="9525">
                      <a:noFill/>
                      <a:miter lim="800000"/>
                      <a:headEnd/>
                      <a:tailEnd/>
                    </a:ln>
                  </pic:spPr>
                </pic:pic>
              </a:graphicData>
            </a:graphic>
          </wp:inline>
        </w:drawing>
      </w:r>
    </w:p>
    <w:p w:rsidR="00A455C3" w:rsidRDefault="00A455C3" w:rsidP="00171265">
      <w:pPr>
        <w:pStyle w:val="Nadpis3"/>
      </w:pPr>
      <w:bookmarkStart w:id="76" w:name="_Toc405824843"/>
      <w:bookmarkStart w:id="77" w:name="_Toc410115470"/>
      <w:bookmarkEnd w:id="76"/>
      <w:r>
        <w:t>Fond fondů</w:t>
      </w:r>
      <w:bookmarkEnd w:id="77"/>
    </w:p>
    <w:p w:rsidR="00D9200B" w:rsidRDefault="00D9200B" w:rsidP="00543F94">
      <w:pPr>
        <w:pStyle w:val="Odskoknadpis4"/>
        <w:keepNext/>
      </w:pPr>
      <w:r>
        <w:t>Tento institut není dle evropských nařízen</w:t>
      </w:r>
      <w:r w:rsidR="00EA66DF">
        <w:t>í</w:t>
      </w:r>
      <w:r>
        <w:t xml:space="preserve"> povinný, ale jeho nasazení má své významné důvody. Pokud k použití </w:t>
      </w:r>
      <w:r w:rsidR="00E25C1F">
        <w:t>Fondu fondů</w:t>
      </w:r>
      <w:r>
        <w:t xml:space="preserve"> dochází, plní tuto roli (nebo roli správce FF) finanční instituce (EIB, mezinárodní finanční instituce nebo státem vlastněná finanční instituce</w:t>
      </w:r>
      <w:r>
        <w:rPr>
          <w:rStyle w:val="Znakapoznpodarou"/>
        </w:rPr>
        <w:footnoteReference w:id="131"/>
      </w:r>
      <w:r>
        <w:t>)</w:t>
      </w:r>
      <w:r w:rsidR="009C344D">
        <w:t>.</w:t>
      </w:r>
    </w:p>
    <w:p w:rsidR="00AA08FF" w:rsidRDefault="00D9200B" w:rsidP="0049720A">
      <w:pPr>
        <w:pStyle w:val="Odskoknadpis4"/>
      </w:pPr>
      <w:r>
        <w:t xml:space="preserve">Hlavní rolí FF je oddělovat tok prostředků od státního rozpočtu a </w:t>
      </w:r>
      <w:r w:rsidR="00C24F18">
        <w:t xml:space="preserve">následně umožnit vytvoření vhodných finančních </w:t>
      </w:r>
      <w:r w:rsidR="00787752">
        <w:t>mechanizm</w:t>
      </w:r>
      <w:r w:rsidR="00C24F18">
        <w:t>ů na úrovni IFN</w:t>
      </w:r>
      <w:r w:rsidR="00AA08FF">
        <w:t>.</w:t>
      </w:r>
    </w:p>
    <w:p w:rsidR="00C24F18" w:rsidRDefault="00C24F18" w:rsidP="0049720A">
      <w:pPr>
        <w:pStyle w:val="Odskoknadpis4"/>
      </w:pPr>
      <w:r>
        <w:t>FF, jako finanční instituce</w:t>
      </w:r>
      <w:r w:rsidR="009C344D">
        <w:t>,</w:t>
      </w:r>
      <w:r>
        <w:t xml:space="preserve"> má být partnerem pro ŘO</w:t>
      </w:r>
      <w:r w:rsidR="00770652">
        <w:t>, který poskytuje podporu spravovaným IFN a považován za příjemce podpory.</w:t>
      </w:r>
      <w:r>
        <w:t xml:space="preserve"> </w:t>
      </w:r>
      <w:r w:rsidR="00770652">
        <w:t>P</w:t>
      </w:r>
      <w:r>
        <w:t xml:space="preserve">ři přípravě IFN </w:t>
      </w:r>
      <w:r w:rsidR="009C344D">
        <w:t>zajišťovat</w:t>
      </w:r>
      <w:r>
        <w:t xml:space="preserve"> nenarušování stávajícího trhu finančních produktů, výběr vhodné formy finančního nástroje, výběr vhodné struktury a typu (kapitál, dluh atd.) a také </w:t>
      </w:r>
      <w:r w:rsidR="009C344D">
        <w:t xml:space="preserve">nastavení odpovídajících </w:t>
      </w:r>
      <w:r>
        <w:t xml:space="preserve">konkrétních parametrů (úroková sazba, výše sdíleného rizika </w:t>
      </w:r>
      <w:r w:rsidR="00322BD6">
        <w:t>a</w:t>
      </w:r>
      <w:r>
        <w:t>td.).</w:t>
      </w:r>
    </w:p>
    <w:p w:rsidR="000C0B4C" w:rsidRDefault="00D9200B" w:rsidP="0049720A">
      <w:pPr>
        <w:pStyle w:val="Odskoknadpis4"/>
      </w:pPr>
      <w:r>
        <w:lastRenderedPageBreak/>
        <w:t>ŘO a subjekty státní správy obecně nemají předchozí zkušenosti ani personální kapacity s takto vysoce odbornou činností finančního subjektu (risk management, struktura nástrojů, úrokové sazby, řízení investic atd.)</w:t>
      </w:r>
      <w:r w:rsidR="00C24F18">
        <w:t xml:space="preserve"> a mají být spíše plně zodpovědné za obsahovou stránku aktivit, tedy do jakých oblastí má být IFN směřován, v jakých objemech a k jakým konečným příjemcům (vše vyplývá z </w:t>
      </w:r>
      <w:r w:rsidR="00E87264" w:rsidRPr="009C22FB">
        <w:t>ex-ante</w:t>
      </w:r>
      <w:r w:rsidR="00C24F18">
        <w:t xml:space="preserve"> analýz ŘO).</w:t>
      </w:r>
      <w:r w:rsidR="00BF181C">
        <w:t xml:space="preserve"> Zkušenosti zatím existují pouze s jednoduššími IFN</w:t>
      </w:r>
      <w:r w:rsidR="00F06717" w:rsidRPr="00BA280C">
        <w:rPr>
          <w:u w:val="single"/>
        </w:rPr>
        <w:t>,</w:t>
      </w:r>
      <w:r w:rsidR="00BF181C">
        <w:t xml:space="preserve"> např.</w:t>
      </w:r>
      <w:r w:rsidR="009A2A05">
        <w:t> </w:t>
      </w:r>
      <w:r w:rsidR="00BF181C">
        <w:t>ve</w:t>
      </w:r>
      <w:r w:rsidR="009A2A05">
        <w:t> </w:t>
      </w:r>
      <w:r w:rsidR="00BF181C">
        <w:t>formě úvěrů</w:t>
      </w:r>
      <w:r w:rsidR="00F06717">
        <w:t>,</w:t>
      </w:r>
      <w:r w:rsidR="00BF181C">
        <w:t xml:space="preserve"> a kde některé ŘO nepotřebují odborné místo pro zajištění takovýchto IFN.</w:t>
      </w:r>
    </w:p>
    <w:p w:rsidR="00A93D0C" w:rsidRDefault="00A93D0C" w:rsidP="00636988">
      <w:pPr>
        <w:pStyle w:val="schma"/>
      </w:pPr>
      <w:r>
        <w:t xml:space="preserve">Schéma </w:t>
      </w:r>
      <w:fldSimple w:instr=" SEQ Schéma \* ARABIC ">
        <w:r w:rsidR="006C5EA3">
          <w:rPr>
            <w:noProof/>
          </w:rPr>
          <w:t>17</w:t>
        </w:r>
      </w:fldSimple>
      <w:r>
        <w:t>: Příklady fondů fondů</w:t>
      </w:r>
    </w:p>
    <w:p w:rsidR="00A93D0C" w:rsidRDefault="0055330E" w:rsidP="00636988">
      <w:pPr>
        <w:pStyle w:val="Odskoknadpis4"/>
        <w:keepNext/>
        <w:jc w:val="center"/>
      </w:pPr>
      <w:r>
        <w:rPr>
          <w:noProof/>
          <w:lang w:eastAsia="cs-CZ"/>
        </w:rPr>
        <w:drawing>
          <wp:inline distT="0" distB="0" distL="0" distR="0" wp14:anchorId="555A112D" wp14:editId="7B51BF1D">
            <wp:extent cx="5454650" cy="4174490"/>
            <wp:effectExtent l="0" t="0" r="0" b="0"/>
            <wp:docPr id="2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38"/>
                    <a:srcRect/>
                    <a:stretch>
                      <a:fillRect/>
                    </a:stretch>
                  </pic:blipFill>
                  <pic:spPr bwMode="auto">
                    <a:xfrm>
                      <a:off x="0" y="0"/>
                      <a:ext cx="5454650" cy="4174490"/>
                    </a:xfrm>
                    <a:prstGeom prst="rect">
                      <a:avLst/>
                    </a:prstGeom>
                    <a:noFill/>
                    <a:ln w="9525">
                      <a:noFill/>
                      <a:miter lim="800000"/>
                      <a:headEnd/>
                      <a:tailEnd/>
                    </a:ln>
                  </pic:spPr>
                </pic:pic>
              </a:graphicData>
            </a:graphic>
          </wp:inline>
        </w:drawing>
      </w:r>
    </w:p>
    <w:p w:rsidR="00C24F18" w:rsidRDefault="00C24F18" w:rsidP="00171265">
      <w:pPr>
        <w:pStyle w:val="Nadpis3"/>
      </w:pPr>
      <w:bookmarkStart w:id="78" w:name="_Toc405824845"/>
      <w:bookmarkStart w:id="79" w:name="_Toc410115471"/>
      <w:bookmarkEnd w:id="78"/>
      <w:r>
        <w:t>Finanční zprostředkovatelé</w:t>
      </w:r>
      <w:bookmarkEnd w:id="79"/>
    </w:p>
    <w:p w:rsidR="00C24F18" w:rsidRDefault="0008033E" w:rsidP="0049720A">
      <w:pPr>
        <w:pStyle w:val="Odskoknadpis4"/>
      </w:pPr>
      <w:r>
        <w:t>V pojetí IFN je finančním zprostředkovatelem finanční subjekt (banka, správce alternativního investičního fondu atd.)</w:t>
      </w:r>
      <w:r w:rsidR="00570138">
        <w:t>. J</w:t>
      </w:r>
      <w:r>
        <w:t xml:space="preserve">eho rolí je jednak být partnerem pro ŘO a FF při distribuci IFN vůči konečnému příjemci, ale také se v řadě případů předpokládá, že finanční zprostředkovatel se sám bude zapojovat vlastními finančními prostředky (nebo finančními prostředky jeho klientů) </w:t>
      </w:r>
      <w:r w:rsidR="009A2A05">
        <w:t>do </w:t>
      </w:r>
      <w:r>
        <w:t>IFN (požadavek EK na multiplikační efekt IFN).</w:t>
      </w:r>
    </w:p>
    <w:p w:rsidR="0008033E" w:rsidRDefault="0008033E" w:rsidP="0049720A">
      <w:pPr>
        <w:pStyle w:val="Odskoknadpis4"/>
      </w:pPr>
      <w:r>
        <w:t xml:space="preserve">Vzhledem k tomu, že u IFN existuje </w:t>
      </w:r>
      <w:r w:rsidR="007140E9">
        <w:t xml:space="preserve">zcela jiný </w:t>
      </w:r>
      <w:r w:rsidR="00787752">
        <w:t>mechanizm</w:t>
      </w:r>
      <w:r w:rsidR="007140E9">
        <w:t>us poskytování podpor konečnému příjemci, EK zdůrazňuje nutnost zvýšené pozornosti na finanční řízení a regulaci těchto činností (proto zapojení finančních institucí).</w:t>
      </w:r>
    </w:p>
    <w:p w:rsidR="00A96AFD" w:rsidRPr="00261B5A" w:rsidRDefault="00A96AFD" w:rsidP="0049720A">
      <w:pPr>
        <w:pStyle w:val="Odskoknadpis4"/>
      </w:pPr>
      <w:r w:rsidRPr="00261B5A">
        <w:t>Finanční zprostředkovatel tak může v rámci ESIF fondů plnit 3 základní role</w:t>
      </w:r>
      <w:r w:rsidR="00297EC0">
        <w:rPr>
          <w:rStyle w:val="Znakapoznpodarou"/>
        </w:rPr>
        <w:footnoteReference w:id="132"/>
      </w:r>
      <w:r w:rsidRPr="00261B5A">
        <w:t>:</w:t>
      </w:r>
    </w:p>
    <w:p w:rsidR="00A96AFD" w:rsidRDefault="00A96AFD" w:rsidP="003942C6">
      <w:pPr>
        <w:pStyle w:val="Odskoknadpis4"/>
        <w:numPr>
          <w:ilvl w:val="0"/>
          <w:numId w:val="15"/>
        </w:numPr>
      </w:pPr>
      <w:r>
        <w:t>Být spoluinvestorem</w:t>
      </w:r>
    </w:p>
    <w:p w:rsidR="00A96AFD" w:rsidRDefault="00A96AFD" w:rsidP="003942C6">
      <w:pPr>
        <w:pStyle w:val="Odskoknadpis4"/>
        <w:numPr>
          <w:ilvl w:val="0"/>
          <w:numId w:val="15"/>
        </w:numPr>
      </w:pPr>
      <w:r>
        <w:t>Být správcem IFN</w:t>
      </w:r>
    </w:p>
    <w:p w:rsidR="00A96AFD" w:rsidRDefault="00A96AFD" w:rsidP="003942C6">
      <w:pPr>
        <w:pStyle w:val="Odskoknadpis4"/>
        <w:numPr>
          <w:ilvl w:val="0"/>
          <w:numId w:val="15"/>
        </w:numPr>
      </w:pPr>
      <w:r>
        <w:lastRenderedPageBreak/>
        <w:t xml:space="preserve">Být distributorem IFN </w:t>
      </w:r>
    </w:p>
    <w:p w:rsidR="00A96AFD" w:rsidRPr="00C24F18" w:rsidRDefault="00A96AFD" w:rsidP="0049720A">
      <w:pPr>
        <w:pStyle w:val="Odskoknadpis4"/>
      </w:pPr>
      <w:r>
        <w:t>Všechny tyto 3 role mohou být zároveň volně kombinovatelné.</w:t>
      </w:r>
    </w:p>
    <w:p w:rsidR="00A320C9" w:rsidRDefault="00A320C9" w:rsidP="00171265">
      <w:pPr>
        <w:pStyle w:val="Nadpis2"/>
      </w:pPr>
      <w:bookmarkStart w:id="80" w:name="_Toc410115472"/>
      <w:r>
        <w:t>Možné varianty uspořádání implementace finančních nástrojů</w:t>
      </w:r>
      <w:bookmarkEnd w:id="80"/>
    </w:p>
    <w:p w:rsidR="00A93D0C" w:rsidRDefault="00A93D0C" w:rsidP="00636988">
      <w:pPr>
        <w:pStyle w:val="schma"/>
      </w:pPr>
      <w:r>
        <w:t xml:space="preserve">Schéma </w:t>
      </w:r>
      <w:fldSimple w:instr=" SEQ Schéma \* ARABIC ">
        <w:r w:rsidR="006C5EA3">
          <w:rPr>
            <w:noProof/>
          </w:rPr>
          <w:t>18</w:t>
        </w:r>
      </w:fldSimple>
      <w:r>
        <w:t>: Varianty uspořádání implementace FN</w:t>
      </w:r>
    </w:p>
    <w:p w:rsidR="00A320C9" w:rsidRDefault="0055330E" w:rsidP="00D94E4B">
      <w:pPr>
        <w:jc w:val="center"/>
      </w:pPr>
      <w:r>
        <w:rPr>
          <w:noProof/>
          <w:lang w:eastAsia="cs-CZ"/>
        </w:rPr>
        <w:drawing>
          <wp:inline distT="0" distB="0" distL="0" distR="0" wp14:anchorId="0A1DBE97" wp14:editId="32254E7E">
            <wp:extent cx="5407025" cy="4214495"/>
            <wp:effectExtent l="19050" t="0" r="3175" b="0"/>
            <wp:docPr id="30"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39"/>
                    <a:srcRect/>
                    <a:stretch>
                      <a:fillRect/>
                    </a:stretch>
                  </pic:blipFill>
                  <pic:spPr bwMode="auto">
                    <a:xfrm>
                      <a:off x="0" y="0"/>
                      <a:ext cx="5407025" cy="4214495"/>
                    </a:xfrm>
                    <a:prstGeom prst="rect">
                      <a:avLst/>
                    </a:prstGeom>
                    <a:noFill/>
                    <a:ln w="9525">
                      <a:noFill/>
                      <a:miter lim="800000"/>
                      <a:headEnd/>
                      <a:tailEnd/>
                    </a:ln>
                  </pic:spPr>
                </pic:pic>
              </a:graphicData>
            </a:graphic>
          </wp:inline>
        </w:drawing>
      </w:r>
    </w:p>
    <w:p w:rsidR="005F383C" w:rsidRDefault="005F383C" w:rsidP="00171265">
      <w:pPr>
        <w:pStyle w:val="Nadpis3"/>
      </w:pPr>
      <w:bookmarkStart w:id="81" w:name="_Toc405824848"/>
      <w:bookmarkStart w:id="82" w:name="_Toc410115473"/>
      <w:bookmarkEnd w:id="81"/>
      <w:r>
        <w:t xml:space="preserve">Vklady do IFN </w:t>
      </w:r>
      <w:r w:rsidRPr="00B37D95">
        <w:t>zřízených</w:t>
      </w:r>
      <w:r>
        <w:t xml:space="preserve"> na úrovni </w:t>
      </w:r>
      <w:r w:rsidR="0018767D">
        <w:t>EU</w:t>
      </w:r>
      <w:r>
        <w:t>, spravované přímo nebo nepřímo</w:t>
      </w:r>
      <w:r w:rsidR="00C24F18">
        <w:t xml:space="preserve"> EK</w:t>
      </w:r>
      <w:bookmarkEnd w:id="82"/>
    </w:p>
    <w:p w:rsidR="00A93D0C" w:rsidRDefault="00A93D0C" w:rsidP="00636988">
      <w:pPr>
        <w:pStyle w:val="schma"/>
      </w:pPr>
      <w:r>
        <w:t xml:space="preserve">Schéma </w:t>
      </w:r>
      <w:fldSimple w:instr=" SEQ Schéma \* ARABIC ">
        <w:r w:rsidR="006C5EA3">
          <w:rPr>
            <w:noProof/>
          </w:rPr>
          <w:t>19</w:t>
        </w:r>
      </w:fldSimple>
      <w:r>
        <w:t>: Vklady do IFN na úrovni EU</w:t>
      </w:r>
    </w:p>
    <w:p w:rsidR="00E25A8A" w:rsidRDefault="0055330E" w:rsidP="00D94E4B">
      <w:pPr>
        <w:pStyle w:val="Odskoknadpis4"/>
        <w:jc w:val="center"/>
      </w:pPr>
      <w:r>
        <w:rPr>
          <w:noProof/>
          <w:lang w:eastAsia="cs-CZ"/>
        </w:rPr>
        <w:drawing>
          <wp:inline distT="0" distB="0" distL="0" distR="0" wp14:anchorId="5C4114FC" wp14:editId="47CEDFE3">
            <wp:extent cx="4492625" cy="1717675"/>
            <wp:effectExtent l="19050" t="0" r="3175" b="0"/>
            <wp:docPr id="3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40"/>
                    <a:srcRect/>
                    <a:stretch>
                      <a:fillRect/>
                    </a:stretch>
                  </pic:blipFill>
                  <pic:spPr bwMode="auto">
                    <a:xfrm>
                      <a:off x="0" y="0"/>
                      <a:ext cx="4492625" cy="1717675"/>
                    </a:xfrm>
                    <a:prstGeom prst="rect">
                      <a:avLst/>
                    </a:prstGeom>
                    <a:noFill/>
                    <a:ln w="9525">
                      <a:noFill/>
                      <a:miter lim="800000"/>
                      <a:headEnd/>
                      <a:tailEnd/>
                    </a:ln>
                  </pic:spPr>
                </pic:pic>
              </a:graphicData>
            </a:graphic>
          </wp:inline>
        </w:drawing>
      </w:r>
    </w:p>
    <w:p w:rsidR="00AA08FF" w:rsidRDefault="00951424" w:rsidP="0049720A">
      <w:pPr>
        <w:pStyle w:val="Odskoknadpis4"/>
      </w:pPr>
      <w:r w:rsidRPr="00951424">
        <w:t xml:space="preserve">Řídící orgán bude investovat do finančního nástroje na úrovni EU spravovaného přímo </w:t>
      </w:r>
      <w:r w:rsidR="009A2A05" w:rsidRPr="00951424">
        <w:t>či</w:t>
      </w:r>
      <w:r w:rsidR="009A2A05">
        <w:t> </w:t>
      </w:r>
      <w:r w:rsidRPr="00951424">
        <w:t xml:space="preserve">nepřímo </w:t>
      </w:r>
      <w:r w:rsidR="00E26D91">
        <w:t>EK</w:t>
      </w:r>
      <w:r>
        <w:t xml:space="preserve"> (čl. 38 odst. 1</w:t>
      </w:r>
      <w:r w:rsidRPr="00951424">
        <w:t xml:space="preserve"> písm. a obecného nařízení)</w:t>
      </w:r>
      <w:r>
        <w:t xml:space="preserve">. </w:t>
      </w:r>
      <w:r w:rsidR="006F76D5">
        <w:t xml:space="preserve">Jedná se o řešení bez </w:t>
      </w:r>
      <w:r w:rsidR="00E25C1F" w:rsidRPr="00100D0D">
        <w:t>Fondu fondů</w:t>
      </w:r>
      <w:r w:rsidR="00E87264" w:rsidRPr="00100D0D">
        <w:t>.</w:t>
      </w:r>
      <w:r w:rsidR="006F76D5">
        <w:t xml:space="preserve"> </w:t>
      </w:r>
      <w:r w:rsidR="00E26D91">
        <w:t>Toto</w:t>
      </w:r>
      <w:r w:rsidR="005F383C">
        <w:t xml:space="preserve"> řešení v praxi </w:t>
      </w:r>
      <w:r w:rsidR="00E26D91">
        <w:t xml:space="preserve">znamená </w:t>
      </w:r>
      <w:r w:rsidR="005F383C">
        <w:t xml:space="preserve">rezignaci nejen na samotné vytváření a řízení </w:t>
      </w:r>
      <w:r w:rsidR="00420428">
        <w:t>IFN</w:t>
      </w:r>
      <w:r w:rsidR="005F383C">
        <w:t xml:space="preserve">, ale také to, že by české </w:t>
      </w:r>
      <w:r w:rsidR="00A56B56">
        <w:t>IFN</w:t>
      </w:r>
      <w:r w:rsidR="005F383C">
        <w:t xml:space="preserve"> </w:t>
      </w:r>
      <w:r w:rsidR="0089495C">
        <w:t xml:space="preserve">vůbec </w:t>
      </w:r>
      <w:r w:rsidR="00100D0D">
        <w:t>ne</w:t>
      </w:r>
      <w:r w:rsidR="0089495C">
        <w:t>existovaly</w:t>
      </w:r>
      <w:r w:rsidR="005F383C">
        <w:t xml:space="preserve">. Nástroje na evropské úrovni v principu sledují evropské cíle jako </w:t>
      </w:r>
      <w:r w:rsidR="005F383C">
        <w:lastRenderedPageBreak/>
        <w:t xml:space="preserve">celek a nesledují specifika jednotlivých členských zemí. </w:t>
      </w:r>
      <w:r w:rsidR="00A56B56">
        <w:t>IFN</w:t>
      </w:r>
      <w:r w:rsidR="005F383C">
        <w:t xml:space="preserve"> na národní úrovni mají za cíl chovat se odlišně – doplňkově k nástrojům zřízeným na centrální úrovni</w:t>
      </w:r>
      <w:r w:rsidR="004F6FCC">
        <w:rPr>
          <w:rStyle w:val="Znakapoznpodarou"/>
        </w:rPr>
        <w:footnoteReference w:id="133"/>
      </w:r>
      <w:r w:rsidR="00AA08FF">
        <w:t>.</w:t>
      </w:r>
    </w:p>
    <w:p w:rsidR="00AA08FF" w:rsidRDefault="005F383C" w:rsidP="0049720A">
      <w:pPr>
        <w:pStyle w:val="Odskoknadpis4"/>
      </w:pPr>
      <w:r w:rsidRPr="001A2F6E">
        <w:t xml:space="preserve">Výběr této varianty by znamenal </w:t>
      </w:r>
      <w:r w:rsidR="00B37D95" w:rsidRPr="001A2F6E">
        <w:t xml:space="preserve">vzdání se možnosti vytvářet </w:t>
      </w:r>
      <w:r w:rsidR="00A56B56" w:rsidRPr="001A2F6E">
        <w:t>IFN</w:t>
      </w:r>
      <w:r w:rsidR="00B37D95" w:rsidRPr="001A2F6E">
        <w:t xml:space="preserve"> specificky bližší českým konkrétním potřebám, a proto není tato varianta doporučována</w:t>
      </w:r>
      <w:r w:rsidR="0089495C" w:rsidRPr="001A2F6E">
        <w:t xml:space="preserve"> a v dalším textu již blíže rozebírána</w:t>
      </w:r>
      <w:r w:rsidR="00AA08FF">
        <w:t>.</w:t>
      </w:r>
    </w:p>
    <w:p w:rsidR="00B37D95" w:rsidRDefault="00B37D95" w:rsidP="00171265">
      <w:pPr>
        <w:pStyle w:val="Nadpis3"/>
      </w:pPr>
      <w:bookmarkStart w:id="83" w:name="_Toc410115474"/>
      <w:r>
        <w:t>Investice do kapitálu stávajících neb</w:t>
      </w:r>
      <w:r w:rsidR="00A96AFD">
        <w:t xml:space="preserve">o nově vytvořených právnických </w:t>
      </w:r>
      <w:r>
        <w:t>osob,</w:t>
      </w:r>
      <w:r w:rsidRPr="00B37D95">
        <w:t xml:space="preserve"> </w:t>
      </w:r>
      <w:r>
        <w:t xml:space="preserve">které </w:t>
      </w:r>
      <w:r w:rsidR="009A2A05">
        <w:t>se </w:t>
      </w:r>
      <w:r w:rsidRPr="00AE5279">
        <w:t>věnují</w:t>
      </w:r>
      <w:r>
        <w:t xml:space="preserve"> provádění IFI</w:t>
      </w:r>
      <w:bookmarkEnd w:id="83"/>
    </w:p>
    <w:p w:rsidR="00E94345" w:rsidRDefault="00E94345" w:rsidP="00636988">
      <w:pPr>
        <w:pStyle w:val="schma"/>
      </w:pPr>
      <w:r>
        <w:t xml:space="preserve">Schéma </w:t>
      </w:r>
      <w:fldSimple w:instr=" SEQ Schéma \* ARABIC ">
        <w:r w:rsidR="006C5EA3">
          <w:rPr>
            <w:noProof/>
          </w:rPr>
          <w:t>20</w:t>
        </w:r>
      </w:fldSimple>
      <w:r>
        <w:t>: Investice do kapitálu právnických osob</w:t>
      </w:r>
    </w:p>
    <w:p w:rsidR="00E25A8A" w:rsidRDefault="0055330E" w:rsidP="00D94E4B">
      <w:pPr>
        <w:pStyle w:val="Odskoknadpis4"/>
        <w:jc w:val="center"/>
      </w:pPr>
      <w:r>
        <w:rPr>
          <w:noProof/>
          <w:lang w:eastAsia="cs-CZ"/>
        </w:rPr>
        <w:drawing>
          <wp:inline distT="0" distB="0" distL="0" distR="0" wp14:anchorId="666FE739" wp14:editId="6E0654CA">
            <wp:extent cx="4492625" cy="1717675"/>
            <wp:effectExtent l="19050" t="0" r="3175" b="0"/>
            <wp:docPr id="3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41"/>
                    <a:srcRect/>
                    <a:stretch>
                      <a:fillRect/>
                    </a:stretch>
                  </pic:blipFill>
                  <pic:spPr bwMode="auto">
                    <a:xfrm>
                      <a:off x="0" y="0"/>
                      <a:ext cx="4492625" cy="1717675"/>
                    </a:xfrm>
                    <a:prstGeom prst="rect">
                      <a:avLst/>
                    </a:prstGeom>
                    <a:noFill/>
                    <a:ln w="9525">
                      <a:noFill/>
                      <a:miter lim="800000"/>
                      <a:headEnd/>
                      <a:tailEnd/>
                    </a:ln>
                  </pic:spPr>
                </pic:pic>
              </a:graphicData>
            </a:graphic>
          </wp:inline>
        </w:drawing>
      </w:r>
    </w:p>
    <w:p w:rsidR="000C0B4C" w:rsidRDefault="00951424" w:rsidP="0049720A">
      <w:pPr>
        <w:pStyle w:val="Odskoknadpis4"/>
      </w:pPr>
      <w:r>
        <w:t>Řídící orgán bude investovat do již existující struktury dle (čl. 38 odst. 1</w:t>
      </w:r>
      <w:r w:rsidRPr="00951424">
        <w:t xml:space="preserve"> písm. a obecného nařízení)</w:t>
      </w:r>
      <w:r>
        <w:t xml:space="preserve">. </w:t>
      </w:r>
      <w:r w:rsidR="00B37D95">
        <w:t>Toto řešení je nabízeno vzhledem k tomu, že některé členské státy</w:t>
      </w:r>
      <w:r w:rsidR="004667A4">
        <w:t xml:space="preserve"> a ŘO</w:t>
      </w:r>
      <w:r w:rsidR="00B37D95">
        <w:t xml:space="preserve"> již mají vytvořen systém pro řízení </w:t>
      </w:r>
      <w:r w:rsidR="00420428">
        <w:t>IFN</w:t>
      </w:r>
      <w:r w:rsidR="00B37D95">
        <w:t xml:space="preserve"> a nedávalo by smysl, aby musely vytvářet pro nové </w:t>
      </w:r>
      <w:r w:rsidR="00787752">
        <w:t>programové</w:t>
      </w:r>
      <w:r w:rsidR="00B37D95">
        <w:t xml:space="preserve"> období nové struktury. </w:t>
      </w:r>
      <w:r w:rsidR="006F76D5">
        <w:t>Více bod 3.2.4. této analýzy.</w:t>
      </w:r>
      <w:r w:rsidR="0089495C">
        <w:t xml:space="preserve"> Toto by bylo vhodné řešení, pokud by ČR již měla takovouto instituci plošně zapojenou do implementace IFN, což v současnosti nemá</w:t>
      </w:r>
      <w:r w:rsidR="0089495C">
        <w:rPr>
          <w:rStyle w:val="Znakapoznpodarou"/>
        </w:rPr>
        <w:footnoteReference w:id="134"/>
      </w:r>
      <w:r w:rsidR="0089495C">
        <w:t>.</w:t>
      </w:r>
    </w:p>
    <w:p w:rsidR="000C0B4C" w:rsidRDefault="00F017A3" w:rsidP="0049720A">
      <w:pPr>
        <w:pStyle w:val="Odskoknadpis4"/>
      </w:pPr>
      <w:r w:rsidRPr="00F017A3">
        <w:t>Vklad do nově zakládaných právnických osob je podrobněji rozebrán v kapitole 4.2.2.3.</w:t>
      </w:r>
    </w:p>
    <w:p w:rsidR="00B37D95" w:rsidRDefault="00B37D95" w:rsidP="00171265">
      <w:pPr>
        <w:pStyle w:val="Nadpis3"/>
      </w:pPr>
      <w:bookmarkStart w:id="84" w:name="_Toc410115475"/>
      <w:r>
        <w:t>Realizace prováděcích úkonů přímo řídícím orgánem</w:t>
      </w:r>
      <w:bookmarkEnd w:id="84"/>
    </w:p>
    <w:p w:rsidR="00E94345" w:rsidRDefault="00E94345" w:rsidP="00636988">
      <w:pPr>
        <w:pStyle w:val="schma"/>
      </w:pPr>
      <w:r>
        <w:t xml:space="preserve">Schéma </w:t>
      </w:r>
      <w:fldSimple w:instr=" SEQ Schéma \* ARABIC ">
        <w:r w:rsidR="006C5EA3">
          <w:rPr>
            <w:noProof/>
          </w:rPr>
          <w:t>21</w:t>
        </w:r>
      </w:fldSimple>
      <w:r>
        <w:t>: Realizace prováděcích úkonů</w:t>
      </w:r>
    </w:p>
    <w:p w:rsidR="008B7B49" w:rsidRDefault="0055330E" w:rsidP="00D94E4B">
      <w:pPr>
        <w:pStyle w:val="Odskoknadpis4"/>
        <w:jc w:val="center"/>
      </w:pPr>
      <w:r>
        <w:rPr>
          <w:noProof/>
          <w:lang w:eastAsia="cs-CZ"/>
        </w:rPr>
        <w:drawing>
          <wp:inline distT="0" distB="0" distL="0" distR="0" wp14:anchorId="03EFB67B" wp14:editId="1E385225">
            <wp:extent cx="4531995" cy="1733550"/>
            <wp:effectExtent l="19050" t="0" r="1905" b="0"/>
            <wp:docPr id="3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42"/>
                    <a:srcRect/>
                    <a:stretch>
                      <a:fillRect/>
                    </a:stretch>
                  </pic:blipFill>
                  <pic:spPr bwMode="auto">
                    <a:xfrm>
                      <a:off x="0" y="0"/>
                      <a:ext cx="4531995" cy="1733550"/>
                    </a:xfrm>
                    <a:prstGeom prst="rect">
                      <a:avLst/>
                    </a:prstGeom>
                    <a:noFill/>
                    <a:ln w="9525">
                      <a:noFill/>
                      <a:miter lim="800000"/>
                      <a:headEnd/>
                      <a:tailEnd/>
                    </a:ln>
                  </pic:spPr>
                </pic:pic>
              </a:graphicData>
            </a:graphic>
          </wp:inline>
        </w:drawing>
      </w:r>
    </w:p>
    <w:p w:rsidR="00AA08FF" w:rsidRDefault="00FB41DA" w:rsidP="0049720A">
      <w:pPr>
        <w:pStyle w:val="Odskoknadpis4"/>
      </w:pPr>
      <w:r>
        <w:t>Tato varianta v zásadě představuje decentralizované řešení</w:t>
      </w:r>
      <w:r w:rsidR="006F76D5">
        <w:t xml:space="preserve"> a to bez holdingového fondu</w:t>
      </w:r>
      <w:r>
        <w:t xml:space="preserve">, kdy </w:t>
      </w:r>
      <w:r w:rsidR="009A2A05">
        <w:t>si </w:t>
      </w:r>
      <w:r>
        <w:t>každý řídící orgán provádí implementaci sám</w:t>
      </w:r>
      <w:r w:rsidR="00AA08FF">
        <w:t>.</w:t>
      </w:r>
    </w:p>
    <w:p w:rsidR="00AA08FF" w:rsidRDefault="00FB41DA" w:rsidP="0049720A">
      <w:pPr>
        <w:pStyle w:val="Odskoknadpis4"/>
      </w:pPr>
      <w:r w:rsidRPr="00671A9C">
        <w:t>Týká se ale pouze případů</w:t>
      </w:r>
      <w:r w:rsidR="00F768E6">
        <w:t>,</w:t>
      </w:r>
      <w:r w:rsidRPr="00671A9C">
        <w:t xml:space="preserve"> kdy jsou </w:t>
      </w:r>
      <w:r w:rsidR="00A56B56" w:rsidRPr="00671A9C">
        <w:t>IFN</w:t>
      </w:r>
      <w:r w:rsidRPr="00671A9C">
        <w:t xml:space="preserve"> vytvořeny ve formě úvěrů nebo záruk</w:t>
      </w:r>
      <w:r w:rsidR="00AA08FF">
        <w:t>.</w:t>
      </w:r>
    </w:p>
    <w:p w:rsidR="00FB41DA" w:rsidRDefault="00FB41DA" w:rsidP="0049720A">
      <w:pPr>
        <w:pStyle w:val="Odskoknadpis4"/>
      </w:pPr>
      <w:r>
        <w:lastRenderedPageBreak/>
        <w:t xml:space="preserve">Řídící orgán </w:t>
      </w:r>
      <w:r w:rsidR="00EA2C3F">
        <w:t xml:space="preserve">by mohl u bank </w:t>
      </w:r>
      <w:r>
        <w:t xml:space="preserve">zřídit </w:t>
      </w:r>
      <w:r w:rsidR="00EA2C3F">
        <w:t>klientské</w:t>
      </w:r>
      <w:r>
        <w:t xml:space="preserve"> účty</w:t>
      </w:r>
      <w:r w:rsidR="00B44127">
        <w:rPr>
          <w:rStyle w:val="Znakapoznpodarou"/>
        </w:rPr>
        <w:footnoteReference w:id="135"/>
      </w:r>
      <w:r w:rsidR="00E26D91">
        <w:t xml:space="preserve">, tedy </w:t>
      </w:r>
      <w:r w:rsidRPr="00FB41DA">
        <w:t xml:space="preserve">vytvořit </w:t>
      </w:r>
      <w:r w:rsidR="00EA2C3F">
        <w:t>IFN</w:t>
      </w:r>
      <w:r w:rsidRPr="00FB41DA">
        <w:t xml:space="preserve"> jako samostatný blok finančních prostředků v rámci finanční instituce. V případě samostatného bloku finančních prostředků se účetně rozlišují zdroje z programu investované do daného finančního nástroje a jiné zdroje, které jsou k dispozici v dané finanční instituci. Aktiva na svěřen</w:t>
      </w:r>
      <w:r>
        <w:t>ec</w:t>
      </w:r>
      <w:r w:rsidRPr="00FB41DA">
        <w:t>kých účtech a tyto samostatné bloky finančních prostředků musí být spravovány v souladu se zásadou řádného finančního řízení při dodržení vhodných pravidel obezřetnosti a musí mít odpovídající likviditu</w:t>
      </w:r>
      <w:r>
        <w:rPr>
          <w:rStyle w:val="Znakapoznpodarou"/>
        </w:rPr>
        <w:footnoteReference w:id="136"/>
      </w:r>
      <w:r>
        <w:t xml:space="preserve">. Výhodou je </w:t>
      </w:r>
      <w:r w:rsidR="00F768E6">
        <w:t xml:space="preserve">neomezení </w:t>
      </w:r>
      <w:r>
        <w:t>řízení ze strany řídícího orgánu</w:t>
      </w:r>
      <w:r w:rsidR="00F768E6">
        <w:t>;</w:t>
      </w:r>
      <w:r>
        <w:t xml:space="preserve"> významnou nevýhodou jsou praktické problémy spočívající v tom, že tímto způsobem lze realizovat pouze záruky a úvěry, což představuje </w:t>
      </w:r>
      <w:r w:rsidR="00F768E6">
        <w:t xml:space="preserve">značné </w:t>
      </w:r>
      <w:r>
        <w:t>zúže</w:t>
      </w:r>
      <w:r w:rsidR="004F6FCC">
        <w:t xml:space="preserve">ní možností </w:t>
      </w:r>
      <w:r w:rsidR="00420428">
        <w:t>IFN</w:t>
      </w:r>
      <w:r w:rsidR="00F768E6">
        <w:t>,</w:t>
      </w:r>
      <w:r w:rsidR="004F6FCC">
        <w:t xml:space="preserve"> </w:t>
      </w:r>
      <w:r>
        <w:t xml:space="preserve">a také velmi nízká schopnost dosahovat </w:t>
      </w:r>
      <w:r w:rsidR="004F6FCC">
        <w:t>pákových</w:t>
      </w:r>
      <w:r>
        <w:t xml:space="preserve"> efektů</w:t>
      </w:r>
      <w:r w:rsidR="004F6FCC">
        <w:t xml:space="preserve"> zapojením externích zdrojů</w:t>
      </w:r>
      <w:r>
        <w:t xml:space="preserve">. Dalším problémem je sjednocení administrativy, vazba </w:t>
      </w:r>
      <w:r w:rsidR="009A2A05">
        <w:t>na </w:t>
      </w:r>
      <w:r w:rsidR="00E26D91">
        <w:t>tzv</w:t>
      </w:r>
      <w:r w:rsidR="009A2A05">
        <w:t>. </w:t>
      </w:r>
      <w:r w:rsidR="00E26D91">
        <w:t xml:space="preserve">platební a certifikační orgán </w:t>
      </w:r>
      <w:r>
        <w:t>a audit</w:t>
      </w:r>
      <w:r w:rsidR="00673362">
        <w:t>ní orgán (v ČR jsou oba tyto orgá</w:t>
      </w:r>
      <w:r w:rsidR="00E26D91">
        <w:t>ny zřízeny v rámci MF)</w:t>
      </w:r>
      <w:r>
        <w:t xml:space="preserve">, významně se zvyšují transakční náklady, protože každý řídící orgán si musí vytvořit svou odbornou jednotku, která by byla schopna pokrýt požadavky na fungování a řízení </w:t>
      </w:r>
      <w:r w:rsidR="00420428">
        <w:t>IFN</w:t>
      </w:r>
      <w:r>
        <w:t xml:space="preserve"> (finanční řízení, risk management, administrativu, kontrolní roli atd.). Dnes touto kapacitou většina řídících orgánů nedisponuje.</w:t>
      </w:r>
    </w:p>
    <w:p w:rsidR="00332F20" w:rsidRDefault="00332F20" w:rsidP="0049720A">
      <w:pPr>
        <w:pStyle w:val="Odskoknadpis4"/>
      </w:pPr>
      <w:r>
        <w:t xml:space="preserve">Sama EK uvádí, že tato možnost bude spíše omezená a </w:t>
      </w:r>
      <w:r w:rsidR="00F768E6">
        <w:t xml:space="preserve">využívaná </w:t>
      </w:r>
      <w:r>
        <w:t>pouze v</w:t>
      </w:r>
      <w:r w:rsidR="00F768E6">
        <w:t> </w:t>
      </w:r>
      <w:r>
        <w:t xml:space="preserve">případech kdy existuje omezené množství IFN nebo jsou </w:t>
      </w:r>
      <w:r w:rsidR="00F768E6">
        <w:t xml:space="preserve">IFN </w:t>
      </w:r>
      <w:r>
        <w:t>příliš malé</w:t>
      </w:r>
      <w:r w:rsidR="00100D0D">
        <w:t xml:space="preserve"> ke správě </w:t>
      </w:r>
      <w:r w:rsidR="00F768E6">
        <w:t xml:space="preserve">pomocí </w:t>
      </w:r>
      <w:r>
        <w:t>FF</w:t>
      </w:r>
      <w:r>
        <w:rPr>
          <w:rStyle w:val="Znakapoznpodarou"/>
        </w:rPr>
        <w:footnoteReference w:id="137"/>
      </w:r>
      <w:r>
        <w:t>.</w:t>
      </w:r>
      <w:r w:rsidR="004F6FCC">
        <w:t xml:space="preserve"> </w:t>
      </w:r>
      <w:r w:rsidR="00240086">
        <w:t>Zřízení FF ovšem nepředstavuje</w:t>
      </w:r>
      <w:r w:rsidR="004F6FCC">
        <w:t xml:space="preserve"> pro ŘO žádné zvláštní omezení.</w:t>
      </w:r>
    </w:p>
    <w:p w:rsidR="00671A9C" w:rsidRPr="00671A9C" w:rsidRDefault="00671A9C" w:rsidP="0049720A">
      <w:pPr>
        <w:pStyle w:val="Odskoknadpis4"/>
      </w:pPr>
      <w:r w:rsidRPr="00671A9C">
        <w:t xml:space="preserve">Vzhledem k tomu, že některé řídící orgány budou realizovat i jiné podoby IFN než pouze úvěry </w:t>
      </w:r>
      <w:r w:rsidR="009A2A05" w:rsidRPr="00671A9C">
        <w:t>a</w:t>
      </w:r>
      <w:r w:rsidR="009A2A05">
        <w:t> </w:t>
      </w:r>
      <w:r w:rsidRPr="00671A9C">
        <w:t>záruky, je tato varianta možná pouze v případě decentralizovaného řešení</w:t>
      </w:r>
      <w:r>
        <w:t>, které je podrobněji rozebráno v kapitole 4.1 a vzhledem k závěrům, není doporučován</w:t>
      </w:r>
      <w:r w:rsidR="00240086">
        <w:t>o</w:t>
      </w:r>
      <w:r>
        <w:t>.</w:t>
      </w:r>
    </w:p>
    <w:p w:rsidR="001A2F6E" w:rsidRDefault="00543F94" w:rsidP="00171265">
      <w:pPr>
        <w:pStyle w:val="Nadpis2"/>
      </w:pPr>
      <w:bookmarkStart w:id="85" w:name="_Toc410115476"/>
      <w:r>
        <w:t>Svěření provádění úkonů jinému subjektu - v</w:t>
      </w:r>
      <w:r w:rsidR="001A2F6E">
        <w:t xml:space="preserve">arianty se správcem fondu nebo bez správce </w:t>
      </w:r>
      <w:r w:rsidR="00E25C1F">
        <w:t>Fondu fondů</w:t>
      </w:r>
      <w:bookmarkEnd w:id="85"/>
    </w:p>
    <w:p w:rsidR="00CA4194" w:rsidRDefault="00CA4194" w:rsidP="00636988">
      <w:pPr>
        <w:pStyle w:val="schma"/>
      </w:pPr>
      <w:r>
        <w:t xml:space="preserve">Schéma </w:t>
      </w:r>
      <w:fldSimple w:instr=" SEQ Schéma \* ARABIC ">
        <w:r w:rsidR="006C5EA3">
          <w:rPr>
            <w:noProof/>
          </w:rPr>
          <w:t>22</w:t>
        </w:r>
      </w:fldSimple>
      <w:r>
        <w:t>: Svěření provádění úkonů jinému subjektu</w:t>
      </w:r>
    </w:p>
    <w:p w:rsidR="00930836" w:rsidRDefault="0055330E" w:rsidP="00D94E4B">
      <w:pPr>
        <w:jc w:val="center"/>
      </w:pPr>
      <w:r>
        <w:rPr>
          <w:noProof/>
          <w:lang w:eastAsia="cs-CZ"/>
        </w:rPr>
        <w:drawing>
          <wp:inline distT="0" distB="0" distL="0" distR="0" wp14:anchorId="71B41787" wp14:editId="24F777D4">
            <wp:extent cx="4779010" cy="2401570"/>
            <wp:effectExtent l="19050" t="0" r="2540" b="0"/>
            <wp:docPr id="3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43"/>
                    <a:srcRect/>
                    <a:stretch>
                      <a:fillRect/>
                    </a:stretch>
                  </pic:blipFill>
                  <pic:spPr bwMode="auto">
                    <a:xfrm>
                      <a:off x="0" y="0"/>
                      <a:ext cx="4779010" cy="2401570"/>
                    </a:xfrm>
                    <a:prstGeom prst="rect">
                      <a:avLst/>
                    </a:prstGeom>
                    <a:noFill/>
                    <a:ln w="9525">
                      <a:noFill/>
                      <a:miter lim="800000"/>
                      <a:headEnd/>
                      <a:tailEnd/>
                    </a:ln>
                  </pic:spPr>
                </pic:pic>
              </a:graphicData>
            </a:graphic>
          </wp:inline>
        </w:drawing>
      </w:r>
    </w:p>
    <w:p w:rsidR="001A2F6E" w:rsidRPr="00F26E42" w:rsidRDefault="001A2F6E" w:rsidP="001A2F6E">
      <w:r w:rsidRPr="00F26E42">
        <w:t>Na IFN a jejich využití by mělo být nahlíženo jako na celek</w:t>
      </w:r>
      <w:r w:rsidR="00930836">
        <w:t xml:space="preserve"> za celou ČR</w:t>
      </w:r>
      <w:r w:rsidR="0049720A">
        <w:t xml:space="preserve"> a nikoliv pouze optikou jednotlivých řídících orgánů</w:t>
      </w:r>
      <w:r w:rsidRPr="00F26E42">
        <w:t xml:space="preserve">. Jelikož z výše uvedeného vyplývá, že </w:t>
      </w:r>
      <w:r w:rsidR="0049720A">
        <w:t xml:space="preserve">při využití této varianty </w:t>
      </w:r>
      <w:r w:rsidR="009A2A05">
        <w:t>by </w:t>
      </w:r>
      <w:r w:rsidR="0049720A">
        <w:t>ŘO mohly implementovat pouze úvěry a záruky (což neodpovídá představám některých ŘO)</w:t>
      </w:r>
      <w:r w:rsidRPr="00F26E42">
        <w:t>, existují v zásadě dva základní modely implementace IFN:</w:t>
      </w:r>
    </w:p>
    <w:p w:rsidR="001A2F6E" w:rsidRPr="0049720A" w:rsidRDefault="001A2F6E" w:rsidP="00D94E4B">
      <w:pPr>
        <w:pStyle w:val="Odskoknadpis4"/>
        <w:numPr>
          <w:ilvl w:val="0"/>
          <w:numId w:val="35"/>
        </w:numPr>
      </w:pPr>
      <w:r w:rsidRPr="0049720A">
        <w:lastRenderedPageBreak/>
        <w:t xml:space="preserve">Se správcem </w:t>
      </w:r>
      <w:r w:rsidR="00E25C1F">
        <w:t>Fondu fondů</w:t>
      </w:r>
      <w:r w:rsidRPr="0049720A">
        <w:t xml:space="preserve"> („FF“, holdingový fond);</w:t>
      </w:r>
    </w:p>
    <w:p w:rsidR="001A2F6E" w:rsidRPr="0049720A" w:rsidRDefault="001A2F6E" w:rsidP="00D94E4B">
      <w:pPr>
        <w:pStyle w:val="Odskoknadpis4"/>
        <w:numPr>
          <w:ilvl w:val="0"/>
          <w:numId w:val="35"/>
        </w:numPr>
      </w:pPr>
      <w:r w:rsidRPr="0049720A">
        <w:t>Se správcem finančního nástroje („</w:t>
      </w:r>
      <w:r w:rsidR="00986EE0">
        <w:t>IFN</w:t>
      </w:r>
      <w:r w:rsidRPr="0049720A">
        <w:t xml:space="preserve">, bez </w:t>
      </w:r>
      <w:r w:rsidR="00E25C1F">
        <w:t>Fondu fondů</w:t>
      </w:r>
      <w:r w:rsidRPr="0049720A">
        <w:t>).</w:t>
      </w:r>
    </w:p>
    <w:p w:rsidR="001A2F6E" w:rsidRDefault="001A2F6E" w:rsidP="001A2F6E">
      <w:r w:rsidRPr="00F26E42">
        <w:t>Základním předpokladem pro posouzení a hodnocení vhodnosti implementace jednoho z</w:t>
      </w:r>
      <w:r>
        <w:t xml:space="preserve">e </w:t>
      </w:r>
      <w:r w:rsidRPr="00F26E42">
        <w:t>dvou navržených modelů by měla být jejich schopnost a připravenost komplexně využít jak dluhové, tak kapitálové a garanční nástro</w:t>
      </w:r>
      <w:r>
        <w:t>je a efektivně dosahovat multiplikačního efektu.</w:t>
      </w:r>
    </w:p>
    <w:p w:rsidR="00D94E4B" w:rsidRDefault="002921B3" w:rsidP="005144FD">
      <w:pPr>
        <w:pStyle w:val="Titulek"/>
      </w:pPr>
      <w:r>
        <w:t xml:space="preserve">Tabulka </w:t>
      </w:r>
      <w:fldSimple w:instr=" SEQ Tabulka \* ARABIC ">
        <w:r w:rsidR="006C5EA3">
          <w:rPr>
            <w:noProof/>
          </w:rPr>
          <w:t>3</w:t>
        </w:r>
      </w:fldSimple>
      <w:r w:rsidR="00D94E4B">
        <w:t xml:space="preserve">: </w:t>
      </w:r>
      <w:r w:rsidR="00D94E4B">
        <w:tab/>
        <w:t xml:space="preserve">Porovnání výhod/nevýhod řešení s fondem fondů a bez </w:t>
      </w:r>
      <w:r w:rsidR="00E25C1F">
        <w:t>Fondu fondů</w:t>
      </w:r>
    </w:p>
    <w:tbl>
      <w:tblPr>
        <w:tblW w:w="0" w:type="auto"/>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061"/>
        <w:gridCol w:w="3617"/>
        <w:gridCol w:w="4047"/>
      </w:tblGrid>
      <w:tr w:rsidR="001A2F6E" w:rsidRPr="00FD4171" w:rsidTr="00FD4171">
        <w:trPr>
          <w:cantSplit/>
        </w:trPr>
        <w:tc>
          <w:tcPr>
            <w:tcW w:w="1061" w:type="dxa"/>
            <w:tcBorders>
              <w:bottom w:val="single" w:sz="4" w:space="0" w:color="4F81BD"/>
            </w:tcBorders>
            <w:shd w:val="clear" w:color="auto" w:fill="4F81BD"/>
          </w:tcPr>
          <w:p w:rsidR="001A2F6E" w:rsidRPr="00FD4171" w:rsidRDefault="001A2F6E" w:rsidP="00FD4171">
            <w:pPr>
              <w:pStyle w:val="Odskoknadpis4"/>
              <w:keepNext/>
              <w:spacing w:after="0" w:line="240" w:lineRule="auto"/>
              <w:rPr>
                <w:rFonts w:ascii="Calibri" w:hAnsi="Calibri"/>
              </w:rPr>
            </w:pPr>
          </w:p>
        </w:tc>
        <w:tc>
          <w:tcPr>
            <w:tcW w:w="3617" w:type="dxa"/>
            <w:shd w:val="clear" w:color="auto" w:fill="4F81BD"/>
          </w:tcPr>
          <w:p w:rsidR="001A2F6E" w:rsidRPr="00FD4171" w:rsidRDefault="001A2F6E" w:rsidP="00FD4171">
            <w:pPr>
              <w:pStyle w:val="Odskoknadpis4"/>
              <w:keepNext/>
              <w:spacing w:before="120" w:line="240" w:lineRule="auto"/>
              <w:ind w:left="0"/>
              <w:rPr>
                <w:rFonts w:ascii="Calibri" w:hAnsi="Calibri"/>
                <w:b/>
                <w:color w:val="FFFFFF"/>
              </w:rPr>
            </w:pPr>
            <w:r w:rsidRPr="00FD4171">
              <w:rPr>
                <w:rFonts w:ascii="Calibri" w:hAnsi="Calibri"/>
                <w:b/>
                <w:color w:val="FFFFFF"/>
              </w:rPr>
              <w:t>S fondem fondů (holdingový fond)</w:t>
            </w:r>
          </w:p>
        </w:tc>
        <w:tc>
          <w:tcPr>
            <w:tcW w:w="4047" w:type="dxa"/>
            <w:shd w:val="clear" w:color="auto" w:fill="4F81BD"/>
          </w:tcPr>
          <w:p w:rsidR="001A2F6E" w:rsidRPr="00FD4171" w:rsidRDefault="001A2F6E" w:rsidP="00FD4171">
            <w:pPr>
              <w:pStyle w:val="Odskoknadpis4"/>
              <w:keepNext/>
              <w:spacing w:before="120" w:line="240" w:lineRule="auto"/>
              <w:ind w:left="34"/>
              <w:rPr>
                <w:rFonts w:ascii="Calibri" w:hAnsi="Calibri"/>
                <w:b/>
                <w:color w:val="FFFFFF"/>
              </w:rPr>
            </w:pPr>
            <w:r w:rsidRPr="00FD4171">
              <w:rPr>
                <w:rFonts w:ascii="Calibri" w:hAnsi="Calibri"/>
                <w:b/>
                <w:color w:val="FFFFFF"/>
              </w:rPr>
              <w:t xml:space="preserve">Bez </w:t>
            </w:r>
            <w:r w:rsidR="00E25C1F">
              <w:rPr>
                <w:rFonts w:ascii="Calibri" w:hAnsi="Calibri"/>
                <w:b/>
                <w:color w:val="FFFFFF"/>
              </w:rPr>
              <w:t>Fondu fondů</w:t>
            </w:r>
            <w:r w:rsidRPr="00FD4171">
              <w:rPr>
                <w:rFonts w:ascii="Calibri" w:hAnsi="Calibri"/>
                <w:b/>
                <w:color w:val="FFFFFF"/>
              </w:rPr>
              <w:t xml:space="preserve"> (bez holdingového fondu)</w:t>
            </w:r>
          </w:p>
        </w:tc>
      </w:tr>
      <w:tr w:rsidR="001A2F6E" w:rsidRPr="00FD4171" w:rsidTr="00FD4171">
        <w:trPr>
          <w:cantSplit/>
          <w:trHeight w:val="1134"/>
        </w:trPr>
        <w:tc>
          <w:tcPr>
            <w:tcW w:w="1061" w:type="dxa"/>
            <w:shd w:val="clear" w:color="auto" w:fill="95B3D7"/>
            <w:textDirection w:val="btLr"/>
            <w:vAlign w:val="center"/>
          </w:tcPr>
          <w:p w:rsidR="001A2F6E" w:rsidRPr="00FD4171" w:rsidRDefault="001A2F6E" w:rsidP="00FD4171">
            <w:pPr>
              <w:pStyle w:val="Odskoknadpis4"/>
              <w:keepNext/>
              <w:spacing w:after="0" w:line="240" w:lineRule="auto"/>
              <w:jc w:val="center"/>
              <w:rPr>
                <w:rFonts w:ascii="Calibri" w:hAnsi="Calibri"/>
                <w:b/>
                <w:color w:val="FFFFFF"/>
              </w:rPr>
            </w:pPr>
            <w:r w:rsidRPr="00FD4171">
              <w:rPr>
                <w:rFonts w:ascii="Calibri" w:hAnsi="Calibri"/>
                <w:b/>
                <w:color w:val="FFFFFF"/>
              </w:rPr>
              <w:t>Výhody</w:t>
            </w:r>
          </w:p>
        </w:tc>
        <w:tc>
          <w:tcPr>
            <w:tcW w:w="3617" w:type="dxa"/>
          </w:tcPr>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FF představuje pro ŘO metodického a</w:t>
            </w:r>
            <w:r w:rsidR="00E871A7">
              <w:rPr>
                <w:rFonts w:ascii="Calibri" w:hAnsi="Calibri"/>
                <w:sz w:val="20"/>
                <w:szCs w:val="20"/>
              </w:rPr>
              <w:t> </w:t>
            </w:r>
            <w:r w:rsidRPr="00FD4171">
              <w:rPr>
                <w:rFonts w:ascii="Calibri" w:hAnsi="Calibri"/>
                <w:sz w:val="20"/>
                <w:szCs w:val="20"/>
              </w:rPr>
              <w:t>odborného garanta odpovědného za</w:t>
            </w:r>
            <w:r w:rsidR="00E871A7">
              <w:rPr>
                <w:rFonts w:ascii="Calibri" w:hAnsi="Calibri"/>
                <w:sz w:val="20"/>
                <w:szCs w:val="20"/>
              </w:rPr>
              <w:t> </w:t>
            </w:r>
            <w:r w:rsidRPr="00FD4171">
              <w:rPr>
                <w:rFonts w:ascii="Calibri" w:hAnsi="Calibri"/>
                <w:sz w:val="20"/>
                <w:szCs w:val="20"/>
              </w:rPr>
              <w:t>implementaci a řízení IFN</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FF umožňuje využít synergické efekty a</w:t>
            </w:r>
            <w:r w:rsidR="00E871A7">
              <w:rPr>
                <w:rFonts w:ascii="Calibri" w:hAnsi="Calibri"/>
                <w:sz w:val="20"/>
                <w:szCs w:val="20"/>
              </w:rPr>
              <w:t> </w:t>
            </w:r>
            <w:r w:rsidRPr="00FD4171">
              <w:rPr>
                <w:rFonts w:ascii="Calibri" w:hAnsi="Calibri"/>
                <w:sz w:val="20"/>
                <w:szCs w:val="20"/>
              </w:rPr>
              <w:t>minimalizovat paralelní procesy a</w:t>
            </w:r>
            <w:r w:rsidR="00E871A7">
              <w:rPr>
                <w:rFonts w:ascii="Calibri" w:hAnsi="Calibri"/>
                <w:sz w:val="20"/>
                <w:szCs w:val="20"/>
              </w:rPr>
              <w:t> </w:t>
            </w:r>
            <w:r w:rsidRPr="00FD4171">
              <w:rPr>
                <w:rFonts w:ascii="Calibri" w:hAnsi="Calibri"/>
                <w:sz w:val="20"/>
                <w:szCs w:val="20"/>
              </w:rPr>
              <w:t xml:space="preserve">administrativní zátěž při využití vícero </w:t>
            </w:r>
            <w:r w:rsidR="00420428" w:rsidRPr="00FD4171">
              <w:rPr>
                <w:rFonts w:ascii="Calibri" w:hAnsi="Calibri"/>
                <w:sz w:val="20"/>
                <w:szCs w:val="20"/>
              </w:rPr>
              <w:t>IFN</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FF umožňuje dosažení vyššího pákového efektu a snadnější alokaci prostředků mezi jednotlivými IFN</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FF umožňuje oddělení finančních prostředků z </w:t>
            </w:r>
            <w:r w:rsidR="00420428" w:rsidRPr="00FD4171">
              <w:rPr>
                <w:rFonts w:ascii="Calibri" w:hAnsi="Calibri"/>
                <w:sz w:val="20"/>
                <w:szCs w:val="20"/>
              </w:rPr>
              <w:t>IFN</w:t>
            </w:r>
            <w:r w:rsidRPr="00FD4171">
              <w:rPr>
                <w:rFonts w:ascii="Calibri" w:hAnsi="Calibri"/>
                <w:sz w:val="20"/>
                <w:szCs w:val="20"/>
              </w:rPr>
              <w:t xml:space="preserve"> od státního rozpočtu</w:t>
            </w:r>
          </w:p>
          <w:p w:rsidR="001A2F6E" w:rsidRPr="00FD4171" w:rsidRDefault="001A2F6E" w:rsidP="007771DD">
            <w:pPr>
              <w:pStyle w:val="Odskoknadpis4"/>
              <w:keepNext/>
              <w:spacing w:line="240" w:lineRule="auto"/>
              <w:ind w:left="0"/>
              <w:rPr>
                <w:rFonts w:ascii="Calibri" w:hAnsi="Calibri"/>
                <w:sz w:val="20"/>
                <w:szCs w:val="20"/>
              </w:rPr>
            </w:pPr>
            <w:r w:rsidRPr="00FD4171">
              <w:rPr>
                <w:rFonts w:ascii="Calibri" w:hAnsi="Calibri"/>
                <w:sz w:val="20"/>
                <w:szCs w:val="20"/>
              </w:rPr>
              <w:t xml:space="preserve">Potenciál přenosu know-how v případě využití subjektu, jež má s implementací </w:t>
            </w:r>
            <w:r w:rsidR="00420428" w:rsidRPr="00FD4171">
              <w:rPr>
                <w:rFonts w:ascii="Calibri" w:hAnsi="Calibri"/>
                <w:sz w:val="20"/>
                <w:szCs w:val="20"/>
              </w:rPr>
              <w:t>IFN</w:t>
            </w:r>
            <w:r w:rsidRPr="00FD4171">
              <w:rPr>
                <w:rFonts w:ascii="Calibri" w:hAnsi="Calibri"/>
                <w:sz w:val="20"/>
                <w:szCs w:val="20"/>
              </w:rPr>
              <w:t xml:space="preserve"> předchozí zkušenosti</w:t>
            </w:r>
          </w:p>
        </w:tc>
        <w:tc>
          <w:tcPr>
            <w:tcW w:w="4047" w:type="dxa"/>
          </w:tcPr>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Nižší finanční náročnost ve srovnání s FF (management fee placen pouze na jedné úrovni) – v případě centrálního řešení v ČR nepředstavuje takový problém</w:t>
            </w:r>
          </w:p>
          <w:p w:rsidR="001A2F6E" w:rsidRPr="00FD4171" w:rsidRDefault="001A2F6E" w:rsidP="00E871A7">
            <w:pPr>
              <w:pStyle w:val="Odskoknadpis4"/>
              <w:keepNext/>
              <w:spacing w:line="240" w:lineRule="auto"/>
              <w:ind w:left="0"/>
              <w:rPr>
                <w:rFonts w:ascii="Calibri" w:hAnsi="Calibri"/>
                <w:sz w:val="20"/>
                <w:szCs w:val="20"/>
              </w:rPr>
            </w:pPr>
            <w:r w:rsidRPr="00FD4171">
              <w:rPr>
                <w:rFonts w:ascii="Calibri" w:hAnsi="Calibri"/>
                <w:sz w:val="20"/>
                <w:szCs w:val="20"/>
              </w:rPr>
              <w:t>Nižší administrativní a časová náročnost implementace IFN (není potřeba zakládat FF a</w:t>
            </w:r>
            <w:r w:rsidR="00E871A7">
              <w:rPr>
                <w:rFonts w:ascii="Calibri" w:hAnsi="Calibri"/>
                <w:sz w:val="20"/>
                <w:szCs w:val="20"/>
              </w:rPr>
              <w:t> </w:t>
            </w:r>
            <w:r w:rsidRPr="00FD4171">
              <w:rPr>
                <w:rFonts w:ascii="Calibri" w:hAnsi="Calibri"/>
                <w:sz w:val="20"/>
                <w:szCs w:val="20"/>
              </w:rPr>
              <w:t>vybírat správce.</w:t>
            </w:r>
          </w:p>
        </w:tc>
      </w:tr>
      <w:tr w:rsidR="001A2F6E" w:rsidRPr="00FD4171" w:rsidTr="00FD4171">
        <w:trPr>
          <w:cantSplit/>
          <w:trHeight w:val="1731"/>
        </w:trPr>
        <w:tc>
          <w:tcPr>
            <w:tcW w:w="1061" w:type="dxa"/>
            <w:shd w:val="clear" w:color="auto" w:fill="95B3D7"/>
            <w:textDirection w:val="btLr"/>
            <w:vAlign w:val="center"/>
          </w:tcPr>
          <w:p w:rsidR="001A2F6E" w:rsidRPr="00FD4171" w:rsidRDefault="001A2F6E" w:rsidP="00FD4171">
            <w:pPr>
              <w:pStyle w:val="Odskoknadpis4"/>
              <w:keepNext/>
              <w:spacing w:after="0" w:line="240" w:lineRule="auto"/>
              <w:jc w:val="center"/>
              <w:rPr>
                <w:rFonts w:ascii="Calibri" w:hAnsi="Calibri"/>
                <w:b/>
                <w:color w:val="FFFFFF"/>
              </w:rPr>
            </w:pPr>
            <w:r w:rsidRPr="00FD4171">
              <w:rPr>
                <w:rFonts w:ascii="Calibri" w:hAnsi="Calibri"/>
                <w:b/>
                <w:color w:val="FFFFFF"/>
              </w:rPr>
              <w:t>Nevýhody</w:t>
            </w:r>
          </w:p>
        </w:tc>
        <w:tc>
          <w:tcPr>
            <w:tcW w:w="3617" w:type="dxa"/>
          </w:tcPr>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Vyšší finanční náročnost (management fee placeno na dvou úrovních)</w:t>
            </w:r>
          </w:p>
          <w:p w:rsidR="001A2F6E" w:rsidRPr="00FD4171" w:rsidRDefault="001A2F6E" w:rsidP="00E871A7">
            <w:pPr>
              <w:pStyle w:val="Odskoknadpis4"/>
              <w:keepNext/>
              <w:spacing w:line="240" w:lineRule="auto"/>
              <w:ind w:left="0"/>
              <w:rPr>
                <w:rFonts w:ascii="Calibri" w:hAnsi="Calibri"/>
                <w:sz w:val="20"/>
                <w:szCs w:val="20"/>
              </w:rPr>
            </w:pPr>
            <w:r w:rsidRPr="00FD4171">
              <w:rPr>
                <w:rFonts w:ascii="Calibri" w:hAnsi="Calibri"/>
                <w:sz w:val="20"/>
                <w:szCs w:val="20"/>
              </w:rPr>
              <w:t>Pravděpodobně vyšší časová a</w:t>
            </w:r>
            <w:r w:rsidR="00E871A7">
              <w:rPr>
                <w:rFonts w:ascii="Calibri" w:hAnsi="Calibri"/>
                <w:sz w:val="20"/>
                <w:szCs w:val="20"/>
              </w:rPr>
              <w:t> </w:t>
            </w:r>
            <w:r w:rsidRPr="00FD4171">
              <w:rPr>
                <w:rFonts w:ascii="Calibri" w:hAnsi="Calibri"/>
                <w:sz w:val="20"/>
                <w:szCs w:val="20"/>
              </w:rPr>
              <w:t>administrativní náročnost vyplývající z</w:t>
            </w:r>
            <w:r w:rsidR="00E871A7">
              <w:rPr>
                <w:rFonts w:ascii="Calibri" w:hAnsi="Calibri"/>
                <w:sz w:val="20"/>
                <w:szCs w:val="20"/>
              </w:rPr>
              <w:t> </w:t>
            </w:r>
            <w:r w:rsidRPr="00FD4171">
              <w:rPr>
                <w:rFonts w:ascii="Calibri" w:hAnsi="Calibri"/>
                <w:sz w:val="20"/>
                <w:szCs w:val="20"/>
              </w:rPr>
              <w:t>nutnosti založení HF a výběru správce</w:t>
            </w:r>
          </w:p>
        </w:tc>
        <w:tc>
          <w:tcPr>
            <w:tcW w:w="4047" w:type="dxa"/>
          </w:tcPr>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ŘO vystupuje v pozici metodického a</w:t>
            </w:r>
            <w:r w:rsidR="00E871A7">
              <w:rPr>
                <w:rFonts w:ascii="Calibri" w:hAnsi="Calibri"/>
                <w:sz w:val="20"/>
                <w:szCs w:val="20"/>
              </w:rPr>
              <w:t> </w:t>
            </w:r>
            <w:r w:rsidRPr="00FD4171">
              <w:rPr>
                <w:rFonts w:ascii="Calibri" w:hAnsi="Calibri"/>
                <w:sz w:val="20"/>
                <w:szCs w:val="20"/>
              </w:rPr>
              <w:t>odborného garanta odpovědného za</w:t>
            </w:r>
            <w:r w:rsidR="00E871A7">
              <w:rPr>
                <w:rFonts w:ascii="Calibri" w:hAnsi="Calibri"/>
                <w:sz w:val="20"/>
                <w:szCs w:val="20"/>
              </w:rPr>
              <w:t> </w:t>
            </w:r>
            <w:r w:rsidRPr="00FD4171">
              <w:rPr>
                <w:rFonts w:ascii="Calibri" w:hAnsi="Calibri"/>
                <w:sz w:val="20"/>
                <w:szCs w:val="20"/>
              </w:rPr>
              <w:t>implementaci a řízení IFN (ŘO na tuto situaci nejsou kapacitně ani odborně vybaveny)</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Vytvoření vícero paralelních struktur a procesů pro jednotlivé IFN</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Omezená (ve srovnání s HF) alokace prostředků mezi IFN</w:t>
            </w:r>
          </w:p>
          <w:p w:rsidR="001A2F6E" w:rsidRPr="00FD4171" w:rsidRDefault="001A2F6E" w:rsidP="00FD4171">
            <w:pPr>
              <w:pStyle w:val="Odskoknadpis4"/>
              <w:keepNext/>
              <w:spacing w:line="240" w:lineRule="auto"/>
              <w:ind w:left="0"/>
              <w:rPr>
                <w:rFonts w:ascii="Calibri" w:hAnsi="Calibri"/>
                <w:sz w:val="20"/>
                <w:szCs w:val="20"/>
              </w:rPr>
            </w:pPr>
            <w:r w:rsidRPr="00FD4171">
              <w:rPr>
                <w:rFonts w:ascii="Calibri" w:hAnsi="Calibri"/>
                <w:sz w:val="20"/>
                <w:szCs w:val="20"/>
              </w:rPr>
              <w:t>Nižší potenciál pro zapojení dodatečných veřejných a soukromých zdrojů</w:t>
            </w:r>
          </w:p>
          <w:p w:rsidR="001A2F6E" w:rsidRPr="00FD4171" w:rsidRDefault="001A2F6E" w:rsidP="00BF181C">
            <w:pPr>
              <w:pStyle w:val="Odskoknadpis4"/>
              <w:keepNext/>
              <w:spacing w:line="240" w:lineRule="auto"/>
              <w:ind w:left="0"/>
              <w:rPr>
                <w:rFonts w:ascii="Calibri" w:hAnsi="Calibri"/>
                <w:sz w:val="20"/>
                <w:szCs w:val="20"/>
              </w:rPr>
            </w:pPr>
            <w:r w:rsidRPr="00FD4171">
              <w:rPr>
                <w:rFonts w:ascii="Calibri" w:hAnsi="Calibri"/>
                <w:sz w:val="20"/>
                <w:szCs w:val="20"/>
              </w:rPr>
              <w:t>Diskutabilní možnost oddělení prostředků od</w:t>
            </w:r>
            <w:r w:rsidR="00E871A7">
              <w:rPr>
                <w:rFonts w:ascii="Calibri" w:hAnsi="Calibri"/>
                <w:sz w:val="20"/>
                <w:szCs w:val="20"/>
              </w:rPr>
              <w:t> státního rozpočtu</w:t>
            </w:r>
          </w:p>
        </w:tc>
      </w:tr>
    </w:tbl>
    <w:p w:rsidR="001A2F6E" w:rsidRPr="00BB6F95" w:rsidRDefault="001A2F6E" w:rsidP="00114D5F">
      <w:pPr>
        <w:spacing w:before="240"/>
        <w:rPr>
          <w:b/>
        </w:rPr>
      </w:pPr>
      <w:r w:rsidRPr="00BB6F95">
        <w:rPr>
          <w:b/>
        </w:rPr>
        <w:t>Na základě výše uvedeného je možné konstatovat, že z hlediska kredibility, transparentnosti, procesní a administrativní náročnosti a také flexibility je vhodnější pro</w:t>
      </w:r>
      <w:r w:rsidR="00E871A7">
        <w:rPr>
          <w:b/>
        </w:rPr>
        <w:t> </w:t>
      </w:r>
      <w:r w:rsidRPr="00BB6F95">
        <w:rPr>
          <w:b/>
        </w:rPr>
        <w:t>implementaci IFN využít modelu se správcem FF, tedy holdingový fond.</w:t>
      </w:r>
    </w:p>
    <w:p w:rsidR="007140E9" w:rsidRDefault="007140E9" w:rsidP="00171265">
      <w:pPr>
        <w:pStyle w:val="Nadpis1"/>
      </w:pPr>
      <w:bookmarkStart w:id="86" w:name="_Toc410115477"/>
      <w:r>
        <w:lastRenderedPageBreak/>
        <w:t xml:space="preserve">Centralizované a decentralizované řešení </w:t>
      </w:r>
      <w:r w:rsidR="001A2F6E">
        <w:t>implementace IFN s FF</w:t>
      </w:r>
      <w:bookmarkEnd w:id="86"/>
    </w:p>
    <w:p w:rsidR="001F045F" w:rsidRDefault="001F045F" w:rsidP="001F045F">
      <w:r>
        <w:t xml:space="preserve">Ve vztahu k míře centralizace se dá uvažovat o </w:t>
      </w:r>
      <w:r w:rsidR="00C9354F">
        <w:t>2</w:t>
      </w:r>
      <w:r>
        <w:t xml:space="preserve"> základních modelech:</w:t>
      </w:r>
    </w:p>
    <w:p w:rsidR="00E26843" w:rsidRDefault="00E26843" w:rsidP="003942C6">
      <w:pPr>
        <w:pStyle w:val="Odstavecseseznamem"/>
        <w:numPr>
          <w:ilvl w:val="0"/>
          <w:numId w:val="10"/>
        </w:numPr>
        <w:spacing w:before="240"/>
        <w:ind w:hanging="720"/>
        <w:rPr>
          <w:b/>
        </w:rPr>
      </w:pPr>
      <w:r w:rsidRPr="00C9354F">
        <w:rPr>
          <w:b/>
        </w:rPr>
        <w:t>Decentralizovaný model</w:t>
      </w:r>
      <w:r>
        <w:rPr>
          <w:b/>
        </w:rPr>
        <w:t xml:space="preserve"> – kapitola 4.1</w:t>
      </w:r>
    </w:p>
    <w:p w:rsidR="00C9354F" w:rsidRPr="00C9354F" w:rsidRDefault="00C9354F" w:rsidP="003942C6">
      <w:pPr>
        <w:pStyle w:val="Odstavecseseznamem"/>
        <w:numPr>
          <w:ilvl w:val="0"/>
          <w:numId w:val="10"/>
        </w:numPr>
        <w:ind w:hanging="720"/>
        <w:rPr>
          <w:b/>
        </w:rPr>
      </w:pPr>
      <w:r w:rsidRPr="00C9354F">
        <w:rPr>
          <w:b/>
        </w:rPr>
        <w:t>Centralizovaný model</w:t>
      </w:r>
      <w:r w:rsidR="00E26843">
        <w:rPr>
          <w:b/>
        </w:rPr>
        <w:t xml:space="preserve"> – kapitola 4.2</w:t>
      </w:r>
    </w:p>
    <w:p w:rsidR="00B554DF" w:rsidRDefault="00B554DF" w:rsidP="00171265">
      <w:pPr>
        <w:pStyle w:val="Nadpis2"/>
      </w:pPr>
      <w:bookmarkStart w:id="87" w:name="_Toc410115478"/>
      <w:r>
        <w:t>Decentralizovaná varianta</w:t>
      </w:r>
      <w:bookmarkEnd w:id="87"/>
    </w:p>
    <w:p w:rsidR="00CA4194" w:rsidRDefault="00CA4194" w:rsidP="00636988">
      <w:pPr>
        <w:pStyle w:val="schma"/>
      </w:pPr>
      <w:r>
        <w:t xml:space="preserve">Schéma </w:t>
      </w:r>
      <w:fldSimple w:instr=" SEQ Schéma \* ARABIC ">
        <w:r w:rsidR="006C5EA3">
          <w:rPr>
            <w:noProof/>
          </w:rPr>
          <w:t>23</w:t>
        </w:r>
      </w:fldSimple>
      <w:r>
        <w:t>: Decentalizovaný model</w:t>
      </w:r>
    </w:p>
    <w:p w:rsidR="00930836" w:rsidRPr="00930836" w:rsidRDefault="0055330E" w:rsidP="00D94E4B">
      <w:pPr>
        <w:jc w:val="center"/>
      </w:pPr>
      <w:r>
        <w:rPr>
          <w:noProof/>
          <w:lang w:eastAsia="cs-CZ"/>
        </w:rPr>
        <w:drawing>
          <wp:inline distT="0" distB="0" distL="0" distR="0" wp14:anchorId="44BCB524" wp14:editId="167DF79A">
            <wp:extent cx="5486400" cy="2751455"/>
            <wp:effectExtent l="19050" t="0" r="0" b="0"/>
            <wp:docPr id="3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44"/>
                    <a:srcRect/>
                    <a:stretch>
                      <a:fillRect/>
                    </a:stretch>
                  </pic:blipFill>
                  <pic:spPr bwMode="auto">
                    <a:xfrm>
                      <a:off x="0" y="0"/>
                      <a:ext cx="5486400" cy="2751455"/>
                    </a:xfrm>
                    <a:prstGeom prst="rect">
                      <a:avLst/>
                    </a:prstGeom>
                    <a:noFill/>
                    <a:ln w="9525">
                      <a:noFill/>
                      <a:miter lim="800000"/>
                      <a:headEnd/>
                      <a:tailEnd/>
                    </a:ln>
                  </pic:spPr>
                </pic:pic>
              </a:graphicData>
            </a:graphic>
          </wp:inline>
        </w:drawing>
      </w:r>
    </w:p>
    <w:p w:rsidR="00AA08FF" w:rsidRDefault="001F045F" w:rsidP="001F045F">
      <w:r>
        <w:t>V případě decentralizovaného modelu probíhá veškerá příprava, implementace a ukončení IFN na úrovni jednotlivých ŘO (včetně rozhodnutí o využití správce FF/správce IFN)</w:t>
      </w:r>
      <w:r w:rsidR="00AA08FF">
        <w:t>.</w:t>
      </w:r>
    </w:p>
    <w:p w:rsidR="00AA08FF" w:rsidRDefault="00B554DF" w:rsidP="00816089">
      <w:r>
        <w:t>V této variantě by se ponechala volnost řídícím orgánům v</w:t>
      </w:r>
      <w:r w:rsidR="0088350D">
        <w:t> </w:t>
      </w:r>
      <w:r>
        <w:t>tom</w:t>
      </w:r>
      <w:r w:rsidR="0088350D">
        <w:t>,</w:t>
      </w:r>
      <w:r>
        <w:t xml:space="preserve"> jak chtějí řešit </w:t>
      </w:r>
      <w:r w:rsidR="00D7299F">
        <w:t>Fond fondů</w:t>
      </w:r>
      <w:r w:rsidR="0088350D">
        <w:t xml:space="preserve"> tj</w:t>
      </w:r>
      <w:r w:rsidR="009A2A05">
        <w:t>. </w:t>
      </w:r>
      <w:r w:rsidR="0088350D">
        <w:t>každý samostatně. V praxi by to znamenalo, že by řídící orgány mohly využít služeb EIB, mezinárodní finanční instituce sledující veřejný zájem</w:t>
      </w:r>
      <w:r w:rsidR="00EE6B97">
        <w:t>,</w:t>
      </w:r>
      <w:r w:rsidR="0088350D">
        <w:t xml:space="preserve"> nebo svěřit správu veřejnoprávnímu</w:t>
      </w:r>
      <w:r w:rsidR="00EE6B97">
        <w:t>,</w:t>
      </w:r>
      <w:r w:rsidR="0088350D">
        <w:t xml:space="preserve"> nebo soukromoprávnímu subjektu. </w:t>
      </w:r>
      <w:r w:rsidR="00A9087B">
        <w:t>Vznikla by tak situace</w:t>
      </w:r>
      <w:r w:rsidR="0088350D">
        <w:t>, kdy by jeden řídící orgán svěřil obhospodařování např. EIB</w:t>
      </w:r>
      <w:r w:rsidR="00A9087B">
        <w:t xml:space="preserve">, jiný </w:t>
      </w:r>
      <w:r w:rsidR="0088350D">
        <w:t xml:space="preserve">by využil instituci veřejnoprávního charakteru např. </w:t>
      </w:r>
      <w:r w:rsidR="00D106C4">
        <w:t>ČMZRB</w:t>
      </w:r>
      <w:r w:rsidR="0088350D">
        <w:t xml:space="preserve"> </w:t>
      </w:r>
      <w:r w:rsidR="009A2A05">
        <w:t>a </w:t>
      </w:r>
      <w:r w:rsidR="0088350D">
        <w:t xml:space="preserve">jiný by svěřil obhospodařování soukromoprávnímu subjektu na základě výběrového řízení dle </w:t>
      </w:r>
      <w:r w:rsidR="00A9087B">
        <w:t>ZVZ</w:t>
      </w:r>
      <w:r w:rsidR="0088350D">
        <w:t xml:space="preserve">. Pod každým z takovýchto fondů by vznikl jeden nebo více </w:t>
      </w:r>
      <w:r w:rsidR="00420428">
        <w:t>IFN</w:t>
      </w:r>
      <w:r w:rsidR="00AA08FF">
        <w:t>.</w:t>
      </w:r>
    </w:p>
    <w:p w:rsidR="001F045F" w:rsidRDefault="001F045F" w:rsidP="00816089">
      <w:r>
        <w:t>Může docházet k vytvoření dvou nebo více IFN se stejným nebo obdobným zaměřením u vícero ŘO. Tato skutečnost byla ze strany EK v předchozím programovém období značně kritizována. Decentralizovaný model rovněž představuje z titulu značného počtu subjektů realizujících IFN těžší roli pro certifikační autoritu a dohledový orgán. Decentralizovaný model se vyznačuje nižší efektivitou.</w:t>
      </w:r>
    </w:p>
    <w:p w:rsidR="007140E9" w:rsidRDefault="0088350D" w:rsidP="00816089">
      <w:r>
        <w:t>Jednak se jedná o řešení, které je neefektivní</w:t>
      </w:r>
      <w:r w:rsidR="007140E9">
        <w:t xml:space="preserve"> z pohledu státu</w:t>
      </w:r>
      <w:r>
        <w:t>, vzhledem k tomu, že by se ve státní správě</w:t>
      </w:r>
      <w:r w:rsidR="006B253D">
        <w:t xml:space="preserve"> budovalo několik míst, které </w:t>
      </w:r>
      <w:r>
        <w:t xml:space="preserve">mají plnit úlohu </w:t>
      </w:r>
      <w:r w:rsidR="00E25C1F" w:rsidRPr="00100D0D">
        <w:t>Fondu fondů</w:t>
      </w:r>
      <w:r w:rsidR="006B253D">
        <w:t xml:space="preserve">, </w:t>
      </w:r>
      <w:r w:rsidR="004E6AF2">
        <w:t>navíc</w:t>
      </w:r>
      <w:r w:rsidR="006B253D">
        <w:t xml:space="preserve"> by byl celek velmi těžko řiditelný a kontrolovatelný. </w:t>
      </w:r>
      <w:r w:rsidR="007140E9">
        <w:t xml:space="preserve">Tato varianta by v praxi znamenala, že by si jednotlivé řídící orgány </w:t>
      </w:r>
      <w:r w:rsidR="005E1671">
        <w:t>sam</w:t>
      </w:r>
      <w:r w:rsidR="004E6AF2">
        <w:t>y</w:t>
      </w:r>
      <w:r w:rsidR="005E1671">
        <w:t xml:space="preserve"> </w:t>
      </w:r>
      <w:r w:rsidR="004E6AF2">
        <w:t xml:space="preserve">budovaly </w:t>
      </w:r>
      <w:r w:rsidR="005E1671">
        <w:t>kapacity pro řízení FF, jiné by svěřil</w:t>
      </w:r>
      <w:r w:rsidR="004E6AF2">
        <w:t>y</w:t>
      </w:r>
      <w:r w:rsidR="005E1671">
        <w:t xml:space="preserve"> správu např. EIB a jiné by například zvolil</w:t>
      </w:r>
      <w:r w:rsidR="004E6AF2">
        <w:t>y</w:t>
      </w:r>
      <w:r w:rsidR="005E1671">
        <w:t xml:space="preserve"> cestu výběrového řízení na správce FF. Z pohledu PCO, certifikace, následných auditů by výsledný stav znamenal, že v ČR budeme mít mnoho různých variant správy IFN prostřednictvím různých typů subjektů. Na obdobné činnosti (risk management, struktura IFN atd.) by existovalo mnoho různých metodik a variant. </w:t>
      </w:r>
      <w:r w:rsidR="004E6AF2">
        <w:t>Toto by se</w:t>
      </w:r>
      <w:r w:rsidR="005E1671">
        <w:t xml:space="preserve"> negativně promítalo do celkové ceny (pokud </w:t>
      </w:r>
      <w:r w:rsidR="005E1671">
        <w:lastRenderedPageBreak/>
        <w:t>existuje stále se opakující činnost, pak je obecně výhodnější ji sdílet v rámci jednoho subjektu než každou část ošetřovat samostatně</w:t>
      </w:r>
      <w:r w:rsidR="004E6AF2">
        <w:t>)</w:t>
      </w:r>
      <w:r w:rsidR="005E1671">
        <w:t xml:space="preserve">, dále by mohlo docházet k odlišným výkladům </w:t>
      </w:r>
      <w:r w:rsidR="009A2A05">
        <w:t>a </w:t>
      </w:r>
      <w:r w:rsidR="005E1671">
        <w:t xml:space="preserve">interpretacím </w:t>
      </w:r>
      <w:r w:rsidR="004E6AF2">
        <w:t>(</w:t>
      </w:r>
      <w:r w:rsidR="005E1671">
        <w:t>stav by mohl být podobný jako v </w:t>
      </w:r>
      <w:r w:rsidR="00787752">
        <w:t>programové</w:t>
      </w:r>
      <w:r w:rsidR="005E1671">
        <w:t>m období 2007</w:t>
      </w:r>
      <w:r w:rsidR="004E6AF2">
        <w:t xml:space="preserve"> </w:t>
      </w:r>
      <w:r w:rsidR="005E1671">
        <w:t>-</w:t>
      </w:r>
      <w:r w:rsidR="004E6AF2">
        <w:t xml:space="preserve"> </w:t>
      </w:r>
      <w:r w:rsidR="005E1671">
        <w:t>2013, kdy velký počet zapojených subjektů bez možnosti jednotného řízení komplikoval čerpání zdrojů z</w:t>
      </w:r>
      <w:r w:rsidR="001F045F">
        <w:t> </w:t>
      </w:r>
      <w:r w:rsidR="005E1671">
        <w:t>EU</w:t>
      </w:r>
      <w:r w:rsidR="001F045F">
        <w:t>)</w:t>
      </w:r>
      <w:r w:rsidR="005E1671">
        <w:t xml:space="preserve">. Tato varianta je také považována ze strany MF </w:t>
      </w:r>
      <w:r w:rsidR="001B6A40">
        <w:t>Č</w:t>
      </w:r>
      <w:r w:rsidR="005E1671">
        <w:t>R za velmi rizikovou z důvodu vlivu na státní rozpočet při vzniku chyb a následných korekcí do státního rozpočtu. Pokud by všechny řídící orgány vybral</w:t>
      </w:r>
      <w:r w:rsidR="004E6AF2">
        <w:t>y</w:t>
      </w:r>
      <w:r w:rsidR="005E1671">
        <w:t xml:space="preserve"> za správce FF např. EIB, pak by se jednalo vlastně o centralizovanou variantu, vzniklou na základě samostatných právních aktů.</w:t>
      </w:r>
    </w:p>
    <w:p w:rsidR="00B554DF" w:rsidRDefault="006B253D" w:rsidP="00816089">
      <w:r>
        <w:t xml:space="preserve">Výhodou je naopak volnost řídících orgánů při strukturování svých implementačních </w:t>
      </w:r>
      <w:r w:rsidR="00787752">
        <w:t>mechanizm</w:t>
      </w:r>
      <w:r>
        <w:t>ů. Toto řešení naráží také na určitá legislativní omezení</w:t>
      </w:r>
      <w:r w:rsidR="008720FF">
        <w:t>,</w:t>
      </w:r>
      <w:r>
        <w:t xml:space="preserve"> jako je například zákon </w:t>
      </w:r>
      <w:r w:rsidR="009A2A05">
        <w:t>o </w:t>
      </w:r>
      <w:r>
        <w:t xml:space="preserve">majetku státu, který povoluje řídícím orgánům majetkové účasti pouze v akciových společnostech a každé takovéto nabytí, zcizení nebo změna podílu musí být </w:t>
      </w:r>
      <w:r w:rsidR="00CB4727">
        <w:t xml:space="preserve">předem </w:t>
      </w:r>
      <w:r>
        <w:t>odsouhlaseno vládou ČR. V případě EIB narážíme na problém rozpočtových pravidel</w:t>
      </w:r>
      <w:r w:rsidR="008720FF">
        <w:t>,</w:t>
      </w:r>
      <w:r>
        <w:t xml:space="preserve"> kdy prostředky z ESIF mohou být alokovány pouze do subjektů, které mají sídlo na území ČR</w:t>
      </w:r>
      <w:r w:rsidR="004B349D">
        <w:t>, resp</w:t>
      </w:r>
      <w:r w:rsidR="009A2A05">
        <w:t>. </w:t>
      </w:r>
      <w:r w:rsidR="004B349D">
        <w:t>PO založených dle právního řádu ČR</w:t>
      </w:r>
      <w:r>
        <w:t xml:space="preserve">. EIB by si podle současné legislativy musela v ČR zřídit </w:t>
      </w:r>
      <w:r w:rsidR="004B349D">
        <w:t>dceřinou PO,</w:t>
      </w:r>
      <w:r>
        <w:t xml:space="preserve"> což je varianta, která se zatím blíže s EIB nediskutovala</w:t>
      </w:r>
      <w:r>
        <w:rPr>
          <w:rStyle w:val="Znakapoznpodarou"/>
        </w:rPr>
        <w:footnoteReference w:id="138"/>
      </w:r>
      <w:r>
        <w:t>.</w:t>
      </w:r>
    </w:p>
    <w:p w:rsidR="00BB6F95" w:rsidRPr="002521B2" w:rsidRDefault="00BB6F95" w:rsidP="0049720A">
      <w:pPr>
        <w:pStyle w:val="Odskoknadpis4"/>
        <w:rPr>
          <w:b/>
        </w:rPr>
      </w:pPr>
      <w:r w:rsidRPr="002521B2">
        <w:rPr>
          <w:b/>
        </w:rPr>
        <w:t>Pozitiva:</w:t>
      </w:r>
    </w:p>
    <w:p w:rsidR="00BB6F95" w:rsidRDefault="00BB6F95" w:rsidP="003942C6">
      <w:pPr>
        <w:pStyle w:val="Odstavecseseznamem"/>
        <w:numPr>
          <w:ilvl w:val="0"/>
          <w:numId w:val="9"/>
        </w:numPr>
        <w:spacing w:after="60"/>
        <w:ind w:left="1559" w:hanging="425"/>
        <w:contextualSpacing w:val="0"/>
      </w:pPr>
      <w:r w:rsidRPr="008A7E7E">
        <w:t xml:space="preserve">Individuální </w:t>
      </w:r>
      <w:r>
        <w:t>volnost v </w:t>
      </w:r>
      <w:r w:rsidRPr="008A7E7E">
        <w:t>rozhodování</w:t>
      </w:r>
      <w:r>
        <w:t xml:space="preserve"> o strukturování implementačních </w:t>
      </w:r>
      <w:r w:rsidR="00787752">
        <w:t>mechanizm</w:t>
      </w:r>
      <w:r>
        <w:t>ů bez ohledu na jiné řídící orgány</w:t>
      </w:r>
    </w:p>
    <w:p w:rsidR="00BB6F95" w:rsidRDefault="00BB6F95" w:rsidP="003942C6">
      <w:pPr>
        <w:pStyle w:val="Odstavecseseznamem"/>
        <w:numPr>
          <w:ilvl w:val="0"/>
          <w:numId w:val="9"/>
        </w:numPr>
        <w:spacing w:after="60"/>
        <w:ind w:left="1559" w:hanging="425"/>
        <w:contextualSpacing w:val="0"/>
      </w:pPr>
      <w:r>
        <w:t>Flexibilita pro ŘO, kterým umožní ušít implementační strukturu potřebám daného OP</w:t>
      </w:r>
      <w:r w:rsidR="006B0D78">
        <w:t xml:space="preserve"> na míru</w:t>
      </w:r>
    </w:p>
    <w:p w:rsidR="00BB6F95" w:rsidRDefault="00BB6F95" w:rsidP="003942C6">
      <w:pPr>
        <w:pStyle w:val="Odstavecseseznamem"/>
        <w:numPr>
          <w:ilvl w:val="0"/>
          <w:numId w:val="9"/>
        </w:numPr>
        <w:spacing w:after="60"/>
        <w:ind w:left="1559" w:hanging="425"/>
        <w:contextualSpacing w:val="0"/>
      </w:pPr>
      <w:r>
        <w:t xml:space="preserve">Diverzifikace </w:t>
      </w:r>
      <w:r w:rsidR="00986EE0">
        <w:t>IFN</w:t>
      </w:r>
      <w:r>
        <w:t xml:space="preserve"> pod různými fondy tj. vytváření dvou nebo i více </w:t>
      </w:r>
      <w:r w:rsidR="00986EE0">
        <w:t>IFN</w:t>
      </w:r>
      <w:r>
        <w:t xml:space="preserve"> se stejným nebo obdobným zaměřením u různých ŘO (z pohledu EK spíše negativum – EK preferuje jednotná schémata)</w:t>
      </w:r>
    </w:p>
    <w:p w:rsidR="00BB6F95" w:rsidRDefault="00BB6F95" w:rsidP="003942C6">
      <w:pPr>
        <w:pStyle w:val="Odstavecseseznamem"/>
        <w:numPr>
          <w:ilvl w:val="0"/>
          <w:numId w:val="9"/>
        </w:numPr>
        <w:spacing w:after="60"/>
        <w:ind w:left="1559" w:hanging="425"/>
        <w:contextualSpacing w:val="0"/>
      </w:pPr>
      <w:r>
        <w:t>Není nutné připravovat centralizovanou strukturu na národní úrovni</w:t>
      </w:r>
    </w:p>
    <w:p w:rsidR="00BB6F95" w:rsidRDefault="00BB6F95" w:rsidP="003942C6">
      <w:pPr>
        <w:pStyle w:val="Odstavecseseznamem"/>
        <w:numPr>
          <w:ilvl w:val="0"/>
          <w:numId w:val="9"/>
        </w:numPr>
        <w:spacing w:after="60"/>
        <w:ind w:left="1559" w:hanging="425"/>
        <w:contextualSpacing w:val="0"/>
      </w:pPr>
      <w:r>
        <w:t>Podpora nezávislé role ŘO</w:t>
      </w:r>
    </w:p>
    <w:p w:rsidR="00BB6F95" w:rsidRPr="002521B2" w:rsidRDefault="00BB6F95" w:rsidP="0049720A">
      <w:pPr>
        <w:pStyle w:val="Odskoknadpis4"/>
        <w:rPr>
          <w:b/>
        </w:rPr>
      </w:pPr>
      <w:r w:rsidRPr="002521B2">
        <w:rPr>
          <w:b/>
        </w:rPr>
        <w:t xml:space="preserve">Negativa: </w:t>
      </w:r>
    </w:p>
    <w:p w:rsidR="00AA08FF" w:rsidRDefault="00BB6F95" w:rsidP="003942C6">
      <w:pPr>
        <w:pStyle w:val="Odstavecseseznamem"/>
        <w:numPr>
          <w:ilvl w:val="0"/>
          <w:numId w:val="9"/>
        </w:numPr>
        <w:spacing w:after="60"/>
        <w:ind w:left="1559" w:hanging="425"/>
        <w:contextualSpacing w:val="0"/>
      </w:pPr>
      <w:r w:rsidRPr="00283C5B">
        <w:t>Roztříštěnost celého systému, konkrétně</w:t>
      </w:r>
      <w:r>
        <w:t xml:space="preserve"> vznik situace, kdy by jeden řídící orgán svěřil obhospodařování např. EIB, jiný by využil instituci veřejnoprávního charakteru (např. </w:t>
      </w:r>
      <w:r w:rsidR="00D106C4">
        <w:t>ČMZRB</w:t>
      </w:r>
      <w:r>
        <w:t xml:space="preserve">) a jiný by svěřil obhospodařování soukromoprávnímu subjektu </w:t>
      </w:r>
      <w:r w:rsidR="009A2A05">
        <w:t>na </w:t>
      </w:r>
      <w:r>
        <w:t xml:space="preserve">základě výběrového řízení. Pod každým z takovýchto fondů by vznikl jeden nebo více </w:t>
      </w:r>
      <w:r w:rsidR="00420428">
        <w:t>IFN</w:t>
      </w:r>
      <w:r w:rsidR="00AA08FF">
        <w:t>.</w:t>
      </w:r>
    </w:p>
    <w:p w:rsidR="00BB6F95" w:rsidRPr="00301BFB" w:rsidRDefault="00BB6F95" w:rsidP="003942C6">
      <w:pPr>
        <w:pStyle w:val="Odstavecseseznamem"/>
        <w:numPr>
          <w:ilvl w:val="0"/>
          <w:numId w:val="9"/>
        </w:numPr>
        <w:spacing w:after="60"/>
        <w:ind w:left="1559" w:hanging="425"/>
        <w:contextualSpacing w:val="0"/>
      </w:pPr>
      <w:r>
        <w:t xml:space="preserve">Neefektivita vzhledem k vytváření několika míst plnících </w:t>
      </w:r>
      <w:r w:rsidRPr="00301BFB">
        <w:t xml:space="preserve">úlohu </w:t>
      </w:r>
      <w:r w:rsidR="00E25C1F" w:rsidRPr="00301BFB">
        <w:t>Fondu fondů</w:t>
      </w:r>
    </w:p>
    <w:p w:rsidR="00BB6F95" w:rsidRDefault="00BB6F95" w:rsidP="003942C6">
      <w:pPr>
        <w:pStyle w:val="Odstavecseseznamem"/>
        <w:numPr>
          <w:ilvl w:val="0"/>
          <w:numId w:val="9"/>
        </w:numPr>
        <w:spacing w:after="60"/>
        <w:ind w:left="1559" w:hanging="425"/>
        <w:contextualSpacing w:val="0"/>
      </w:pPr>
      <w:r>
        <w:t>V součtu všech řídících orgánů vyšší administrativní zátěž</w:t>
      </w:r>
    </w:p>
    <w:p w:rsidR="00BB6F95" w:rsidRDefault="00BB6F95" w:rsidP="003942C6">
      <w:pPr>
        <w:pStyle w:val="Odstavecseseznamem"/>
        <w:numPr>
          <w:ilvl w:val="0"/>
          <w:numId w:val="9"/>
        </w:numPr>
        <w:spacing w:after="60"/>
        <w:ind w:left="1559" w:hanging="425"/>
        <w:contextualSpacing w:val="0"/>
      </w:pPr>
      <w:r>
        <w:t>Obtížnější výkon činností pro certifikační autoritu a auditní orgán - obtížná řiditelnost a kontrolovatelnost</w:t>
      </w:r>
    </w:p>
    <w:p w:rsidR="00BB6F95" w:rsidRDefault="00BB6F95" w:rsidP="003942C6">
      <w:pPr>
        <w:pStyle w:val="Odstavecseseznamem"/>
        <w:numPr>
          <w:ilvl w:val="0"/>
          <w:numId w:val="9"/>
        </w:numPr>
        <w:spacing w:after="60"/>
        <w:ind w:left="1559" w:hanging="425"/>
        <w:contextualSpacing w:val="0"/>
      </w:pPr>
      <w:r>
        <w:t>Nejednotnost postupů vůči třetím stranám (bankám)</w:t>
      </w:r>
    </w:p>
    <w:p w:rsidR="00BB6F95" w:rsidRDefault="00BB6F95" w:rsidP="003942C6">
      <w:pPr>
        <w:pStyle w:val="Odstavecseseznamem"/>
        <w:numPr>
          <w:ilvl w:val="0"/>
          <w:numId w:val="9"/>
        </w:numPr>
        <w:spacing w:after="60"/>
        <w:ind w:left="1559" w:hanging="425"/>
        <w:contextualSpacing w:val="0"/>
      </w:pPr>
      <w:r>
        <w:t>Ztížení vytváření synergických efektů na úrovni státního rozpočtu</w:t>
      </w:r>
    </w:p>
    <w:p w:rsidR="00BB6F95" w:rsidRPr="00625118" w:rsidRDefault="00BB6F95" w:rsidP="00625118">
      <w:pPr>
        <w:spacing w:before="240"/>
        <w:rPr>
          <w:b/>
        </w:rPr>
      </w:pPr>
      <w:r w:rsidRPr="00625118">
        <w:rPr>
          <w:b/>
        </w:rPr>
        <w:t xml:space="preserve">Tato varianta není doporučována vzhledem k nepredikovatelnosti chování celého systému </w:t>
      </w:r>
      <w:r w:rsidR="009A2A05" w:rsidRPr="00625118">
        <w:rPr>
          <w:b/>
        </w:rPr>
        <w:t>a</w:t>
      </w:r>
      <w:r w:rsidR="009A2A05">
        <w:rPr>
          <w:b/>
        </w:rPr>
        <w:t> </w:t>
      </w:r>
      <w:r w:rsidRPr="00625118">
        <w:rPr>
          <w:b/>
        </w:rPr>
        <w:t>neschopnosti jednotného řízení za stát.</w:t>
      </w:r>
    </w:p>
    <w:p w:rsidR="00E26843" w:rsidRDefault="00E26843" w:rsidP="00171265">
      <w:pPr>
        <w:pStyle w:val="Nadpis2"/>
      </w:pPr>
      <w:bookmarkStart w:id="88" w:name="_Toc410115479"/>
      <w:r>
        <w:lastRenderedPageBreak/>
        <w:t>Centralizovaná varianta</w:t>
      </w:r>
      <w:bookmarkEnd w:id="88"/>
    </w:p>
    <w:p w:rsidR="00CA4194" w:rsidRDefault="00CA4194" w:rsidP="00636988">
      <w:pPr>
        <w:pStyle w:val="schma"/>
      </w:pPr>
      <w:r>
        <w:t xml:space="preserve">Schéma </w:t>
      </w:r>
      <w:fldSimple w:instr=" SEQ Schéma \* ARABIC ">
        <w:r w:rsidR="006C5EA3">
          <w:rPr>
            <w:noProof/>
          </w:rPr>
          <w:t>24</w:t>
        </w:r>
      </w:fldSimple>
      <w:r>
        <w:t>: Centralizovaný model</w:t>
      </w:r>
    </w:p>
    <w:p w:rsidR="00930836" w:rsidRDefault="0055330E" w:rsidP="00D94E4B">
      <w:pPr>
        <w:jc w:val="center"/>
      </w:pPr>
      <w:r>
        <w:rPr>
          <w:noProof/>
          <w:lang w:eastAsia="cs-CZ"/>
        </w:rPr>
        <w:drawing>
          <wp:inline distT="0" distB="0" distL="0" distR="0" wp14:anchorId="79909A65" wp14:editId="3B801186">
            <wp:extent cx="5526405" cy="2774950"/>
            <wp:effectExtent l="19050" t="0" r="0" b="0"/>
            <wp:docPr id="3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45"/>
                    <a:srcRect/>
                    <a:stretch>
                      <a:fillRect/>
                    </a:stretch>
                  </pic:blipFill>
                  <pic:spPr bwMode="auto">
                    <a:xfrm>
                      <a:off x="0" y="0"/>
                      <a:ext cx="5526405" cy="2774950"/>
                    </a:xfrm>
                    <a:prstGeom prst="rect">
                      <a:avLst/>
                    </a:prstGeom>
                    <a:noFill/>
                    <a:ln w="9525">
                      <a:noFill/>
                      <a:miter lim="800000"/>
                      <a:headEnd/>
                      <a:tailEnd/>
                    </a:ln>
                  </pic:spPr>
                </pic:pic>
              </a:graphicData>
            </a:graphic>
          </wp:inline>
        </w:drawing>
      </w:r>
    </w:p>
    <w:p w:rsidR="00AA08FF" w:rsidRDefault="00E26843" w:rsidP="00E26843">
      <w:r>
        <w:t xml:space="preserve">V praxi představuje centralizace určení (příp. i vytvoření) jednoho místa, resp. subjektu, obvykle v podobě holdingového fondu (správce </w:t>
      </w:r>
      <w:r w:rsidR="00E25C1F" w:rsidRPr="00100D0D">
        <w:t>Fondu fondů</w:t>
      </w:r>
      <w:r>
        <w:t>), který bude realizovat IFN pomocí struktury jednotlivých fondů a podfondů pro všechny řídící orgány a jejich operační programy</w:t>
      </w:r>
      <w:r w:rsidR="00AA08FF">
        <w:t>.</w:t>
      </w:r>
    </w:p>
    <w:p w:rsidR="00365560" w:rsidRDefault="00365560" w:rsidP="00365560">
      <w:r>
        <w:t>Centralizovaný model má podstatnou výhodu plynoucí</w:t>
      </w:r>
      <w:r w:rsidR="00100D0D">
        <w:t xml:space="preserve"> z jednoduchého zapojení </w:t>
      </w:r>
      <w:r>
        <w:t xml:space="preserve">certifikační autority (MF) a </w:t>
      </w:r>
      <w:r w:rsidR="00D7299F">
        <w:t xml:space="preserve">také z funkce </w:t>
      </w:r>
      <w:r>
        <w:t>dohledového orgánu (ČNB). Centralizovaný model se vyznačuje vysokou efektivitou</w:t>
      </w:r>
      <w:r w:rsidR="00AA08FF">
        <w:t>.</w:t>
      </w:r>
      <w:r w:rsidR="00100D0D">
        <w:t xml:space="preserve"> </w:t>
      </w:r>
      <w:r>
        <w:t xml:space="preserve">Výhodou je zlevnění celého procesu (pokud zajišťuji stejné činnosti pro více ŘO centrálně, je výsledkem vždy větší přehlednost, stejná metodika, nižší náklady a to i díky </w:t>
      </w:r>
      <w:r w:rsidR="006A3FD0">
        <w:t xml:space="preserve">snížení </w:t>
      </w:r>
      <w:r>
        <w:t xml:space="preserve">počtu míst ve státní správě, která uvedenou problematiku zajišťují), snížení personální náročnosti na budování paralelních schémat a také udržení jednotnosti procesů. V neposlední řadě by se významně snižovala administrativní náročnost ve vztahu k PCO a auditnímu orgánu </w:t>
      </w:r>
      <w:r w:rsidR="009A2A05">
        <w:t>a </w:t>
      </w:r>
      <w:r>
        <w:t>také ke státnímu rozpočtu.</w:t>
      </w:r>
    </w:p>
    <w:p w:rsidR="00E26843" w:rsidRPr="00C9354F" w:rsidRDefault="00E26843" w:rsidP="00E26843">
      <w:pPr>
        <w:rPr>
          <w:b/>
        </w:rPr>
      </w:pPr>
      <w:r w:rsidRPr="00C9354F">
        <w:rPr>
          <w:b/>
        </w:rPr>
        <w:t>Pozitiva:</w:t>
      </w:r>
    </w:p>
    <w:p w:rsidR="00E26843" w:rsidRDefault="00E26843" w:rsidP="00E26843">
      <w:pPr>
        <w:pStyle w:val="Odstavecseseznamem"/>
        <w:numPr>
          <w:ilvl w:val="0"/>
          <w:numId w:val="3"/>
        </w:numPr>
        <w:spacing w:after="200"/>
      </w:pPr>
      <w:r>
        <w:t>Z pohledu certifikační finanční autor</w:t>
      </w:r>
      <w:r w:rsidR="001F7FA3">
        <w:t>ity a auditu (zajišťovány MF) je preferován</w:t>
      </w:r>
      <w:r>
        <w:t xml:space="preserve"> </w:t>
      </w:r>
      <w:r w:rsidR="001F7FA3">
        <w:t xml:space="preserve">jeden partner </w:t>
      </w:r>
      <w:r>
        <w:t xml:space="preserve">pro tok prostředků ESIF do implementační struktury </w:t>
      </w:r>
      <w:r w:rsidR="00986EE0">
        <w:t>IFN</w:t>
      </w:r>
      <w:r>
        <w:t xml:space="preserve">, </w:t>
      </w:r>
      <w:r w:rsidR="001F7FA3">
        <w:t xml:space="preserve">který má následně odpovědnost za správnou funkci IFN, </w:t>
      </w:r>
      <w:r w:rsidR="006A3FD0">
        <w:t>centralizace</w:t>
      </w:r>
      <w:r>
        <w:t xml:space="preserve"> je v konečném důsledku jednodušší </w:t>
      </w:r>
      <w:r w:rsidR="009A2A05">
        <w:t>i </w:t>
      </w:r>
      <w:r>
        <w:t>pro výkon auditu</w:t>
      </w:r>
    </w:p>
    <w:p w:rsidR="00E26843" w:rsidRDefault="00E26843" w:rsidP="00E26843">
      <w:pPr>
        <w:pStyle w:val="Odstavecseseznamem"/>
        <w:numPr>
          <w:ilvl w:val="0"/>
          <w:numId w:val="3"/>
        </w:numPr>
        <w:spacing w:after="200"/>
        <w:ind w:left="1434" w:hanging="357"/>
        <w:contextualSpacing w:val="0"/>
      </w:pPr>
      <w:r>
        <w:t>V případě vhodné implementace nabízí vysokou efektivitu a nízkou administrativní náročnost</w:t>
      </w:r>
    </w:p>
    <w:p w:rsidR="00E26843" w:rsidRPr="00C9354F" w:rsidRDefault="00E26843" w:rsidP="00E26843">
      <w:pPr>
        <w:rPr>
          <w:b/>
        </w:rPr>
      </w:pPr>
      <w:r>
        <w:rPr>
          <w:b/>
        </w:rPr>
        <w:t>Negativa:</w:t>
      </w:r>
    </w:p>
    <w:p w:rsidR="00E26843" w:rsidRDefault="00E26843" w:rsidP="00E26843">
      <w:pPr>
        <w:pStyle w:val="Odstavecseseznamem"/>
        <w:numPr>
          <w:ilvl w:val="0"/>
          <w:numId w:val="3"/>
        </w:numPr>
        <w:spacing w:after="200"/>
        <w:ind w:left="1434" w:hanging="357"/>
        <w:contextualSpacing w:val="0"/>
      </w:pPr>
      <w:r>
        <w:t xml:space="preserve">ČR je z tohoto pohledu ve zpoždění a snaha o centralizaci může narážet na již připravované </w:t>
      </w:r>
      <w:r w:rsidR="00787752">
        <w:t>mechanizm</w:t>
      </w:r>
      <w:r>
        <w:t>y ze strany ŘO</w:t>
      </w:r>
      <w:r w:rsidR="00770652">
        <w:t>.</w:t>
      </w:r>
    </w:p>
    <w:p w:rsidR="001D3117" w:rsidRDefault="001D3117" w:rsidP="00171265">
      <w:pPr>
        <w:pStyle w:val="Nadpis4"/>
      </w:pPr>
      <w:r w:rsidRPr="001D3117">
        <w:lastRenderedPageBreak/>
        <w:t>EIB</w:t>
      </w:r>
      <w:r>
        <w:t xml:space="preserve"> nebo jiná mezinárodní finanční instituce</w:t>
      </w:r>
    </w:p>
    <w:p w:rsidR="00CA4194" w:rsidRDefault="00CA4194" w:rsidP="00636988">
      <w:pPr>
        <w:pStyle w:val="schma"/>
      </w:pPr>
      <w:r>
        <w:t xml:space="preserve">Schéma </w:t>
      </w:r>
      <w:fldSimple w:instr=" SEQ Schéma \* ARABIC ">
        <w:r w:rsidR="006C5EA3">
          <w:rPr>
            <w:noProof/>
          </w:rPr>
          <w:t>25</w:t>
        </w:r>
      </w:fldSimple>
      <w:r>
        <w:t>: Centralizovaný model s mezinárodní institucí</w:t>
      </w:r>
    </w:p>
    <w:p w:rsidR="00365560" w:rsidRDefault="0055330E" w:rsidP="00D94E4B">
      <w:pPr>
        <w:pStyle w:val="Odskoknadpis4"/>
        <w:jc w:val="center"/>
      </w:pPr>
      <w:r>
        <w:rPr>
          <w:noProof/>
          <w:lang w:eastAsia="cs-CZ"/>
        </w:rPr>
        <w:drawing>
          <wp:inline distT="0" distB="0" distL="0" distR="0" wp14:anchorId="3B2D0CD5" wp14:editId="4A522856">
            <wp:extent cx="4484370" cy="2377440"/>
            <wp:effectExtent l="19050" t="0" r="0" b="0"/>
            <wp:docPr id="37"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6"/>
                    <a:srcRect/>
                    <a:stretch>
                      <a:fillRect/>
                    </a:stretch>
                  </pic:blipFill>
                  <pic:spPr bwMode="auto">
                    <a:xfrm>
                      <a:off x="0" y="0"/>
                      <a:ext cx="4484370" cy="2377440"/>
                    </a:xfrm>
                    <a:prstGeom prst="rect">
                      <a:avLst/>
                    </a:prstGeom>
                    <a:noFill/>
                    <a:ln w="9525">
                      <a:noFill/>
                      <a:miter lim="800000"/>
                      <a:headEnd/>
                      <a:tailEnd/>
                    </a:ln>
                  </pic:spPr>
                </pic:pic>
              </a:graphicData>
            </a:graphic>
          </wp:inline>
        </w:drawing>
      </w:r>
    </w:p>
    <w:p w:rsidR="00AD4FDF" w:rsidRDefault="00AD4FDF" w:rsidP="00AD4FDF">
      <w:pPr>
        <w:pStyle w:val="Odskoknadpis4"/>
      </w:pPr>
      <w:r>
        <w:t>Trvalé svěření správy IFN EIB nebo mezinárodní finanční instituci (varianta 1 a 2) znamená, že</w:t>
      </w:r>
      <w:r w:rsidR="00E871A7">
        <w:t> </w:t>
      </w:r>
      <w:r>
        <w:t>ČR v zásadě rezignuje na vytváření národního know-how ohledně implementace IFN, neboť jejich implementaci realizuje zahraniční subjekt a ČR se vzdává části své pravomoci si IFN řídit sama. Zdá se, že oblast IFN bude v budoucnosti hrát významnější a významnější roli ve</w:t>
      </w:r>
      <w:r w:rsidR="00E871A7">
        <w:t> </w:t>
      </w:r>
      <w:r>
        <w:t>financování ze zdrojů EK. Rezignace na vytvoření vlastního modelu implementace by znamenala určitou závislost ČR na odborných službách třetích stran mimo území ČR. To neovlivňuje jenom čerpání zdrojů v programovém období 2014 - 2020, ale celkové myšlení ŘO, pochopení fungování investic a také budování kvalifikované pracovní kapacity schopné i</w:t>
      </w:r>
      <w:r w:rsidR="00E871A7">
        <w:t> </w:t>
      </w:r>
      <w:r>
        <w:t>v budoucnosti řešit složité výzvy. Mezinárodní centralizovaná varianta neumožňuje v současné době zapojení národních zdrojů do obdobných schémat</w:t>
      </w:r>
      <w:r>
        <w:rPr>
          <w:rStyle w:val="Znakapoznpodarou"/>
        </w:rPr>
        <w:footnoteReference w:id="139"/>
      </w:r>
      <w:r>
        <w:t>.</w:t>
      </w:r>
    </w:p>
    <w:p w:rsidR="009438EA" w:rsidRDefault="00331E19" w:rsidP="0049720A">
      <w:pPr>
        <w:pStyle w:val="Odskoknadpis4"/>
      </w:pPr>
      <w:r>
        <w:t xml:space="preserve">Dochází ke snížení politických a ekonomických </w:t>
      </w:r>
      <w:r w:rsidR="009438EA">
        <w:t>vlivů</w:t>
      </w:r>
      <w:r>
        <w:t xml:space="preserve">, vzhledem k tomu, že </w:t>
      </w:r>
      <w:r w:rsidR="00772211">
        <w:t xml:space="preserve">delegujeme </w:t>
      </w:r>
      <w:r w:rsidR="00D7299F">
        <w:t>roli správce</w:t>
      </w:r>
      <w:r w:rsidR="00772211">
        <w:t xml:space="preserve"> na třetí osobu</w:t>
      </w:r>
      <w:r w:rsidR="009438EA">
        <w:t xml:space="preserve"> a již </w:t>
      </w:r>
      <w:r w:rsidR="005F4B6E">
        <w:t xml:space="preserve">nejsme </w:t>
      </w:r>
      <w:r w:rsidR="009438EA">
        <w:t xml:space="preserve">plně schopni rozhodovat o konečné podobě a formě intervencí. Při přenesení správy na mezinárodní finanční instituci se vzdáváme části rozhodovací pravomoci, a </w:t>
      </w:r>
      <w:r w:rsidR="00750C79">
        <w:t>v případě, že by</w:t>
      </w:r>
      <w:r w:rsidR="009438EA">
        <w:t xml:space="preserve"> česká vláda potřebovala reagovat na aktuální hospodářskou situaci určitými opatřeními, musela by vždy kontaktova</w:t>
      </w:r>
      <w:r w:rsidR="00365560">
        <w:t xml:space="preserve">t tuto zahraniční instituci a </w:t>
      </w:r>
      <w:r w:rsidR="009438EA">
        <w:t>vše řešit v koordinaci s ní.</w:t>
      </w:r>
    </w:p>
    <w:p w:rsidR="00AA08FF" w:rsidRDefault="00772211" w:rsidP="0049720A">
      <w:pPr>
        <w:pStyle w:val="Odskoknadpis4"/>
      </w:pPr>
      <w:r>
        <w:t>Další nevýhodou jsou poměrně vysoké poplatky, které budou hrazeny ze zdrojů ESIF</w:t>
      </w:r>
      <w:r w:rsidR="009438EA">
        <w:t xml:space="preserve"> (to platí samozřejmě i pro řešení lokální, ale obecně je zajímavější přispívat do národní ekonomiky než </w:t>
      </w:r>
      <w:r w:rsidR="009A2A05">
        <w:t>do </w:t>
      </w:r>
      <w:r w:rsidR="009438EA">
        <w:t>zahraniční)</w:t>
      </w:r>
      <w:r w:rsidR="00AA08FF">
        <w:t>.</w:t>
      </w:r>
    </w:p>
    <w:p w:rsidR="00331E19" w:rsidRDefault="00772211" w:rsidP="0049720A">
      <w:pPr>
        <w:pStyle w:val="Odskoknadpis4"/>
      </w:pPr>
      <w:r>
        <w:t xml:space="preserve">Výhodou je naopak „jistota“ akceptovatelnosti řešení ze strany </w:t>
      </w:r>
      <w:r w:rsidR="00A9087B">
        <w:t>EK</w:t>
      </w:r>
      <w:r>
        <w:t>.</w:t>
      </w:r>
      <w:r w:rsidR="001D3117">
        <w:t xml:space="preserve"> </w:t>
      </w:r>
      <w:r w:rsidR="00A9087B">
        <w:t xml:space="preserve">Dále je </w:t>
      </w:r>
      <w:r w:rsidR="001D3117">
        <w:t xml:space="preserve">třeba </w:t>
      </w:r>
      <w:r w:rsidR="00A9087B">
        <w:t xml:space="preserve">zvážit fakt, </w:t>
      </w:r>
      <w:r w:rsidR="009A2A05">
        <w:t>že </w:t>
      </w:r>
      <w:r w:rsidR="00A9087B">
        <w:t xml:space="preserve">jednotné evropské řešení spíše nebude schopno zohlednit národní požadavky </w:t>
      </w:r>
      <w:r w:rsidR="00752656">
        <w:t>(</w:t>
      </w:r>
      <w:r w:rsidR="001D3117">
        <w:t xml:space="preserve">je </w:t>
      </w:r>
      <w:r w:rsidR="00A9087B">
        <w:t xml:space="preserve">jistě </w:t>
      </w:r>
      <w:r w:rsidR="001D3117">
        <w:t xml:space="preserve">rozdíl </w:t>
      </w:r>
      <w:r w:rsidR="009A2A05">
        <w:t>ve </w:t>
      </w:r>
      <w:r w:rsidR="001D3117">
        <w:t>fungování financování začínajících firem v</w:t>
      </w:r>
      <w:r w:rsidR="00A9087B">
        <w:t xml:space="preserve"> </w:t>
      </w:r>
      <w:r w:rsidR="0089495C">
        <w:t>Německu</w:t>
      </w:r>
      <w:r w:rsidR="00A9087B">
        <w:t xml:space="preserve"> </w:t>
      </w:r>
      <w:r w:rsidR="001D3117">
        <w:t>a ČR</w:t>
      </w:r>
      <w:r w:rsidR="00A9087B">
        <w:t xml:space="preserve">, rozdíly mohou plynout </w:t>
      </w:r>
      <w:r w:rsidR="009A2A05">
        <w:t>i </w:t>
      </w:r>
      <w:r w:rsidR="00A9087B">
        <w:t>z lokálních legislativních specifik a daňových režimů</w:t>
      </w:r>
      <w:r w:rsidR="0089495C">
        <w:t xml:space="preserve">. </w:t>
      </w:r>
      <w:r w:rsidR="00D41185">
        <w:t xml:space="preserve">Stejně tak se mohou lišit tržní selhání identifikovaná v rámci </w:t>
      </w:r>
      <w:r w:rsidR="00E87264" w:rsidRPr="00D7299F">
        <w:t>ex-ante</w:t>
      </w:r>
      <w:r w:rsidR="00D41185">
        <w:t xml:space="preserve"> analýz.</w:t>
      </w:r>
      <w:r w:rsidR="001D3117">
        <w:t xml:space="preserve"> Z toho vyplývá</w:t>
      </w:r>
      <w:r w:rsidR="00D41185">
        <w:t xml:space="preserve"> komplikovanost hledání</w:t>
      </w:r>
      <w:r w:rsidR="00D7521F">
        <w:t xml:space="preserve"> universální</w:t>
      </w:r>
      <w:r w:rsidR="00D41185">
        <w:t>ch</w:t>
      </w:r>
      <w:r w:rsidR="00D7521F">
        <w:t xml:space="preserve"> </w:t>
      </w:r>
      <w:r w:rsidR="00D41185">
        <w:t xml:space="preserve">modelů řešení </w:t>
      </w:r>
      <w:r w:rsidR="00420428">
        <w:t>IFN</w:t>
      </w:r>
      <w:r w:rsidR="001D3117">
        <w:t>, které by fungovaly napříč celou Evropou.</w:t>
      </w:r>
      <w:r w:rsidR="00D41185">
        <w:t xml:space="preserve"> To vše hovoří v neprospěch této varianty. Naopak pro ni hovoří fakt, že </w:t>
      </w:r>
      <w:r w:rsidR="00D7521F">
        <w:t>základní principy, tak jak byly de</w:t>
      </w:r>
      <w:r w:rsidR="0089495C">
        <w:t xml:space="preserve">finovány například </w:t>
      </w:r>
      <w:r w:rsidR="009A2A05">
        <w:t>ve </w:t>
      </w:r>
      <w:r w:rsidR="0089495C">
        <w:t>formě off-the-</w:t>
      </w:r>
      <w:r w:rsidR="00D7521F">
        <w:t>shelf nástrojů</w:t>
      </w:r>
      <w:r w:rsidR="00D41185">
        <w:t>,</w:t>
      </w:r>
      <w:r w:rsidR="00D7521F">
        <w:t xml:space="preserve"> jsou rozumným východiskem</w:t>
      </w:r>
      <w:r w:rsidR="00D41185">
        <w:t xml:space="preserve"> a mohou ospravedlnit vhodnost využití nadnárodního subjektu jako implementační struktury pro </w:t>
      </w:r>
      <w:r w:rsidR="00A56B56">
        <w:t>IFN</w:t>
      </w:r>
    </w:p>
    <w:p w:rsidR="00816089" w:rsidRPr="002521B2" w:rsidRDefault="00816089" w:rsidP="00D7299F">
      <w:pPr>
        <w:pStyle w:val="Odskoknadpis4"/>
        <w:keepNext/>
        <w:rPr>
          <w:b/>
        </w:rPr>
      </w:pPr>
      <w:r w:rsidRPr="002521B2">
        <w:rPr>
          <w:b/>
        </w:rPr>
        <w:lastRenderedPageBreak/>
        <w:t>Pozitiva:</w:t>
      </w:r>
    </w:p>
    <w:p w:rsidR="00816089" w:rsidRPr="00816089" w:rsidRDefault="00816089" w:rsidP="00D7299F">
      <w:pPr>
        <w:pStyle w:val="Odstavecseseznamem"/>
        <w:keepNext/>
        <w:numPr>
          <w:ilvl w:val="0"/>
          <w:numId w:val="8"/>
        </w:numPr>
        <w:spacing w:after="60"/>
        <w:ind w:left="1559" w:hanging="425"/>
        <w:contextualSpacing w:val="0"/>
      </w:pPr>
      <w:r w:rsidRPr="00816089">
        <w:t>Jistota akceptovatelnosti řešení ze strany EK</w:t>
      </w:r>
    </w:p>
    <w:p w:rsidR="00816089" w:rsidRDefault="00816089" w:rsidP="003942C6">
      <w:pPr>
        <w:pStyle w:val="Odstavecseseznamem"/>
        <w:numPr>
          <w:ilvl w:val="0"/>
          <w:numId w:val="8"/>
        </w:numPr>
        <w:spacing w:after="60"/>
        <w:ind w:left="1559" w:hanging="425"/>
        <w:contextualSpacing w:val="0"/>
      </w:pPr>
      <w:r>
        <w:t>Profesionální evropská instituce se zkušenostmi dává vysokou jistotu profesionálního nakládání se svěřenými prostředky</w:t>
      </w:r>
    </w:p>
    <w:p w:rsidR="00816089" w:rsidRPr="007F4BED" w:rsidRDefault="00816089" w:rsidP="003942C6">
      <w:pPr>
        <w:pStyle w:val="Odstavecseseznamem"/>
        <w:numPr>
          <w:ilvl w:val="0"/>
          <w:numId w:val="8"/>
        </w:numPr>
        <w:spacing w:after="60"/>
        <w:ind w:left="1559" w:hanging="425"/>
        <w:contextualSpacing w:val="0"/>
      </w:pPr>
      <w:r>
        <w:t xml:space="preserve">Výběrová řízení na správce </w:t>
      </w:r>
      <w:r w:rsidR="00986EE0">
        <w:t>IFN</w:t>
      </w:r>
      <w:r>
        <w:t xml:space="preserve"> dle pravidel EIB </w:t>
      </w:r>
      <w:r w:rsidR="00750C79">
        <w:t>garantují správnost</w:t>
      </w:r>
      <w:r>
        <w:t xml:space="preserve"> výběru správce </w:t>
      </w:r>
      <w:r w:rsidR="00986EE0">
        <w:t>IFN</w:t>
      </w:r>
      <w:r>
        <w:t xml:space="preserve"> při auditech EK</w:t>
      </w:r>
    </w:p>
    <w:p w:rsidR="00816089" w:rsidRDefault="00816089" w:rsidP="003942C6">
      <w:pPr>
        <w:pStyle w:val="Odstavecseseznamem"/>
        <w:numPr>
          <w:ilvl w:val="0"/>
          <w:numId w:val="8"/>
        </w:numPr>
        <w:spacing w:after="60"/>
        <w:ind w:left="1559" w:hanging="425"/>
        <w:contextualSpacing w:val="0"/>
      </w:pPr>
      <w:r w:rsidRPr="007F4BED">
        <w:t>Zákla</w:t>
      </w:r>
      <w:r>
        <w:t>dní principy např. ve formě off-the-</w:t>
      </w:r>
      <w:r w:rsidRPr="007F4BED">
        <w:t xml:space="preserve">shelf nástrojů od nadnárodního subjektu </w:t>
      </w:r>
      <w:r>
        <w:t>mohou být rozumným východiskem pro implementační struktury IFN</w:t>
      </w:r>
    </w:p>
    <w:p w:rsidR="00816089" w:rsidRPr="002521B2" w:rsidRDefault="00816089" w:rsidP="0049720A">
      <w:pPr>
        <w:pStyle w:val="Odskoknadpis4"/>
        <w:rPr>
          <w:b/>
        </w:rPr>
      </w:pPr>
      <w:r w:rsidRPr="002521B2">
        <w:rPr>
          <w:b/>
        </w:rPr>
        <w:t>Negativa:</w:t>
      </w:r>
    </w:p>
    <w:p w:rsidR="00816089" w:rsidRDefault="00816089" w:rsidP="003942C6">
      <w:pPr>
        <w:pStyle w:val="Odstavecseseznamem"/>
        <w:numPr>
          <w:ilvl w:val="0"/>
          <w:numId w:val="8"/>
        </w:numPr>
        <w:spacing w:after="60"/>
        <w:ind w:left="1559" w:hanging="425"/>
        <w:contextualSpacing w:val="0"/>
      </w:pPr>
      <w:r>
        <w:t xml:space="preserve">ČR rezignuje na vytváření národního </w:t>
      </w:r>
      <w:r w:rsidR="00D7299F" w:rsidRPr="00D7299F">
        <w:t>know-</w:t>
      </w:r>
      <w:r w:rsidR="00E87264" w:rsidRPr="00D7299F">
        <w:t>how</w:t>
      </w:r>
      <w:r>
        <w:t xml:space="preserve"> implementace </w:t>
      </w:r>
      <w:r w:rsidR="00986EE0">
        <w:t>IFN</w:t>
      </w:r>
    </w:p>
    <w:p w:rsidR="00816089" w:rsidRDefault="00816089" w:rsidP="003942C6">
      <w:pPr>
        <w:pStyle w:val="Odstavecseseznamem"/>
        <w:numPr>
          <w:ilvl w:val="0"/>
          <w:numId w:val="8"/>
        </w:numPr>
        <w:spacing w:after="60"/>
        <w:ind w:left="1559" w:hanging="425"/>
        <w:contextualSpacing w:val="0"/>
      </w:pPr>
      <w:r>
        <w:t>ČR se vzdává části rozhodovacího vlivu nad tokem prostředků</w:t>
      </w:r>
    </w:p>
    <w:p w:rsidR="00816089" w:rsidRDefault="00816089" w:rsidP="003942C6">
      <w:pPr>
        <w:pStyle w:val="Odstavecseseznamem"/>
        <w:numPr>
          <w:ilvl w:val="0"/>
          <w:numId w:val="8"/>
        </w:numPr>
        <w:spacing w:after="60"/>
        <w:ind w:left="1559" w:hanging="425"/>
        <w:contextualSpacing w:val="0"/>
      </w:pPr>
      <w:r>
        <w:t>Vše je nutné projednávat s EIB; spolurozhodování lze dořešit smluvně, ale není to plnohodnotná varianta, jako když si ČR bude rozhodovat samostatně</w:t>
      </w:r>
    </w:p>
    <w:p w:rsidR="00816089" w:rsidRDefault="00816089" w:rsidP="003942C6">
      <w:pPr>
        <w:pStyle w:val="Odstavecseseznamem"/>
        <w:numPr>
          <w:ilvl w:val="0"/>
          <w:numId w:val="8"/>
        </w:numPr>
        <w:spacing w:after="60"/>
        <w:ind w:left="1559" w:hanging="425"/>
        <w:contextualSpacing w:val="0"/>
      </w:pPr>
      <w:r>
        <w:t>Poměrně vysoké poplatky hrazené ze zdrojů ESIF mimo instituce v</w:t>
      </w:r>
      <w:r w:rsidR="00365560">
        <w:t> </w:t>
      </w:r>
      <w:r>
        <w:t>ČR</w:t>
      </w:r>
      <w:r w:rsidR="00365560">
        <w:t xml:space="preserve"> (do zahraničí)</w:t>
      </w:r>
    </w:p>
    <w:p w:rsidR="00816089" w:rsidRDefault="00816089" w:rsidP="003942C6">
      <w:pPr>
        <w:pStyle w:val="Odstavecseseznamem"/>
        <w:numPr>
          <w:ilvl w:val="0"/>
          <w:numId w:val="8"/>
        </w:numPr>
        <w:spacing w:after="60"/>
        <w:ind w:left="1559" w:hanging="425"/>
        <w:contextualSpacing w:val="0"/>
      </w:pPr>
      <w:r>
        <w:t xml:space="preserve">Jednotné evropské řešení </w:t>
      </w:r>
      <w:r w:rsidR="00365560">
        <w:t>nemusí být</w:t>
      </w:r>
      <w:r>
        <w:t xml:space="preserve"> schopno zohlednit národní požadavky</w:t>
      </w:r>
    </w:p>
    <w:p w:rsidR="00816089" w:rsidRDefault="00365560" w:rsidP="003942C6">
      <w:pPr>
        <w:pStyle w:val="Odstavecseseznamem"/>
        <w:numPr>
          <w:ilvl w:val="0"/>
          <w:numId w:val="8"/>
        </w:numPr>
        <w:spacing w:after="60"/>
        <w:ind w:left="1559" w:hanging="425"/>
        <w:contextualSpacing w:val="0"/>
      </w:pPr>
      <w:r>
        <w:t>Neznalost lokálních potřeb a podmínek</w:t>
      </w:r>
    </w:p>
    <w:p w:rsidR="00816089" w:rsidRDefault="00816089" w:rsidP="003942C6">
      <w:pPr>
        <w:pStyle w:val="Odstavecseseznamem"/>
        <w:numPr>
          <w:ilvl w:val="0"/>
          <w:numId w:val="8"/>
        </w:numPr>
        <w:spacing w:after="60"/>
        <w:ind w:left="1559" w:hanging="425"/>
        <w:contextualSpacing w:val="0"/>
      </w:pPr>
      <w:r>
        <w:t xml:space="preserve">EIB má své pracovní postupy </w:t>
      </w:r>
      <w:r w:rsidR="00750C79">
        <w:t xml:space="preserve">stanoveny </w:t>
      </w:r>
      <w:r>
        <w:t xml:space="preserve">na úrovni EU; </w:t>
      </w:r>
      <w:r w:rsidR="00D7299F">
        <w:t xml:space="preserve">může nastat rozpor </w:t>
      </w:r>
      <w:r>
        <w:t>na úrovni čl. státu v souladu s národní legislativou</w:t>
      </w:r>
    </w:p>
    <w:p w:rsidR="00816089" w:rsidRDefault="00816089" w:rsidP="003942C6">
      <w:pPr>
        <w:pStyle w:val="Odstavecseseznamem"/>
        <w:numPr>
          <w:ilvl w:val="0"/>
          <w:numId w:val="8"/>
        </w:numPr>
        <w:spacing w:after="60"/>
        <w:ind w:left="1559" w:hanging="425"/>
        <w:contextualSpacing w:val="0"/>
      </w:pPr>
      <w:r>
        <w:t xml:space="preserve">Legislativní omezení – státní majetkové účasti od určité výše musí být odsouhlaseny vládou, prostředky ESIF není nyní možno </w:t>
      </w:r>
      <w:r w:rsidR="00365560">
        <w:t xml:space="preserve">touto cestou </w:t>
      </w:r>
      <w:r>
        <w:t>alokovat (pouze do subjektů se sídlem v ČR)</w:t>
      </w:r>
    </w:p>
    <w:p w:rsidR="00625118" w:rsidRDefault="00625118" w:rsidP="003942C6">
      <w:pPr>
        <w:pStyle w:val="Odstavecseseznamem"/>
        <w:numPr>
          <w:ilvl w:val="0"/>
          <w:numId w:val="8"/>
        </w:numPr>
        <w:spacing w:after="60"/>
        <w:ind w:left="1559" w:hanging="425"/>
        <w:contextualSpacing w:val="0"/>
      </w:pPr>
      <w:r>
        <w:t>Současné kapacitní omezení EIB vzhledem k významnému nárůstu IFN napříč Evropou může vyústit ve zpomalení akceschopnosti EIB zvláště u malých zemí (nižší preference potřebnosti)</w:t>
      </w:r>
    </w:p>
    <w:p w:rsidR="00365560" w:rsidRDefault="00365560" w:rsidP="003942C6">
      <w:pPr>
        <w:pStyle w:val="Odstavecseseznamem"/>
        <w:numPr>
          <w:ilvl w:val="0"/>
          <w:numId w:val="8"/>
        </w:numPr>
        <w:spacing w:after="60"/>
        <w:ind w:left="1559" w:hanging="425"/>
        <w:contextualSpacing w:val="0"/>
      </w:pPr>
      <w:r>
        <w:t>Není možné využít této struktury pro projekty realizované z národních zdrojů</w:t>
      </w:r>
    </w:p>
    <w:p w:rsidR="00816089" w:rsidRPr="00B95569" w:rsidRDefault="00E87264" w:rsidP="0049720A">
      <w:pPr>
        <w:pStyle w:val="Odskoknadpis4"/>
        <w:rPr>
          <w:b/>
        </w:rPr>
      </w:pPr>
      <w:r w:rsidRPr="00E87264">
        <w:rPr>
          <w:b/>
        </w:rPr>
        <w:t>Tato varianta je jednou ze dvou nejvhodnějších. O výhodách akceptovatelnosti ze strany EK není potřeba pochybovat. Nevýhodou je ztráta přímého řídícího vlivu ČR. Tato varianta je doporučována jako 2. v pořadí a rozhodování o vhodnosti či nevhodnosti není založeno na technických parametrech řešení, ale spíše na politickém úhlu pohledu.</w:t>
      </w:r>
    </w:p>
    <w:p w:rsidR="00D7521F" w:rsidRPr="00D7521F" w:rsidRDefault="00D7521F" w:rsidP="00171265">
      <w:pPr>
        <w:pStyle w:val="Nadpis3"/>
      </w:pPr>
      <w:bookmarkStart w:id="89" w:name="_Toc410115480"/>
      <w:r w:rsidRPr="00D7521F">
        <w:lastRenderedPageBreak/>
        <w:t xml:space="preserve">Centralizovaná varianta </w:t>
      </w:r>
      <w:r w:rsidR="001F045F">
        <w:t>na národní úrovni</w:t>
      </w:r>
      <w:bookmarkEnd w:id="89"/>
    </w:p>
    <w:p w:rsidR="00D7521F" w:rsidRDefault="00D7521F" w:rsidP="00724305">
      <w:pPr>
        <w:keepNext/>
      </w:pPr>
      <w:r>
        <w:t>V zásadě se jedná o 3 možnosti:</w:t>
      </w:r>
    </w:p>
    <w:p w:rsidR="00D7521F" w:rsidRDefault="00D7521F" w:rsidP="00171265">
      <w:pPr>
        <w:pStyle w:val="Nadpis4"/>
      </w:pPr>
      <w:r w:rsidRPr="00D7521F">
        <w:t xml:space="preserve">Svěření </w:t>
      </w:r>
      <w:r w:rsidR="00E25C1F">
        <w:t>Fondu fondů</w:t>
      </w:r>
      <w:r w:rsidRPr="00D7521F">
        <w:t xml:space="preserve"> soukromému správci ve veřejném tendru</w:t>
      </w:r>
    </w:p>
    <w:p w:rsidR="00CA4194" w:rsidRDefault="00CA4194" w:rsidP="00636988">
      <w:pPr>
        <w:pStyle w:val="schma"/>
      </w:pPr>
      <w:r>
        <w:t xml:space="preserve">Schéma </w:t>
      </w:r>
      <w:fldSimple w:instr=" SEQ Schéma \* ARABIC ">
        <w:r w:rsidR="006C5EA3">
          <w:rPr>
            <w:noProof/>
          </w:rPr>
          <w:t>26</w:t>
        </w:r>
      </w:fldSimple>
      <w:r>
        <w:t>: Centralizovaný model s národním soukromým subjektem</w:t>
      </w:r>
    </w:p>
    <w:p w:rsidR="00F94FA8" w:rsidRDefault="0055330E" w:rsidP="00D94E4B">
      <w:pPr>
        <w:pStyle w:val="Odskoknadpis4"/>
        <w:jc w:val="center"/>
      </w:pPr>
      <w:r>
        <w:rPr>
          <w:noProof/>
          <w:lang w:eastAsia="cs-CZ"/>
        </w:rPr>
        <w:drawing>
          <wp:inline distT="0" distB="0" distL="0" distR="0" wp14:anchorId="4CE246BB" wp14:editId="1FC04575">
            <wp:extent cx="4476750" cy="2552065"/>
            <wp:effectExtent l="19050" t="0" r="0" b="0"/>
            <wp:docPr id="38"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47"/>
                    <a:srcRect/>
                    <a:stretch>
                      <a:fillRect/>
                    </a:stretch>
                  </pic:blipFill>
                  <pic:spPr bwMode="auto">
                    <a:xfrm>
                      <a:off x="0" y="0"/>
                      <a:ext cx="4476750" cy="2552065"/>
                    </a:xfrm>
                    <a:prstGeom prst="rect">
                      <a:avLst/>
                    </a:prstGeom>
                    <a:noFill/>
                    <a:ln w="9525">
                      <a:noFill/>
                      <a:miter lim="800000"/>
                      <a:headEnd/>
                      <a:tailEnd/>
                    </a:ln>
                  </pic:spPr>
                </pic:pic>
              </a:graphicData>
            </a:graphic>
          </wp:inline>
        </w:drawing>
      </w:r>
    </w:p>
    <w:p w:rsidR="00AA08FF" w:rsidRDefault="00D7521F" w:rsidP="00275826">
      <w:pPr>
        <w:pStyle w:val="Odstavecseseznamem"/>
        <w:ind w:left="567"/>
        <w:contextualSpacing w:val="0"/>
      </w:pPr>
      <w:r>
        <w:t xml:space="preserve">V praxi </w:t>
      </w:r>
      <w:r w:rsidR="00D41185">
        <w:t xml:space="preserve">tato varianta vyžaduje vytvořit pro implementaci </w:t>
      </w:r>
      <w:r w:rsidR="00420428">
        <w:t>IFN</w:t>
      </w:r>
      <w:r>
        <w:t xml:space="preserve"> </w:t>
      </w:r>
      <w:r w:rsidR="00D41185">
        <w:t xml:space="preserve">nový </w:t>
      </w:r>
      <w:r>
        <w:t>právní subjekt</w:t>
      </w:r>
      <w:r w:rsidR="0015522C">
        <w:t>,</w:t>
      </w:r>
      <w:r>
        <w:t xml:space="preserve"> nebo </w:t>
      </w:r>
      <w:r w:rsidR="00D41185">
        <w:t xml:space="preserve">využít některý </w:t>
      </w:r>
      <w:r>
        <w:t xml:space="preserve">stávající, který by pro všechny řídící orgány plnil roli </w:t>
      </w:r>
      <w:r w:rsidR="00E25C1F" w:rsidRPr="00301BFB">
        <w:t>Fondu fondů</w:t>
      </w:r>
      <w:r w:rsidRPr="00301BFB">
        <w:t>,</w:t>
      </w:r>
      <w:r>
        <w:t xml:space="preserve"> ale zároveň by</w:t>
      </w:r>
      <w:r w:rsidR="00E871A7">
        <w:t> </w:t>
      </w:r>
      <w:r>
        <w:t xml:space="preserve">majetek v této entitě byl spravován soukromým subjektem. V EU dnes platí </w:t>
      </w:r>
      <w:r w:rsidR="00D41185">
        <w:t xml:space="preserve">přísná </w:t>
      </w:r>
      <w:r>
        <w:t>regulatorní pravidla a směrnice pro obhospodařování majetku</w:t>
      </w:r>
      <w:r w:rsidR="00D41185">
        <w:t xml:space="preserve"> -</w:t>
      </w:r>
      <w:r>
        <w:t xml:space="preserve"> není </w:t>
      </w:r>
      <w:r w:rsidR="00D41185">
        <w:t xml:space="preserve">tedy </w:t>
      </w:r>
      <w:r>
        <w:t xml:space="preserve">možné </w:t>
      </w:r>
      <w:r w:rsidR="00D41185">
        <w:t>svěřit správu těchto prostředků subjektu bez příslušného povolení k činnosti.</w:t>
      </w:r>
      <w:r>
        <w:t xml:space="preserve"> V řadě případů je předpokladem pro</w:t>
      </w:r>
      <w:r w:rsidR="00E871A7">
        <w:t> </w:t>
      </w:r>
      <w:r>
        <w:t>možnost správy majetku i vhodná podoba samotného investičního vehiklu</w:t>
      </w:r>
      <w:r w:rsidR="00D41185">
        <w:t>,</w:t>
      </w:r>
      <w:r>
        <w:t xml:space="preserve"> tedy subjektu, který by založil </w:t>
      </w:r>
      <w:r w:rsidR="00775DB3">
        <w:t>stát</w:t>
      </w:r>
      <w:r w:rsidR="00775DB3">
        <w:rPr>
          <w:rStyle w:val="Znakapoznpodarou"/>
        </w:rPr>
        <w:footnoteReference w:id="140"/>
      </w:r>
      <w:r w:rsidR="00AA08FF">
        <w:t>.</w:t>
      </w:r>
    </w:p>
    <w:p w:rsidR="00D41185" w:rsidRDefault="00D41185" w:rsidP="00275826">
      <w:pPr>
        <w:pStyle w:val="Odstavecseseznamem"/>
        <w:ind w:left="567"/>
        <w:contextualSpacing w:val="0"/>
      </w:pPr>
      <w:r>
        <w:t>Naprosto zásadní komplikací je požadavek výběrového řízení. Tendr</w:t>
      </w:r>
      <w:r w:rsidR="00775DB3">
        <w:t xml:space="preserve"> by musel být otevřen celoevropsky a pravděpodobně by o něj byl ohromný zájem (celý objem prostředků pro implementaci ve formě </w:t>
      </w:r>
      <w:r w:rsidR="00420428">
        <w:t>IFN</w:t>
      </w:r>
      <w:r>
        <w:t xml:space="preserve"> může v ČR dosahovat několika desítek mld. Kč</w:t>
      </w:r>
      <w:r w:rsidR="00775DB3">
        <w:t xml:space="preserve">). </w:t>
      </w:r>
      <w:r>
        <w:t xml:space="preserve">Dopředu by bylo jen těžko predikovatelné, kdo by se stal vítězem a tedy správcem velké sumy prostředků s naprosto </w:t>
      </w:r>
      <w:r w:rsidR="00775DB3">
        <w:t xml:space="preserve">klíčovou </w:t>
      </w:r>
      <w:r>
        <w:t>rolí přímého partnera</w:t>
      </w:r>
      <w:r w:rsidR="00775DB3">
        <w:t xml:space="preserve"> řídících orgánů. </w:t>
      </w:r>
      <w:r>
        <w:t xml:space="preserve">Navíc pokud </w:t>
      </w:r>
      <w:r w:rsidR="00775DB3">
        <w:t xml:space="preserve">by stát žádný </w:t>
      </w:r>
      <w:r>
        <w:t xml:space="preserve">vlastní </w:t>
      </w:r>
      <w:r w:rsidR="00775DB3">
        <w:t>investiční subjekt nezakládal a pouze by svěřil obhospodařování „virtuální“ jednotky soukromému subjektu</w:t>
      </w:r>
      <w:r>
        <w:t xml:space="preserve"> dle výsledku tendru</w:t>
      </w:r>
      <w:r w:rsidR="00775DB3">
        <w:t xml:space="preserve">, byl by </w:t>
      </w:r>
      <w:r>
        <w:t xml:space="preserve">tento soukromý subjekt </w:t>
      </w:r>
      <w:r w:rsidR="00775DB3">
        <w:t xml:space="preserve">dle dnešních rozpočtových pravidel </w:t>
      </w:r>
      <w:r w:rsidR="004667A4">
        <w:t xml:space="preserve">konečným </w:t>
      </w:r>
      <w:r w:rsidR="00775DB3">
        <w:t>příjemcem dotace</w:t>
      </w:r>
      <w:r w:rsidR="00625118">
        <w:t>.</w:t>
      </w:r>
      <w:r w:rsidR="00775DB3">
        <w:t xml:space="preserve"> ČR </w:t>
      </w:r>
      <w:r>
        <w:t xml:space="preserve">by tak </w:t>
      </w:r>
      <w:r w:rsidR="004B349D">
        <w:t xml:space="preserve">poskytla </w:t>
      </w:r>
      <w:r w:rsidR="00775DB3">
        <w:t>část</w:t>
      </w:r>
      <w:r w:rsidR="00625118">
        <w:t xml:space="preserve"> zdrojů EU soukromému subjektu do správy</w:t>
      </w:r>
    </w:p>
    <w:p w:rsidR="000C0B4C" w:rsidRPr="002521B2" w:rsidRDefault="00816089" w:rsidP="0049720A">
      <w:pPr>
        <w:pStyle w:val="Odskoknadpis4"/>
        <w:rPr>
          <w:b/>
        </w:rPr>
      </w:pPr>
      <w:r w:rsidRPr="002521B2">
        <w:rPr>
          <w:b/>
        </w:rPr>
        <w:t>Pozitiva:</w:t>
      </w:r>
      <w:r w:rsidR="00275826" w:rsidRPr="002521B2">
        <w:rPr>
          <w:b/>
        </w:rPr>
        <w:tab/>
      </w:r>
    </w:p>
    <w:p w:rsidR="00816089" w:rsidRDefault="00816089" w:rsidP="003942C6">
      <w:pPr>
        <w:pStyle w:val="Odstavecseseznamem"/>
        <w:numPr>
          <w:ilvl w:val="0"/>
          <w:numId w:val="8"/>
        </w:numPr>
        <w:spacing w:after="60"/>
        <w:ind w:left="1559" w:hanging="425"/>
        <w:contextualSpacing w:val="0"/>
      </w:pPr>
      <w:r>
        <w:t>Možnost nastavení zadávací dokumentace na míru požadované struktury</w:t>
      </w:r>
    </w:p>
    <w:p w:rsidR="00547B0B" w:rsidRPr="00392D70" w:rsidRDefault="00547B0B" w:rsidP="003942C6">
      <w:pPr>
        <w:pStyle w:val="Odstavecseseznamem"/>
        <w:numPr>
          <w:ilvl w:val="0"/>
          <w:numId w:val="8"/>
        </w:numPr>
        <w:spacing w:after="60"/>
        <w:ind w:left="1559" w:hanging="425"/>
        <w:contextualSpacing w:val="0"/>
      </w:pPr>
      <w:r>
        <w:t>Transparentnost výběru správce</w:t>
      </w:r>
    </w:p>
    <w:p w:rsidR="00816089" w:rsidRPr="002521B2" w:rsidRDefault="00816089" w:rsidP="0049720A">
      <w:pPr>
        <w:pStyle w:val="Odskoknadpis4"/>
        <w:rPr>
          <w:b/>
        </w:rPr>
      </w:pPr>
      <w:r w:rsidRPr="002521B2">
        <w:rPr>
          <w:b/>
        </w:rPr>
        <w:t>Negativa:</w:t>
      </w:r>
    </w:p>
    <w:p w:rsidR="00816089" w:rsidRDefault="00816089" w:rsidP="003942C6">
      <w:pPr>
        <w:pStyle w:val="Odstavecseseznamem"/>
        <w:numPr>
          <w:ilvl w:val="0"/>
          <w:numId w:val="8"/>
        </w:numPr>
        <w:spacing w:after="60"/>
        <w:ind w:left="1559" w:hanging="425"/>
        <w:contextualSpacing w:val="0"/>
      </w:pPr>
      <w:r w:rsidRPr="007F4BED">
        <w:t>Komplikované požadavky na výběrové řízení – celoevropsky otevřené</w:t>
      </w:r>
    </w:p>
    <w:p w:rsidR="00816089" w:rsidRPr="007F4BED" w:rsidRDefault="00816089" w:rsidP="003942C6">
      <w:pPr>
        <w:pStyle w:val="Odstavecseseznamem"/>
        <w:numPr>
          <w:ilvl w:val="0"/>
          <w:numId w:val="8"/>
        </w:numPr>
        <w:spacing w:after="60"/>
        <w:ind w:left="1559" w:hanging="425"/>
        <w:contextualSpacing w:val="0"/>
      </w:pPr>
      <w:r>
        <w:lastRenderedPageBreak/>
        <w:t>Náročná koordinace zájmů jednotlivých ŘO při výběru správce FF a nastavení zadávací dokumentace</w:t>
      </w:r>
    </w:p>
    <w:p w:rsidR="00816089" w:rsidRPr="007F4BED" w:rsidRDefault="00816089" w:rsidP="003942C6">
      <w:pPr>
        <w:pStyle w:val="Odstavecseseznamem"/>
        <w:numPr>
          <w:ilvl w:val="0"/>
          <w:numId w:val="8"/>
        </w:numPr>
        <w:spacing w:after="60"/>
        <w:ind w:left="1559" w:hanging="425"/>
        <w:contextualSpacing w:val="0"/>
      </w:pPr>
      <w:r w:rsidRPr="007F4BED">
        <w:t xml:space="preserve">Vybraný soukromý subjekt by byl </w:t>
      </w:r>
      <w:r w:rsidR="004667A4">
        <w:t xml:space="preserve">konečným </w:t>
      </w:r>
      <w:r w:rsidRPr="007F4BED">
        <w:t xml:space="preserve">příjemcem dotace </w:t>
      </w:r>
      <w:r>
        <w:t xml:space="preserve">- </w:t>
      </w:r>
      <w:r w:rsidRPr="007F4BED">
        <w:t xml:space="preserve">ČR by tak </w:t>
      </w:r>
      <w:r w:rsidR="006E53E0">
        <w:t>poskytl</w:t>
      </w:r>
      <w:r w:rsidR="006E53E0" w:rsidRPr="007F4BED">
        <w:t xml:space="preserve">a </w:t>
      </w:r>
      <w:r w:rsidRPr="007F4BED">
        <w:t>část zdrojů EU soukromému subjektu</w:t>
      </w:r>
    </w:p>
    <w:p w:rsidR="00816089" w:rsidRDefault="00816089" w:rsidP="003942C6">
      <w:pPr>
        <w:pStyle w:val="Odstavecseseznamem"/>
        <w:numPr>
          <w:ilvl w:val="0"/>
          <w:numId w:val="8"/>
        </w:numPr>
        <w:spacing w:after="60"/>
        <w:ind w:left="1559" w:hanging="425"/>
        <w:contextualSpacing w:val="0"/>
      </w:pPr>
      <w:r>
        <w:t>Vysoké politické riziko</w:t>
      </w:r>
    </w:p>
    <w:p w:rsidR="00816089" w:rsidRPr="007F4BED" w:rsidRDefault="00816089" w:rsidP="003942C6">
      <w:pPr>
        <w:pStyle w:val="Odstavecseseznamem"/>
        <w:numPr>
          <w:ilvl w:val="0"/>
          <w:numId w:val="8"/>
        </w:numPr>
        <w:spacing w:after="60"/>
        <w:ind w:left="1559" w:hanging="425"/>
        <w:contextualSpacing w:val="0"/>
      </w:pPr>
      <w:r>
        <w:t>V</w:t>
      </w:r>
      <w:r w:rsidRPr="007F4BED">
        <w:t xml:space="preserve"> EU tato „teoretická“ varianta nebyla </w:t>
      </w:r>
      <w:r>
        <w:t xml:space="preserve">doposud </w:t>
      </w:r>
      <w:r w:rsidRPr="007F4BED">
        <w:t xml:space="preserve">využívána </w:t>
      </w:r>
      <w:r>
        <w:t>(</w:t>
      </w:r>
      <w:r w:rsidRPr="007F4BED">
        <w:t>pro j</w:t>
      </w:r>
      <w:r>
        <w:t>e</w:t>
      </w:r>
      <w:r w:rsidRPr="007F4BED">
        <w:t xml:space="preserve">jí </w:t>
      </w:r>
      <w:r>
        <w:t xml:space="preserve">obecnou </w:t>
      </w:r>
      <w:r w:rsidRPr="007F4BED">
        <w:t>nevhodnost</w:t>
      </w:r>
      <w:r>
        <w:t>)</w:t>
      </w:r>
    </w:p>
    <w:p w:rsidR="00D7521F" w:rsidRPr="00625118" w:rsidRDefault="00D41185" w:rsidP="00816089">
      <w:pPr>
        <w:pStyle w:val="Odstavecseseznamem"/>
        <w:spacing w:before="120"/>
        <w:ind w:left="1134"/>
        <w:contextualSpacing w:val="0"/>
        <w:rPr>
          <w:b/>
        </w:rPr>
      </w:pPr>
      <w:r w:rsidRPr="00625118">
        <w:rPr>
          <w:b/>
        </w:rPr>
        <w:t xml:space="preserve">Politické riziko takového řešení je příliš vysoké a </w:t>
      </w:r>
      <w:r w:rsidR="00775DB3" w:rsidRPr="00625118">
        <w:rPr>
          <w:b/>
        </w:rPr>
        <w:t xml:space="preserve">ani v Evropě není známo, že by tato varianta byla využívána. </w:t>
      </w:r>
      <w:r w:rsidRPr="00625118">
        <w:rPr>
          <w:b/>
        </w:rPr>
        <w:t>Tuto variantu je vhodné vnímat jako teoreticky existující, avšak zcela nevhodnou k realizaci.</w:t>
      </w:r>
    </w:p>
    <w:p w:rsidR="00D7521F" w:rsidRPr="00D7521F" w:rsidRDefault="00D7521F" w:rsidP="00171265">
      <w:pPr>
        <w:pStyle w:val="Nadpis4"/>
      </w:pPr>
      <w:r w:rsidRPr="00D7521F">
        <w:t>Stávající finanční instituce</w:t>
      </w:r>
      <w:r w:rsidR="00775DB3">
        <w:t xml:space="preserve"> – in house řešení</w:t>
      </w:r>
    </w:p>
    <w:p w:rsidR="00CA4194" w:rsidRDefault="00CA4194" w:rsidP="00636988">
      <w:pPr>
        <w:pStyle w:val="schma"/>
      </w:pPr>
      <w:r>
        <w:t xml:space="preserve">Schéma </w:t>
      </w:r>
      <w:fldSimple w:instr=" SEQ Schéma \* ARABIC ">
        <w:r w:rsidR="006C5EA3">
          <w:rPr>
            <w:noProof/>
          </w:rPr>
          <w:t>27</w:t>
        </w:r>
      </w:fldSimple>
      <w:r>
        <w:t>: Centralizovaný model - in house</w:t>
      </w:r>
    </w:p>
    <w:p w:rsidR="00472C00" w:rsidRDefault="00666204" w:rsidP="00D94E4B">
      <w:pPr>
        <w:pStyle w:val="Odskoknadpis4"/>
        <w:jc w:val="center"/>
      </w:pPr>
      <w:r>
        <w:rPr>
          <w:noProof/>
          <w:lang w:eastAsia="cs-CZ"/>
        </w:rPr>
        <w:drawing>
          <wp:inline distT="0" distB="0" distL="0" distR="0" wp14:anchorId="2E3564F5" wp14:editId="516EE178">
            <wp:extent cx="4435893" cy="2279038"/>
            <wp:effectExtent l="19050" t="0" r="2757" b="0"/>
            <wp:docPr id="2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4435496" cy="2278834"/>
                    </a:xfrm>
                    <a:prstGeom prst="rect">
                      <a:avLst/>
                    </a:prstGeom>
                    <a:noFill/>
                    <a:ln w="9525">
                      <a:noFill/>
                      <a:miter lim="800000"/>
                      <a:headEnd/>
                      <a:tailEnd/>
                    </a:ln>
                  </pic:spPr>
                </pic:pic>
              </a:graphicData>
            </a:graphic>
          </wp:inline>
        </w:drawing>
      </w:r>
    </w:p>
    <w:p w:rsidR="00FC2C6C" w:rsidRDefault="00775DB3" w:rsidP="00580288">
      <w:pPr>
        <w:pStyle w:val="Odstavecseseznamem"/>
        <w:ind w:left="1134"/>
        <w:contextualSpacing w:val="0"/>
      </w:pPr>
      <w:r>
        <w:t>Další možností</w:t>
      </w:r>
      <w:r w:rsidR="00B76929">
        <w:t xml:space="preserve"> je využití stávající finanční instituce (nutně nemusí být nositelem licence </w:t>
      </w:r>
      <w:r w:rsidR="00FC7CD5">
        <w:t>a </w:t>
      </w:r>
      <w:r w:rsidR="00B76929">
        <w:t>podléhat evropské regulaci, pokud to není v rozporu s pravidly)</w:t>
      </w:r>
      <w:r w:rsidR="0012143C">
        <w:t>. P</w:t>
      </w:r>
      <w:r w:rsidR="00B76929">
        <w:t>ravidla EK vyžadují, aby tato instituce byla ve vlastnictví státu, aby se chovala jako finanční instituce</w:t>
      </w:r>
      <w:r w:rsidR="001406C1">
        <w:rPr>
          <w:rStyle w:val="Znakapoznpodarou"/>
        </w:rPr>
        <w:footnoteReference w:id="141"/>
      </w:r>
      <w:r w:rsidR="00B76929">
        <w:t xml:space="preserve"> a aby </w:t>
      </w:r>
      <w:r w:rsidR="00A50B0E">
        <w:t xml:space="preserve">její </w:t>
      </w:r>
      <w:r w:rsidR="00B76929">
        <w:t>zmocnění pro roli holdingového fondu bylo přímo uvedeno v zákoně</w:t>
      </w:r>
      <w:r w:rsidR="00A36492">
        <w:rPr>
          <w:rStyle w:val="Znakapoznpodarou"/>
        </w:rPr>
        <w:footnoteReference w:id="142"/>
      </w:r>
      <w:r w:rsidR="00B76929">
        <w:t xml:space="preserve">. Pokud by některá z podmínek nebyla splněna, je možné vybrat správce </w:t>
      </w:r>
      <w:r w:rsidR="00E25C1F" w:rsidRPr="00D7299F">
        <w:t>Fondu fondů</w:t>
      </w:r>
      <w:r w:rsidR="00B76929">
        <w:t xml:space="preserve"> ve veřejném tendru</w:t>
      </w:r>
      <w:r w:rsidR="00A36492">
        <w:rPr>
          <w:rStyle w:val="Znakapoznpodarou"/>
        </w:rPr>
        <w:footnoteReference w:id="143"/>
      </w:r>
      <w:r w:rsidR="00B76929">
        <w:t xml:space="preserve">. </w:t>
      </w:r>
      <w:r w:rsidR="00FC2C6C">
        <w:t>Tato varianta se zdá být nejvíce flexibilní a také z pohledu státu poskytuje flexibilní nástroj na řízení a efektivní investování svěřených prostředků. Vzhledem k rozsahu bude tato varianta zpracována ve zvláštní kapitole.</w:t>
      </w:r>
    </w:p>
    <w:p w:rsidR="00816089" w:rsidRPr="002521B2" w:rsidRDefault="00816089" w:rsidP="0049720A">
      <w:pPr>
        <w:pStyle w:val="Odskoknadpis4"/>
        <w:rPr>
          <w:b/>
        </w:rPr>
      </w:pPr>
      <w:r w:rsidRPr="002521B2">
        <w:rPr>
          <w:b/>
        </w:rPr>
        <w:t>Pozitiva:</w:t>
      </w:r>
    </w:p>
    <w:p w:rsidR="00C9354F" w:rsidRDefault="00C9354F" w:rsidP="003942C6">
      <w:pPr>
        <w:pStyle w:val="Odstavecseseznamem"/>
        <w:numPr>
          <w:ilvl w:val="0"/>
          <w:numId w:val="8"/>
        </w:numPr>
        <w:spacing w:after="200"/>
      </w:pPr>
      <w:r>
        <w:t>M</w:t>
      </w:r>
      <w:r w:rsidRPr="00667285">
        <w:t>inimální možné narušení tržního prostředí v oblasti finančních služeb</w:t>
      </w:r>
    </w:p>
    <w:p w:rsidR="00C9354F" w:rsidRPr="00162A98" w:rsidRDefault="00C9354F" w:rsidP="003942C6">
      <w:pPr>
        <w:pStyle w:val="Odstavecseseznamem"/>
        <w:numPr>
          <w:ilvl w:val="0"/>
          <w:numId w:val="8"/>
        </w:numPr>
        <w:spacing w:after="200"/>
      </w:pPr>
      <w:r>
        <w:lastRenderedPageBreak/>
        <w:t>N</w:t>
      </w:r>
      <w:r w:rsidRPr="00162A98">
        <w:t xml:space="preserve">ejlepší podmínky pro </w:t>
      </w:r>
      <w:r w:rsidR="004667A4">
        <w:t xml:space="preserve">konečné </w:t>
      </w:r>
      <w:r w:rsidRPr="00162A98">
        <w:t>příjemce veřejných intervencí při získávání komerčních finančních služeb</w:t>
      </w:r>
    </w:p>
    <w:p w:rsidR="00C9354F" w:rsidRPr="00162A98" w:rsidRDefault="00C9354F" w:rsidP="003942C6">
      <w:pPr>
        <w:pStyle w:val="Odstavecseseznamem"/>
        <w:numPr>
          <w:ilvl w:val="0"/>
          <w:numId w:val="8"/>
        </w:numPr>
        <w:spacing w:after="200"/>
      </w:pPr>
      <w:r>
        <w:t>Z</w:t>
      </w:r>
      <w:r w:rsidRPr="00162A98">
        <w:t xml:space="preserve">amezení duplicitního budování kapacit pro správu </w:t>
      </w:r>
      <w:r w:rsidR="00420428">
        <w:t>IFN</w:t>
      </w:r>
      <w:r w:rsidRPr="00162A98">
        <w:t xml:space="preserve"> </w:t>
      </w:r>
    </w:p>
    <w:p w:rsidR="00C9354F" w:rsidRPr="00162A98" w:rsidRDefault="00C9354F" w:rsidP="003942C6">
      <w:pPr>
        <w:pStyle w:val="Odstavecseseznamem"/>
        <w:numPr>
          <w:ilvl w:val="0"/>
          <w:numId w:val="8"/>
        </w:numPr>
        <w:spacing w:after="200"/>
      </w:pPr>
      <w:r>
        <w:t>Z</w:t>
      </w:r>
      <w:r w:rsidRPr="00162A98">
        <w:t>amezení použití části veřejných prostředků na tvorbu zisku implementátora intervence</w:t>
      </w:r>
    </w:p>
    <w:p w:rsidR="00C9354F" w:rsidRPr="00162A98" w:rsidRDefault="00C9354F" w:rsidP="003942C6">
      <w:pPr>
        <w:pStyle w:val="Odstavecseseznamem"/>
        <w:numPr>
          <w:ilvl w:val="0"/>
          <w:numId w:val="8"/>
        </w:numPr>
        <w:spacing w:after="200"/>
      </w:pPr>
      <w:r>
        <w:t>S</w:t>
      </w:r>
      <w:r w:rsidRPr="00162A98">
        <w:t xml:space="preserve">nížení operačních rizik při provádění veřejných intervencí </w:t>
      </w:r>
    </w:p>
    <w:p w:rsidR="00C9354F" w:rsidRPr="00162A98" w:rsidRDefault="00C9354F" w:rsidP="003942C6">
      <w:pPr>
        <w:pStyle w:val="Odstavecseseznamem"/>
        <w:numPr>
          <w:ilvl w:val="0"/>
          <w:numId w:val="8"/>
        </w:numPr>
        <w:spacing w:after="200"/>
      </w:pPr>
      <w:r>
        <w:t>D</w:t>
      </w:r>
      <w:r w:rsidRPr="00162A98">
        <w:t>louhodobá stabilita prostředí pro příjemce veřejných intervencí</w:t>
      </w:r>
    </w:p>
    <w:p w:rsidR="00C9354F" w:rsidRPr="00162A98" w:rsidRDefault="00C9354F" w:rsidP="003942C6">
      <w:pPr>
        <w:pStyle w:val="Odstavecseseznamem"/>
        <w:numPr>
          <w:ilvl w:val="0"/>
          <w:numId w:val="8"/>
        </w:numPr>
        <w:spacing w:after="200"/>
      </w:pPr>
      <w:r>
        <w:t>Z</w:t>
      </w:r>
      <w:r w:rsidRPr="00162A98">
        <w:t>esílená kontrola a ochrana veřejných prostředků</w:t>
      </w:r>
    </w:p>
    <w:p w:rsidR="00C9354F" w:rsidRDefault="00C9354F" w:rsidP="003942C6">
      <w:pPr>
        <w:pStyle w:val="Odstavecseseznamem"/>
        <w:numPr>
          <w:ilvl w:val="0"/>
          <w:numId w:val="8"/>
        </w:numPr>
        <w:spacing w:after="200"/>
      </w:pPr>
      <w:r>
        <w:t>R</w:t>
      </w:r>
      <w:r w:rsidRPr="00162A98">
        <w:t xml:space="preserve">ychlejší a efektivnější implementace </w:t>
      </w:r>
      <w:r w:rsidR="00EA2C3F">
        <w:t>IFN</w:t>
      </w:r>
      <w:r w:rsidRPr="00162A98">
        <w:t xml:space="preserve"> financovaných </w:t>
      </w:r>
      <w:r w:rsidR="00EA2C3F">
        <w:t>z ESIF</w:t>
      </w:r>
    </w:p>
    <w:p w:rsidR="00816089" w:rsidRDefault="00816089" w:rsidP="003942C6">
      <w:pPr>
        <w:pStyle w:val="Odstavecseseznamem"/>
        <w:numPr>
          <w:ilvl w:val="0"/>
          <w:numId w:val="8"/>
        </w:numPr>
        <w:spacing w:after="0"/>
        <w:ind w:hanging="361"/>
      </w:pPr>
      <w:r>
        <w:t xml:space="preserve">Úspora zřizovacích nákladů a minimalizace administrativních </w:t>
      </w:r>
      <w:r w:rsidRPr="00392D70">
        <w:t>opatření a legislativních</w:t>
      </w:r>
      <w:r>
        <w:t xml:space="preserve"> postupů při využití stávající finanční instituce</w:t>
      </w:r>
    </w:p>
    <w:p w:rsidR="00816089" w:rsidRDefault="00816089" w:rsidP="003942C6">
      <w:pPr>
        <w:pStyle w:val="Odstavecseseznamem"/>
        <w:numPr>
          <w:ilvl w:val="0"/>
          <w:numId w:val="8"/>
        </w:numPr>
        <w:spacing w:after="0"/>
      </w:pPr>
      <w:r>
        <w:t>Možnost vytváření synergických efektů zejména nákladová efektivnost (využití stávaj</w:t>
      </w:r>
      <w:r w:rsidR="001F7FA3">
        <w:t xml:space="preserve">ícího personálu, ICT bankovního řešení atd., ŘO dnes nedisponují kvalifikovanou pracovní silou </w:t>
      </w:r>
      <w:r w:rsidR="00ED7DFE">
        <w:t xml:space="preserve">k </w:t>
      </w:r>
      <w:r w:rsidR="001F7FA3">
        <w:t>řízení IFN</w:t>
      </w:r>
      <w:r>
        <w:t>)</w:t>
      </w:r>
    </w:p>
    <w:p w:rsidR="00816089" w:rsidRDefault="00816089" w:rsidP="003942C6">
      <w:pPr>
        <w:pStyle w:val="Odstavecseseznamem"/>
        <w:numPr>
          <w:ilvl w:val="0"/>
          <w:numId w:val="8"/>
        </w:numPr>
        <w:spacing w:after="0"/>
      </w:pPr>
      <w:r>
        <w:t xml:space="preserve">Při vhodném </w:t>
      </w:r>
      <w:r w:rsidR="00787752">
        <w:t>mechanizm</w:t>
      </w:r>
      <w:r>
        <w:t xml:space="preserve">u možnost zapojení všech ŘO bez ztráty jejich vlivu na řízení </w:t>
      </w:r>
      <w:r w:rsidR="00986EE0">
        <w:t>IFN</w:t>
      </w:r>
    </w:p>
    <w:p w:rsidR="00816089" w:rsidRDefault="00816089" w:rsidP="00C91FCD">
      <w:pPr>
        <w:pStyle w:val="Odstavecseseznamem"/>
        <w:numPr>
          <w:ilvl w:val="0"/>
          <w:numId w:val="8"/>
        </w:numPr>
        <w:spacing w:after="0"/>
      </w:pPr>
      <w:r>
        <w:t>Lokální řešení realizované subjektem, který má praxi a zkušenosti s obdobnými nástroji</w:t>
      </w:r>
    </w:p>
    <w:p w:rsidR="00816089" w:rsidRDefault="00816089" w:rsidP="005144FD">
      <w:pPr>
        <w:pStyle w:val="Odstavecseseznamem"/>
        <w:numPr>
          <w:ilvl w:val="0"/>
          <w:numId w:val="8"/>
        </w:numPr>
        <w:spacing w:after="0"/>
      </w:pPr>
      <w:r>
        <w:t>Jednoduchý vztah k certifikaci a kontrole</w:t>
      </w:r>
      <w:r w:rsidR="001F7FA3">
        <w:t xml:space="preserve"> (</w:t>
      </w:r>
      <w:r w:rsidR="00EA2C3F">
        <w:t>IFN</w:t>
      </w:r>
      <w:r w:rsidR="001F7FA3">
        <w:t xml:space="preserve"> jsou novým </w:t>
      </w:r>
      <w:r w:rsidR="00787752">
        <w:t>mechanizm</w:t>
      </w:r>
      <w:r w:rsidR="001F7FA3">
        <w:t>em a vzhledem k tomu, že k certifikaci dochází na úrovni nástroje, sama EK zmiňuje nutnost zvýšené transparentnosti a kontroly IFN, z pohledu MF je roztříštěné řízení IFN problematické, protože IFN vytvořené nebo řízené v rozporu s nařízeními EK může vygenerovat významné negativní dopady na SR)</w:t>
      </w:r>
    </w:p>
    <w:p w:rsidR="00816089" w:rsidRDefault="00816089">
      <w:pPr>
        <w:pStyle w:val="Odstavecseseznamem"/>
        <w:numPr>
          <w:ilvl w:val="0"/>
          <w:numId w:val="8"/>
        </w:numPr>
        <w:spacing w:after="0"/>
      </w:pPr>
      <w:r>
        <w:t xml:space="preserve">Nejvíce flexibilní varianta – pro stát nejlepší z hlediska řízení a efektivního investování </w:t>
      </w:r>
      <w:r w:rsidR="00625118">
        <w:t>svěřených prostředků</w:t>
      </w:r>
    </w:p>
    <w:p w:rsidR="00625118" w:rsidRDefault="00625118">
      <w:pPr>
        <w:pStyle w:val="Odstavecseseznamem"/>
        <w:numPr>
          <w:ilvl w:val="0"/>
          <w:numId w:val="8"/>
        </w:numPr>
        <w:spacing w:after="0"/>
      </w:pPr>
      <w:r>
        <w:t>Časové hledisko pro implementaci IFN</w:t>
      </w:r>
    </w:p>
    <w:p w:rsidR="00625118" w:rsidRDefault="00625118">
      <w:pPr>
        <w:pStyle w:val="Odstavecseseznamem"/>
        <w:numPr>
          <w:ilvl w:val="0"/>
          <w:numId w:val="8"/>
        </w:numPr>
        <w:spacing w:after="0"/>
      </w:pPr>
      <w:r>
        <w:t xml:space="preserve">Možnost využití </w:t>
      </w:r>
      <w:r w:rsidR="00787752">
        <w:t>mechanizm</w:t>
      </w:r>
      <w:r>
        <w:t>ů i pro zapojení národních zdrojů</w:t>
      </w:r>
    </w:p>
    <w:p w:rsidR="00625118" w:rsidRDefault="00625118">
      <w:pPr>
        <w:pStyle w:val="Odstavecseseznamem"/>
        <w:numPr>
          <w:ilvl w:val="0"/>
          <w:numId w:val="8"/>
        </w:numPr>
        <w:spacing w:after="0"/>
      </w:pPr>
      <w:r>
        <w:t xml:space="preserve">Stát si vytváří další ekonomický </w:t>
      </w:r>
      <w:r w:rsidR="00787752">
        <w:t>mechanizm</w:t>
      </w:r>
      <w:r>
        <w:t xml:space="preserve">us pro intervence do ekonomiky podle </w:t>
      </w:r>
      <w:r w:rsidR="00E93698">
        <w:t xml:space="preserve">svých </w:t>
      </w:r>
      <w:r>
        <w:t>potřeb</w:t>
      </w:r>
    </w:p>
    <w:p w:rsidR="00625118" w:rsidRPr="00625118" w:rsidRDefault="00816089" w:rsidP="00636988">
      <w:pPr>
        <w:spacing w:before="240"/>
        <w:ind w:left="1134"/>
      </w:pPr>
      <w:r w:rsidRPr="00625118">
        <w:rPr>
          <w:b/>
        </w:rPr>
        <w:t xml:space="preserve">Negativa: </w:t>
      </w:r>
    </w:p>
    <w:p w:rsidR="00816089" w:rsidRDefault="00816089" w:rsidP="00C91FCD">
      <w:pPr>
        <w:pStyle w:val="Odstavecseseznamem"/>
        <w:numPr>
          <w:ilvl w:val="0"/>
          <w:numId w:val="8"/>
        </w:numPr>
        <w:spacing w:after="60"/>
        <w:ind w:left="1491" w:hanging="357"/>
        <w:contextualSpacing w:val="0"/>
      </w:pPr>
      <w:r w:rsidRPr="00625118">
        <w:t>Nutnost legislativních změn vybrané existující instituce (např. v případě volby ČM</w:t>
      </w:r>
      <w:r w:rsidR="00D106C4">
        <w:t>Z</w:t>
      </w:r>
      <w:r w:rsidRPr="00625118">
        <w:t>RB je</w:t>
      </w:r>
      <w:r>
        <w:t xml:space="preserve"> třeba upravit její současné zaměření - ze zákona pokrývá pouze oblast malého a středního podnikání) i obecných legislativních změn (zejména rozpočtových pravidel)</w:t>
      </w:r>
    </w:p>
    <w:p w:rsidR="00816089" w:rsidRDefault="00816089" w:rsidP="00636988">
      <w:pPr>
        <w:pStyle w:val="Odstavecseseznamem"/>
        <w:numPr>
          <w:ilvl w:val="0"/>
          <w:numId w:val="8"/>
        </w:numPr>
        <w:spacing w:after="60"/>
        <w:ind w:left="1491" w:hanging="357"/>
        <w:contextualSpacing w:val="0"/>
      </w:pPr>
      <w:r>
        <w:t xml:space="preserve">V případě volby instituce s bankovní licencí některá omezení pro vybrané typy </w:t>
      </w:r>
      <w:r w:rsidR="00986EE0">
        <w:t>IFN</w:t>
      </w:r>
      <w:r>
        <w:t>, které však mohou být realizovány přes dceřinou společnost</w:t>
      </w:r>
      <w:r w:rsidR="00472C00">
        <w:t xml:space="preserve"> či společnosti</w:t>
      </w:r>
    </w:p>
    <w:p w:rsidR="00816089" w:rsidRDefault="00816089" w:rsidP="00636988">
      <w:pPr>
        <w:pStyle w:val="Odstavecseseznamem"/>
        <w:numPr>
          <w:ilvl w:val="0"/>
          <w:numId w:val="8"/>
        </w:numPr>
        <w:spacing w:after="60"/>
        <w:ind w:left="1491" w:hanging="357"/>
        <w:contextualSpacing w:val="0"/>
      </w:pPr>
      <w:r>
        <w:t>Nutnost trvalé shody na tomto řešení, jinak obtížná koordinace ŘO a jejich příspěvků, hledání shody na zaměření podpory</w:t>
      </w:r>
    </w:p>
    <w:p w:rsidR="00903FCE" w:rsidRDefault="00903FCE" w:rsidP="00636988">
      <w:pPr>
        <w:pStyle w:val="Odstavecseseznamem"/>
        <w:numPr>
          <w:ilvl w:val="0"/>
          <w:numId w:val="8"/>
        </w:numPr>
        <w:spacing w:after="60"/>
        <w:ind w:left="1491" w:hanging="357"/>
        <w:contextualSpacing w:val="0"/>
      </w:pPr>
      <w:r>
        <w:t>Nutnost provedení interních změn v rámci ČMZRB s ohledem na výkon nové funkce.</w:t>
      </w:r>
    </w:p>
    <w:p w:rsidR="001A2F6E" w:rsidRPr="00C9354F" w:rsidRDefault="001A2F6E" w:rsidP="00C91FCD">
      <w:pPr>
        <w:spacing w:before="240"/>
        <w:ind w:left="1136"/>
        <w:rPr>
          <w:b/>
        </w:rPr>
      </w:pPr>
      <w:r w:rsidRPr="00C9354F">
        <w:rPr>
          <w:b/>
        </w:rPr>
        <w:t>Tato varianta je navrhována jako preferovaná</w:t>
      </w:r>
      <w:r w:rsidR="00E26843">
        <w:rPr>
          <w:b/>
        </w:rPr>
        <w:t xml:space="preserve"> číslo</w:t>
      </w:r>
      <w:r w:rsidR="00472C00">
        <w:rPr>
          <w:b/>
        </w:rPr>
        <w:t xml:space="preserve"> </w:t>
      </w:r>
      <w:r w:rsidR="00E26843">
        <w:rPr>
          <w:b/>
        </w:rPr>
        <w:t>1</w:t>
      </w:r>
      <w:r w:rsidRPr="00C9354F">
        <w:rPr>
          <w:b/>
        </w:rPr>
        <w:t>. Stát využije již státem vlastněnou banku, rozšíří její záběr, získá další nástroj na národní úrovni pro</w:t>
      </w:r>
      <w:r w:rsidR="00E871A7">
        <w:rPr>
          <w:b/>
        </w:rPr>
        <w:t> </w:t>
      </w:r>
      <w:r w:rsidRPr="00C9354F">
        <w:rPr>
          <w:b/>
        </w:rPr>
        <w:t>podporu hospodářského růstu z EU i národních zdrojů. Více k této variantě v</w:t>
      </w:r>
      <w:r w:rsidR="00C9354F">
        <w:rPr>
          <w:b/>
        </w:rPr>
        <w:t> kapitole 5 této analýzy.</w:t>
      </w:r>
    </w:p>
    <w:p w:rsidR="00FC2C6C" w:rsidRDefault="00FC2C6C" w:rsidP="00171265">
      <w:pPr>
        <w:pStyle w:val="Nadpis4"/>
      </w:pPr>
      <w:r w:rsidRPr="00FC2C6C">
        <w:lastRenderedPageBreak/>
        <w:t>Vytvoření nové</w:t>
      </w:r>
      <w:r w:rsidR="00671A9C">
        <w:t xml:space="preserve"> finanční instituce</w:t>
      </w:r>
    </w:p>
    <w:p w:rsidR="00CA4194" w:rsidRDefault="00CA4194" w:rsidP="00636988">
      <w:pPr>
        <w:pStyle w:val="schma"/>
      </w:pPr>
      <w:r>
        <w:t xml:space="preserve">Schéma </w:t>
      </w:r>
      <w:fldSimple w:instr=" SEQ Schéma \* ARABIC ">
        <w:r w:rsidR="006C5EA3">
          <w:rPr>
            <w:noProof/>
          </w:rPr>
          <w:t>28</w:t>
        </w:r>
      </w:fldSimple>
      <w:r>
        <w:t>: Centralizovaný model - nová finanční instituce</w:t>
      </w:r>
    </w:p>
    <w:p w:rsidR="00472C00" w:rsidRDefault="0055330E" w:rsidP="007862C1">
      <w:pPr>
        <w:pStyle w:val="Odskoknadpis4"/>
        <w:keepNext/>
        <w:jc w:val="center"/>
      </w:pPr>
      <w:r>
        <w:rPr>
          <w:noProof/>
          <w:lang w:eastAsia="cs-CZ"/>
        </w:rPr>
        <w:drawing>
          <wp:inline distT="0" distB="0" distL="0" distR="0" wp14:anchorId="25CCA9F6" wp14:editId="37A11563">
            <wp:extent cx="4643755" cy="2385695"/>
            <wp:effectExtent l="19050" t="0" r="4445" b="0"/>
            <wp:docPr id="4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9"/>
                    <a:srcRect/>
                    <a:stretch>
                      <a:fillRect/>
                    </a:stretch>
                  </pic:blipFill>
                  <pic:spPr bwMode="auto">
                    <a:xfrm>
                      <a:off x="0" y="0"/>
                      <a:ext cx="4643755" cy="2385695"/>
                    </a:xfrm>
                    <a:prstGeom prst="rect">
                      <a:avLst/>
                    </a:prstGeom>
                    <a:noFill/>
                    <a:ln w="9525">
                      <a:noFill/>
                      <a:miter lim="800000"/>
                      <a:headEnd/>
                      <a:tailEnd/>
                    </a:ln>
                  </pic:spPr>
                </pic:pic>
              </a:graphicData>
            </a:graphic>
          </wp:inline>
        </w:drawing>
      </w:r>
    </w:p>
    <w:p w:rsidR="00B76929" w:rsidRDefault="00A50B0E" w:rsidP="007862C1">
      <w:pPr>
        <w:pStyle w:val="Odstavecseseznamem"/>
        <w:keepNext/>
        <w:keepLines/>
        <w:ind w:left="1134"/>
      </w:pPr>
      <w:r>
        <w:t xml:space="preserve">Třetí </w:t>
      </w:r>
      <w:r w:rsidR="00B76929">
        <w:t xml:space="preserve">variantou, velmi podobnou </w:t>
      </w:r>
      <w:r>
        <w:t>té předcházející</w:t>
      </w:r>
      <w:r w:rsidR="00B76929">
        <w:t>, je vybudovat zcela novou finanční instituci ve vlastnictví státu.</w:t>
      </w:r>
      <w:r w:rsidR="00FC2C6C">
        <w:t xml:space="preserve"> Tato varianta splňuje vše co varianta předchozí. Její výhodou je to, že se vše dá </w:t>
      </w:r>
      <w:r w:rsidR="00BA7F45">
        <w:t xml:space="preserve">požadovaná instituce </w:t>
      </w:r>
      <w:r w:rsidR="00FC2C6C">
        <w:t xml:space="preserve">vytvořit takovým způsobem, </w:t>
      </w:r>
      <w:r>
        <w:t xml:space="preserve">který </w:t>
      </w:r>
      <w:r w:rsidR="00FC2C6C">
        <w:t xml:space="preserve">je to optimální pro </w:t>
      </w:r>
      <w:r w:rsidR="0049541D">
        <w:t xml:space="preserve">daný účel. Tato varianta </w:t>
      </w:r>
      <w:r>
        <w:t>by byla nejvhodnějším</w:t>
      </w:r>
      <w:r w:rsidR="0049541D">
        <w:t xml:space="preserve"> řešení</w:t>
      </w:r>
      <w:r>
        <w:t xml:space="preserve">m v případě jejího </w:t>
      </w:r>
      <w:r w:rsidR="0049541D">
        <w:t>koncepčn</w:t>
      </w:r>
      <w:r>
        <w:t>ího</w:t>
      </w:r>
      <w:r w:rsidR="0049541D">
        <w:t xml:space="preserve"> </w:t>
      </w:r>
      <w:r>
        <w:t xml:space="preserve">uchopení již v počáteční fázi, tedy před započetím prvotních prací na přípravě operačních programů pro nové </w:t>
      </w:r>
      <w:r w:rsidR="00787752">
        <w:t>programové</w:t>
      </w:r>
      <w:r>
        <w:t xml:space="preserve"> období.</w:t>
      </w:r>
      <w:r w:rsidR="0049541D">
        <w:t xml:space="preserve"> V tento okamžik </w:t>
      </w:r>
      <w:r w:rsidR="004374F2">
        <w:t>(</w:t>
      </w:r>
      <w:r w:rsidR="007064C2">
        <w:t>leden</w:t>
      </w:r>
      <w:r>
        <w:t xml:space="preserve"> 201</w:t>
      </w:r>
      <w:r w:rsidR="007064C2">
        <w:t>5</w:t>
      </w:r>
      <w:r>
        <w:t xml:space="preserve">) </w:t>
      </w:r>
      <w:r w:rsidR="0049541D">
        <w:t xml:space="preserve">je prakticky </w:t>
      </w:r>
      <w:r>
        <w:t xml:space="preserve">nerealizovatelná, </w:t>
      </w:r>
      <w:r w:rsidR="0049541D">
        <w:t xml:space="preserve">a to z tohoto důvodu, že samotné vytvoření koncepce, </w:t>
      </w:r>
      <w:r>
        <w:t xml:space="preserve">následné </w:t>
      </w:r>
      <w:r w:rsidR="0049541D">
        <w:t xml:space="preserve">rozhodnutí vlády, </w:t>
      </w:r>
      <w:r w:rsidR="00472C00">
        <w:t xml:space="preserve">založení, </w:t>
      </w:r>
      <w:r>
        <w:t>zahájení činnosti (</w:t>
      </w:r>
      <w:r w:rsidR="0049541D">
        <w:t xml:space="preserve">nákup vybavení, </w:t>
      </w:r>
      <w:r w:rsidR="00472C00">
        <w:t xml:space="preserve">obsazení personálem, </w:t>
      </w:r>
      <w:r w:rsidR="0049541D">
        <w:t>zprovoznění procesů a vnitřních pravidel atd.</w:t>
      </w:r>
      <w:r>
        <w:t>)</w:t>
      </w:r>
      <w:r w:rsidR="0049541D">
        <w:t xml:space="preserve"> by zabralo </w:t>
      </w:r>
      <w:r>
        <w:t xml:space="preserve">příliš mnoho </w:t>
      </w:r>
      <w:r w:rsidR="0049541D">
        <w:t>času</w:t>
      </w:r>
      <w:r>
        <w:t xml:space="preserve"> a tedy zdržení, </w:t>
      </w:r>
      <w:r w:rsidR="00F94FF2">
        <w:t xml:space="preserve">kvůli </w:t>
      </w:r>
      <w:r>
        <w:t>kterému by se nejspíš</w:t>
      </w:r>
      <w:r w:rsidR="0049541D">
        <w:t xml:space="preserve"> žádný </w:t>
      </w:r>
      <w:r w:rsidR="00EA2C3F">
        <w:t>IFN</w:t>
      </w:r>
      <w:r w:rsidR="0049541D">
        <w:t xml:space="preserve"> </w:t>
      </w:r>
      <w:r>
        <w:t xml:space="preserve">nestihl implementovat </w:t>
      </w:r>
      <w:r w:rsidR="008847D5">
        <w:t>včas, anebo</w:t>
      </w:r>
      <w:r>
        <w:t xml:space="preserve"> by byl </w:t>
      </w:r>
      <w:r w:rsidR="0049541D">
        <w:t xml:space="preserve">výsledek </w:t>
      </w:r>
      <w:r>
        <w:t>v tuto chvíli nejistý.</w:t>
      </w:r>
    </w:p>
    <w:p w:rsidR="00625118" w:rsidRPr="002521B2" w:rsidRDefault="00625118" w:rsidP="002521B2">
      <w:pPr>
        <w:pStyle w:val="Odskoknadpis4"/>
        <w:ind w:left="1134"/>
        <w:rPr>
          <w:b/>
        </w:rPr>
      </w:pPr>
      <w:r w:rsidRPr="002521B2">
        <w:rPr>
          <w:b/>
        </w:rPr>
        <w:t>Pozitiva:</w:t>
      </w:r>
    </w:p>
    <w:p w:rsidR="00816089" w:rsidRDefault="00816089" w:rsidP="003942C6">
      <w:pPr>
        <w:pStyle w:val="Odstavecseseznamem"/>
        <w:numPr>
          <w:ilvl w:val="0"/>
          <w:numId w:val="8"/>
        </w:numPr>
        <w:spacing w:after="60"/>
        <w:ind w:left="1491" w:hanging="357"/>
        <w:contextualSpacing w:val="0"/>
      </w:pPr>
      <w:r>
        <w:t xml:space="preserve">Splňuje vše, co předchozí varianta; navíc vše se dá vytvořit optimálním způsobem </w:t>
      </w:r>
      <w:r w:rsidR="008846C4">
        <w:t>pro </w:t>
      </w:r>
      <w:r>
        <w:t>daný účel</w:t>
      </w:r>
    </w:p>
    <w:p w:rsidR="00816089" w:rsidRDefault="00816089" w:rsidP="003942C6">
      <w:pPr>
        <w:pStyle w:val="Odstavecseseznamem"/>
        <w:numPr>
          <w:ilvl w:val="0"/>
          <w:numId w:val="8"/>
        </w:numPr>
        <w:spacing w:after="60"/>
        <w:ind w:left="1491" w:hanging="357"/>
        <w:contextualSpacing w:val="0"/>
      </w:pPr>
      <w:r>
        <w:t>Bez nutnosti zásahu do fungování stávající finanční instituce</w:t>
      </w:r>
    </w:p>
    <w:p w:rsidR="00816089" w:rsidRDefault="00816089" w:rsidP="003942C6">
      <w:pPr>
        <w:pStyle w:val="Odstavecseseznamem"/>
        <w:numPr>
          <w:ilvl w:val="0"/>
          <w:numId w:val="8"/>
        </w:numPr>
        <w:spacing w:after="60"/>
        <w:ind w:left="1491" w:hanging="357"/>
        <w:contextualSpacing w:val="0"/>
      </w:pPr>
      <w:r>
        <w:t xml:space="preserve">Možnost vytvoření instituce přesně dle požadavků na správu </w:t>
      </w:r>
      <w:r w:rsidR="00986EE0">
        <w:t>IFN</w:t>
      </w:r>
      <w:r>
        <w:t>; nemusí mít bankovní licenci</w:t>
      </w:r>
    </w:p>
    <w:p w:rsidR="00816089" w:rsidRDefault="00816089" w:rsidP="003942C6">
      <w:pPr>
        <w:pStyle w:val="Odstavecseseznamem"/>
        <w:numPr>
          <w:ilvl w:val="0"/>
          <w:numId w:val="8"/>
        </w:numPr>
        <w:spacing w:after="60"/>
        <w:ind w:left="1491" w:hanging="357"/>
        <w:contextualSpacing w:val="0"/>
      </w:pPr>
      <w:r>
        <w:t xml:space="preserve">Optimální v případě použití již </w:t>
      </w:r>
      <w:r w:rsidR="00F94FF2">
        <w:t xml:space="preserve">v </w:t>
      </w:r>
      <w:r>
        <w:t xml:space="preserve">počáteční fázi před započetím prvotních prací </w:t>
      </w:r>
      <w:r w:rsidR="008846C4">
        <w:t>na </w:t>
      </w:r>
      <w:r>
        <w:t>přípravě operačních programů pro nové období</w:t>
      </w:r>
    </w:p>
    <w:p w:rsidR="00816089" w:rsidRPr="00625118" w:rsidRDefault="00816089" w:rsidP="00625118">
      <w:pPr>
        <w:spacing w:before="240"/>
        <w:ind w:left="1134"/>
        <w:jc w:val="left"/>
        <w:rPr>
          <w:b/>
        </w:rPr>
      </w:pPr>
      <w:r w:rsidRPr="00625118">
        <w:rPr>
          <w:b/>
        </w:rPr>
        <w:t>Negativa:</w:t>
      </w:r>
    </w:p>
    <w:p w:rsidR="00816089" w:rsidRDefault="004374F2" w:rsidP="003942C6">
      <w:pPr>
        <w:pStyle w:val="Odstavecseseznamem"/>
        <w:numPr>
          <w:ilvl w:val="0"/>
          <w:numId w:val="8"/>
        </w:numPr>
        <w:spacing w:after="60"/>
        <w:ind w:left="1491" w:hanging="357"/>
        <w:contextualSpacing w:val="0"/>
      </w:pPr>
      <w:r>
        <w:t>V tento okamžik (</w:t>
      </w:r>
      <w:r w:rsidR="007064C2">
        <w:t>leden</w:t>
      </w:r>
      <w:r w:rsidR="00816089">
        <w:t xml:space="preserve"> 201</w:t>
      </w:r>
      <w:r w:rsidR="007064C2">
        <w:t>5</w:t>
      </w:r>
      <w:r w:rsidR="00816089">
        <w:t>) již prakticky nerealizovatelná pro časovou náročnost a</w:t>
      </w:r>
      <w:r w:rsidR="00E871A7">
        <w:t> </w:t>
      </w:r>
      <w:r w:rsidR="00816089">
        <w:t xml:space="preserve">tedy nemožnost implementovat </w:t>
      </w:r>
      <w:r w:rsidR="00986EE0">
        <w:t>IFN</w:t>
      </w:r>
      <w:r w:rsidR="00816089">
        <w:t xml:space="preserve"> a dočerpat prostředky včas</w:t>
      </w:r>
      <w:r w:rsidR="001F7FA3">
        <w:t xml:space="preserve"> (založení nové instituce by zabralo několik let do plné funkčnosti, </w:t>
      </w:r>
      <w:r w:rsidR="00F94FF2">
        <w:t>což je vzhledem k</w:t>
      </w:r>
      <w:r w:rsidR="001F7FA3">
        <w:t xml:space="preserve"> </w:t>
      </w:r>
      <w:r w:rsidR="00F94FF2">
        <w:t xml:space="preserve">potřebě </w:t>
      </w:r>
      <w:r w:rsidR="001F7FA3">
        <w:t>pracovat s nasazením IFN hned od počátku</w:t>
      </w:r>
      <w:r w:rsidR="00F94FF2">
        <w:t xml:space="preserve"> nepředstavitelné</w:t>
      </w:r>
      <w:r w:rsidR="001F7FA3">
        <w:t>)</w:t>
      </w:r>
    </w:p>
    <w:p w:rsidR="00816089" w:rsidRDefault="00816089" w:rsidP="003942C6">
      <w:pPr>
        <w:pStyle w:val="Odstavecseseznamem"/>
        <w:numPr>
          <w:ilvl w:val="0"/>
          <w:numId w:val="8"/>
        </w:numPr>
        <w:spacing w:after="60"/>
        <w:ind w:left="1491" w:hanging="357"/>
        <w:contextualSpacing w:val="0"/>
        <w:jc w:val="left"/>
      </w:pPr>
      <w:r>
        <w:t>Požadavky na rozpočtové zdroje na založení a vznik nové instituce</w:t>
      </w:r>
    </w:p>
    <w:p w:rsidR="001A2F6E" w:rsidRDefault="001A2F6E" w:rsidP="00BA5521">
      <w:pPr>
        <w:spacing w:before="240"/>
        <w:ind w:left="1134"/>
        <w:rPr>
          <w:b/>
        </w:rPr>
      </w:pPr>
      <w:r w:rsidRPr="001A2F6E">
        <w:rPr>
          <w:b/>
        </w:rPr>
        <w:t xml:space="preserve">Tato varianta by byla vhodná z důvodu podobnosti variantě předchozí, ale je prakticky nerealizovatelná. Bylo by nutné jednak řešit zakládací legislativu, rozpočtové prostředky, následně desítky veřejných soutěží na fyzické vytvoření </w:t>
      </w:r>
      <w:r w:rsidRPr="001A2F6E">
        <w:rPr>
          <w:b/>
        </w:rPr>
        <w:lastRenderedPageBreak/>
        <w:t xml:space="preserve">instituce (sídlo, ICT, personál) a startovat takto rozsáhlou činnost na předem neozkoušené instituci by bylo hazardní. Došlo by </w:t>
      </w:r>
      <w:r w:rsidR="005A5016">
        <w:rPr>
          <w:b/>
        </w:rPr>
        <w:t xml:space="preserve">pravděpodobně </w:t>
      </w:r>
      <w:r w:rsidRPr="001A2F6E">
        <w:rPr>
          <w:b/>
        </w:rPr>
        <w:t>ke zpoždění nasazení IFN v ČR, což by mohlo mít významné negativní dopady. Tato varianta není doporučována.</w:t>
      </w:r>
    </w:p>
    <w:p w:rsidR="00187740" w:rsidRDefault="00187740" w:rsidP="00171265">
      <w:pPr>
        <w:pStyle w:val="Nadpis4"/>
      </w:pPr>
      <w:r>
        <w:t>Zhodnocení možností a variant</w:t>
      </w:r>
    </w:p>
    <w:p w:rsidR="00970C85" w:rsidRDefault="00970C85" w:rsidP="00636988">
      <w:pPr>
        <w:pStyle w:val="Titulek"/>
      </w:pPr>
      <w:r>
        <w:t xml:space="preserve">Tabulka </w:t>
      </w:r>
      <w:fldSimple w:instr=" SEQ Tabulka \* ARABIC ">
        <w:r w:rsidR="006C5EA3">
          <w:rPr>
            <w:noProof/>
          </w:rPr>
          <w:t>4</w:t>
        </w:r>
      </w:fldSimple>
      <w:r>
        <w:t>: Výhody a nevýhody variant</w:t>
      </w:r>
    </w:p>
    <w:tbl>
      <w:tblPr>
        <w:tblW w:w="0" w:type="auto"/>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8"/>
        <w:gridCol w:w="2729"/>
        <w:gridCol w:w="2821"/>
      </w:tblGrid>
      <w:tr w:rsidR="00671A9C" w:rsidRPr="00FD4171" w:rsidTr="004F3C2F">
        <w:trPr>
          <w:cantSplit/>
        </w:trPr>
        <w:tc>
          <w:tcPr>
            <w:tcW w:w="2608" w:type="dxa"/>
            <w:tcBorders>
              <w:top w:val="single" w:sz="4" w:space="0" w:color="auto"/>
              <w:bottom w:val="nil"/>
            </w:tcBorders>
            <w:shd w:val="clear" w:color="auto" w:fill="548DD4"/>
          </w:tcPr>
          <w:p w:rsidR="00671A9C" w:rsidRPr="00FD4171" w:rsidRDefault="00671A9C" w:rsidP="00FD4171">
            <w:pPr>
              <w:pStyle w:val="Odskoknadpis4"/>
              <w:keepNext/>
              <w:spacing w:before="120" w:line="240" w:lineRule="auto"/>
              <w:rPr>
                <w:rFonts w:ascii="Calibri" w:hAnsi="Calibri"/>
                <w:b/>
                <w:color w:val="FFFFFF"/>
              </w:rPr>
            </w:pPr>
          </w:p>
        </w:tc>
        <w:tc>
          <w:tcPr>
            <w:tcW w:w="2729" w:type="dxa"/>
            <w:tcBorders>
              <w:top w:val="single" w:sz="4" w:space="0" w:color="auto"/>
              <w:bottom w:val="nil"/>
            </w:tcBorders>
            <w:shd w:val="clear" w:color="auto" w:fill="548DD4"/>
            <w:vAlign w:val="center"/>
          </w:tcPr>
          <w:p w:rsidR="00671A9C" w:rsidRPr="00FD4171" w:rsidRDefault="00671A9C" w:rsidP="004F3C2F">
            <w:pPr>
              <w:pStyle w:val="Odskoknadpis4"/>
              <w:keepNext/>
              <w:spacing w:before="120" w:line="240" w:lineRule="auto"/>
              <w:ind w:left="0" w:hanging="22"/>
              <w:jc w:val="left"/>
              <w:rPr>
                <w:rFonts w:ascii="Calibri" w:hAnsi="Calibri"/>
                <w:b/>
                <w:color w:val="FFFFFF"/>
              </w:rPr>
            </w:pPr>
            <w:r w:rsidRPr="00FD4171">
              <w:rPr>
                <w:rFonts w:ascii="Calibri" w:hAnsi="Calibri"/>
                <w:b/>
                <w:color w:val="FFFFFF"/>
              </w:rPr>
              <w:t>Centralizovaná</w:t>
            </w:r>
          </w:p>
        </w:tc>
        <w:tc>
          <w:tcPr>
            <w:tcW w:w="2821" w:type="dxa"/>
            <w:tcBorders>
              <w:top w:val="single" w:sz="4" w:space="0" w:color="auto"/>
              <w:bottom w:val="nil"/>
            </w:tcBorders>
            <w:shd w:val="clear" w:color="auto" w:fill="548DD4"/>
            <w:vAlign w:val="center"/>
          </w:tcPr>
          <w:p w:rsidR="00671A9C" w:rsidRPr="00FD4171" w:rsidRDefault="00671A9C" w:rsidP="004F3C2F">
            <w:pPr>
              <w:pStyle w:val="Odskoknadpis4"/>
              <w:keepNext/>
              <w:spacing w:before="120" w:line="240" w:lineRule="auto"/>
              <w:ind w:left="0" w:hanging="22"/>
              <w:jc w:val="left"/>
              <w:rPr>
                <w:rFonts w:ascii="Calibri" w:hAnsi="Calibri"/>
                <w:b/>
                <w:color w:val="FFFFFF"/>
              </w:rPr>
            </w:pPr>
            <w:r w:rsidRPr="00FD4171">
              <w:rPr>
                <w:rFonts w:ascii="Calibri" w:hAnsi="Calibri"/>
                <w:b/>
                <w:color w:val="FFFFFF"/>
              </w:rPr>
              <w:t>Decentralizovaná</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Vklad do nástrojů zřízených na úrovni EK</w:t>
            </w:r>
          </w:p>
        </w:tc>
        <w:tc>
          <w:tcPr>
            <w:tcW w:w="2729" w:type="dxa"/>
            <w:tcBorders>
              <w:top w:val="nil"/>
            </w:tcBorders>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Nevhodná</w:t>
            </w:r>
          </w:p>
        </w:tc>
        <w:tc>
          <w:tcPr>
            <w:tcW w:w="2821" w:type="dxa"/>
            <w:tcBorders>
              <w:top w:val="nil"/>
            </w:tcBorders>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Nevhodná</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Přímá implementace řídícím orgánem</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Není možné realizovat</w:t>
            </w:r>
          </w:p>
        </w:tc>
        <w:tc>
          <w:tcPr>
            <w:tcW w:w="2821"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Možnost realizace pouze pro některé ŘO</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EIB</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Vhodná</w:t>
            </w:r>
          </w:p>
        </w:tc>
        <w:tc>
          <w:tcPr>
            <w:tcW w:w="2821"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Možná, ale není zřejmé jak zajistit, aby všechny řídící orgány vybírali tuto variantu</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Mezinárodní finanční instituce</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Možnost existuje, ale není zřejmé jaká jiná instituce mimo EIB by toto činnost mohla provádět</w:t>
            </w:r>
          </w:p>
        </w:tc>
        <w:tc>
          <w:tcPr>
            <w:tcW w:w="2821"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Možnost existuje, ale není zřejmé jaká jiná instituce mimo EIB by</w:t>
            </w:r>
            <w:r w:rsidR="00187740" w:rsidRPr="00FD4171">
              <w:rPr>
                <w:rFonts w:ascii="Calibri" w:hAnsi="Calibri"/>
                <w:sz w:val="20"/>
                <w:szCs w:val="20"/>
              </w:rPr>
              <w:t xml:space="preserve"> tu</w:t>
            </w:r>
            <w:r w:rsidRPr="00FD4171">
              <w:rPr>
                <w:rFonts w:ascii="Calibri" w:hAnsi="Calibri"/>
                <w:sz w:val="20"/>
                <w:szCs w:val="20"/>
              </w:rPr>
              <w:t>to činnost mohla provádět</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Nově zakládaný subjekt</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Vhodná, problémy s časovým hlediskem založení</w:t>
            </w:r>
          </w:p>
        </w:tc>
        <w:tc>
          <w:tcPr>
            <w:tcW w:w="2821" w:type="dxa"/>
          </w:tcPr>
          <w:p w:rsidR="00671A9C" w:rsidRPr="00FD4171" w:rsidRDefault="00671A9C" w:rsidP="00E871A7">
            <w:pPr>
              <w:keepNext/>
              <w:spacing w:before="120" w:after="0" w:line="240" w:lineRule="auto"/>
              <w:ind w:left="0"/>
              <w:jc w:val="left"/>
              <w:rPr>
                <w:rFonts w:ascii="Calibri" w:hAnsi="Calibri"/>
                <w:sz w:val="20"/>
                <w:szCs w:val="20"/>
              </w:rPr>
            </w:pPr>
            <w:r w:rsidRPr="00FD4171">
              <w:rPr>
                <w:rFonts w:ascii="Calibri" w:hAnsi="Calibri"/>
                <w:sz w:val="20"/>
                <w:szCs w:val="20"/>
              </w:rPr>
              <w:t>Možná s problematickým časovým hlediskem a</w:t>
            </w:r>
            <w:r w:rsidR="00E871A7">
              <w:rPr>
                <w:rFonts w:ascii="Calibri" w:hAnsi="Calibri"/>
                <w:sz w:val="20"/>
                <w:szCs w:val="20"/>
              </w:rPr>
              <w:t> </w:t>
            </w:r>
            <w:r w:rsidRPr="00FD4171">
              <w:rPr>
                <w:rFonts w:ascii="Calibri" w:hAnsi="Calibri"/>
                <w:sz w:val="20"/>
                <w:szCs w:val="20"/>
              </w:rPr>
              <w:t>problematickým zapojením nově vzniklých subjektů do</w:t>
            </w:r>
            <w:r w:rsidR="00E871A7">
              <w:rPr>
                <w:rFonts w:ascii="Calibri" w:hAnsi="Calibri"/>
                <w:sz w:val="20"/>
                <w:szCs w:val="20"/>
              </w:rPr>
              <w:t> </w:t>
            </w:r>
            <w:r w:rsidRPr="00FD4171">
              <w:rPr>
                <w:rFonts w:ascii="Calibri" w:hAnsi="Calibri"/>
                <w:sz w:val="20"/>
                <w:szCs w:val="20"/>
              </w:rPr>
              <w:t>státní správy</w:t>
            </w:r>
          </w:p>
        </w:tc>
      </w:tr>
      <w:tr w:rsidR="00671A9C" w:rsidRPr="00FD4171" w:rsidTr="004F3C2F">
        <w:trPr>
          <w:cantSplit/>
        </w:trPr>
        <w:tc>
          <w:tcPr>
            <w:tcW w:w="2608" w:type="dxa"/>
            <w:tcBorders>
              <w:top w:val="nil"/>
              <w:bottom w:val="nil"/>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Stávající subjekt ve vlastnictví ČR</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Preferovaná z důvodu jednotného řízení a efektivity</w:t>
            </w:r>
          </w:p>
        </w:tc>
        <w:tc>
          <w:tcPr>
            <w:tcW w:w="2821"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Teoreticky možná, problém jako u ostatních decentralizovaných řešení, že je celý systém různorodý</w:t>
            </w:r>
          </w:p>
        </w:tc>
      </w:tr>
      <w:tr w:rsidR="00671A9C" w:rsidRPr="00FD4171" w:rsidTr="004F3C2F">
        <w:trPr>
          <w:cantSplit/>
        </w:trPr>
        <w:tc>
          <w:tcPr>
            <w:tcW w:w="2608" w:type="dxa"/>
            <w:tcBorders>
              <w:top w:val="nil"/>
              <w:bottom w:val="single" w:sz="4" w:space="0" w:color="auto"/>
            </w:tcBorders>
            <w:shd w:val="clear" w:color="auto" w:fill="8DB3E2"/>
          </w:tcPr>
          <w:p w:rsidR="00671A9C" w:rsidRPr="00FD4171" w:rsidRDefault="00671A9C" w:rsidP="004F3C2F">
            <w:pPr>
              <w:keepNext/>
              <w:spacing w:before="240" w:after="0" w:line="240" w:lineRule="auto"/>
              <w:ind w:left="0"/>
              <w:jc w:val="left"/>
              <w:rPr>
                <w:rFonts w:ascii="Calibri" w:hAnsi="Calibri"/>
                <w:b/>
                <w:color w:val="FFFFFF"/>
              </w:rPr>
            </w:pPr>
            <w:r w:rsidRPr="00FD4171">
              <w:rPr>
                <w:rFonts w:ascii="Calibri" w:hAnsi="Calibri"/>
                <w:b/>
                <w:color w:val="FFFFFF"/>
              </w:rPr>
              <w:t>Svěření správy FF soukromému subjektu na základě veřejného tendru</w:t>
            </w:r>
          </w:p>
        </w:tc>
        <w:tc>
          <w:tcPr>
            <w:tcW w:w="2729"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Nevhodná</w:t>
            </w:r>
          </w:p>
        </w:tc>
        <w:tc>
          <w:tcPr>
            <w:tcW w:w="2821" w:type="dxa"/>
          </w:tcPr>
          <w:p w:rsidR="00671A9C" w:rsidRPr="00FD4171" w:rsidRDefault="00671A9C" w:rsidP="004F3C2F">
            <w:pPr>
              <w:keepNext/>
              <w:spacing w:before="120" w:after="0" w:line="240" w:lineRule="auto"/>
              <w:ind w:left="0"/>
              <w:jc w:val="left"/>
              <w:rPr>
                <w:rFonts w:ascii="Calibri" w:hAnsi="Calibri"/>
                <w:sz w:val="20"/>
                <w:szCs w:val="20"/>
              </w:rPr>
            </w:pPr>
            <w:r w:rsidRPr="00FD4171">
              <w:rPr>
                <w:rFonts w:ascii="Calibri" w:hAnsi="Calibri"/>
                <w:sz w:val="20"/>
                <w:szCs w:val="20"/>
              </w:rPr>
              <w:t>Nevhodná</w:t>
            </w:r>
          </w:p>
        </w:tc>
      </w:tr>
    </w:tbl>
    <w:p w:rsidR="00671A9C" w:rsidRPr="005C6C94" w:rsidRDefault="00187740" w:rsidP="00BA5521">
      <w:pPr>
        <w:spacing w:before="240"/>
        <w:ind w:left="1134"/>
        <w:rPr>
          <w:b/>
        </w:rPr>
      </w:pPr>
      <w:r w:rsidRPr="005C6C94">
        <w:rPr>
          <w:b/>
        </w:rPr>
        <w:t>Tabulka ukazuje, že hlavním rozhodujícím elementem pro celkové uspořádání IFN v ČR je rozhodnutí vlády</w:t>
      </w:r>
      <w:r w:rsidR="005A5016">
        <w:rPr>
          <w:b/>
        </w:rPr>
        <w:t>,</w:t>
      </w:r>
      <w:r w:rsidRPr="005C6C94">
        <w:rPr>
          <w:b/>
        </w:rPr>
        <w:t xml:space="preserve"> zda </w:t>
      </w:r>
      <w:r w:rsidR="005A5016">
        <w:rPr>
          <w:b/>
        </w:rPr>
        <w:t>se ubírat</w:t>
      </w:r>
      <w:r w:rsidRPr="005C6C94">
        <w:rPr>
          <w:b/>
        </w:rPr>
        <w:t xml:space="preserve"> spíše variantou centralizovanou </w:t>
      </w:r>
      <w:r w:rsidR="00FC7CD5" w:rsidRPr="005C6C94">
        <w:rPr>
          <w:b/>
        </w:rPr>
        <w:t>či</w:t>
      </w:r>
      <w:r w:rsidR="00FC7CD5">
        <w:rPr>
          <w:b/>
        </w:rPr>
        <w:t> </w:t>
      </w:r>
      <w:r w:rsidRPr="005C6C94">
        <w:rPr>
          <w:b/>
        </w:rPr>
        <w:t xml:space="preserve">decentralizovanou. </w:t>
      </w:r>
      <w:r w:rsidR="00E76C96">
        <w:rPr>
          <w:b/>
        </w:rPr>
        <w:t xml:space="preserve">Při výběru decentralizované varianty </w:t>
      </w:r>
      <w:r w:rsidR="0001295E">
        <w:rPr>
          <w:b/>
        </w:rPr>
        <w:t>mají</w:t>
      </w:r>
      <w:r w:rsidRPr="005C6C94">
        <w:rPr>
          <w:b/>
        </w:rPr>
        <w:t xml:space="preserve"> řídící orgány </w:t>
      </w:r>
      <w:r w:rsidR="00E76C96">
        <w:rPr>
          <w:b/>
        </w:rPr>
        <w:t>rozsáhlou možnost volby</w:t>
      </w:r>
      <w:r w:rsidRPr="005C6C94">
        <w:rPr>
          <w:b/>
        </w:rPr>
        <w:t xml:space="preserve"> </w:t>
      </w:r>
      <w:r w:rsidR="00E76C96">
        <w:rPr>
          <w:b/>
        </w:rPr>
        <w:t xml:space="preserve">konkrétní formy implementace </w:t>
      </w:r>
      <w:r w:rsidRPr="005C6C94">
        <w:rPr>
          <w:b/>
        </w:rPr>
        <w:t>a to včetně pozitiv i negativ z toho plynoucích pro ČR.</w:t>
      </w:r>
    </w:p>
    <w:p w:rsidR="00187740" w:rsidRPr="005C6C94" w:rsidRDefault="00187740" w:rsidP="00E76C96">
      <w:pPr>
        <w:spacing w:before="240"/>
        <w:ind w:left="1134"/>
        <w:rPr>
          <w:b/>
        </w:rPr>
      </w:pPr>
      <w:r w:rsidRPr="005C6C94">
        <w:rPr>
          <w:b/>
        </w:rPr>
        <w:t>Při preferenci varianty centralizované se počet možností zužuje na 2 zásadní. Jednou je svěření správy do rukou EIB a druhou je vytvoření vlastní finanční instituce.</w:t>
      </w:r>
    </w:p>
    <w:p w:rsidR="00101500" w:rsidRDefault="003F3080" w:rsidP="00171265">
      <w:pPr>
        <w:pStyle w:val="Nadpis1"/>
      </w:pPr>
      <w:bookmarkStart w:id="90" w:name="_Toc410115481"/>
      <w:r>
        <w:lastRenderedPageBreak/>
        <w:t>Požadovaná funkčnost</w:t>
      </w:r>
      <w:r w:rsidR="00101500">
        <w:t xml:space="preserve"> model</w:t>
      </w:r>
      <w:r>
        <w:t>u</w:t>
      </w:r>
      <w:r w:rsidR="00101500">
        <w:t xml:space="preserve"> implementace IFN</w:t>
      </w:r>
      <w:bookmarkEnd w:id="90"/>
    </w:p>
    <w:p w:rsidR="00752656" w:rsidRDefault="00752656" w:rsidP="00171265">
      <w:pPr>
        <w:pStyle w:val="Nadpis2"/>
      </w:pPr>
      <w:bookmarkStart w:id="91" w:name="_Toc410115482"/>
      <w:r>
        <w:t xml:space="preserve">Centralizované řešení se správcem </w:t>
      </w:r>
      <w:r w:rsidR="00E25C1F" w:rsidRPr="00D7299F">
        <w:t>Fondu fondů</w:t>
      </w:r>
      <w:r>
        <w:t xml:space="preserve"> formou in house řešení</w:t>
      </w:r>
      <w:bookmarkEnd w:id="91"/>
    </w:p>
    <w:p w:rsidR="00752656" w:rsidRDefault="00752656" w:rsidP="00171265">
      <w:pPr>
        <w:pStyle w:val="Nadpis3"/>
      </w:pPr>
      <w:bookmarkStart w:id="92" w:name="_Toc410115483"/>
      <w:r>
        <w:t xml:space="preserve">Popis </w:t>
      </w:r>
      <w:r w:rsidR="00BB6F95">
        <w:t>funkce centralizovaného in house řešení</w:t>
      </w:r>
      <w:bookmarkEnd w:id="92"/>
    </w:p>
    <w:p w:rsidR="00752656" w:rsidRDefault="00752656" w:rsidP="0049720A">
      <w:pPr>
        <w:pStyle w:val="Odskoknadpis4"/>
      </w:pPr>
      <w:r>
        <w:t>Při navržení vhodného nastavení u této varianty je třeba shrnout</w:t>
      </w:r>
      <w:r w:rsidR="00BB6F95">
        <w:t>,</w:t>
      </w:r>
      <w:r>
        <w:t xml:space="preserve"> jaké finanční </w:t>
      </w:r>
      <w:r w:rsidR="00787752">
        <w:t>mechanizm</w:t>
      </w:r>
      <w:r>
        <w:t xml:space="preserve">y </w:t>
      </w:r>
      <w:r w:rsidR="00FC7CD5">
        <w:t>by </w:t>
      </w:r>
      <w:r>
        <w:t xml:space="preserve">měla celá struktura umět realizovat a naplňovat. Dále je třeba vzít v úvahu postavení řídících orgánů a jejich vazbu na uvedené </w:t>
      </w:r>
      <w:r w:rsidR="00787752">
        <w:t>mechanizm</w:t>
      </w:r>
      <w:r>
        <w:t>y a v neposlední řadě by uvedená struktura měla respektovat zvyklosti finančních investorů tak, aby se případné</w:t>
      </w:r>
      <w:r w:rsidR="00195C9A">
        <w:t xml:space="preserve"> jejich zapojení realizovalo ve</w:t>
      </w:r>
      <w:r w:rsidR="00E871A7">
        <w:t> </w:t>
      </w:r>
      <w:r w:rsidR="00195C9A">
        <w:t>formě pro ně uchopitelné a zároveň, aby odpovídalo regulatorním pravidlům finančních institucí.</w:t>
      </w:r>
    </w:p>
    <w:p w:rsidR="00AA08FF" w:rsidRDefault="00195C9A" w:rsidP="0049720A">
      <w:pPr>
        <w:pStyle w:val="Odskoknadpis4"/>
      </w:pPr>
      <w:r>
        <w:t xml:space="preserve">Pokud shrneme co od finálního řešení očekáváme, potom musí finální řešení </w:t>
      </w:r>
      <w:r w:rsidR="003F3080">
        <w:t xml:space="preserve">umět realizovat </w:t>
      </w:r>
      <w:r w:rsidR="00FC7CD5">
        <w:t>na </w:t>
      </w:r>
      <w:r w:rsidR="003F3080">
        <w:t>objednávku ŘO</w:t>
      </w:r>
      <w:r>
        <w:t xml:space="preserve"> produkty úvěrové (různé typy úvěrů od mikropůjček, projektových úvěrů </w:t>
      </w:r>
      <w:r w:rsidR="00FC7CD5">
        <w:t>až </w:t>
      </w:r>
      <w:r>
        <w:t xml:space="preserve">po podnikatelské úvěry a z hlediska míry rizika úvěry seniorní, juniorní, mezaninové </w:t>
      </w:r>
      <w:r w:rsidR="00FC7CD5">
        <w:t>či </w:t>
      </w:r>
      <w:r>
        <w:t>podřízené), dále schopnost vytváření záruk pro oblasti, které potřebují</w:t>
      </w:r>
      <w:r w:rsidR="003F3080">
        <w:t>,</w:t>
      </w:r>
      <w:r>
        <w:t xml:space="preserve"> </w:t>
      </w:r>
      <w:r w:rsidR="003F3080">
        <w:t xml:space="preserve">díky </w:t>
      </w:r>
      <w:r>
        <w:t>tržní</w:t>
      </w:r>
      <w:r w:rsidR="003F3080">
        <w:t>mu</w:t>
      </w:r>
      <w:r>
        <w:t xml:space="preserve"> selhá</w:t>
      </w:r>
      <w:r w:rsidR="00E9291C">
        <w:t>ní</w:t>
      </w:r>
      <w:r w:rsidR="003F3080">
        <w:t>, ošetřit snížení</w:t>
      </w:r>
      <w:r w:rsidR="00E9291C">
        <w:t xml:space="preserve"> rizika (ve formě záruk za jednotlivé podnikatele, záruky za úvěrová portfolia nebo vytváření risk sharing facility a to v podobě bez právní subjektivity</w:t>
      </w:r>
      <w:r w:rsidR="00B7645D">
        <w:rPr>
          <w:rStyle w:val="Znakapoznpodarou"/>
        </w:rPr>
        <w:footnoteReference w:id="144"/>
      </w:r>
      <w:r w:rsidR="00E9291C">
        <w:t xml:space="preserve"> či s právní subjektivitou</w:t>
      </w:r>
      <w:r w:rsidR="00B7645D">
        <w:rPr>
          <w:rStyle w:val="Znakapoznpodarou"/>
        </w:rPr>
        <w:footnoteReference w:id="145"/>
      </w:r>
      <w:r w:rsidR="00E9291C">
        <w:t xml:space="preserve">), dále musí uvedená struktura nabízet možnost kapitálových a kvazikapitálových vstupů (venture capital pro začínající firmy a to na všech stupních vývoje firmy od early stage </w:t>
      </w:r>
      <w:r w:rsidR="00FC7CD5">
        <w:t>až </w:t>
      </w:r>
      <w:r w:rsidR="00E9291C">
        <w:t>po rozvojový kapitál private equity a také pro oblast projektového financování, kdy daná firma není podnikatelským subjektem v pravém slova smyslu, ale je pouze účelově založenou společností na realizaci konkrétního projektu – zde můžeme namátkou uvést projekty sociálního bydlení, brownfieldy či infrastrukturní projekty)</w:t>
      </w:r>
      <w:r w:rsidR="00AA08FF">
        <w:t>.</w:t>
      </w:r>
    </w:p>
    <w:p w:rsidR="003F3080" w:rsidRDefault="003F3080" w:rsidP="0049720A">
      <w:pPr>
        <w:pStyle w:val="Odskoknadpis4"/>
      </w:pPr>
      <w:r>
        <w:t xml:space="preserve">Dále uvedená </w:t>
      </w:r>
      <w:r w:rsidR="002770A9">
        <w:t xml:space="preserve">struktura </w:t>
      </w:r>
      <w:r>
        <w:t>musí být připravena na spo</w:t>
      </w:r>
      <w:r w:rsidR="00D7299F">
        <w:t>lupráci se soukromými subjekty</w:t>
      </w:r>
      <w:r>
        <w:t xml:space="preserve"> (investory) </w:t>
      </w:r>
      <w:r w:rsidR="00FC7CD5">
        <w:t>a </w:t>
      </w:r>
      <w:r>
        <w:t xml:space="preserve">to v rovině přímé participace na </w:t>
      </w:r>
      <w:r w:rsidR="00D7299F">
        <w:t>společném investičním portfoliu nebo</w:t>
      </w:r>
      <w:r>
        <w:t xml:space="preserve"> s investorem v režimu ko-investic na koncových projektech</w:t>
      </w:r>
      <w:r w:rsidR="00D7299F">
        <w:t>.</w:t>
      </w:r>
    </w:p>
    <w:p w:rsidR="003F3080" w:rsidRDefault="00D05851" w:rsidP="0049720A">
      <w:pPr>
        <w:pStyle w:val="Odskoknadpis4"/>
      </w:pPr>
      <w:r>
        <w:t>S</w:t>
      </w:r>
      <w:r w:rsidR="003F3080">
        <w:t xml:space="preserve">amotný </w:t>
      </w:r>
      <w:r w:rsidR="00D7299F">
        <w:t xml:space="preserve">Fond fondů </w:t>
      </w:r>
      <w:r>
        <w:t xml:space="preserve">musí být </w:t>
      </w:r>
      <w:r w:rsidR="003F3080">
        <w:t xml:space="preserve">schopen přijímat další půjčky (např. od EIB), vydávat dluhopisy </w:t>
      </w:r>
      <w:r w:rsidR="00FC7CD5">
        <w:t>a </w:t>
      </w:r>
      <w:r w:rsidR="003F3080">
        <w:t xml:space="preserve">to jak na úrovni FF, tak na úrovni IFN (např. projektové dluhopisy podle Evropského modelu) </w:t>
      </w:r>
      <w:r w:rsidR="00FC7CD5">
        <w:t>a </w:t>
      </w:r>
      <w:r w:rsidR="003F3080">
        <w:t>také přijímat úvěry na úrovni IFN.</w:t>
      </w:r>
    </w:p>
    <w:p w:rsidR="003F3080" w:rsidRDefault="003F3080" w:rsidP="0049720A">
      <w:pPr>
        <w:pStyle w:val="Odskoknadpis4"/>
      </w:pPr>
      <w:r>
        <w:t>Zároveň by celá struktura měla zahrnovat pouze regulované finanční instituce, z důvodu transparentnosti, zabránění zneužití prostředků (regulace finančních institucí je jedna z nejpřísnějších v EU), prokázání původu peněz zapojených subjektů a také z důvodu právní jistoty pro stát.</w:t>
      </w:r>
    </w:p>
    <w:p w:rsidR="00195C9A" w:rsidRDefault="00E9291C" w:rsidP="0049720A">
      <w:pPr>
        <w:pStyle w:val="Odskoknadpis4"/>
      </w:pPr>
      <w:r>
        <w:t xml:space="preserve">Dalo by se namítnout, že navrhované </w:t>
      </w:r>
      <w:r w:rsidR="00A56B56">
        <w:t>IFN</w:t>
      </w:r>
      <w:r>
        <w:t xml:space="preserve"> v jednotlivých operačních programech nemají v současné době takovýto záběr, </w:t>
      </w:r>
      <w:r w:rsidR="006834D4">
        <w:t>což</w:t>
      </w:r>
      <w:r>
        <w:t xml:space="preserve"> má své konkrétní důvody:</w:t>
      </w:r>
    </w:p>
    <w:p w:rsidR="00AA08FF" w:rsidRDefault="00E9291C" w:rsidP="0049720A">
      <w:pPr>
        <w:pStyle w:val="Odskoknadpis4"/>
      </w:pPr>
      <w:r>
        <w:t xml:space="preserve">Pokud v současné době takováto infrastruktura pro implementaci v ČR není vybudována, potom řídící orgány o některých typech a modelech finančního inženýrství neví a nemají s nimi předchozí zkušenosti. Potom mohou s podobnými řešeními </w:t>
      </w:r>
      <w:r w:rsidR="006834D4">
        <w:t xml:space="preserve">těžko </w:t>
      </w:r>
      <w:r>
        <w:t>počítat či je přímo navrhovat</w:t>
      </w:r>
      <w:r w:rsidR="00AA08FF">
        <w:t>.</w:t>
      </w:r>
    </w:p>
    <w:p w:rsidR="00E9291C" w:rsidRDefault="00C1417F" w:rsidP="0049720A">
      <w:pPr>
        <w:pStyle w:val="Odskoknadpis4"/>
      </w:pPr>
      <w:r>
        <w:lastRenderedPageBreak/>
        <w:t xml:space="preserve">Ani na evropské úrovni nejsou definována všechna možná řešení a kompletní výčet možností. Nicméně, s ohledem na důležitost </w:t>
      </w:r>
      <w:r w:rsidR="00420428">
        <w:t>IFN</w:t>
      </w:r>
      <w:r>
        <w:t xml:space="preserve"> pro EK</w:t>
      </w:r>
      <w:r>
        <w:rPr>
          <w:rStyle w:val="Znakapoznpodarou"/>
        </w:rPr>
        <w:footnoteReference w:id="146"/>
      </w:r>
      <w:r w:rsidR="00197D68">
        <w:t>,</w:t>
      </w:r>
      <w:r>
        <w:t xml:space="preserve"> se dá předpokládat, že jejich význam a formy dále porostou.</w:t>
      </w:r>
    </w:p>
    <w:p w:rsidR="00C1417F" w:rsidRDefault="00C1417F" w:rsidP="0049720A">
      <w:pPr>
        <w:pStyle w:val="Odskoknadpis4"/>
      </w:pPr>
      <w:r>
        <w:t>V praxi se často ukazuje, že řídící orgán má představu o selhání trhu, ale kombinace dostupných cest pro implementaci mu nedává šanci jakékoliv jiné schéma použít.</w:t>
      </w:r>
    </w:p>
    <w:p w:rsidR="00AA08FF" w:rsidRDefault="00951D9D" w:rsidP="0049720A">
      <w:pPr>
        <w:pStyle w:val="Odskoknadpis4"/>
      </w:pPr>
      <w:r>
        <w:t xml:space="preserve">Dále musí </w:t>
      </w:r>
      <w:r w:rsidR="00BF223B">
        <w:t xml:space="preserve">být </w:t>
      </w:r>
      <w:r>
        <w:t xml:space="preserve">navržená struktura schopna </w:t>
      </w:r>
      <w:r w:rsidR="00BF223B">
        <w:t xml:space="preserve">stát se </w:t>
      </w:r>
      <w:r>
        <w:t>partnerem na mezinárodní finanční scéně (spolupráce s EIB a dalšími mezinárodními finančními institucemi), musí být schopna přijímat úvěry či schopna emitovat dluhopisy</w:t>
      </w:r>
      <w:r w:rsidR="00197D68">
        <w:t>,</w:t>
      </w:r>
      <w:r>
        <w:t xml:space="preserve"> a to jak na úrovni </w:t>
      </w:r>
      <w:r w:rsidR="00E25C1F" w:rsidRPr="00301BFB">
        <w:t>Fondu fondů</w:t>
      </w:r>
      <w:r w:rsidR="00197D68">
        <w:t>,</w:t>
      </w:r>
      <w:r>
        <w:t xml:space="preserve"> tak na úrovni jednotlivých </w:t>
      </w:r>
      <w:r w:rsidR="00420428">
        <w:t>IFN</w:t>
      </w:r>
      <w:r w:rsidR="00197D68">
        <w:t>.</w:t>
      </w:r>
      <w:r>
        <w:t xml:space="preserve"> </w:t>
      </w:r>
      <w:r w:rsidR="00045B6A">
        <w:t>Cílem může být</w:t>
      </w:r>
      <w:r>
        <w:t xml:space="preserve"> zvýšení celkově alokovaných zdrojů, sekuritizac</w:t>
      </w:r>
      <w:r w:rsidR="00045B6A">
        <w:t>e</w:t>
      </w:r>
      <w:r>
        <w:t xml:space="preserve"> již realizovaných projektů (není třeba čekat 20 let na splácení, existují možnosti jak obrátku prostředků </w:t>
      </w:r>
      <w:r w:rsidR="00FC7CD5">
        <w:t>ve </w:t>
      </w:r>
      <w:r>
        <w:t xml:space="preserve">finančních nástrojích významně urychlit) nebo </w:t>
      </w:r>
      <w:r w:rsidR="00045B6A">
        <w:t xml:space="preserve">změna </w:t>
      </w:r>
      <w:r>
        <w:t xml:space="preserve">formy investice (na trhu obecně existují různé typy investorů, někteří preferují investice s vyšším rizikem a vyšším výnosem, které směřují spíše do </w:t>
      </w:r>
      <w:r w:rsidR="00271D3D">
        <w:t>eq</w:t>
      </w:r>
      <w:r w:rsidR="00275826">
        <w:t>u</w:t>
      </w:r>
      <w:r w:rsidR="00271D3D">
        <w:t>ity cenných papírů, jiní zase investice do dluhových cenných papírů s nižším výnosem a nižším rizikem)</w:t>
      </w:r>
      <w:r w:rsidR="00AA08FF">
        <w:t>.</w:t>
      </w:r>
    </w:p>
    <w:p w:rsidR="003F3080" w:rsidRDefault="00E9291C" w:rsidP="0049720A">
      <w:pPr>
        <w:pStyle w:val="Odskoknadpis4"/>
      </w:pPr>
      <w:r>
        <w:t>Po prostudování struktury finančních institucí v EU, které vyhovují těmto kritériím</w:t>
      </w:r>
      <w:r w:rsidR="003F3080">
        <w:t>,</w:t>
      </w:r>
      <w:r>
        <w:t xml:space="preserve"> </w:t>
      </w:r>
      <w:r w:rsidR="00275826">
        <w:t xml:space="preserve">lze </w:t>
      </w:r>
      <w:r>
        <w:t xml:space="preserve">konstatovat, že neexistuje žádná finanční instituce, která by byla schopna takto širokou škálu produktů </w:t>
      </w:r>
      <w:r w:rsidR="003F3080">
        <w:t>realizovat jako jed</w:t>
      </w:r>
      <w:r w:rsidR="00D412AA">
        <w:t>iný zapojený</w:t>
      </w:r>
      <w:r w:rsidR="003F3080">
        <w:t xml:space="preserve"> subjekt</w:t>
      </w:r>
      <w:r w:rsidR="00D412AA">
        <w:rPr>
          <w:rStyle w:val="Znakapoznpodarou"/>
        </w:rPr>
        <w:footnoteReference w:id="147"/>
      </w:r>
      <w:r w:rsidR="00160039">
        <w:t>,</w:t>
      </w:r>
      <w:r w:rsidR="003F3080">
        <w:t xml:space="preserve"> a to </w:t>
      </w:r>
      <w:r w:rsidR="00C1417F">
        <w:t xml:space="preserve">s ohledem na </w:t>
      </w:r>
      <w:r w:rsidR="003F3080">
        <w:t xml:space="preserve">zákonná omezení (regulace) pro jednotlivé typy finančních institucí. Proto je nezbytné </w:t>
      </w:r>
      <w:r w:rsidR="00D412AA">
        <w:t>vytvořit schéma složené z několika vrstev.</w:t>
      </w:r>
    </w:p>
    <w:p w:rsidR="00420B8F" w:rsidRPr="00420B8F" w:rsidRDefault="005144FD" w:rsidP="00636988">
      <w:pPr>
        <w:pStyle w:val="Titulek"/>
      </w:pPr>
      <w:bookmarkStart w:id="93" w:name="_Toc409446425"/>
      <w:r>
        <w:t xml:space="preserve">Schéma </w:t>
      </w:r>
      <w:fldSimple w:instr=" SEQ Schéma \* ARABIC ">
        <w:r w:rsidR="006C5EA3">
          <w:rPr>
            <w:noProof/>
          </w:rPr>
          <w:t>29</w:t>
        </w:r>
      </w:fldSimple>
      <w:r w:rsidR="00021F68">
        <w:t xml:space="preserve">: </w:t>
      </w:r>
      <w:r w:rsidR="00435883">
        <w:tab/>
      </w:r>
      <w:r w:rsidR="00021F68">
        <w:t>Příklad</w:t>
      </w:r>
      <w:r w:rsidR="00420B8F" w:rsidRPr="00420B8F">
        <w:t xml:space="preserve"> funkcionality navrhované struktury pro implementaci IFN</w:t>
      </w:r>
      <w:bookmarkEnd w:id="93"/>
    </w:p>
    <w:p w:rsidR="00F25BF8" w:rsidRDefault="0055330E" w:rsidP="00D371A3">
      <w:r>
        <w:rPr>
          <w:noProof/>
          <w:lang w:eastAsia="cs-CZ"/>
        </w:rPr>
        <w:drawing>
          <wp:inline distT="0" distB="0" distL="0" distR="0" wp14:anchorId="39BE5AB2" wp14:editId="56AA2F70">
            <wp:extent cx="5502275" cy="3657600"/>
            <wp:effectExtent l="19050" t="0" r="3175" b="0"/>
            <wp:docPr id="4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50"/>
                    <a:srcRect/>
                    <a:stretch>
                      <a:fillRect/>
                    </a:stretch>
                  </pic:blipFill>
                  <pic:spPr bwMode="auto">
                    <a:xfrm>
                      <a:off x="0" y="0"/>
                      <a:ext cx="5502275" cy="3657600"/>
                    </a:xfrm>
                    <a:prstGeom prst="rect">
                      <a:avLst/>
                    </a:prstGeom>
                    <a:noFill/>
                    <a:ln w="9525">
                      <a:noFill/>
                      <a:miter lim="800000"/>
                      <a:headEnd/>
                      <a:tailEnd/>
                    </a:ln>
                  </pic:spPr>
                </pic:pic>
              </a:graphicData>
            </a:graphic>
          </wp:inline>
        </w:drawing>
      </w:r>
    </w:p>
    <w:p w:rsidR="0049720A" w:rsidRDefault="00472C00" w:rsidP="00171265">
      <w:pPr>
        <w:pStyle w:val="Nadpis3"/>
      </w:pPr>
      <w:bookmarkStart w:id="94" w:name="_Toc405824860"/>
      <w:bookmarkEnd w:id="94"/>
      <w:r w:rsidRPr="00472C00">
        <w:lastRenderedPageBreak/>
        <w:t xml:space="preserve"> </w:t>
      </w:r>
      <w:bookmarkStart w:id="95" w:name="_Toc410115484"/>
      <w:r w:rsidR="0049720A">
        <w:t>Výhody centralizovaného řešení prostřednictvím subjektu ve vlastnictví státu</w:t>
      </w:r>
      <w:bookmarkEnd w:id="95"/>
    </w:p>
    <w:p w:rsidR="0049720A" w:rsidRPr="0079455B" w:rsidRDefault="0049720A" w:rsidP="0049720A">
      <w:pPr>
        <w:pStyle w:val="Odskoknadpis4"/>
      </w:pPr>
      <w:r w:rsidRPr="0079455B">
        <w:t>Stát, reprezentovaný zpravidla ústředním orgánem státní správy, může zvažovat dva zásadní způsoby pr</w:t>
      </w:r>
      <w:r>
        <w:t>ovádění intervencí do ekonomiky</w:t>
      </w:r>
      <w:r w:rsidRPr="0079455B">
        <w:t xml:space="preserve"> s využitím </w:t>
      </w:r>
      <w:r w:rsidR="00420428">
        <w:t>IFN</w:t>
      </w:r>
      <w:r w:rsidRPr="0079455B">
        <w:t xml:space="preserve">. Prvním z nich je provádění intervencí prostřednictvím institucí, které si pro tyto účely vytvořil, vybavil je kapitálem </w:t>
      </w:r>
      <w:r w:rsidR="00FC7CD5" w:rsidRPr="0079455B">
        <w:t>a</w:t>
      </w:r>
      <w:r w:rsidR="00FC7CD5">
        <w:t> </w:t>
      </w:r>
      <w:r w:rsidRPr="0079455B">
        <w:t>d</w:t>
      </w:r>
      <w:r>
        <w:t>eleguje</w:t>
      </w:r>
      <w:r w:rsidRPr="0079455B">
        <w:t xml:space="preserve"> na ně provádění činností, které by mohl teoreticky provádět přímo státní správní aparát. Druhou možností je využívat pro tyto účely některý komerční subjekt </w:t>
      </w:r>
      <w:r>
        <w:t>vybraný</w:t>
      </w:r>
      <w:r w:rsidRPr="0079455B">
        <w:t xml:space="preserve"> na základě výběrového řízení. Přidaná hodnota provádění intervencí prostřednictvím účelově vytvořeného subjektu (banky) vlastněného státem se generuje oproti variantě využití komerčního subjektu v následujících oblastech:</w:t>
      </w:r>
    </w:p>
    <w:p w:rsidR="0049720A" w:rsidRPr="00420428" w:rsidRDefault="00D94E4B" w:rsidP="0049720A">
      <w:pPr>
        <w:pStyle w:val="Odskoknadpis4"/>
        <w:rPr>
          <w:b/>
        </w:rPr>
      </w:pPr>
      <w:r>
        <w:rPr>
          <w:b/>
        </w:rPr>
        <w:t>M</w:t>
      </w:r>
      <w:r w:rsidR="0049720A" w:rsidRPr="00420428">
        <w:rPr>
          <w:b/>
        </w:rPr>
        <w:t>inimální možné narušení tržního prostře</w:t>
      </w:r>
      <w:r w:rsidR="00420428" w:rsidRPr="00420428">
        <w:rPr>
          <w:b/>
        </w:rPr>
        <w:t>dí v oblasti finančních služeb</w:t>
      </w:r>
    </w:p>
    <w:p w:rsidR="00AA08FF" w:rsidRDefault="0049720A" w:rsidP="0049720A">
      <w:pPr>
        <w:pStyle w:val="Odskoknadpis4"/>
      </w:pPr>
      <w:r w:rsidRPr="0079455B">
        <w:t xml:space="preserve">Specializované subjekty vytvářené státem nevstupují při realizaci intervencí (stejně tak jako stát) do konkurence s ostatními účastníky trhu. Provádění intervencí prostřednictvím specializované rozvojové banky umožňuje zajistit neutralitu tohoto působení z hlediska rovných podmínek pro všechny poskytovatele komerčních finančních služeb, kteří mají zájem participovat </w:t>
      </w:r>
      <w:r w:rsidR="00FC7CD5" w:rsidRPr="0079455B">
        <w:t>na</w:t>
      </w:r>
      <w:r w:rsidR="00FC7CD5">
        <w:t> </w:t>
      </w:r>
      <w:r w:rsidRPr="0079455B">
        <w:t>podporovaných projektech. Žádný z nich tak nemá možnost otevřeně či skrytě zneužít své exkluzivní postavení, které by komerční subjekt v případě správy prostředků veřejné intervence nepochybně získal</w:t>
      </w:r>
      <w:r w:rsidR="00AA08FF">
        <w:t>.</w:t>
      </w:r>
    </w:p>
    <w:p w:rsidR="0049720A" w:rsidRPr="00420428" w:rsidRDefault="00D94E4B" w:rsidP="0049720A">
      <w:pPr>
        <w:pStyle w:val="Odskoknadpis4"/>
        <w:rPr>
          <w:b/>
        </w:rPr>
      </w:pPr>
      <w:r>
        <w:rPr>
          <w:b/>
        </w:rPr>
        <w:t>N</w:t>
      </w:r>
      <w:r w:rsidR="0049720A" w:rsidRPr="00420428">
        <w:rPr>
          <w:b/>
        </w:rPr>
        <w:t>ejlepší podmínky pro příjemce veřejných intervencí při získávání komerčních finančních služeb</w:t>
      </w:r>
    </w:p>
    <w:p w:rsidR="00AA08FF" w:rsidRDefault="0049720A" w:rsidP="0049720A">
      <w:pPr>
        <w:pStyle w:val="Odskoknadpis4"/>
      </w:pPr>
      <w:r w:rsidRPr="0079455B">
        <w:t>Zachování konkurenčního prostředí na trhu finančních služeb umožňuje příjemci veřejné intervence získání komerčního financování za co nejlepších podmínek</w:t>
      </w:r>
      <w:r w:rsidR="00AA08FF">
        <w:t>.</w:t>
      </w:r>
    </w:p>
    <w:p w:rsidR="0049720A" w:rsidRPr="00420428" w:rsidRDefault="00D94E4B" w:rsidP="0049720A">
      <w:pPr>
        <w:pStyle w:val="Odskoknadpis4"/>
        <w:rPr>
          <w:b/>
        </w:rPr>
      </w:pPr>
      <w:r>
        <w:rPr>
          <w:b/>
        </w:rPr>
        <w:t>Z</w:t>
      </w:r>
      <w:r w:rsidR="0049720A" w:rsidRPr="00420428">
        <w:rPr>
          <w:b/>
        </w:rPr>
        <w:t xml:space="preserve">amezení duplicitního budování kapacit pro správu </w:t>
      </w:r>
      <w:r w:rsidR="00420428">
        <w:rPr>
          <w:b/>
        </w:rPr>
        <w:t>IFN</w:t>
      </w:r>
      <w:r w:rsidR="0049720A" w:rsidRPr="00420428">
        <w:rPr>
          <w:b/>
        </w:rPr>
        <w:t xml:space="preserve"> </w:t>
      </w:r>
    </w:p>
    <w:p w:rsidR="0049720A" w:rsidRPr="0079455B" w:rsidRDefault="0049720A" w:rsidP="0049720A">
      <w:pPr>
        <w:pStyle w:val="Odskoknadpis4"/>
      </w:pPr>
      <w:r w:rsidRPr="0079455B">
        <w:t xml:space="preserve">V případě více subjektů působících ve stejné úloze při správě </w:t>
      </w:r>
      <w:r w:rsidR="00420428">
        <w:t>IFN</w:t>
      </w:r>
      <w:r w:rsidRPr="0079455B">
        <w:t xml:space="preserve"> nutně dochází k opakování vstupních investic do informačních systémů, met</w:t>
      </w:r>
      <w:r>
        <w:t xml:space="preserve">odiky a školení personálu. Při </w:t>
      </w:r>
      <w:r w:rsidRPr="0079455B">
        <w:t xml:space="preserve">časově omezeném působení implementátorů, je navíc nutno návratnost těchto investic zajistit v relativně krátkém období, což opět vytváří tlak na růst nákladů. Stabilní a dlouhodobé </w:t>
      </w:r>
      <w:r w:rsidR="003B3A16">
        <w:t>spravování</w:t>
      </w:r>
      <w:r w:rsidRPr="0079455B">
        <w:t xml:space="preserve"> </w:t>
      </w:r>
      <w:r w:rsidR="00420428">
        <w:t>IFN</w:t>
      </w:r>
      <w:r w:rsidRPr="0079455B">
        <w:t xml:space="preserve"> specializovaným subjektem tyto negativní jevy odstraňuje.</w:t>
      </w:r>
    </w:p>
    <w:p w:rsidR="0049720A" w:rsidRPr="00420428" w:rsidRDefault="00D94E4B" w:rsidP="0049720A">
      <w:pPr>
        <w:pStyle w:val="Odskoknadpis4"/>
        <w:rPr>
          <w:b/>
        </w:rPr>
      </w:pPr>
      <w:r>
        <w:rPr>
          <w:b/>
        </w:rPr>
        <w:t>Z</w:t>
      </w:r>
      <w:r w:rsidR="0049720A" w:rsidRPr="00420428">
        <w:rPr>
          <w:b/>
        </w:rPr>
        <w:t>amezení použití části veřejných prostředků na tvorbu zisku implementátora intervence</w:t>
      </w:r>
    </w:p>
    <w:p w:rsidR="00AA08FF" w:rsidRDefault="0049720A" w:rsidP="0049720A">
      <w:pPr>
        <w:pStyle w:val="Odskoknadpis4"/>
      </w:pPr>
      <w:r w:rsidRPr="0079455B">
        <w:t>Specializované subjekty vlastněné státem nemají jako primární cíl usilovat o tvorbu zisku. U komerčního subjektu tato složka ceny vždy existuje, resp. pokud by neexistovala, cena by byla dumpingová. U subje</w:t>
      </w:r>
      <w:r>
        <w:t>ktu vlastněného státem může</w:t>
      </w:r>
      <w:r w:rsidRPr="0079455B">
        <w:t xml:space="preserve"> stát jako vlastník případný zisk odčerpat a dále využít ve veřejném zájmu</w:t>
      </w:r>
      <w:r w:rsidR="00AA08FF">
        <w:t>.</w:t>
      </w:r>
    </w:p>
    <w:p w:rsidR="0049720A" w:rsidRPr="00420428" w:rsidRDefault="00D94E4B" w:rsidP="0049720A">
      <w:pPr>
        <w:pStyle w:val="Odskoknadpis4"/>
        <w:rPr>
          <w:b/>
        </w:rPr>
      </w:pPr>
      <w:r>
        <w:rPr>
          <w:b/>
        </w:rPr>
        <w:t>S</w:t>
      </w:r>
      <w:r w:rsidR="0049720A" w:rsidRPr="00420428">
        <w:rPr>
          <w:b/>
        </w:rPr>
        <w:t xml:space="preserve">nížení operačních rizik při provádění veřejných intervencí </w:t>
      </w:r>
    </w:p>
    <w:p w:rsidR="0049720A" w:rsidRPr="0079455B" w:rsidRDefault="0049720A" w:rsidP="0049720A">
      <w:pPr>
        <w:pStyle w:val="Odskoknadpis4"/>
      </w:pPr>
      <w:r w:rsidRPr="0079455B">
        <w:t xml:space="preserve">Provádění veřejných intervencí formou </w:t>
      </w:r>
      <w:r w:rsidR="00420428">
        <w:t>IFN</w:t>
      </w:r>
      <w:r w:rsidRPr="0079455B">
        <w:t xml:space="preserve"> vyžaduje kromě zvládnutí finančních produktů též obeznámení se specifickými aspekty a postupy, které jsou spojeny s tím, že jsou používány veřejné prostředky. Specializace zaměstnanců na tento druh činnosti zvyšuje kvalitu lidského faktoru a tím přispívá ke snížení operačního rizika, které musí být přímo či nepřímo kalkulováno v ceně finanční služby a dopadá tak na veřejné rozpočty.</w:t>
      </w:r>
    </w:p>
    <w:p w:rsidR="0049720A" w:rsidRPr="00420428" w:rsidRDefault="00D94E4B" w:rsidP="0049720A">
      <w:pPr>
        <w:pStyle w:val="Odskoknadpis4"/>
        <w:rPr>
          <w:b/>
        </w:rPr>
      </w:pPr>
      <w:r>
        <w:rPr>
          <w:b/>
        </w:rPr>
        <w:t>D</w:t>
      </w:r>
      <w:r w:rsidR="0049720A" w:rsidRPr="00420428">
        <w:rPr>
          <w:b/>
        </w:rPr>
        <w:t>louhodobá stabilita prostředí pro příjemce veřejných intervencí</w:t>
      </w:r>
    </w:p>
    <w:p w:rsidR="0049720A" w:rsidRPr="0079455B" w:rsidRDefault="0049720A" w:rsidP="0049720A">
      <w:pPr>
        <w:pStyle w:val="Odskoknadpis4"/>
      </w:pPr>
      <w:r w:rsidRPr="0079455B">
        <w:t>Institucionální stabilita provádění intervencí přináší pozitivní efekty pro jejich potenciální uživatele, protože zpřehledňuje</w:t>
      </w:r>
      <w:r>
        <w:t xml:space="preserve"> </w:t>
      </w:r>
      <w:r w:rsidRPr="0079455B">
        <w:t xml:space="preserve">nabídku podpor z </w:t>
      </w:r>
      <w:r w:rsidR="00420428">
        <w:t>IFN</w:t>
      </w:r>
      <w:r w:rsidRPr="0079455B">
        <w:t xml:space="preserve"> a současně snižuje nákladovost komunikace vůči těmto příjemcům, která v případě změny vždy nezbytně nastává. </w:t>
      </w:r>
      <w:r w:rsidRPr="0079455B">
        <w:lastRenderedPageBreak/>
        <w:t>Specializovaná instituce může navíc doplnit síť informačních míst o dotačních programech poskytovaných státní správou.</w:t>
      </w:r>
    </w:p>
    <w:p w:rsidR="0049720A" w:rsidRPr="00420428" w:rsidRDefault="00D94E4B" w:rsidP="0049720A">
      <w:pPr>
        <w:pStyle w:val="Odskoknadpis4"/>
        <w:rPr>
          <w:b/>
        </w:rPr>
      </w:pPr>
      <w:r>
        <w:rPr>
          <w:b/>
        </w:rPr>
        <w:t>Z</w:t>
      </w:r>
      <w:r w:rsidR="0049720A" w:rsidRPr="00420428">
        <w:rPr>
          <w:b/>
        </w:rPr>
        <w:t>esílená kontrola a ochrana veřejných prostředků</w:t>
      </w:r>
    </w:p>
    <w:p w:rsidR="0049720A" w:rsidRPr="0079455B" w:rsidRDefault="0049720A" w:rsidP="0049720A">
      <w:pPr>
        <w:pStyle w:val="Odskoknadpis4"/>
      </w:pPr>
      <w:r w:rsidRPr="0079455B">
        <w:t xml:space="preserve">Specializovaná instituce typu státem vlastněné banky je pod dvojí kontrolou státu, a to kontrolou vnější a kontrolou vnitřní. Vnější kontrolu vykonává stát jako smluvní partner, který poskytl veřejné prostředky. Vnitřní kontrolu rozvojové instituce vykonává stát jako její vlastník. V případě implementace prostřednictvím komerční instituce stát možnost této vnitřní kontroly ztrácí. To mu znemožňuje identifikovat vznik nepřiměřeného zisku z konkrétní činnosti, vzniku takového zisku zabránit, nebo ho odčerpat. Vzhledem k tomu, že správa </w:t>
      </w:r>
      <w:r w:rsidR="00420428">
        <w:t>IFN</w:t>
      </w:r>
      <w:r w:rsidRPr="0079455B">
        <w:t xml:space="preserve"> probíhá po období 10 - 20 let, bude stát nutně vystaven riziku, že zaplatí vyšší cenu, než by bylo nutné. Stanovení ceny je vždy určitou spekulací z obou stran smluvního vztahu, </w:t>
      </w:r>
      <w:r>
        <w:t xml:space="preserve">jejíž </w:t>
      </w:r>
      <w:r w:rsidR="00135713">
        <w:t xml:space="preserve">potencionální </w:t>
      </w:r>
      <w:r>
        <w:t xml:space="preserve">negativní dopad </w:t>
      </w:r>
      <w:r w:rsidRPr="0079455B">
        <w:t>nemá stát v případě spolupráce s komerčním subjektem možnost korigovat.</w:t>
      </w:r>
    </w:p>
    <w:p w:rsidR="0049720A" w:rsidRPr="00420428" w:rsidRDefault="00D94E4B" w:rsidP="0049720A">
      <w:pPr>
        <w:pStyle w:val="Odskoknadpis4"/>
        <w:rPr>
          <w:b/>
        </w:rPr>
      </w:pPr>
      <w:r>
        <w:rPr>
          <w:b/>
        </w:rPr>
        <w:t>R</w:t>
      </w:r>
      <w:r w:rsidR="0049720A" w:rsidRPr="00420428">
        <w:rPr>
          <w:b/>
        </w:rPr>
        <w:t xml:space="preserve">ychlejší a efektivnější implementace </w:t>
      </w:r>
      <w:r w:rsidR="00EA2C3F" w:rsidRPr="00420428">
        <w:rPr>
          <w:b/>
        </w:rPr>
        <w:t>IFN</w:t>
      </w:r>
      <w:r w:rsidR="0049720A" w:rsidRPr="00420428">
        <w:rPr>
          <w:b/>
        </w:rPr>
        <w:t xml:space="preserve"> financovaných z </w:t>
      </w:r>
      <w:r w:rsidR="00EA2C3F" w:rsidRPr="00420428">
        <w:rPr>
          <w:b/>
        </w:rPr>
        <w:t>ESIF</w:t>
      </w:r>
    </w:p>
    <w:p w:rsidR="0049720A" w:rsidRDefault="0049720A" w:rsidP="0049720A">
      <w:pPr>
        <w:pStyle w:val="Odskoknadpis4"/>
      </w:pPr>
      <w:r w:rsidRPr="0079455B">
        <w:t xml:space="preserve">Příprava </w:t>
      </w:r>
      <w:r w:rsidR="00420428">
        <w:t>IFN</w:t>
      </w:r>
      <w:r w:rsidRPr="0079455B">
        <w:t xml:space="preserve"> financovaných z</w:t>
      </w:r>
      <w:r w:rsidR="00420428">
        <w:t xml:space="preserve"> ESIF</w:t>
      </w:r>
      <w:r w:rsidRPr="0079455B">
        <w:t xml:space="preserve"> a jejich dovedení do operačního stavu vyžaduje poměrně dlouhý čas. Rozvojová instituce v postavení in-house providera má možnost aktivně vstoupit do</w:t>
      </w:r>
      <w:r w:rsidR="00E871A7">
        <w:t> </w:t>
      </w:r>
      <w:r w:rsidRPr="0079455B">
        <w:t>komunikace s řídícími orgány již ve fázi přípravy jednotlivých operačních programů. To by v případě komerčního subjektu nebylo možné, protože v </w:t>
      </w:r>
      <w:r>
        <w:t xml:space="preserve">této fázi ještě není vybrán a </w:t>
      </w:r>
      <w:r w:rsidRPr="0079455B">
        <w:t>celou přípravu by to zkomplikovalo a významně zdrželo.</w:t>
      </w:r>
    </w:p>
    <w:p w:rsidR="00D412AA" w:rsidRDefault="00D412AA" w:rsidP="00171265">
      <w:pPr>
        <w:pStyle w:val="Nadpis3"/>
      </w:pPr>
      <w:bookmarkStart w:id="96" w:name="_Toc410115485"/>
      <w:r>
        <w:t>Zdroje externího kapitálu a vhodné finanční instituce</w:t>
      </w:r>
      <w:r w:rsidR="0049720A">
        <w:t xml:space="preserve"> pro vlastní implementaci</w:t>
      </w:r>
      <w:r>
        <w:rPr>
          <w:rStyle w:val="Znakapoznpodarou"/>
        </w:rPr>
        <w:footnoteReference w:id="148"/>
      </w:r>
      <w:bookmarkEnd w:id="96"/>
    </w:p>
    <w:p w:rsidR="000C0B4C" w:rsidRDefault="00F017A3" w:rsidP="0049720A">
      <w:pPr>
        <w:pStyle w:val="Odskoknadpis4"/>
      </w:pPr>
      <w:r w:rsidRPr="00F017A3">
        <w:rPr>
          <w:b/>
        </w:rPr>
        <w:t>Banky</w:t>
      </w:r>
      <w:r w:rsidR="00D412AA">
        <w:t xml:space="preserve"> – mezi základní patří přijímání vkladů, poskytování úvěrů, vytváření a distribuce finančních produktů, provádění platebního styku, úschova a obchodování s cennými papíry </w:t>
      </w:r>
      <w:r w:rsidR="00FC7CD5">
        <w:t>a </w:t>
      </w:r>
      <w:r w:rsidR="00D412AA">
        <w:t xml:space="preserve">finančními instrumenty. Banky nejsou, dle regulace, schopny vstupovat do podílů v obchodních společnostech a to s výjimkou podílů na jiných finančních institucích nebo na společnostech, které se zabývají činností související s chodem banky (IT, platební styk, platební karty atd.). </w:t>
      </w:r>
      <w:r w:rsidR="008846C4">
        <w:t>Pro </w:t>
      </w:r>
      <w:r w:rsidR="00D412AA">
        <w:t>náš konkrétní případ základní stavební kámen celého řešení.</w:t>
      </w:r>
    </w:p>
    <w:p w:rsidR="00AA08FF" w:rsidRDefault="00F017A3" w:rsidP="0049720A">
      <w:pPr>
        <w:pStyle w:val="Odskoknadpis4"/>
      </w:pPr>
      <w:r w:rsidRPr="00F017A3">
        <w:rPr>
          <w:b/>
        </w:rPr>
        <w:t>Investiční fondy</w:t>
      </w:r>
      <w:r w:rsidR="00D412AA">
        <w:t xml:space="preserve"> – investiční fondy v EU jsou upraveny dvěma směrnicemi. Jedná se o směrnici UCITS upravující činnost a správu tzv. retailových fondů</w:t>
      </w:r>
      <w:r w:rsidR="00D412AA">
        <w:rPr>
          <w:rStyle w:val="Znakapoznpodarou"/>
        </w:rPr>
        <w:footnoteReference w:id="149"/>
      </w:r>
      <w:r w:rsidR="00E45278">
        <w:t>.</w:t>
      </w:r>
      <w:r w:rsidR="00D412AA">
        <w:t xml:space="preserve"> </w:t>
      </w:r>
      <w:r w:rsidR="00E45278">
        <w:t>T</w:t>
      </w:r>
      <w:r w:rsidR="00D412AA">
        <w:t>ento typ fondů smí investovat pouze do tzv. převoditelných cenných papírů</w:t>
      </w:r>
      <w:r w:rsidR="00AA08FF">
        <w:t xml:space="preserve"> </w:t>
      </w:r>
      <w:r w:rsidR="00D412AA">
        <w:t>(v zásadě cenné papíry přijaté k obchodování na veřejných trzích)</w:t>
      </w:r>
      <w:r w:rsidR="00E45278">
        <w:t>,</w:t>
      </w:r>
      <w:r w:rsidR="00D412AA">
        <w:t xml:space="preserve"> </w:t>
      </w:r>
      <w:r w:rsidR="00E45278">
        <w:t xml:space="preserve">tudíž </w:t>
      </w:r>
      <w:r w:rsidR="00D412AA">
        <w:t xml:space="preserve">nejsou vhodnou formou pro naše potřeby. Druhou směrnicí je směrnice </w:t>
      </w:r>
      <w:r w:rsidR="00FC7CD5">
        <w:t>o </w:t>
      </w:r>
      <w:r w:rsidR="00D412AA">
        <w:t xml:space="preserve">správcích alternativních fondů, která byla do české legislativy transponována zákonem </w:t>
      </w:r>
      <w:r w:rsidR="00FC7CD5">
        <w:t>o </w:t>
      </w:r>
      <w:r w:rsidR="00D412AA">
        <w:t>investičních společnostech a investičních fondech v roce 2013. Můžeme konstatovat, že</w:t>
      </w:r>
      <w:r w:rsidR="00E871A7">
        <w:t> </w:t>
      </w:r>
      <w:r w:rsidR="00D412AA">
        <w:t>od</w:t>
      </w:r>
      <w:r w:rsidR="00E871A7">
        <w:t> </w:t>
      </w:r>
      <w:r w:rsidR="00D412AA">
        <w:t>roku 2013 podléhá správa majetku v EU těmto dvěma režimům a jiná forma není povolena</w:t>
      </w:r>
      <w:r w:rsidR="00D412AA">
        <w:rPr>
          <w:rStyle w:val="Znakapoznpodarou"/>
        </w:rPr>
        <w:footnoteReference w:id="150"/>
      </w:r>
      <w:r w:rsidR="00AA08FF">
        <w:t>.</w:t>
      </w:r>
    </w:p>
    <w:p w:rsidR="00D412AA" w:rsidRDefault="00D412AA" w:rsidP="0049720A">
      <w:pPr>
        <w:pStyle w:val="Odskoknadpis4"/>
      </w:pPr>
      <w:r>
        <w:t>Investiční fondy dle směrnice AIFMD tzv. alternativní investiční fondy</w:t>
      </w:r>
      <w:r>
        <w:rPr>
          <w:rStyle w:val="Znakapoznpodarou"/>
        </w:rPr>
        <w:footnoteReference w:id="151"/>
      </w:r>
      <w:r>
        <w:t xml:space="preserve"> jsou naopak jedinou finanční institucí, která disponuje možností spojovat investice více investorů do jednoho subjektu, má možnost vydávat cenné papíry v různých třídách, s různou dělbou zisku nebo s různou mírou rizika, mají možnost emitovat dluhopisy a také umísťovat své cenné papíry na</w:t>
      </w:r>
      <w:r w:rsidR="00E871A7">
        <w:t> </w:t>
      </w:r>
      <w:r>
        <w:t>veřejných trzích.</w:t>
      </w:r>
    </w:p>
    <w:p w:rsidR="00D412AA" w:rsidRDefault="00D412AA" w:rsidP="0049720A">
      <w:pPr>
        <w:pStyle w:val="Odskoknadpis4"/>
      </w:pPr>
      <w:r>
        <w:lastRenderedPageBreak/>
        <w:t>Dle české legislativy mohou alternativní investiční fondy nabývat mnoha právních forem jako je akciová společnost, akciová společnost s </w:t>
      </w:r>
      <w:r w:rsidR="001B6A40">
        <w:t xml:space="preserve">proměnlivým </w:t>
      </w:r>
      <w:r>
        <w:t>kapitálem (v zahraničí označovaná jako SICAV), s.r.o., komanditní společnost, evropská společnost, komanditní společnost na cenné papíry, družstvo a také v podobě bez právní subjektivity – podílový fond.</w:t>
      </w:r>
    </w:p>
    <w:p w:rsidR="00D412AA" w:rsidRDefault="00D412AA" w:rsidP="0049720A">
      <w:pPr>
        <w:pStyle w:val="Odskoknadpis4"/>
      </w:pPr>
      <w:r>
        <w:t xml:space="preserve">V oblasti </w:t>
      </w:r>
      <w:r w:rsidR="00420428">
        <w:t>IFN</w:t>
      </w:r>
      <w:r>
        <w:t xml:space="preserve"> jsou alternativní investiční fondy často využívány pro svou flexibilitu</w:t>
      </w:r>
      <w:r>
        <w:rPr>
          <w:rStyle w:val="Znakapoznpodarou"/>
        </w:rPr>
        <w:footnoteReference w:id="152"/>
      </w:r>
      <w:r>
        <w:t xml:space="preserve"> a také díky tomu, že nemají žádná omezení z pohledu aktiv, do kterých smí investovat</w:t>
      </w:r>
      <w:r w:rsidR="00AA08FF">
        <w:t>.</w:t>
      </w:r>
      <w:r w:rsidR="00B54C37">
        <w:t xml:space="preserve"> </w:t>
      </w:r>
      <w:r>
        <w:t xml:space="preserve">Alternativní investiční fondy jsou striktně regulovány </w:t>
      </w:r>
      <w:r w:rsidR="000F6F7F">
        <w:t xml:space="preserve">v oblasti </w:t>
      </w:r>
      <w:r>
        <w:t>odbornost</w:t>
      </w:r>
      <w:r w:rsidR="000F6F7F">
        <w:t>i</w:t>
      </w:r>
      <w:r>
        <w:t xml:space="preserve"> </w:t>
      </w:r>
      <w:r w:rsidR="000F6F7F">
        <w:t>správy</w:t>
      </w:r>
      <w:r>
        <w:t>, musí plnit celou řadu informačních povinností a pro zajištění většího bezpečí musí povinně ze zákona určit svého depozitáře, což je v českých podmínkách banka se sídlem nebo organizační složkou v ČR. Rolí depozitáře je dohlížet a uschovávat aktiva fondu. V praxi tak vlastně plní kontrolní funkci nad majetkem fondů.</w:t>
      </w:r>
      <w:r w:rsidR="00B54C37">
        <w:t xml:space="preserve"> </w:t>
      </w:r>
      <w:r>
        <w:t xml:space="preserve">Nicméně fondy nejsou ideální na poskytování záruk a také nejsou vhodné na vytváření pouze úvěrových </w:t>
      </w:r>
      <w:r w:rsidR="00787752">
        <w:t>mechanizm</w:t>
      </w:r>
      <w:r>
        <w:t>ů.</w:t>
      </w:r>
    </w:p>
    <w:p w:rsidR="00D412AA" w:rsidRDefault="00D412AA" w:rsidP="0049720A">
      <w:pPr>
        <w:pStyle w:val="Odskoknadpis4"/>
      </w:pPr>
      <w:r>
        <w:t>Alternativní investiční fondy mohou být zřízeny ve dvou režimech. V prvním jsou v režimu tzv</w:t>
      </w:r>
      <w:r w:rsidR="00FC7CD5">
        <w:t>. </w:t>
      </w:r>
      <w:r>
        <w:t xml:space="preserve">obhospodařování, kdy svěřují celý svůj majetek správci – investiční společnosti. Investiční společnost je finanční instituce s evropským oprávněním ke správě, vytváření a obhospodařování investičních </w:t>
      </w:r>
      <w:r w:rsidR="00021F68">
        <w:t>fondů anebo ke</w:t>
      </w:r>
      <w:r>
        <w:t xml:space="preserve"> správě majetku individuálního klienta. V tomto režimu je alternativní fond pouze účelově zřízeným </w:t>
      </w:r>
      <w:r w:rsidR="00787752">
        <w:t>mechanizm</w:t>
      </w:r>
      <w:r>
        <w:t>em a veškerou činnost na jeho účet provádí investiční společnost. Investiční společnost je přísně regulovaná entita (stejně jako ostatní finanční instituce) a musí mít pro svou činnost licenci. Druhým režimem je tzv. samosprávný alternativní investiční fond. V tomto režimu fond spravuje sám sebe. Z pohledu naší analýzy je důležitá schopnost fondů vydávat různé typy cenných papírů (v závislosti na jejich právní formě) a to i z pohledu vlivu na fond. U běžné obchodní společnosti musíme řešit vztahy mezi jednotlivými investory a řešit jejich postavení minoritního či majoritního akcionáře, vliv na řízení a podobně. To</w:t>
      </w:r>
      <w:r w:rsidR="000F6F7F">
        <w:t>to</w:t>
      </w:r>
      <w:r>
        <w:t xml:space="preserve"> u fondů odpadá</w:t>
      </w:r>
      <w:r w:rsidR="000F6F7F">
        <w:t>.</w:t>
      </w:r>
      <w:r>
        <w:t xml:space="preserve"> </w:t>
      </w:r>
      <w:r w:rsidR="000F6F7F">
        <w:t>F</w:t>
      </w:r>
      <w:r>
        <w:t>ondy jsou speciálně konstruované tak, aby zapojení jednoho akcionáře či investora nijak neovlivňovalo výnos či práva druhého.</w:t>
      </w:r>
    </w:p>
    <w:p w:rsidR="00D412AA" w:rsidRDefault="00F017A3" w:rsidP="0049720A">
      <w:pPr>
        <w:pStyle w:val="Odskoknadpis4"/>
      </w:pPr>
      <w:r w:rsidRPr="00F017A3">
        <w:rPr>
          <w:b/>
        </w:rPr>
        <w:t xml:space="preserve">Pojišťovny </w:t>
      </w:r>
      <w:r w:rsidR="00D412AA">
        <w:t xml:space="preserve">– pro potřeby implementace </w:t>
      </w:r>
      <w:r w:rsidR="00420428">
        <w:t>IFN</w:t>
      </w:r>
      <w:r w:rsidR="00D412AA">
        <w:t xml:space="preserve"> nejsou vhodné, protože jejich primární role je zcela odlišná (pojišťování rizik). Pojišťovny jsou ale naopak velmi vhodný partner na úrovni spolufinancování jednotlivých </w:t>
      </w:r>
      <w:r w:rsidR="00420428">
        <w:t>IFN</w:t>
      </w:r>
      <w:r w:rsidR="00F357BB">
        <w:t>.</w:t>
      </w:r>
      <w:r w:rsidR="00D412AA">
        <w:rPr>
          <w:rStyle w:val="Znakapoznpodarou"/>
        </w:rPr>
        <w:footnoteReference w:id="153"/>
      </w:r>
    </w:p>
    <w:p w:rsidR="00AA08FF" w:rsidRDefault="00F017A3" w:rsidP="0049720A">
      <w:pPr>
        <w:pStyle w:val="Odskoknadpis4"/>
      </w:pPr>
      <w:r w:rsidRPr="00F017A3">
        <w:rPr>
          <w:b/>
        </w:rPr>
        <w:t>Penzijní fondy</w:t>
      </w:r>
      <w:r w:rsidR="00D412AA">
        <w:t xml:space="preserve"> – jsou zdrojem dlouhodobého kapitálu pro specifický účel. Jejich role nemůže spočívat v implementaci </w:t>
      </w:r>
      <w:r w:rsidR="00420428">
        <w:t>IFN</w:t>
      </w:r>
      <w:r w:rsidR="00D412AA">
        <w:t xml:space="preserve">, mohou se však případně stát investorem. Představují levný zdroj dlouhodobých finančních prostředků a pro stát je lepší, pokud úspory českých občanů putují do českých projektů a zvyšují růst ekonomiky, než když směřují do zahraničních cenných papírů, což </w:t>
      </w:r>
      <w:r w:rsidR="00F357BB">
        <w:t>pro ČR nepředstavuje žádný přínos</w:t>
      </w:r>
      <w:r w:rsidR="00D412AA">
        <w:t xml:space="preserve">. Jedná se </w:t>
      </w:r>
      <w:r w:rsidR="00F357BB">
        <w:t xml:space="preserve">o </w:t>
      </w:r>
      <w:r w:rsidR="00D412AA">
        <w:t>zajímavé spojení, kdy občan vydělává na svých úsporách a výsledek v podobě nových dálnic, metra, sociálních bytů a podobě rovnou vidí i ve skutečnosti</w:t>
      </w:r>
      <w:r w:rsidR="00AA08FF">
        <w:t>.</w:t>
      </w:r>
    </w:p>
    <w:p w:rsidR="00D412AA" w:rsidRDefault="00F017A3" w:rsidP="0049720A">
      <w:pPr>
        <w:pStyle w:val="Odskoknadpis4"/>
      </w:pPr>
      <w:r w:rsidRPr="00F017A3">
        <w:rPr>
          <w:b/>
        </w:rPr>
        <w:t>Obchodníci s cennými papíry</w:t>
      </w:r>
      <w:r w:rsidR="00D412AA">
        <w:t xml:space="preserve"> – v závislosti na jejich licenci buď pouze obchodují s cennými papíry, nebo mají také oprávnění ke správě majetku, ale pouze na účtech svých klientů. To znamená, že nemají oprávnění k zapojení do procesu sdružení majetku </w:t>
      </w:r>
      <w:r w:rsidR="00F357BB">
        <w:t>jako </w:t>
      </w:r>
      <w:r w:rsidR="00D412AA">
        <w:t xml:space="preserve">jeden celek a jeho společné správě jako investiční fondy. Nejsou však vhodným subjektem pro poskytování záruk </w:t>
      </w:r>
      <w:r w:rsidR="008846C4">
        <w:t>a </w:t>
      </w:r>
      <w:r w:rsidR="00D412AA">
        <w:t>úvěrů, vyjma úvěrů v souvislosti s nákupem cenných papírů jejich zákazníky. Což není případ, který by byl pro IFN využitelný.</w:t>
      </w:r>
    </w:p>
    <w:p w:rsidR="000616F7" w:rsidRDefault="000616F7" w:rsidP="00171265">
      <w:pPr>
        <w:pStyle w:val="Nadpis1"/>
      </w:pPr>
      <w:bookmarkStart w:id="97" w:name="_Toc410115486"/>
      <w:r>
        <w:lastRenderedPageBreak/>
        <w:t>Doporučované řešení</w:t>
      </w:r>
      <w:bookmarkEnd w:id="97"/>
    </w:p>
    <w:p w:rsidR="00DE3A8E" w:rsidRDefault="00DE3A8E" w:rsidP="00171265">
      <w:pPr>
        <w:pStyle w:val="Nadpis2"/>
      </w:pPr>
      <w:bookmarkStart w:id="98" w:name="_Toc410115487"/>
      <w:r>
        <w:t>Návrh řešení</w:t>
      </w:r>
      <w:bookmarkEnd w:id="98"/>
    </w:p>
    <w:p w:rsidR="000616F7" w:rsidRPr="00D94E4B" w:rsidRDefault="00C9524C" w:rsidP="000616F7">
      <w:pPr>
        <w:rPr>
          <w:b/>
        </w:rPr>
      </w:pPr>
      <w:r w:rsidRPr="00D94E4B">
        <w:rPr>
          <w:b/>
        </w:rPr>
        <w:t xml:space="preserve">Po analýze možností </w:t>
      </w:r>
      <w:r w:rsidR="006959FE" w:rsidRPr="00D94E4B">
        <w:rPr>
          <w:b/>
        </w:rPr>
        <w:t xml:space="preserve">se jako nejvhodnější jeví varianta lokální, centralizovaná a ve formě </w:t>
      </w:r>
      <w:r w:rsidR="00FC7CD5" w:rsidRPr="00D94E4B">
        <w:rPr>
          <w:b/>
        </w:rPr>
        <w:t>in</w:t>
      </w:r>
      <w:r w:rsidR="00FC7CD5">
        <w:rPr>
          <w:b/>
        </w:rPr>
        <w:t> </w:t>
      </w:r>
      <w:r w:rsidR="006959FE" w:rsidRPr="00D94E4B">
        <w:rPr>
          <w:b/>
        </w:rPr>
        <w:t xml:space="preserve">house. Tato varianta umožní kvalifikované řízení </w:t>
      </w:r>
      <w:r w:rsidR="00420428" w:rsidRPr="00D94E4B">
        <w:rPr>
          <w:b/>
        </w:rPr>
        <w:t>IFN</w:t>
      </w:r>
      <w:r w:rsidR="006959FE" w:rsidRPr="00D94E4B">
        <w:rPr>
          <w:b/>
        </w:rPr>
        <w:t xml:space="preserve"> nikoliv pouze z pohledu řídících orgánů, ale i z pohledu samotné </w:t>
      </w:r>
      <w:r w:rsidR="0018767D" w:rsidRPr="00D94E4B">
        <w:rPr>
          <w:b/>
        </w:rPr>
        <w:t>ČR</w:t>
      </w:r>
      <w:r w:rsidR="006959FE" w:rsidRPr="00D94E4B">
        <w:rPr>
          <w:b/>
        </w:rPr>
        <w:t>.</w:t>
      </w:r>
    </w:p>
    <w:p w:rsidR="006959FE" w:rsidRDefault="006959FE" w:rsidP="000616F7">
      <w:r>
        <w:t xml:space="preserve">V praxi se navrhuje využít stávající bankovní subjekt ve vlastnictví státu (připadá </w:t>
      </w:r>
      <w:r w:rsidR="002A6566">
        <w:t xml:space="preserve">v </w:t>
      </w:r>
      <w:r>
        <w:t>úvah</w:t>
      </w:r>
      <w:r w:rsidR="002A6566">
        <w:t>u</w:t>
      </w:r>
      <w:r>
        <w:t xml:space="preserve"> </w:t>
      </w:r>
      <w:r w:rsidR="00D106C4">
        <w:t>ČMZRB</w:t>
      </w:r>
      <w:r>
        <w:t>)</w:t>
      </w:r>
      <w:r w:rsidR="00DC2501">
        <w:t>, který by byl vrcholovou bankou</w:t>
      </w:r>
      <w:r w:rsidR="00FC0587">
        <w:t>,</w:t>
      </w:r>
      <w:r w:rsidR="00DC2501">
        <w:t xml:space="preserve"> a pod ním umožnit zřízení jednotlivých alternativních investičních fondů podle potřeby pro jednotlivé řídící orgány nebo nad jednotlivými nosnými tématy. V případě, kdy </w:t>
      </w:r>
      <w:r w:rsidR="001B1DAC">
        <w:t>by banka zakládala pro řídící orgány samosprávné fondy a na své vlastní úrovni by řídila portfolia úvěrů a záruk, vzniklo by velmi flexibilní a jednotně řiditelné schéma, kdy by si každý řídící orgán spravoval fondy sám</w:t>
      </w:r>
      <w:r w:rsidR="00770652">
        <w:t xml:space="preserve"> (správce in house)</w:t>
      </w:r>
      <w:r w:rsidR="001B1DAC">
        <w:t>, ale od banky by nakupoval odborné činnosti (administrace</w:t>
      </w:r>
      <w:r w:rsidR="00AB312C">
        <w:t>,</w:t>
      </w:r>
      <w:r w:rsidR="001B1DAC">
        <w:t xml:space="preserve"> depozitář, risk management</w:t>
      </w:r>
      <w:r w:rsidR="00746F99">
        <w:t>, custody</w:t>
      </w:r>
      <w:r w:rsidR="001B1DAC">
        <w:t xml:space="preserve"> a podobě)</w:t>
      </w:r>
      <w:r w:rsidR="00770652">
        <w:t xml:space="preserve"> jako</w:t>
      </w:r>
      <w:r w:rsidR="00E871A7">
        <w:t> </w:t>
      </w:r>
      <w:r w:rsidR="00770652">
        <w:t>od</w:t>
      </w:r>
      <w:r w:rsidR="00E871A7">
        <w:t> </w:t>
      </w:r>
      <w:r w:rsidR="00770652">
        <w:t>poskytovatele role FF</w:t>
      </w:r>
      <w:r w:rsidR="001B1DAC">
        <w:t>.</w:t>
      </w:r>
    </w:p>
    <w:p w:rsidR="00DC2501" w:rsidRDefault="00DC2501" w:rsidP="000616F7">
      <w:r>
        <w:t xml:space="preserve">Tento model je v praxi realizován jak </w:t>
      </w:r>
      <w:r w:rsidR="001B1DAC">
        <w:t>na evropské úrovni v podobě modelu Evropské investiční banky a Evropského investičního fondu, tak i v některých členských zemích jako je například Slovensko.</w:t>
      </w:r>
      <w:r w:rsidR="001B1DAC">
        <w:rPr>
          <w:rStyle w:val="Znakapoznpodarou"/>
        </w:rPr>
        <w:footnoteReference w:id="154"/>
      </w:r>
      <w:r>
        <w:t xml:space="preserve"> </w:t>
      </w:r>
      <w:r w:rsidR="001B1DAC">
        <w:t xml:space="preserve">V případě Slovenska se však ukazuje, jak důležitá je lokální legislativa. Vzhledem k tomu, že Slovenská republika nemá dostatečně vytvořené prostředí alternativních investičních fondů, bude v praxi tyto </w:t>
      </w:r>
      <w:r w:rsidR="00787752">
        <w:t>mechanizm</w:t>
      </w:r>
      <w:r w:rsidR="001B1DAC">
        <w:t xml:space="preserve">y zakládat v Lucembursku. </w:t>
      </w:r>
      <w:r w:rsidR="0018767D">
        <w:t>ČR</w:t>
      </w:r>
      <w:r w:rsidR="001B1DAC">
        <w:t xml:space="preserve"> je v tomto ve zcela odlišném postavení, protože v zákoně o investičních společnostech a investičních fondech z roku 2013 převzala tzv. best practice Evropy a upravila alternativní investiční fondy s ohledem na tržní standardy vyspělých zemí. ČR je v současné době asi jedinou východoevropskou zemí s takto legislativně upraveným rámcem, což jí umožňuje vytváření flexibilních struktur na svém vlastním území.</w:t>
      </w:r>
    </w:p>
    <w:p w:rsidR="00BF181C" w:rsidRDefault="00BF181C" w:rsidP="000616F7">
      <w:r>
        <w:t xml:space="preserve">Vstup investorů by se měl odehrávat na úrovni </w:t>
      </w:r>
      <w:r w:rsidR="00346684">
        <w:t>jednotlivých</w:t>
      </w:r>
      <w:r>
        <w:t xml:space="preserve"> IFN a to v podobě jak kapitálové</w:t>
      </w:r>
      <w:r w:rsidR="00323623">
        <w:t>,</w:t>
      </w:r>
      <w:r>
        <w:t xml:space="preserve"> tak i dluhové (dluhopisy)</w:t>
      </w:r>
      <w:r w:rsidR="00323623">
        <w:t>.</w:t>
      </w:r>
      <w:r>
        <w:t xml:space="preserve"> </w:t>
      </w:r>
      <w:r w:rsidR="00323623">
        <w:t>U</w:t>
      </w:r>
      <w:r>
        <w:t xml:space="preserve"> některých IFN bude docházet ke vstupu investorů až na </w:t>
      </w:r>
      <w:r w:rsidR="00346684">
        <w:t>úrovni</w:t>
      </w:r>
      <w:r>
        <w:t xml:space="preserve"> </w:t>
      </w:r>
      <w:r w:rsidR="00770652">
        <w:t>jednotlivých</w:t>
      </w:r>
      <w:r>
        <w:t xml:space="preserve"> projektů. </w:t>
      </w:r>
      <w:r w:rsidR="008B4B97">
        <w:t xml:space="preserve">Celé schéma nasazení </w:t>
      </w:r>
      <w:r w:rsidR="00346684">
        <w:t>jednotlivých</w:t>
      </w:r>
      <w:r w:rsidR="008B4B97">
        <w:t xml:space="preserve"> IFN bude muset odpovídat pravidlům veřejné podpory a to jak z pohledu případných investorů</w:t>
      </w:r>
      <w:r w:rsidR="00323623">
        <w:t>,</w:t>
      </w:r>
      <w:r w:rsidR="008B4B97">
        <w:t xml:space="preserve"> tak i konečných příjemců či případných poskytovatelů služeb. Toto bude řešeno v rámci </w:t>
      </w:r>
      <w:r w:rsidR="00346684">
        <w:t>jednotlivých</w:t>
      </w:r>
      <w:r w:rsidR="008B4B97">
        <w:t xml:space="preserve"> ex-ante </w:t>
      </w:r>
      <w:r w:rsidR="00B966DC">
        <w:t>a</w:t>
      </w:r>
      <w:r w:rsidR="008B4B97">
        <w:t>nal</w:t>
      </w:r>
      <w:r w:rsidR="00B966DC">
        <w:t>ý</w:t>
      </w:r>
      <w:r w:rsidR="008B4B97">
        <w:t>z realizovaných ze</w:t>
      </w:r>
      <w:r w:rsidR="00E871A7">
        <w:t> </w:t>
      </w:r>
      <w:r w:rsidR="008B4B97">
        <w:t>strany ŘO a také v další fázi prováděcí studie k navrhovanému řešení.</w:t>
      </w:r>
    </w:p>
    <w:p w:rsidR="00E966A2" w:rsidRPr="00E966A2" w:rsidRDefault="00E966A2" w:rsidP="00E966A2">
      <w:r w:rsidRPr="00E966A2">
        <w:t>V případě, kdy by některá ex-ante analýza ŘO navrhovala odlišné řešení pro implementaci IFN, bude nutné v rámci dalšího rozpracování také posoudit vzájemnou kompatibilitu navrhovaného centrálního řešení a možnou implementaci navrhovaného IFN</w:t>
      </w:r>
      <w:r w:rsidR="00815CF9">
        <w:t>,</w:t>
      </w:r>
      <w:r w:rsidRPr="00E966A2">
        <w:t xml:space="preserve"> zejména  s ohledem na zohlednění legislativních aspektů, časového rámce, finančních nákladů a zátěže kladené na ŘO. Stejně bude postupováno i v případě, kdy by tento krok doporučili zástupci EK/EIB/EIF. </w:t>
      </w:r>
    </w:p>
    <w:p w:rsidR="00DE3A8E" w:rsidRDefault="00DE3A8E" w:rsidP="00171265">
      <w:pPr>
        <w:pStyle w:val="Nadpis2"/>
      </w:pPr>
      <w:bookmarkStart w:id="99" w:name="_Toc410115488"/>
      <w:r>
        <w:t xml:space="preserve">Vztah řídících orgánů a </w:t>
      </w:r>
      <w:r w:rsidR="00E25C1F">
        <w:t>Fondu fondů</w:t>
      </w:r>
      <w:bookmarkEnd w:id="99"/>
      <w:r>
        <w:t xml:space="preserve"> </w:t>
      </w:r>
    </w:p>
    <w:p w:rsidR="00B967A7" w:rsidRDefault="00DE3A8E" w:rsidP="00BA5521">
      <w:r>
        <w:t xml:space="preserve">Vzhledem k tomu, že řídící orgány musí být po celou dobu schopny řídit a zasahovat do řízení </w:t>
      </w:r>
      <w:r w:rsidR="00420428" w:rsidRPr="00EF2F90">
        <w:t>IFN</w:t>
      </w:r>
      <w:r w:rsidRPr="00EF2F90">
        <w:t xml:space="preserve">, měl by být vztah řídících orgánů a </w:t>
      </w:r>
      <w:r w:rsidR="003D4705" w:rsidRPr="00EF2F90">
        <w:t>banky</w:t>
      </w:r>
      <w:r w:rsidRPr="00EF2F90">
        <w:t xml:space="preserve"> postaven na principu, kdy vložené prostředky </w:t>
      </w:r>
      <w:r w:rsidR="00FC7CD5" w:rsidRPr="00EF2F90">
        <w:t>do</w:t>
      </w:r>
      <w:r w:rsidR="00FC7CD5">
        <w:t> </w:t>
      </w:r>
      <w:r w:rsidR="00E25C1F" w:rsidRPr="00EF2F90">
        <w:t>Fondu fondů</w:t>
      </w:r>
      <w:r w:rsidRPr="00EF2F90">
        <w:t xml:space="preserve"> a následně do </w:t>
      </w:r>
      <w:r w:rsidR="00420428" w:rsidRPr="00EF2F90">
        <w:t>IFN</w:t>
      </w:r>
      <w:r w:rsidRPr="00EF2F90">
        <w:t xml:space="preserve"> náleží po celou dobu jim a u správců si nakupují odborné služby. Rozpočtová pravidla zatím rozeznávají pouze rozhodnutí o </w:t>
      </w:r>
      <w:r w:rsidR="0023167E" w:rsidRPr="00EF2F90">
        <w:t>posky</w:t>
      </w:r>
      <w:r w:rsidR="000D5C63" w:rsidRPr="00EF2F90">
        <w:t>t</w:t>
      </w:r>
      <w:r w:rsidR="0023167E" w:rsidRPr="00EF2F90">
        <w:t xml:space="preserve">nutí </w:t>
      </w:r>
      <w:r w:rsidR="002521B2" w:rsidRPr="00EF2F90">
        <w:t>dotace anebo návratnou</w:t>
      </w:r>
      <w:r w:rsidRPr="00EF2F90">
        <w:t xml:space="preserve"> finanční výpomoc (návratnou z pohledu státního rozpočtu). Návrat</w:t>
      </w:r>
      <w:r w:rsidR="00B967A7" w:rsidRPr="00EF2F90">
        <w:t xml:space="preserve">ná finanční výpomoc </w:t>
      </w:r>
      <w:r w:rsidR="0023167E" w:rsidRPr="00EF2F90">
        <w:t>je neaplikovatelná</w:t>
      </w:r>
      <w:r w:rsidR="00B967A7" w:rsidRPr="00EF2F90">
        <w:t xml:space="preserve"> z</w:t>
      </w:r>
      <w:r w:rsidR="00AA08FF" w:rsidRPr="00EF2F90">
        <w:t xml:space="preserve"> </w:t>
      </w:r>
      <w:r w:rsidR="00B967A7" w:rsidRPr="00EF2F90">
        <w:t>důvodu</w:t>
      </w:r>
      <w:r w:rsidR="0023167E" w:rsidRPr="00EF2F90">
        <w:t xml:space="preserve"> povinnosti příjemce vrátit celou částku, která mu byla </w:t>
      </w:r>
      <w:r w:rsidR="0023167E" w:rsidRPr="00EF2F90">
        <w:lastRenderedPageBreak/>
        <w:t>tímto právním titulem poskytnuta. Tento fakt</w:t>
      </w:r>
      <w:r w:rsidR="00B967A7" w:rsidRPr="00EF2F90">
        <w:t xml:space="preserve"> odporuje roli prostředků z rozpočtu EU</w:t>
      </w:r>
      <w:r w:rsidR="0023167E" w:rsidRPr="00EF2F90">
        <w:t xml:space="preserve"> financovaných prostřednictvím </w:t>
      </w:r>
      <w:r w:rsidR="00420428" w:rsidRPr="00EF2F90">
        <w:t>IFN</w:t>
      </w:r>
      <w:r w:rsidR="00B967A7" w:rsidRPr="00EF2F90">
        <w:t>, které na sebe naopak mají brát část rizika</w:t>
      </w:r>
      <w:r w:rsidR="0023167E" w:rsidRPr="00EF2F90">
        <w:t xml:space="preserve"> a tedy </w:t>
      </w:r>
      <w:r w:rsidR="00FC7CD5" w:rsidRPr="00EF2F90">
        <w:t>i</w:t>
      </w:r>
      <w:r w:rsidR="00FC7CD5">
        <w:t> </w:t>
      </w:r>
      <w:r w:rsidR="0023167E" w:rsidRPr="00EF2F90">
        <w:t>ztrátovosti</w:t>
      </w:r>
      <w:r w:rsidR="00B967A7" w:rsidRPr="00EF2F90">
        <w:t>, aby podpořily investice v jednotlivých segmentech. Správné řešení by bylo takové, kdy</w:t>
      </w:r>
      <w:r w:rsidR="00592049" w:rsidRPr="00EF2F90">
        <w:t xml:space="preserve"> </w:t>
      </w:r>
      <w:r w:rsidR="00B967A7" w:rsidRPr="00EF2F90">
        <w:t xml:space="preserve">by řídící orgány dávaly pokyn správci </w:t>
      </w:r>
      <w:r w:rsidR="00E25C1F" w:rsidRPr="00EF2F90">
        <w:t>Fondu fondů</w:t>
      </w:r>
      <w:r w:rsidR="00B967A7" w:rsidRPr="00EF2F90">
        <w:t xml:space="preserve"> na zřízení finančního nástroje</w:t>
      </w:r>
      <w:r w:rsidR="00592049" w:rsidRPr="00EF2F90">
        <w:t>,</w:t>
      </w:r>
      <w:r w:rsidR="00B967A7" w:rsidRPr="00EF2F90">
        <w:t xml:space="preserve"> a</w:t>
      </w:r>
      <w:r w:rsidR="00E871A7">
        <w:t> </w:t>
      </w:r>
      <w:r w:rsidR="00B967A7" w:rsidRPr="00EF2F90">
        <w:t>to</w:t>
      </w:r>
      <w:r w:rsidR="00E871A7">
        <w:t> </w:t>
      </w:r>
      <w:r w:rsidR="00B967A7" w:rsidRPr="00EF2F90">
        <w:t xml:space="preserve">v podobě úvěrů nebo záruk na úrovni banky nebo složitějších konstrukcí na úrovni fondů. V tom případě by správce </w:t>
      </w:r>
      <w:r w:rsidR="00E25C1F" w:rsidRPr="00EF2F90">
        <w:t>Fondu fondů</w:t>
      </w:r>
      <w:r w:rsidR="00B967A7" w:rsidRPr="00EF2F90">
        <w:t xml:space="preserve"> </w:t>
      </w:r>
      <w:r w:rsidR="009444A9" w:rsidRPr="00EF2F90">
        <w:t>jednal vlastním jménem, ale na účet řídícího orgánu</w:t>
      </w:r>
      <w:r w:rsidR="00B44127" w:rsidRPr="00EF2F90">
        <w:rPr>
          <w:rStyle w:val="Znakapoznpodarou"/>
        </w:rPr>
        <w:footnoteReference w:id="155"/>
      </w:r>
      <w:r w:rsidR="009444A9" w:rsidRPr="00EF2F90">
        <w:t xml:space="preserve">. V případě zakládání fondů by držel správce </w:t>
      </w:r>
      <w:r w:rsidR="00E25C1F" w:rsidRPr="00EF2F90">
        <w:t>Fondu fondů</w:t>
      </w:r>
      <w:r w:rsidR="009444A9" w:rsidRPr="00EF2F90">
        <w:t xml:space="preserve"> cenné papíry těchto fondů na svém účtu, ale plnil by roli tzv. custody. To je role, která je dobře známá z oblasti cenných papírů </w:t>
      </w:r>
      <w:r w:rsidR="00FC7CD5" w:rsidRPr="00EF2F90">
        <w:t>a</w:t>
      </w:r>
      <w:r w:rsidR="00FC7CD5">
        <w:t> </w:t>
      </w:r>
      <w:r w:rsidR="009444A9" w:rsidRPr="00EF2F90">
        <w:t>odpovídá také evropským regulacím.</w:t>
      </w:r>
      <w:r w:rsidR="00A45AD1">
        <w:t xml:space="preserve"> V současné době nelze však vyloučit, že řídící orgány budou preferovat variantu dotace bance, kde budou následně v podmínkách dotace popsány podmínky poskytnutí dotace a zapojení ŘO do správy IFN a také způsob nakládání s prostředky po jejich navrácení.</w:t>
      </w:r>
    </w:p>
    <w:p w:rsidR="00435883" w:rsidRDefault="00435883" w:rsidP="00435883">
      <w:pPr>
        <w:pStyle w:val="Nadpis2"/>
      </w:pPr>
      <w:bookmarkStart w:id="100" w:name="_Toc410115489"/>
      <w:r>
        <w:t>Vztah státních fondů a jejich role</w:t>
      </w:r>
      <w:bookmarkEnd w:id="100"/>
    </w:p>
    <w:p w:rsidR="00913B04" w:rsidRDefault="00913B04" w:rsidP="009817ED">
      <w:pPr>
        <w:spacing w:before="100" w:beforeAutospacing="1" w:after="100" w:afterAutospacing="1"/>
        <w:rPr>
          <w:color w:val="000000"/>
        </w:rPr>
      </w:pPr>
      <w:r w:rsidRPr="00913B04">
        <w:rPr>
          <w:color w:val="000000"/>
        </w:rPr>
        <w:t xml:space="preserve">Některé státem zřízené fondy, především Státní fond životního prostředí („SFŽP“) a </w:t>
      </w:r>
      <w:r w:rsidR="00087C1D">
        <w:rPr>
          <w:color w:val="000000"/>
        </w:rPr>
        <w:t>SFRB</w:t>
      </w:r>
      <w:r w:rsidRPr="00913B04">
        <w:rPr>
          <w:color w:val="000000"/>
        </w:rPr>
        <w:t xml:space="preserve"> již realizovaly finanční nástroje nebo jinak zaměřené podpory (Zelená úsporám, kofinancování projektů  OPŽP 2007 – 2013 i ostatních projektů formou zvýhodněných půjček i ze zdrojů SFŽP nebo holdingový fond a program Jessica a další úvěrové a garanční programy u SFRB). Cílem navrhované varianty není omezit roli těchto státních fondů, ale naopak rozšířit jejich možnosti.</w:t>
      </w:r>
    </w:p>
    <w:p w:rsidR="009817ED" w:rsidRPr="001E4277" w:rsidRDefault="009817ED" w:rsidP="009817ED">
      <w:pPr>
        <w:spacing w:before="100" w:beforeAutospacing="1" w:after="100" w:afterAutospacing="1"/>
        <w:rPr>
          <w:color w:val="000000"/>
        </w:rPr>
      </w:pPr>
      <w:r w:rsidRPr="001E4277">
        <w:rPr>
          <w:color w:val="000000"/>
        </w:rPr>
        <w:t>Státní fondy dle zákonů, které je upravují, definují tyto “sui generis“ zřízené právnické osoby jako subjekty, které nemají vlastní majetek, ale hospodaří s majetkem státu. Jejich podoba také neumožňuje vstup investorů do těchto subjektů, déle není umožněno např. vydávání dluhopisů. V</w:t>
      </w:r>
      <w:r w:rsidR="00FC7CD5" w:rsidRPr="001E4277">
        <w:rPr>
          <w:color w:val="000000"/>
        </w:rPr>
        <w:t> </w:t>
      </w:r>
      <w:r w:rsidRPr="001E4277">
        <w:rPr>
          <w:color w:val="000000"/>
        </w:rPr>
        <w:t>případě příjmu úvěrů by si de facto bral úvěry stát. Zapojení investičních fondů (pokud se</w:t>
      </w:r>
      <w:r w:rsidR="00FC7CD5" w:rsidRPr="001E4277">
        <w:rPr>
          <w:color w:val="000000"/>
        </w:rPr>
        <w:t> </w:t>
      </w:r>
      <w:r w:rsidRPr="001E4277">
        <w:rPr>
          <w:color w:val="000000"/>
        </w:rPr>
        <w:t xml:space="preserve">prokáže jako účelné v rámci předběžného posouzení) zvyšuje možnosti pro realizaci multiplikačního efektu, který by měl být jedním z hlavních důvodů pro nasazení IFN. Investiční fondy navrhované v centralizované variantě pod FF jsou pouze investičními vehikly a nemají (neměly by mít) žádné zaměstnance a podobně. Pokud ŘO budou mít zájem využít stávajících státních fondů, pak mohou tyto státní fondy vykonávat roli </w:t>
      </w:r>
      <w:r w:rsidR="008B4B97" w:rsidRPr="001E4277">
        <w:rPr>
          <w:color w:val="000000"/>
        </w:rPr>
        <w:t>zprostředkovatelského</w:t>
      </w:r>
      <w:r w:rsidRPr="001E4277">
        <w:rPr>
          <w:color w:val="000000"/>
        </w:rPr>
        <w:t xml:space="preserve"> subjektu nad IFN nebo by mohly pro IFN poskytovat administrativní služby. Tj. státní fondy by měly využít personální kapacitu a minulou zkušenost a hrát roli poskytovatele služeb pro IFN nebo je přímo spravovat. </w:t>
      </w:r>
    </w:p>
    <w:p w:rsidR="00F65C0E" w:rsidRPr="001E4277" w:rsidRDefault="00F65C0E" w:rsidP="009817ED">
      <w:pPr>
        <w:spacing w:before="100" w:beforeAutospacing="1" w:after="100" w:afterAutospacing="1"/>
        <w:rPr>
          <w:color w:val="000000"/>
        </w:rPr>
      </w:pPr>
      <w:r w:rsidRPr="001E4277">
        <w:rPr>
          <w:color w:val="000000"/>
        </w:rPr>
        <w:t>SFRB má oproti ostatním státním fondům určité odlišnosti. Nehospodaří jenom s majetkem státu, ale také se svým vlastním majetkem, smí vydávat dluhopisy a smí nabývat cenné papíry. Proto pro něj některá výše uvedená omezení neplatí.</w:t>
      </w:r>
    </w:p>
    <w:p w:rsidR="00913B04" w:rsidRDefault="00913B04" w:rsidP="00435883">
      <w:pPr>
        <w:rPr>
          <w:color w:val="000000"/>
        </w:rPr>
      </w:pPr>
      <w:r>
        <w:rPr>
          <w:color w:val="000000"/>
        </w:rPr>
        <w:t>SFŽP i SFRB  mají</w:t>
      </w:r>
      <w:r w:rsidRPr="00913B04">
        <w:rPr>
          <w:color w:val="000000"/>
        </w:rPr>
        <w:t xml:space="preserve"> například dlouhodobé zkušenosti s poskytováním zvýhodněných půjček, hodnocením úvěrové způsobilosti žadatelů, aplikacemi zajišťovacích nástrojů, zástavního práva a</w:t>
      </w:r>
      <w:r w:rsidR="00E871A7">
        <w:rPr>
          <w:color w:val="000000"/>
        </w:rPr>
        <w:t> </w:t>
      </w:r>
      <w:r w:rsidRPr="00913B04">
        <w:rPr>
          <w:color w:val="000000"/>
        </w:rPr>
        <w:t>dalších instrumentů. SFRB dnes poskytuje pouze revolvingové podpory a spravuje rozsáhlé portfolio úvěrů poskytnutých v minulosti. V uvedeném smyslu mají tedy SFŽP a SFRB možnost zajistit částečně revolvingový charakter nástrojů a představují specializovanou státní finanční instituci svého druhu k podpoře ekologických projektů (v případě SFŽP) a rozvoje bydlení (v</w:t>
      </w:r>
      <w:r w:rsidR="00E871A7">
        <w:rPr>
          <w:color w:val="000000"/>
        </w:rPr>
        <w:t> </w:t>
      </w:r>
      <w:r w:rsidRPr="00913B04">
        <w:rPr>
          <w:color w:val="000000"/>
        </w:rPr>
        <w:t xml:space="preserve">případě SFRB). </w:t>
      </w:r>
    </w:p>
    <w:p w:rsidR="00435883" w:rsidRPr="001E4277" w:rsidRDefault="009817ED" w:rsidP="00435883">
      <w:r w:rsidRPr="001E4277">
        <w:rPr>
          <w:color w:val="000000"/>
        </w:rPr>
        <w:lastRenderedPageBreak/>
        <w:t>Za tyto služby nebo řízení pak mohou pobírat odměnu z jimi spravovaného/administrovaného obejmu prostředků ze zdrojů ESIF nebo i národních zdrojů.</w:t>
      </w:r>
    </w:p>
    <w:p w:rsidR="003D4705" w:rsidRDefault="003D4705" w:rsidP="00BA5521">
      <w:pPr>
        <w:sectPr w:rsidR="003D4705" w:rsidSect="00B54C37">
          <w:headerReference w:type="default" r:id="rId51"/>
          <w:footerReference w:type="default" r:id="rId52"/>
          <w:pgSz w:w="11906" w:h="16838"/>
          <w:pgMar w:top="1304" w:right="1418" w:bottom="1276" w:left="1304" w:header="709" w:footer="709" w:gutter="0"/>
          <w:cols w:space="708"/>
          <w:docGrid w:linePitch="360"/>
        </w:sectPr>
      </w:pPr>
    </w:p>
    <w:p w:rsidR="00970C85" w:rsidRDefault="00970C85" w:rsidP="004C1734">
      <w:pPr>
        <w:pStyle w:val="Titulek"/>
      </w:pPr>
      <w:r>
        <w:lastRenderedPageBreak/>
        <w:t xml:space="preserve">Schéma </w:t>
      </w:r>
      <w:fldSimple w:instr=" SEQ Schéma \* ARABIC ">
        <w:r w:rsidR="006C5EA3">
          <w:rPr>
            <w:noProof/>
          </w:rPr>
          <w:t>30</w:t>
        </w:r>
      </w:fldSimple>
      <w:r>
        <w:t>: Schéma doporučované varianty s ČMZRB</w:t>
      </w:r>
    </w:p>
    <w:p w:rsidR="003D4705" w:rsidRDefault="00666204" w:rsidP="00BA5521">
      <w:r>
        <w:rPr>
          <w:noProof/>
          <w:lang w:eastAsia="cs-CZ"/>
        </w:rPr>
        <w:drawing>
          <wp:inline distT="0" distB="0" distL="0" distR="0" wp14:anchorId="23AE63D3" wp14:editId="74384F58">
            <wp:extent cx="7712766" cy="5449796"/>
            <wp:effectExtent l="0" t="0" r="0" b="0"/>
            <wp:docPr id="4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7712766" cy="5449796"/>
                    </a:xfrm>
                    <a:prstGeom prst="rect">
                      <a:avLst/>
                    </a:prstGeom>
                    <a:noFill/>
                    <a:ln w="9525">
                      <a:noFill/>
                      <a:miter lim="800000"/>
                      <a:headEnd/>
                      <a:tailEnd/>
                    </a:ln>
                  </pic:spPr>
                </pic:pic>
              </a:graphicData>
            </a:graphic>
          </wp:inline>
        </w:drawing>
      </w:r>
    </w:p>
    <w:p w:rsidR="0075146F" w:rsidRDefault="0075146F" w:rsidP="00BA5521">
      <w:pPr>
        <w:sectPr w:rsidR="0075146F" w:rsidSect="000C0B4C">
          <w:pgSz w:w="16838" w:h="11906" w:orient="landscape"/>
          <w:pgMar w:top="1304" w:right="1304" w:bottom="1418" w:left="1418" w:header="709" w:footer="709" w:gutter="0"/>
          <w:cols w:space="708"/>
          <w:docGrid w:linePitch="360"/>
        </w:sectPr>
      </w:pPr>
    </w:p>
    <w:p w:rsidR="00297EC0" w:rsidRDefault="00297EC0" w:rsidP="00171265">
      <w:pPr>
        <w:pStyle w:val="Nadpis1"/>
      </w:pPr>
      <w:bookmarkStart w:id="101" w:name="_Toc410115490"/>
      <w:r>
        <w:lastRenderedPageBreak/>
        <w:t>Přílohy</w:t>
      </w:r>
      <w:bookmarkEnd w:id="101"/>
    </w:p>
    <w:p w:rsidR="00297EC0" w:rsidRPr="00435883" w:rsidRDefault="00297EC0" w:rsidP="007862C1">
      <w:pPr>
        <w:pStyle w:val="Nadpis2"/>
        <w:numPr>
          <w:ilvl w:val="0"/>
          <w:numId w:val="0"/>
        </w:numPr>
      </w:pPr>
      <w:bookmarkStart w:id="102" w:name="_Toc410115491"/>
      <w:r w:rsidRPr="00435883">
        <w:t>Příloha 1</w:t>
      </w:r>
      <w:r w:rsidR="00435883">
        <w:t xml:space="preserve"> </w:t>
      </w:r>
      <w:r w:rsidR="00435883">
        <w:tab/>
      </w:r>
      <w:r w:rsidR="000C0B4C" w:rsidRPr="00435883">
        <w:t>Analýza zkušeností z minulosti v ČR a zkušeností z jiných zemí</w:t>
      </w:r>
      <w:bookmarkEnd w:id="102"/>
    </w:p>
    <w:p w:rsidR="00297EC0" w:rsidRPr="00021F68" w:rsidRDefault="00297EC0" w:rsidP="00021F68">
      <w:pPr>
        <w:rPr>
          <w:b/>
          <w:color w:val="548DD4"/>
        </w:rPr>
      </w:pPr>
      <w:r w:rsidRPr="00021F68">
        <w:rPr>
          <w:b/>
          <w:color w:val="548DD4"/>
        </w:rPr>
        <w:t xml:space="preserve">Přehled základních informací o </w:t>
      </w:r>
      <w:r w:rsidR="00986EE0">
        <w:rPr>
          <w:b/>
          <w:color w:val="548DD4"/>
        </w:rPr>
        <w:t>IFN</w:t>
      </w:r>
      <w:r w:rsidRPr="00021F68">
        <w:rPr>
          <w:b/>
          <w:color w:val="548DD4"/>
        </w:rPr>
        <w:t xml:space="preserve"> pilotně implementovaných v programovém období 2007</w:t>
      </w:r>
      <w:r w:rsidR="002313E5">
        <w:rPr>
          <w:b/>
          <w:color w:val="548DD4"/>
        </w:rPr>
        <w:t xml:space="preserve"> </w:t>
      </w:r>
      <w:r w:rsidRPr="00021F68">
        <w:rPr>
          <w:b/>
          <w:color w:val="548DD4"/>
        </w:rPr>
        <w:noBreakHyphen/>
      </w:r>
      <w:r w:rsidR="002313E5">
        <w:rPr>
          <w:b/>
          <w:color w:val="548DD4"/>
        </w:rPr>
        <w:t xml:space="preserve"> </w:t>
      </w:r>
      <w:r w:rsidRPr="00021F68">
        <w:rPr>
          <w:b/>
          <w:color w:val="548DD4"/>
        </w:rPr>
        <w:t xml:space="preserve">2013 (údaje k </w:t>
      </w:r>
      <w:r w:rsidR="0083633E">
        <w:rPr>
          <w:b/>
          <w:color w:val="548DD4"/>
        </w:rPr>
        <w:t>prosinci</w:t>
      </w:r>
      <w:r w:rsidR="0083633E" w:rsidRPr="00021F68">
        <w:rPr>
          <w:b/>
          <w:color w:val="548DD4"/>
        </w:rPr>
        <w:t xml:space="preserve"> </w:t>
      </w:r>
      <w:r w:rsidRPr="00021F68">
        <w:rPr>
          <w:b/>
          <w:color w:val="548DD4"/>
        </w:rPr>
        <w:t>2014)</w:t>
      </w:r>
      <w:r w:rsidR="00110B9D">
        <w:rPr>
          <w:rStyle w:val="Znakapoznpodarou"/>
          <w:b/>
          <w:color w:val="548DD4"/>
        </w:rPr>
        <w:footnoteReference w:id="156"/>
      </w:r>
    </w:p>
    <w:p w:rsidR="00297EC0" w:rsidRPr="00124BA0" w:rsidRDefault="00297EC0" w:rsidP="00297EC0">
      <w:pPr>
        <w:rPr>
          <w:b/>
        </w:rPr>
      </w:pPr>
      <w:r w:rsidRPr="00124BA0">
        <w:t>V programovém období 2007</w:t>
      </w:r>
      <w:r w:rsidR="002313E5">
        <w:t xml:space="preserve"> </w:t>
      </w:r>
      <w:r w:rsidRPr="00124BA0">
        <w:t>-</w:t>
      </w:r>
      <w:r w:rsidR="002313E5">
        <w:t xml:space="preserve"> </w:t>
      </w:r>
      <w:r w:rsidRPr="00124BA0">
        <w:t xml:space="preserve">2013 byla zvažována implementace </w:t>
      </w:r>
      <w:r w:rsidR="00986EE0">
        <w:t>IFN</w:t>
      </w:r>
      <w:r w:rsidRPr="00124BA0">
        <w:t xml:space="preserve"> v celkem pěti operačních programech – OPPI, IOP, ROP MSK, ROP SM a OPPK. Nakonec byla reálná implementace zahájena pouze ve třech programech, a to OPPI, IOP a ROP MSK. </w:t>
      </w:r>
      <w:r w:rsidRPr="00124BA0">
        <w:rPr>
          <w:b/>
        </w:rPr>
        <w:t xml:space="preserve">Nejčastějším důvodem zrušení realizace </w:t>
      </w:r>
      <w:r w:rsidR="00986EE0">
        <w:rPr>
          <w:b/>
        </w:rPr>
        <w:t>IFN</w:t>
      </w:r>
      <w:r w:rsidRPr="00124BA0">
        <w:rPr>
          <w:b/>
        </w:rPr>
        <w:t xml:space="preserve"> bylo nevhodné nastavení zadávací dokumentace na výběr správce </w:t>
      </w:r>
      <w:r w:rsidR="00986EE0">
        <w:rPr>
          <w:b/>
        </w:rPr>
        <w:t>IFN</w:t>
      </w:r>
      <w:r w:rsidRPr="00124BA0">
        <w:rPr>
          <w:b/>
        </w:rPr>
        <w:t>.</w:t>
      </w:r>
    </w:p>
    <w:p w:rsidR="00297EC0" w:rsidRDefault="00297EC0" w:rsidP="00297EC0">
      <w:r w:rsidRPr="00124BA0">
        <w:t xml:space="preserve">Níže uvedená tabulka uvádí přehled všech OP a fází, ve kterých se </w:t>
      </w:r>
      <w:r w:rsidR="00986EE0">
        <w:t>IFN</w:t>
      </w:r>
      <w:r w:rsidRPr="00124BA0">
        <w:t xml:space="preserve"> nachází k </w:t>
      </w:r>
      <w:r w:rsidR="0083633E">
        <w:t>prosinci</w:t>
      </w:r>
      <w:r w:rsidR="0083633E" w:rsidRPr="00124BA0">
        <w:t xml:space="preserve"> </w:t>
      </w:r>
      <w:r w:rsidRPr="00124BA0">
        <w:t>2014.</w:t>
      </w:r>
    </w:p>
    <w:p w:rsidR="006F5B46" w:rsidRDefault="006F5B46" w:rsidP="00636988">
      <w:pPr>
        <w:pStyle w:val="Titulek"/>
      </w:pPr>
      <w:r>
        <w:t xml:space="preserve">Tabulka </w:t>
      </w:r>
      <w:fldSimple w:instr=" SEQ Tabulka \* ARABIC ">
        <w:r w:rsidR="006C5EA3">
          <w:rPr>
            <w:noProof/>
          </w:rPr>
          <w:t>5</w:t>
        </w:r>
      </w:fldSimple>
      <w:r>
        <w:t>: Pře</w:t>
      </w:r>
      <w:r w:rsidR="00B71257">
        <w:t>h</w:t>
      </w:r>
      <w:r>
        <w:t>led podrobností OP</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701"/>
        <w:gridCol w:w="4111"/>
      </w:tblGrid>
      <w:tr w:rsidR="00297EC0" w:rsidRPr="00FD4171" w:rsidTr="00636988">
        <w:trPr>
          <w:trHeight w:val="964"/>
        </w:trPr>
        <w:tc>
          <w:tcPr>
            <w:tcW w:w="1134" w:type="dxa"/>
            <w:tcBorders>
              <w:bottom w:val="single" w:sz="4" w:space="0" w:color="auto"/>
            </w:tcBorders>
            <w:shd w:val="clear" w:color="auto" w:fill="4F81BD"/>
          </w:tcPr>
          <w:p w:rsidR="00297EC0" w:rsidRPr="00FD4171" w:rsidRDefault="00297EC0" w:rsidP="00FD4171">
            <w:pPr>
              <w:spacing w:before="120" w:after="0" w:line="240" w:lineRule="auto"/>
              <w:ind w:left="34"/>
              <w:rPr>
                <w:rFonts w:ascii="Calibri" w:hAnsi="Calibri" w:cs="Arial"/>
                <w:b/>
                <w:color w:val="FFFFFF"/>
              </w:rPr>
            </w:pPr>
            <w:r w:rsidRPr="00FD4171">
              <w:rPr>
                <w:rFonts w:ascii="Calibri" w:hAnsi="Calibri" w:cs="Arial"/>
                <w:b/>
                <w:color w:val="FFFFFF"/>
              </w:rPr>
              <w:t>Program</w:t>
            </w:r>
            <w:r w:rsidRPr="00FD4171">
              <w:rPr>
                <w:rFonts w:ascii="Calibri" w:hAnsi="Calibri" w:cs="Arial"/>
                <w:b/>
                <w:color w:val="FFFFFF"/>
              </w:rPr>
              <w:br/>
              <w:t xml:space="preserve">Název </w:t>
            </w:r>
            <w:r w:rsidR="00986EE0">
              <w:rPr>
                <w:rFonts w:ascii="Calibri" w:hAnsi="Calibri" w:cs="Arial"/>
                <w:b/>
                <w:color w:val="FFFFFF"/>
              </w:rPr>
              <w:t>IFN</w:t>
            </w:r>
          </w:p>
        </w:tc>
        <w:tc>
          <w:tcPr>
            <w:tcW w:w="1701" w:type="dxa"/>
            <w:shd w:val="clear" w:color="auto" w:fill="4F81BD"/>
          </w:tcPr>
          <w:p w:rsidR="00297EC0" w:rsidRPr="00FD4171" w:rsidRDefault="00297EC0" w:rsidP="00636988">
            <w:pPr>
              <w:spacing w:before="120" w:after="0" w:line="240" w:lineRule="auto"/>
              <w:ind w:left="0"/>
              <w:jc w:val="left"/>
              <w:rPr>
                <w:rFonts w:ascii="Calibri" w:hAnsi="Calibri" w:cs="Arial"/>
                <w:b/>
                <w:color w:val="FFFFFF"/>
              </w:rPr>
            </w:pPr>
            <w:r w:rsidRPr="00FD4171">
              <w:rPr>
                <w:rFonts w:ascii="Calibri" w:hAnsi="Calibri" w:cs="Arial"/>
                <w:b/>
                <w:color w:val="FFFFFF"/>
              </w:rPr>
              <w:t>Implementační uspořádání</w:t>
            </w:r>
          </w:p>
        </w:tc>
        <w:tc>
          <w:tcPr>
            <w:tcW w:w="1701" w:type="dxa"/>
            <w:shd w:val="clear" w:color="auto" w:fill="4F81BD"/>
          </w:tcPr>
          <w:p w:rsidR="00297EC0" w:rsidRPr="00FD4171" w:rsidRDefault="00297EC0" w:rsidP="00636988">
            <w:pPr>
              <w:spacing w:before="120" w:after="0" w:line="240" w:lineRule="auto"/>
              <w:ind w:left="34"/>
              <w:jc w:val="left"/>
              <w:rPr>
                <w:rFonts w:ascii="Calibri" w:hAnsi="Calibri" w:cs="Arial"/>
                <w:b/>
                <w:color w:val="FFFFFF"/>
              </w:rPr>
            </w:pPr>
            <w:r w:rsidRPr="00FD4171">
              <w:rPr>
                <w:rFonts w:ascii="Calibri" w:hAnsi="Calibri" w:cs="Arial"/>
                <w:b/>
                <w:color w:val="FFFFFF"/>
              </w:rPr>
              <w:t xml:space="preserve">Forma </w:t>
            </w:r>
            <w:r w:rsidR="00986EE0">
              <w:rPr>
                <w:rFonts w:ascii="Calibri" w:hAnsi="Calibri" w:cs="Arial"/>
                <w:b/>
                <w:color w:val="FFFFFF"/>
              </w:rPr>
              <w:t>IFN</w:t>
            </w:r>
          </w:p>
        </w:tc>
        <w:tc>
          <w:tcPr>
            <w:tcW w:w="4111" w:type="dxa"/>
            <w:shd w:val="clear" w:color="auto" w:fill="4F81BD"/>
          </w:tcPr>
          <w:p w:rsidR="00297EC0" w:rsidRPr="00FD4171" w:rsidRDefault="00297EC0" w:rsidP="00636988">
            <w:pPr>
              <w:spacing w:before="120" w:after="0" w:line="240" w:lineRule="auto"/>
              <w:ind w:left="0"/>
              <w:jc w:val="left"/>
              <w:rPr>
                <w:rFonts w:ascii="Calibri" w:hAnsi="Calibri" w:cs="Arial"/>
                <w:b/>
                <w:color w:val="FFFFFF"/>
              </w:rPr>
            </w:pPr>
            <w:r w:rsidRPr="00FD4171">
              <w:rPr>
                <w:rFonts w:ascii="Calibri" w:hAnsi="Calibri" w:cs="Arial"/>
                <w:b/>
                <w:color w:val="FFFFFF"/>
              </w:rPr>
              <w:t>Podporované oblasti a příjemci, další informace</w:t>
            </w:r>
          </w:p>
        </w:tc>
      </w:tr>
      <w:tr w:rsidR="00297EC0" w:rsidRPr="00FD4171" w:rsidTr="00636988">
        <w:trPr>
          <w:trHeight w:val="1141"/>
        </w:trPr>
        <w:tc>
          <w:tcPr>
            <w:tcW w:w="1134" w:type="dxa"/>
            <w:shd w:val="clear" w:color="auto" w:fill="B8CCE4"/>
          </w:tcPr>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t>OPPI</w:t>
            </w:r>
          </w:p>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t>Záruční fond</w:t>
            </w:r>
          </w:p>
        </w:tc>
        <w:tc>
          <w:tcPr>
            <w:tcW w:w="1701" w:type="dxa"/>
          </w:tcPr>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Jednostupňové, správcem fondu určena </w:t>
            </w:r>
            <w:r w:rsidR="00D106C4">
              <w:rPr>
                <w:rFonts w:ascii="Calibri" w:hAnsi="Calibri" w:cs="Arial"/>
                <w:sz w:val="18"/>
                <w:szCs w:val="18"/>
              </w:rPr>
              <w:t>ČMZRB</w:t>
            </w:r>
            <w:r w:rsidRPr="00FD4171">
              <w:rPr>
                <w:rFonts w:ascii="Calibri" w:hAnsi="Calibri" w:cs="Arial"/>
                <w:sz w:val="18"/>
                <w:szCs w:val="18"/>
              </w:rPr>
              <w:br/>
              <w:t>Uzavřena dohoda o financování mezi ŘO OPPI a </w:t>
            </w:r>
            <w:r w:rsidR="00D106C4">
              <w:rPr>
                <w:rFonts w:ascii="Calibri" w:hAnsi="Calibri" w:cs="Arial"/>
                <w:sz w:val="18"/>
                <w:szCs w:val="18"/>
              </w:rPr>
              <w:t>ČMZRB</w:t>
            </w:r>
          </w:p>
        </w:tc>
        <w:tc>
          <w:tcPr>
            <w:tcW w:w="1701" w:type="dxa"/>
          </w:tcPr>
          <w:p w:rsidR="00297EC0" w:rsidRPr="00FD4171" w:rsidRDefault="00297EC0" w:rsidP="00636988">
            <w:pPr>
              <w:spacing w:before="120" w:after="0" w:line="240" w:lineRule="auto"/>
              <w:ind w:left="34"/>
              <w:jc w:val="left"/>
              <w:rPr>
                <w:rFonts w:ascii="Calibri" w:hAnsi="Calibri" w:cs="Arial"/>
                <w:sz w:val="18"/>
                <w:szCs w:val="18"/>
              </w:rPr>
            </w:pPr>
            <w:r w:rsidRPr="00FD4171">
              <w:rPr>
                <w:rFonts w:ascii="Calibri" w:hAnsi="Calibri" w:cs="Arial"/>
                <w:sz w:val="18"/>
                <w:szCs w:val="18"/>
              </w:rPr>
              <w:t>Zvýhodněné záruky</w:t>
            </w:r>
          </w:p>
          <w:p w:rsidR="00297EC0" w:rsidRPr="00FD4171" w:rsidRDefault="00297EC0" w:rsidP="00636988">
            <w:pPr>
              <w:spacing w:before="120" w:after="0" w:line="240" w:lineRule="auto"/>
              <w:ind w:left="34"/>
              <w:jc w:val="left"/>
              <w:rPr>
                <w:rFonts w:ascii="Calibri" w:hAnsi="Calibri" w:cs="Arial"/>
                <w:sz w:val="18"/>
                <w:szCs w:val="18"/>
              </w:rPr>
            </w:pPr>
            <w:r w:rsidRPr="00FD4171">
              <w:rPr>
                <w:rFonts w:ascii="Calibri" w:hAnsi="Calibri" w:cs="Arial"/>
                <w:sz w:val="18"/>
                <w:szCs w:val="18"/>
              </w:rPr>
              <w:t>Zvýhodněné záruky s finančním příspěvkem k zaručovanému úvěru</w:t>
            </w:r>
          </w:p>
        </w:tc>
        <w:tc>
          <w:tcPr>
            <w:tcW w:w="4111" w:type="dxa"/>
          </w:tcPr>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Program podpory START (realizace podnikatelských projektů osob vstupujících do podnikání poprvé nebo s delším časovým odstupem; </w:t>
            </w:r>
            <w:r w:rsidR="004667A4">
              <w:rPr>
                <w:rFonts w:ascii="Calibri" w:hAnsi="Calibri" w:cs="Arial"/>
                <w:sz w:val="18"/>
                <w:szCs w:val="18"/>
              </w:rPr>
              <w:t xml:space="preserve">konečnými </w:t>
            </w:r>
            <w:r w:rsidRPr="00FD4171">
              <w:rPr>
                <w:rFonts w:ascii="Calibri" w:hAnsi="Calibri" w:cs="Arial"/>
                <w:sz w:val="18"/>
                <w:szCs w:val="18"/>
              </w:rPr>
              <w:t>příjemci mohli být pouze drobní podnikatelé).</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Program podpory ZÁRUKA (usnadnění realizace podnikatelských projektů malých a středních podnikatelů zaměřených na investice a tímto zvýšení jejich konkurenceschopnosti; </w:t>
            </w:r>
            <w:r w:rsidR="004667A4">
              <w:rPr>
                <w:rFonts w:ascii="Calibri" w:hAnsi="Calibri" w:cs="Arial"/>
                <w:sz w:val="18"/>
                <w:szCs w:val="18"/>
              </w:rPr>
              <w:t xml:space="preserve">koneční </w:t>
            </w:r>
            <w:r w:rsidRPr="00FD4171">
              <w:rPr>
                <w:rFonts w:ascii="Calibri" w:hAnsi="Calibri" w:cs="Arial"/>
                <w:sz w:val="18"/>
                <w:szCs w:val="18"/>
              </w:rPr>
              <w:t>příjemci mohli být pouze MSP).</w:t>
            </w:r>
          </w:p>
          <w:p w:rsidR="00297EC0" w:rsidRPr="00FD4171" w:rsidRDefault="00297EC0" w:rsidP="00E871A7">
            <w:pPr>
              <w:spacing w:before="120" w:after="0" w:line="240" w:lineRule="auto"/>
              <w:ind w:left="0"/>
              <w:jc w:val="left"/>
              <w:rPr>
                <w:rFonts w:ascii="Calibri" w:hAnsi="Calibri" w:cs="Arial"/>
                <w:sz w:val="18"/>
                <w:szCs w:val="18"/>
              </w:rPr>
            </w:pPr>
            <w:r w:rsidRPr="00FD4171">
              <w:rPr>
                <w:rFonts w:ascii="Calibri" w:hAnsi="Calibri" w:cs="Arial"/>
                <w:sz w:val="18"/>
                <w:szCs w:val="18"/>
              </w:rPr>
              <w:t>Do roku 2010 fungování systému záruk/úvěrů hladké, pak v souvislosti s výhradami EK (zejména k</w:t>
            </w:r>
            <w:r w:rsidR="002313E5">
              <w:rPr>
                <w:rFonts w:ascii="Calibri" w:hAnsi="Calibri" w:cs="Arial"/>
                <w:sz w:val="18"/>
                <w:szCs w:val="18"/>
              </w:rPr>
              <w:t>e</w:t>
            </w:r>
            <w:r w:rsidRPr="00FD4171">
              <w:rPr>
                <w:rFonts w:ascii="Calibri" w:hAnsi="Calibri" w:cs="Arial"/>
                <w:sz w:val="18"/>
                <w:szCs w:val="18"/>
              </w:rPr>
              <w:t xml:space="preserve"> způsobu výběru </w:t>
            </w:r>
            <w:r w:rsidR="00D106C4">
              <w:rPr>
                <w:rFonts w:ascii="Calibri" w:hAnsi="Calibri" w:cs="Arial"/>
                <w:sz w:val="18"/>
                <w:szCs w:val="18"/>
              </w:rPr>
              <w:t>ČMZRB</w:t>
            </w:r>
            <w:r w:rsidRPr="00FD4171">
              <w:rPr>
                <w:rFonts w:ascii="Calibri" w:hAnsi="Calibri" w:cs="Arial"/>
                <w:sz w:val="18"/>
                <w:szCs w:val="18"/>
              </w:rPr>
              <w:t xml:space="preserve"> správcem fondu) </w:t>
            </w:r>
            <w:r w:rsidRPr="00FD4171">
              <w:rPr>
                <w:rFonts w:ascii="Calibri" w:hAnsi="Calibri" w:cs="Arial"/>
                <w:b/>
                <w:sz w:val="18"/>
                <w:szCs w:val="18"/>
              </w:rPr>
              <w:t>vyhlašování výzev k podávání žádostí o</w:t>
            </w:r>
            <w:r w:rsidR="00E871A7">
              <w:rPr>
                <w:rFonts w:ascii="Calibri" w:hAnsi="Calibri" w:cs="Arial"/>
                <w:b/>
                <w:sz w:val="18"/>
                <w:szCs w:val="18"/>
              </w:rPr>
              <w:t> </w:t>
            </w:r>
            <w:r w:rsidRPr="00FD4171">
              <w:rPr>
                <w:rFonts w:ascii="Calibri" w:hAnsi="Calibri" w:cs="Arial"/>
                <w:b/>
                <w:sz w:val="18"/>
                <w:szCs w:val="18"/>
              </w:rPr>
              <w:t>záruky/úvěry zastaveno a</w:t>
            </w:r>
            <w:r w:rsidRPr="00FD4171">
              <w:rPr>
                <w:rFonts w:ascii="Calibri" w:hAnsi="Calibri" w:cs="Arial"/>
                <w:sz w:val="18"/>
                <w:szCs w:val="18"/>
              </w:rPr>
              <w:t xml:space="preserve"> </w:t>
            </w:r>
            <w:r w:rsidRPr="00FD4171">
              <w:rPr>
                <w:rFonts w:ascii="Calibri" w:hAnsi="Calibri" w:cs="Arial"/>
                <w:b/>
                <w:sz w:val="18"/>
                <w:szCs w:val="18"/>
              </w:rPr>
              <w:t>další vývoj se</w:t>
            </w:r>
            <w:r w:rsidR="00E871A7">
              <w:rPr>
                <w:rFonts w:ascii="Calibri" w:hAnsi="Calibri" w:cs="Arial"/>
                <w:b/>
                <w:sz w:val="18"/>
                <w:szCs w:val="18"/>
              </w:rPr>
              <w:t> </w:t>
            </w:r>
            <w:r w:rsidRPr="00FD4171">
              <w:rPr>
                <w:rFonts w:ascii="Calibri" w:hAnsi="Calibri" w:cs="Arial"/>
                <w:b/>
                <w:sz w:val="18"/>
                <w:szCs w:val="18"/>
              </w:rPr>
              <w:t>nepředpokládá</w:t>
            </w:r>
            <w:r w:rsidRPr="00FD4171">
              <w:rPr>
                <w:rFonts w:ascii="Calibri" w:hAnsi="Calibri" w:cs="Arial"/>
                <w:sz w:val="18"/>
                <w:szCs w:val="18"/>
              </w:rPr>
              <w:t>.</w:t>
            </w:r>
          </w:p>
        </w:tc>
      </w:tr>
      <w:tr w:rsidR="00297EC0" w:rsidRPr="00FD4171" w:rsidTr="00636988">
        <w:trPr>
          <w:trHeight w:val="2093"/>
        </w:trPr>
        <w:tc>
          <w:tcPr>
            <w:tcW w:w="1134" w:type="dxa"/>
            <w:shd w:val="clear" w:color="auto" w:fill="B8CCE4"/>
          </w:tcPr>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t>OPPI</w:t>
            </w:r>
          </w:p>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t>Úvěrový fond</w:t>
            </w:r>
          </w:p>
        </w:tc>
        <w:tc>
          <w:tcPr>
            <w:tcW w:w="1701" w:type="dxa"/>
          </w:tcPr>
          <w:p w:rsidR="00297EC0" w:rsidRPr="00FD4171" w:rsidRDefault="00297EC0" w:rsidP="00E871A7">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Jednostupňové, správcem fondu určena </w:t>
            </w:r>
            <w:r w:rsidR="00D106C4">
              <w:rPr>
                <w:rFonts w:ascii="Calibri" w:hAnsi="Calibri" w:cs="Arial"/>
                <w:sz w:val="18"/>
                <w:szCs w:val="18"/>
              </w:rPr>
              <w:t>ČMZRB</w:t>
            </w:r>
            <w:r w:rsidRPr="00FD4171">
              <w:rPr>
                <w:rFonts w:ascii="Calibri" w:hAnsi="Calibri" w:cs="Arial"/>
                <w:sz w:val="18"/>
                <w:szCs w:val="18"/>
              </w:rPr>
              <w:br/>
              <w:t>Uzavřena dohoda o</w:t>
            </w:r>
            <w:r w:rsidR="00E871A7">
              <w:rPr>
                <w:rFonts w:ascii="Calibri" w:hAnsi="Calibri" w:cs="Arial"/>
                <w:sz w:val="18"/>
                <w:szCs w:val="18"/>
              </w:rPr>
              <w:t> </w:t>
            </w:r>
            <w:r w:rsidRPr="00FD4171">
              <w:rPr>
                <w:rFonts w:ascii="Calibri" w:hAnsi="Calibri" w:cs="Arial"/>
                <w:sz w:val="18"/>
                <w:szCs w:val="18"/>
              </w:rPr>
              <w:t>financování mezi ŘO OPPI a </w:t>
            </w:r>
            <w:r w:rsidR="00D106C4">
              <w:rPr>
                <w:rFonts w:ascii="Calibri" w:hAnsi="Calibri" w:cs="Arial"/>
                <w:sz w:val="18"/>
                <w:szCs w:val="18"/>
              </w:rPr>
              <w:t>ČMZRB</w:t>
            </w:r>
          </w:p>
        </w:tc>
        <w:tc>
          <w:tcPr>
            <w:tcW w:w="1701" w:type="dxa"/>
          </w:tcPr>
          <w:p w:rsidR="00297EC0" w:rsidRPr="00FD4171" w:rsidRDefault="00297EC0" w:rsidP="00636988">
            <w:pPr>
              <w:spacing w:before="120" w:after="0" w:line="240" w:lineRule="auto"/>
              <w:ind w:left="34"/>
              <w:jc w:val="left"/>
              <w:rPr>
                <w:rFonts w:ascii="Calibri" w:hAnsi="Calibri" w:cs="Arial"/>
                <w:sz w:val="18"/>
                <w:szCs w:val="18"/>
              </w:rPr>
            </w:pPr>
            <w:r w:rsidRPr="00FD4171">
              <w:rPr>
                <w:rFonts w:ascii="Calibri" w:hAnsi="Calibri" w:cs="Arial"/>
                <w:sz w:val="18"/>
                <w:szCs w:val="18"/>
              </w:rPr>
              <w:t>Bezúročné úvěry</w:t>
            </w:r>
          </w:p>
          <w:p w:rsidR="00297EC0" w:rsidRPr="00FD4171" w:rsidRDefault="00297EC0" w:rsidP="00636988">
            <w:pPr>
              <w:spacing w:before="120" w:after="0" w:line="240" w:lineRule="auto"/>
              <w:ind w:left="34"/>
              <w:jc w:val="left"/>
              <w:rPr>
                <w:rFonts w:ascii="Calibri" w:hAnsi="Calibri" w:cs="Arial"/>
                <w:sz w:val="18"/>
                <w:szCs w:val="18"/>
              </w:rPr>
            </w:pPr>
            <w:r w:rsidRPr="00FD4171">
              <w:rPr>
                <w:rFonts w:ascii="Calibri" w:hAnsi="Calibri" w:cs="Arial"/>
                <w:sz w:val="18"/>
                <w:szCs w:val="18"/>
              </w:rPr>
              <w:t>Podřízené úvěry</w:t>
            </w:r>
          </w:p>
          <w:p w:rsidR="00297EC0" w:rsidRPr="00FD4171" w:rsidRDefault="00297EC0" w:rsidP="00636988">
            <w:pPr>
              <w:spacing w:before="120" w:after="0" w:line="240" w:lineRule="auto"/>
              <w:ind w:left="34"/>
              <w:jc w:val="left"/>
              <w:rPr>
                <w:rFonts w:ascii="Calibri" w:hAnsi="Calibri" w:cs="Arial"/>
                <w:sz w:val="18"/>
                <w:szCs w:val="18"/>
              </w:rPr>
            </w:pPr>
          </w:p>
        </w:tc>
        <w:tc>
          <w:tcPr>
            <w:tcW w:w="4111" w:type="dxa"/>
          </w:tcPr>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Program podpory START (realizace podnikatelských projektů osob vstupujících do podnikání poprvé nebo s delším časovým odstupem; </w:t>
            </w:r>
            <w:r w:rsidR="004667A4">
              <w:rPr>
                <w:rFonts w:ascii="Calibri" w:hAnsi="Calibri" w:cs="Arial"/>
                <w:sz w:val="18"/>
                <w:szCs w:val="18"/>
              </w:rPr>
              <w:t xml:space="preserve">konečnými </w:t>
            </w:r>
            <w:r w:rsidRPr="00FD4171">
              <w:rPr>
                <w:rFonts w:ascii="Calibri" w:hAnsi="Calibri" w:cs="Arial"/>
                <w:sz w:val="18"/>
                <w:szCs w:val="18"/>
              </w:rPr>
              <w:t>příjemci mohli být pouze drobní podnikatelé).</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Program podpory PROGRESS (pomocí podpory ve</w:t>
            </w:r>
            <w:r w:rsidR="00E871A7">
              <w:rPr>
                <w:rFonts w:ascii="Calibri" w:hAnsi="Calibri" w:cs="Arial"/>
                <w:sz w:val="18"/>
                <w:szCs w:val="18"/>
              </w:rPr>
              <w:t> </w:t>
            </w:r>
            <w:r w:rsidRPr="00FD4171">
              <w:rPr>
                <w:rFonts w:ascii="Calibri" w:hAnsi="Calibri" w:cs="Arial"/>
                <w:sz w:val="18"/>
                <w:szCs w:val="18"/>
              </w:rPr>
              <w:t>formě podřízených úvěrů umožnění realizace rozvojových podnikatelských projektů MSP a pomocí podpory ve formě finančního příspěvku k</w:t>
            </w:r>
            <w:r w:rsidR="00E871A7">
              <w:rPr>
                <w:rFonts w:ascii="Calibri" w:hAnsi="Calibri" w:cs="Arial"/>
                <w:sz w:val="18"/>
                <w:szCs w:val="18"/>
              </w:rPr>
              <w:t> </w:t>
            </w:r>
            <w:r w:rsidRPr="00FD4171">
              <w:rPr>
                <w:rFonts w:ascii="Calibri" w:hAnsi="Calibri" w:cs="Arial"/>
                <w:sz w:val="18"/>
                <w:szCs w:val="18"/>
              </w:rPr>
              <w:t xml:space="preserve">podřízenému úvěru </w:t>
            </w:r>
            <w:r w:rsidR="00BB0E53">
              <w:rPr>
                <w:rFonts w:ascii="Calibri" w:hAnsi="Calibri" w:cs="Arial"/>
                <w:sz w:val="18"/>
                <w:szCs w:val="18"/>
              </w:rPr>
              <w:t>motivace těchto podnikatelů</w:t>
            </w:r>
            <w:r w:rsidRPr="00FD4171">
              <w:rPr>
                <w:rFonts w:ascii="Calibri" w:hAnsi="Calibri" w:cs="Arial"/>
                <w:sz w:val="18"/>
                <w:szCs w:val="18"/>
              </w:rPr>
              <w:t xml:space="preserve"> ke zvyšování zaměstnanosti; </w:t>
            </w:r>
            <w:r w:rsidR="004667A4">
              <w:rPr>
                <w:rFonts w:ascii="Calibri" w:hAnsi="Calibri" w:cs="Arial"/>
                <w:sz w:val="18"/>
                <w:szCs w:val="18"/>
              </w:rPr>
              <w:t xml:space="preserve">konečnými </w:t>
            </w:r>
            <w:r w:rsidRPr="00FD4171">
              <w:rPr>
                <w:rFonts w:ascii="Calibri" w:hAnsi="Calibri" w:cs="Arial"/>
                <w:sz w:val="18"/>
                <w:szCs w:val="18"/>
              </w:rPr>
              <w:t>příjemci mohli být pouze MSP).</w:t>
            </w:r>
          </w:p>
          <w:p w:rsidR="00297EC0" w:rsidRPr="00FD4171" w:rsidRDefault="00297EC0" w:rsidP="00E871A7">
            <w:pPr>
              <w:spacing w:before="120" w:after="0" w:line="240" w:lineRule="auto"/>
              <w:ind w:left="0"/>
              <w:jc w:val="left"/>
              <w:rPr>
                <w:rFonts w:ascii="Calibri" w:hAnsi="Calibri" w:cs="Arial"/>
                <w:sz w:val="18"/>
                <w:szCs w:val="18"/>
              </w:rPr>
            </w:pPr>
            <w:r w:rsidRPr="00FD4171">
              <w:rPr>
                <w:rFonts w:ascii="Calibri" w:hAnsi="Calibri" w:cs="Arial"/>
                <w:b/>
                <w:sz w:val="18"/>
                <w:szCs w:val="18"/>
              </w:rPr>
              <w:t>Alokace do programu podpory PROGRESS dočerpána v roce 2012, výzvy k podávání žádostí o</w:t>
            </w:r>
            <w:r w:rsidR="00E871A7">
              <w:rPr>
                <w:rFonts w:ascii="Calibri" w:hAnsi="Calibri" w:cs="Arial"/>
                <w:b/>
                <w:sz w:val="18"/>
                <w:szCs w:val="18"/>
              </w:rPr>
              <w:t> </w:t>
            </w:r>
            <w:r w:rsidRPr="00FD4171">
              <w:rPr>
                <w:rFonts w:ascii="Calibri" w:hAnsi="Calibri" w:cs="Arial"/>
                <w:b/>
                <w:sz w:val="18"/>
                <w:szCs w:val="18"/>
              </w:rPr>
              <w:t>úvěry pozastaveny</w:t>
            </w:r>
            <w:r w:rsidRPr="00FD4171">
              <w:rPr>
                <w:rFonts w:ascii="Calibri" w:hAnsi="Calibri" w:cs="Arial"/>
                <w:sz w:val="18"/>
                <w:szCs w:val="18"/>
              </w:rPr>
              <w:t xml:space="preserve"> viz výše. </w:t>
            </w:r>
          </w:p>
        </w:tc>
      </w:tr>
      <w:tr w:rsidR="00297EC0" w:rsidRPr="00FD4171" w:rsidTr="00636988">
        <w:trPr>
          <w:trHeight w:val="1125"/>
        </w:trPr>
        <w:tc>
          <w:tcPr>
            <w:tcW w:w="1134" w:type="dxa"/>
            <w:shd w:val="clear" w:color="auto" w:fill="B8CCE4"/>
          </w:tcPr>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lastRenderedPageBreak/>
              <w:t>OPPI</w:t>
            </w:r>
          </w:p>
          <w:p w:rsidR="00297EC0" w:rsidRPr="00FD4171" w:rsidRDefault="00297EC0" w:rsidP="00FD4171">
            <w:pPr>
              <w:spacing w:before="120" w:after="0" w:line="240" w:lineRule="auto"/>
              <w:ind w:left="0"/>
              <w:rPr>
                <w:rFonts w:ascii="Calibri" w:hAnsi="Calibri" w:cs="Arial"/>
                <w:b/>
                <w:i/>
                <w:sz w:val="18"/>
                <w:szCs w:val="18"/>
              </w:rPr>
            </w:pPr>
            <w:r w:rsidRPr="00FD4171">
              <w:rPr>
                <w:rFonts w:ascii="Calibri" w:hAnsi="Calibri" w:cs="Arial"/>
                <w:b/>
                <w:i/>
                <w:sz w:val="18"/>
                <w:szCs w:val="18"/>
              </w:rPr>
              <w:t>Seed/Ventrure capital fond</w:t>
            </w:r>
          </w:p>
        </w:tc>
        <w:tc>
          <w:tcPr>
            <w:tcW w:w="1701" w:type="dxa"/>
          </w:tcPr>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Jednostupňové, založení ČRUIF a.s., do kterého poskytnut kapitál na investice formou dotace</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Výběrové řízení na obhospodařovatele ČRUIF</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Investiční výbor dávající stanoviska ohledně projektů navrhovaných k profinancování</w:t>
            </w:r>
          </w:p>
        </w:tc>
        <w:tc>
          <w:tcPr>
            <w:tcW w:w="1701" w:type="dxa"/>
          </w:tcPr>
          <w:p w:rsidR="00297EC0" w:rsidRPr="00FD4171" w:rsidRDefault="00297EC0" w:rsidP="00636988">
            <w:pPr>
              <w:spacing w:before="120" w:after="0" w:line="240" w:lineRule="auto"/>
              <w:ind w:left="34"/>
              <w:jc w:val="left"/>
              <w:rPr>
                <w:rFonts w:ascii="Calibri" w:hAnsi="Calibri" w:cs="Arial"/>
                <w:sz w:val="18"/>
                <w:szCs w:val="18"/>
              </w:rPr>
            </w:pPr>
            <w:r w:rsidRPr="00FD4171">
              <w:rPr>
                <w:rFonts w:ascii="Calibri" w:hAnsi="Calibri" w:cs="Arial"/>
                <w:sz w:val="18"/>
                <w:szCs w:val="18"/>
              </w:rPr>
              <w:t>Nástroje vlastního a kvazivlastního kapitálu (nezajištěné podřízené úvěry atd.)</w:t>
            </w:r>
          </w:p>
          <w:p w:rsidR="00297EC0" w:rsidRPr="00FD4171" w:rsidRDefault="00297EC0" w:rsidP="00E871A7">
            <w:pPr>
              <w:spacing w:before="120" w:after="0" w:line="240" w:lineRule="auto"/>
              <w:ind w:left="34"/>
              <w:jc w:val="left"/>
              <w:rPr>
                <w:rFonts w:ascii="Calibri" w:hAnsi="Calibri" w:cs="Arial"/>
                <w:sz w:val="18"/>
                <w:szCs w:val="18"/>
              </w:rPr>
            </w:pPr>
            <w:r w:rsidRPr="00FD4171">
              <w:rPr>
                <w:rFonts w:ascii="Calibri" w:hAnsi="Calibri" w:cs="Arial"/>
                <w:sz w:val="18"/>
                <w:szCs w:val="18"/>
              </w:rPr>
              <w:t>Případně částečně doplněno postoupením pohledávek a</w:t>
            </w:r>
            <w:r w:rsidR="00E871A7">
              <w:rPr>
                <w:rFonts w:ascii="Calibri" w:hAnsi="Calibri" w:cs="Arial"/>
                <w:sz w:val="18"/>
                <w:szCs w:val="18"/>
              </w:rPr>
              <w:t> </w:t>
            </w:r>
            <w:r w:rsidRPr="00FD4171">
              <w:rPr>
                <w:rFonts w:ascii="Calibri" w:hAnsi="Calibri" w:cs="Arial"/>
                <w:sz w:val="18"/>
                <w:szCs w:val="18"/>
              </w:rPr>
              <w:t>investicí do duševního vlastnictví</w:t>
            </w:r>
          </w:p>
        </w:tc>
        <w:tc>
          <w:tcPr>
            <w:tcW w:w="4111" w:type="dxa"/>
          </w:tcPr>
          <w:p w:rsidR="00AA08FF"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Seed část fondu měla poskytovat early-stage kapitál (Seed a start-up) v rámci PO 1 Vznik firem</w:t>
            </w:r>
            <w:r w:rsidR="00AA08FF" w:rsidRPr="00FD4171">
              <w:rPr>
                <w:rFonts w:ascii="Calibri" w:hAnsi="Calibri" w:cs="Arial"/>
                <w:sz w:val="18"/>
                <w:szCs w:val="18"/>
              </w:rPr>
              <w:t>.</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Venture capital část fondu měla být zaměřena na later-stage (expansion) investice v rámci PO 2 Rozvoj firem.</w:t>
            </w:r>
          </w:p>
          <w:p w:rsidR="00AA08FF"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Zamýšlení </w:t>
            </w:r>
            <w:r w:rsidR="004667A4">
              <w:rPr>
                <w:rFonts w:ascii="Calibri" w:hAnsi="Calibri" w:cs="Arial"/>
                <w:sz w:val="18"/>
                <w:szCs w:val="18"/>
              </w:rPr>
              <w:t xml:space="preserve">koneční </w:t>
            </w:r>
            <w:r w:rsidRPr="00FD4171">
              <w:rPr>
                <w:rFonts w:ascii="Calibri" w:hAnsi="Calibri" w:cs="Arial"/>
                <w:sz w:val="18"/>
                <w:szCs w:val="18"/>
              </w:rPr>
              <w:t>příjemci: MSP (se sídlem mimo Prahu)</w:t>
            </w:r>
            <w:r w:rsidR="00AA08FF" w:rsidRPr="00FD4171">
              <w:rPr>
                <w:rFonts w:ascii="Calibri" w:hAnsi="Calibri" w:cs="Arial"/>
                <w:sz w:val="18"/>
                <w:szCs w:val="18"/>
              </w:rPr>
              <w:t>.</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Zapojení soukromých investorů (na základě koinvestičních dohod s fondem) dané jejich povinným minimálním podílem na investici do každé cílové společnosti.</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 xml:space="preserve">Zadávací řízení na obhospodařovatele ČRUIF muselo být nakonec z více důvodů zrušeno a </w:t>
            </w:r>
            <w:r w:rsidRPr="00FD4171">
              <w:rPr>
                <w:rFonts w:ascii="Calibri" w:hAnsi="Calibri" w:cs="Arial"/>
                <w:b/>
                <w:sz w:val="18"/>
                <w:szCs w:val="18"/>
              </w:rPr>
              <w:t>fond rizikového kapitálu se v programovém období 2007</w:t>
            </w:r>
            <w:r w:rsidR="00BB0E53">
              <w:rPr>
                <w:rFonts w:ascii="Calibri" w:hAnsi="Calibri" w:cs="Arial"/>
                <w:b/>
                <w:sz w:val="18"/>
                <w:szCs w:val="18"/>
              </w:rPr>
              <w:t xml:space="preserve"> </w:t>
            </w:r>
            <w:r w:rsidRPr="00FD4171">
              <w:rPr>
                <w:rFonts w:ascii="Calibri" w:hAnsi="Calibri" w:cs="Arial"/>
                <w:b/>
                <w:sz w:val="18"/>
                <w:szCs w:val="18"/>
              </w:rPr>
              <w:t>-</w:t>
            </w:r>
            <w:r w:rsidR="00BB0E53">
              <w:rPr>
                <w:rFonts w:ascii="Calibri" w:hAnsi="Calibri" w:cs="Arial"/>
                <w:b/>
                <w:sz w:val="18"/>
                <w:szCs w:val="18"/>
              </w:rPr>
              <w:t xml:space="preserve"> </w:t>
            </w:r>
            <w:r w:rsidRPr="00FD4171">
              <w:rPr>
                <w:rFonts w:ascii="Calibri" w:hAnsi="Calibri" w:cs="Arial"/>
                <w:b/>
                <w:sz w:val="18"/>
                <w:szCs w:val="18"/>
              </w:rPr>
              <w:t>2013 vůbec nerozběhl</w:t>
            </w:r>
            <w:r w:rsidRPr="00FD4171">
              <w:rPr>
                <w:rFonts w:ascii="Calibri" w:hAnsi="Calibri" w:cs="Arial"/>
                <w:sz w:val="18"/>
                <w:szCs w:val="18"/>
              </w:rPr>
              <w:t>.</w:t>
            </w:r>
          </w:p>
          <w:p w:rsidR="00297EC0" w:rsidRPr="00FD4171" w:rsidRDefault="00297EC0" w:rsidP="00636988">
            <w:pPr>
              <w:spacing w:before="120" w:after="0" w:line="240" w:lineRule="auto"/>
              <w:ind w:left="0"/>
              <w:jc w:val="left"/>
              <w:rPr>
                <w:rFonts w:ascii="Calibri" w:hAnsi="Calibri" w:cs="Arial"/>
                <w:sz w:val="18"/>
                <w:szCs w:val="18"/>
              </w:rPr>
            </w:pPr>
            <w:r w:rsidRPr="00FD4171">
              <w:rPr>
                <w:rFonts w:ascii="Calibri" w:hAnsi="Calibri" w:cs="Arial"/>
                <w:sz w:val="18"/>
                <w:szCs w:val="18"/>
              </w:rPr>
              <w:t>Převedení prostředků původně alokovaných na fond do jiných programů podpory MSP v rámci OPPI, aby bylo možné jejich dočerpání v programovém období</w:t>
            </w:r>
            <w:r w:rsidR="00F26BCC">
              <w:rPr>
                <w:rFonts w:ascii="Calibri" w:hAnsi="Calibri" w:cs="Arial"/>
                <w:sz w:val="18"/>
                <w:szCs w:val="18"/>
              </w:rPr>
              <w:t xml:space="preserve"> 2007 - 2013</w:t>
            </w:r>
            <w:r w:rsidRPr="00FD4171">
              <w:rPr>
                <w:rFonts w:ascii="Calibri" w:hAnsi="Calibri" w:cs="Arial"/>
                <w:sz w:val="18"/>
                <w:szCs w:val="18"/>
              </w:rPr>
              <w:t>.</w:t>
            </w:r>
          </w:p>
        </w:tc>
      </w:tr>
      <w:tr w:rsidR="00297EC0" w:rsidRPr="00FD4171" w:rsidTr="00636988">
        <w:trPr>
          <w:trHeight w:val="1141"/>
        </w:trPr>
        <w:tc>
          <w:tcPr>
            <w:tcW w:w="1134" w:type="dxa"/>
            <w:shd w:val="clear" w:color="auto" w:fill="B8CCE4"/>
          </w:tcPr>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IOP</w:t>
            </w:r>
          </w:p>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Jessica</w:t>
            </w:r>
          </w:p>
        </w:tc>
        <w:tc>
          <w:tcPr>
            <w:tcW w:w="170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 xml:space="preserve">Dvoustupňové, správcem holdingového fondu </w:t>
            </w:r>
            <w:r w:rsidR="00442C75">
              <w:rPr>
                <w:rFonts w:asciiTheme="minorHAnsi" w:hAnsiTheme="minorHAnsi" w:cs="Arial"/>
                <w:sz w:val="18"/>
                <w:szCs w:val="18"/>
              </w:rPr>
              <w:t>(HF)</w:t>
            </w:r>
            <w:r w:rsidRPr="00B54C37">
              <w:rPr>
                <w:rFonts w:asciiTheme="minorHAnsi" w:hAnsiTheme="minorHAnsi" w:cs="Arial"/>
                <w:sz w:val="18"/>
                <w:szCs w:val="18"/>
              </w:rPr>
              <w:t>určen SFRB</w:t>
            </w:r>
          </w:p>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Správce fondu rozvoje měst (</w:t>
            </w:r>
            <w:r w:rsidR="00BB0E53" w:rsidRPr="00B54C37">
              <w:rPr>
                <w:rFonts w:asciiTheme="minorHAnsi" w:hAnsiTheme="minorHAnsi" w:cs="Arial"/>
                <w:sz w:val="18"/>
                <w:szCs w:val="18"/>
              </w:rPr>
              <w:t>„</w:t>
            </w:r>
            <w:r w:rsidRPr="00B54C37">
              <w:rPr>
                <w:rFonts w:asciiTheme="minorHAnsi" w:hAnsiTheme="minorHAnsi" w:cs="Arial"/>
                <w:sz w:val="18"/>
                <w:szCs w:val="18"/>
              </w:rPr>
              <w:t>FRM</w:t>
            </w:r>
            <w:r w:rsidR="00BB0E53" w:rsidRPr="00B54C37">
              <w:rPr>
                <w:rFonts w:asciiTheme="minorHAnsi" w:hAnsiTheme="minorHAnsi" w:cs="Arial"/>
                <w:sz w:val="18"/>
                <w:szCs w:val="18"/>
              </w:rPr>
              <w:t>“</w:t>
            </w:r>
            <w:r w:rsidRPr="00B54C37">
              <w:rPr>
                <w:rFonts w:asciiTheme="minorHAnsi" w:hAnsiTheme="minorHAnsi" w:cs="Arial"/>
                <w:sz w:val="18"/>
                <w:szCs w:val="18"/>
              </w:rPr>
              <w:t>) vybrán výběrovým řízením, stala se jím KB a.s.</w:t>
            </w:r>
          </w:p>
        </w:tc>
        <w:tc>
          <w:tcPr>
            <w:tcW w:w="1701" w:type="dxa"/>
          </w:tcPr>
          <w:p w:rsidR="00297EC0" w:rsidRPr="00B54C37" w:rsidRDefault="00297EC0" w:rsidP="00636988">
            <w:pPr>
              <w:spacing w:before="120" w:after="0" w:line="240" w:lineRule="auto"/>
              <w:ind w:left="34"/>
              <w:jc w:val="left"/>
              <w:rPr>
                <w:rFonts w:asciiTheme="minorHAnsi" w:hAnsiTheme="minorHAnsi" w:cs="Arial"/>
                <w:sz w:val="18"/>
                <w:szCs w:val="18"/>
              </w:rPr>
            </w:pPr>
            <w:r w:rsidRPr="00B54C37">
              <w:rPr>
                <w:rFonts w:asciiTheme="minorHAnsi" w:hAnsiTheme="minorHAnsi" w:cs="Arial"/>
                <w:sz w:val="18"/>
                <w:szCs w:val="18"/>
              </w:rPr>
              <w:t>Zvýhodněné dlouhodobé úvěry s max. dobou splatnosti 30 let</w:t>
            </w:r>
          </w:p>
          <w:p w:rsidR="00297EC0" w:rsidRPr="00B54C37" w:rsidRDefault="00297EC0" w:rsidP="00636988">
            <w:pPr>
              <w:spacing w:before="120" w:after="0" w:line="240" w:lineRule="auto"/>
              <w:ind w:left="34"/>
              <w:jc w:val="left"/>
              <w:rPr>
                <w:rFonts w:asciiTheme="minorHAnsi" w:hAnsiTheme="minorHAnsi" w:cs="Arial"/>
                <w:sz w:val="18"/>
                <w:szCs w:val="18"/>
              </w:rPr>
            </w:pPr>
            <w:r w:rsidRPr="00B54C37">
              <w:rPr>
                <w:rFonts w:asciiTheme="minorHAnsi" w:hAnsiTheme="minorHAnsi" w:cs="Arial"/>
                <w:sz w:val="18"/>
                <w:szCs w:val="18"/>
              </w:rPr>
              <w:t>Minimální požadavky na zajištění úvěru.</w:t>
            </w:r>
          </w:p>
        </w:tc>
        <w:tc>
          <w:tcPr>
            <w:tcW w:w="411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color w:val="231F20"/>
                <w:sz w:val="18"/>
                <w:szCs w:val="18"/>
                <w:shd w:val="clear" w:color="auto" w:fill="FEFEFE"/>
              </w:rPr>
              <w:t xml:space="preserve">Úvěr na pokrytí výdajů souvisejících s modernizací a rekonstrukcí bytového domu (aktivita „Regenerace bytových domů“) nebo s rekonstrukcí nemovitostí, </w:t>
            </w:r>
            <w:r w:rsidR="00BB0E53" w:rsidRPr="00B54C37">
              <w:rPr>
                <w:rFonts w:asciiTheme="minorHAnsi" w:hAnsiTheme="minorHAnsi" w:cs="Arial"/>
                <w:color w:val="231F20"/>
                <w:sz w:val="18"/>
                <w:szCs w:val="18"/>
                <w:shd w:val="clear" w:color="auto" w:fill="FEFEFE"/>
              </w:rPr>
              <w:t xml:space="preserve">které </w:t>
            </w:r>
            <w:r w:rsidRPr="00B54C37">
              <w:rPr>
                <w:rFonts w:asciiTheme="minorHAnsi" w:hAnsiTheme="minorHAnsi" w:cs="Arial"/>
                <w:color w:val="231F20"/>
                <w:sz w:val="18"/>
                <w:szCs w:val="18"/>
                <w:shd w:val="clear" w:color="auto" w:fill="FEFEFE"/>
              </w:rPr>
              <w:t xml:space="preserve">slouží či </w:t>
            </w:r>
            <w:r w:rsidR="00BB0E53" w:rsidRPr="00B54C37">
              <w:rPr>
                <w:rFonts w:asciiTheme="minorHAnsi" w:hAnsiTheme="minorHAnsi" w:cs="Arial"/>
                <w:color w:val="231F20"/>
                <w:sz w:val="18"/>
                <w:szCs w:val="18"/>
                <w:shd w:val="clear" w:color="auto" w:fill="FEFEFE"/>
              </w:rPr>
              <w:t xml:space="preserve">budou </w:t>
            </w:r>
            <w:r w:rsidRPr="00B54C37">
              <w:rPr>
                <w:rFonts w:asciiTheme="minorHAnsi" w:hAnsiTheme="minorHAnsi" w:cs="Arial"/>
                <w:color w:val="231F20"/>
                <w:sz w:val="18"/>
                <w:szCs w:val="18"/>
                <w:shd w:val="clear" w:color="auto" w:fill="FEFEFE"/>
              </w:rPr>
              <w:t>sloužit pro sociální bydlení (aktivita „Zajištění moderního sociálního bydlení“).</w:t>
            </w:r>
          </w:p>
          <w:p w:rsidR="00297EC0" w:rsidRPr="00B54C37" w:rsidRDefault="004667A4" w:rsidP="00636988">
            <w:pPr>
              <w:spacing w:before="120" w:after="0" w:line="240" w:lineRule="auto"/>
              <w:ind w:left="0"/>
              <w:jc w:val="left"/>
              <w:rPr>
                <w:rFonts w:asciiTheme="minorHAnsi" w:hAnsiTheme="minorHAnsi" w:cs="Arial"/>
                <w:sz w:val="18"/>
                <w:szCs w:val="18"/>
              </w:rPr>
            </w:pPr>
            <w:r>
              <w:rPr>
                <w:rFonts w:asciiTheme="minorHAnsi" w:hAnsiTheme="minorHAnsi" w:cs="Arial"/>
                <w:sz w:val="18"/>
                <w:szCs w:val="18"/>
              </w:rPr>
              <w:t>Koneční p</w:t>
            </w:r>
            <w:r w:rsidR="00297EC0" w:rsidRPr="00B54C37">
              <w:rPr>
                <w:rFonts w:asciiTheme="minorHAnsi" w:hAnsiTheme="minorHAnsi" w:cs="Arial"/>
                <w:sz w:val="18"/>
                <w:szCs w:val="18"/>
              </w:rPr>
              <w:t xml:space="preserve">říjemci: společenství vlastníků, bytová družstva, další právnické a fyzické osoby vlastnící bytový dům, obce, neziskové organizace vlastnící nemovitost pro účely sociálního bydlení </w:t>
            </w:r>
          </w:p>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 xml:space="preserve">Zvýhodněné úvěry z tohoto </w:t>
            </w:r>
            <w:r w:rsidR="00986EE0" w:rsidRPr="00B54C37">
              <w:rPr>
                <w:rFonts w:asciiTheme="minorHAnsi" w:hAnsiTheme="minorHAnsi" w:cs="Arial"/>
                <w:sz w:val="18"/>
                <w:szCs w:val="18"/>
              </w:rPr>
              <w:t>IFN</w:t>
            </w:r>
            <w:r w:rsidRPr="00B54C37">
              <w:rPr>
                <w:rFonts w:asciiTheme="minorHAnsi" w:hAnsiTheme="minorHAnsi" w:cs="Arial"/>
                <w:sz w:val="18"/>
                <w:szCs w:val="18"/>
              </w:rPr>
              <w:t xml:space="preserve"> odstartovaly v lednu 2014, první smlouva o úvěru byla podepsána v březnu. </w:t>
            </w:r>
            <w:r w:rsidRPr="00B54C37">
              <w:rPr>
                <w:rFonts w:asciiTheme="minorHAnsi" w:hAnsiTheme="minorHAnsi" w:cs="Arial"/>
                <w:b/>
                <w:sz w:val="18"/>
                <w:szCs w:val="18"/>
              </w:rPr>
              <w:t>K </w:t>
            </w:r>
            <w:r w:rsidR="00284CD2">
              <w:rPr>
                <w:rFonts w:asciiTheme="minorHAnsi" w:hAnsiTheme="minorHAnsi" w:cs="Arial"/>
                <w:b/>
                <w:sz w:val="18"/>
                <w:szCs w:val="18"/>
              </w:rPr>
              <w:t>prosinci</w:t>
            </w:r>
            <w:r w:rsidR="00284CD2" w:rsidRPr="00B54C37">
              <w:rPr>
                <w:rFonts w:asciiTheme="minorHAnsi" w:hAnsiTheme="minorHAnsi" w:cs="Arial"/>
                <w:b/>
                <w:sz w:val="18"/>
                <w:szCs w:val="18"/>
              </w:rPr>
              <w:t xml:space="preserve"> </w:t>
            </w:r>
            <w:r w:rsidRPr="00B54C37">
              <w:rPr>
                <w:rFonts w:asciiTheme="minorHAnsi" w:hAnsiTheme="minorHAnsi" w:cs="Arial"/>
                <w:b/>
                <w:sz w:val="18"/>
                <w:szCs w:val="18"/>
              </w:rPr>
              <w:t>2014</w:t>
            </w:r>
            <w:r w:rsidRPr="00B54C37">
              <w:rPr>
                <w:rFonts w:asciiTheme="minorHAnsi" w:hAnsiTheme="minorHAnsi"/>
                <w:b/>
                <w:sz w:val="18"/>
                <w:szCs w:val="18"/>
              </w:rPr>
              <w:t xml:space="preserve"> </w:t>
            </w:r>
            <w:r w:rsidR="00284CD2">
              <w:rPr>
                <w:rFonts w:asciiTheme="minorHAnsi" w:hAnsiTheme="minorHAnsi" w:cs="Arial"/>
                <w:b/>
                <w:sz w:val="18"/>
                <w:szCs w:val="18"/>
              </w:rPr>
              <w:t>již byly podepsány smlouvy na více než dvě třetiny alokovaných prostředků a zbylé jsou ve stádiu posuzování a schvalování</w:t>
            </w:r>
            <w:r w:rsidRPr="00B54C37">
              <w:rPr>
                <w:rFonts w:asciiTheme="minorHAnsi" w:hAnsiTheme="minorHAnsi" w:cs="Arial"/>
                <w:b/>
                <w:sz w:val="18"/>
                <w:szCs w:val="18"/>
              </w:rPr>
              <w:t>.</w:t>
            </w:r>
          </w:p>
        </w:tc>
      </w:tr>
      <w:tr w:rsidR="00297EC0" w:rsidRPr="00FD4171" w:rsidTr="00636988">
        <w:trPr>
          <w:trHeight w:val="2114"/>
        </w:trPr>
        <w:tc>
          <w:tcPr>
            <w:tcW w:w="1134" w:type="dxa"/>
            <w:shd w:val="clear" w:color="auto" w:fill="B8CCE4"/>
          </w:tcPr>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ROP MSK</w:t>
            </w:r>
          </w:p>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Jessica</w:t>
            </w:r>
          </w:p>
        </w:tc>
        <w:tc>
          <w:tcPr>
            <w:tcW w:w="170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Původně dvoustupňové: správcem HF určena přímo EIB a</w:t>
            </w:r>
            <w:r w:rsidR="00E871A7">
              <w:rPr>
                <w:rFonts w:asciiTheme="minorHAnsi" w:hAnsiTheme="minorHAnsi" w:cs="Arial"/>
                <w:sz w:val="18"/>
                <w:szCs w:val="18"/>
              </w:rPr>
              <w:t> </w:t>
            </w:r>
            <w:r w:rsidRPr="00B54C37">
              <w:rPr>
                <w:rFonts w:asciiTheme="minorHAnsi" w:hAnsiTheme="minorHAnsi" w:cs="Arial"/>
                <w:sz w:val="18"/>
                <w:szCs w:val="18"/>
              </w:rPr>
              <w:t>na</w:t>
            </w:r>
            <w:r w:rsidR="00E871A7">
              <w:rPr>
                <w:rFonts w:asciiTheme="minorHAnsi" w:hAnsiTheme="minorHAnsi" w:cs="Arial"/>
                <w:sz w:val="18"/>
                <w:szCs w:val="18"/>
              </w:rPr>
              <w:t> </w:t>
            </w:r>
            <w:r w:rsidRPr="00B54C37">
              <w:rPr>
                <w:rFonts w:asciiTheme="minorHAnsi" w:hAnsiTheme="minorHAnsi" w:cs="Arial"/>
                <w:sz w:val="18"/>
                <w:szCs w:val="18"/>
              </w:rPr>
              <w:t xml:space="preserve">úrovni správce FRM </w:t>
            </w:r>
            <w:r w:rsidR="00D106C4" w:rsidRPr="00B54C37">
              <w:rPr>
                <w:rFonts w:asciiTheme="minorHAnsi" w:hAnsiTheme="minorHAnsi" w:cs="Arial"/>
                <w:sz w:val="18"/>
                <w:szCs w:val="18"/>
              </w:rPr>
              <w:t>ČMZRB</w:t>
            </w:r>
            <w:r w:rsidRPr="00B54C37">
              <w:rPr>
                <w:rFonts w:asciiTheme="minorHAnsi" w:hAnsiTheme="minorHAnsi" w:cs="Arial"/>
                <w:sz w:val="18"/>
                <w:szCs w:val="18"/>
              </w:rPr>
              <w:t>, a.s. a Contera, s.r.o.</w:t>
            </w:r>
          </w:p>
          <w:p w:rsidR="00297EC0" w:rsidRPr="00B54C37" w:rsidRDefault="00297EC0" w:rsidP="00E871A7">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Od 1. 1. 2014: bez HF, který zanikl a veškeré povinnosti a</w:t>
            </w:r>
            <w:r w:rsidR="00E871A7">
              <w:rPr>
                <w:rFonts w:asciiTheme="minorHAnsi" w:hAnsiTheme="minorHAnsi" w:cs="Arial"/>
                <w:sz w:val="18"/>
                <w:szCs w:val="18"/>
              </w:rPr>
              <w:t> </w:t>
            </w:r>
            <w:r w:rsidRPr="00B54C37">
              <w:rPr>
                <w:rFonts w:asciiTheme="minorHAnsi" w:hAnsiTheme="minorHAnsi" w:cs="Arial"/>
                <w:sz w:val="18"/>
                <w:szCs w:val="18"/>
              </w:rPr>
              <w:t>kompetence dosud vykonávané EIB přešly na ŘO</w:t>
            </w:r>
          </w:p>
        </w:tc>
        <w:tc>
          <w:tcPr>
            <w:tcW w:w="1701" w:type="dxa"/>
          </w:tcPr>
          <w:p w:rsidR="00297EC0" w:rsidRPr="00B54C37" w:rsidRDefault="00297EC0" w:rsidP="00636988">
            <w:pPr>
              <w:spacing w:before="120" w:after="0" w:line="240" w:lineRule="auto"/>
              <w:ind w:left="34"/>
              <w:jc w:val="left"/>
              <w:rPr>
                <w:rFonts w:asciiTheme="minorHAnsi" w:hAnsiTheme="minorHAnsi" w:cs="Arial"/>
                <w:sz w:val="18"/>
                <w:szCs w:val="18"/>
              </w:rPr>
            </w:pPr>
            <w:r w:rsidRPr="00B54C37">
              <w:rPr>
                <w:rFonts w:asciiTheme="minorHAnsi" w:hAnsiTheme="minorHAnsi" w:cs="Arial"/>
                <w:sz w:val="18"/>
                <w:szCs w:val="18"/>
              </w:rPr>
              <w:t>Zvýhodněné dlouhodobé úvěry s max. dobou splatnosti 30 let</w:t>
            </w:r>
          </w:p>
          <w:p w:rsidR="00297EC0" w:rsidRPr="00B54C37" w:rsidRDefault="00297EC0" w:rsidP="00636988">
            <w:pPr>
              <w:spacing w:before="120" w:after="0" w:line="240" w:lineRule="auto"/>
              <w:ind w:left="34"/>
              <w:jc w:val="left"/>
              <w:rPr>
                <w:rFonts w:asciiTheme="minorHAnsi" w:hAnsiTheme="minorHAnsi" w:cs="Arial"/>
                <w:sz w:val="18"/>
                <w:szCs w:val="18"/>
              </w:rPr>
            </w:pPr>
          </w:p>
        </w:tc>
        <w:tc>
          <w:tcPr>
            <w:tcW w:w="411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Podporovány projekty udržitelného městského rozvoje přispívající k naplnění cílů PO 2 ROP MS, zejména opatření 2.3 Podpora využívání brownfields a dále opatření 2.1 Infrastruktura veřejných služeb (vzdělávání, sociální služby, zdravotnictví), 2.2 Rozvoj cestovního ruchu a 2.4 Marketing regionu.</w:t>
            </w:r>
          </w:p>
          <w:p w:rsidR="00297EC0" w:rsidRPr="00B54C37" w:rsidRDefault="004667A4" w:rsidP="00636988">
            <w:pPr>
              <w:spacing w:before="120" w:after="0" w:line="240" w:lineRule="auto"/>
              <w:ind w:left="0"/>
              <w:jc w:val="left"/>
              <w:rPr>
                <w:rFonts w:asciiTheme="minorHAnsi" w:hAnsiTheme="minorHAnsi" w:cs="Arial"/>
                <w:sz w:val="18"/>
                <w:szCs w:val="18"/>
              </w:rPr>
            </w:pPr>
            <w:r>
              <w:rPr>
                <w:rFonts w:asciiTheme="minorHAnsi" w:hAnsiTheme="minorHAnsi" w:cs="Arial"/>
                <w:sz w:val="18"/>
                <w:szCs w:val="18"/>
              </w:rPr>
              <w:t>Koneční p</w:t>
            </w:r>
            <w:r w:rsidR="00297EC0" w:rsidRPr="00B54C37">
              <w:rPr>
                <w:rFonts w:asciiTheme="minorHAnsi" w:hAnsiTheme="minorHAnsi" w:cs="Arial"/>
                <w:sz w:val="18"/>
                <w:szCs w:val="18"/>
              </w:rPr>
              <w:t>říjemci: podnikatelé a obce</w:t>
            </w:r>
          </w:p>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b/>
                <w:bCs/>
                <w:sz w:val="18"/>
                <w:szCs w:val="18"/>
              </w:rPr>
              <w:t>Dobře funguje poskytování úvěrů z FRM Contera s.r.o.</w:t>
            </w:r>
            <w:r w:rsidRPr="00B54C37">
              <w:rPr>
                <w:rFonts w:asciiTheme="minorHAnsi" w:hAnsiTheme="minorHAnsi" w:cs="Arial"/>
                <w:sz w:val="18"/>
                <w:szCs w:val="18"/>
              </w:rPr>
              <w:t xml:space="preserve"> (příjem žádostí o podporu již od dubna 2012), </w:t>
            </w:r>
            <w:r w:rsidRPr="00B54C37">
              <w:rPr>
                <w:rFonts w:asciiTheme="minorHAnsi" w:hAnsiTheme="minorHAnsi" w:cs="Arial"/>
                <w:b/>
                <w:bCs/>
                <w:sz w:val="18"/>
                <w:szCs w:val="18"/>
              </w:rPr>
              <w:t>u FRM ČMZRB, a.s. uvolňování úvěrů vázlo</w:t>
            </w:r>
            <w:r w:rsidRPr="00B54C37">
              <w:rPr>
                <w:rFonts w:asciiTheme="minorHAnsi" w:hAnsiTheme="minorHAnsi" w:cs="Arial"/>
                <w:sz w:val="18"/>
                <w:szCs w:val="18"/>
              </w:rPr>
              <w:t xml:space="preserve"> (první výhodný úvěr poskytnut až v dubnu 2013</w:t>
            </w:r>
            <w:r w:rsidR="005F49AE">
              <w:rPr>
                <w:rFonts w:asciiTheme="minorHAnsi" w:hAnsiTheme="minorHAnsi" w:cs="Arial"/>
                <w:sz w:val="18"/>
                <w:szCs w:val="18"/>
              </w:rPr>
              <w:t>)</w:t>
            </w:r>
            <w:r w:rsidRPr="00B54C37">
              <w:rPr>
                <w:rFonts w:asciiTheme="minorHAnsi" w:hAnsiTheme="minorHAnsi" w:cs="Arial"/>
                <w:sz w:val="18"/>
                <w:szCs w:val="18"/>
              </w:rPr>
              <w:t xml:space="preserve"> </w:t>
            </w:r>
            <w:r w:rsidR="005F49AE">
              <w:rPr>
                <w:rFonts w:asciiTheme="minorHAnsi" w:hAnsiTheme="minorHAnsi" w:cs="Arial"/>
                <w:sz w:val="18"/>
                <w:szCs w:val="18"/>
              </w:rPr>
              <w:t>a v roce 2014 došlo k</w:t>
            </w:r>
            <w:r w:rsidRPr="00B54C37">
              <w:rPr>
                <w:rFonts w:asciiTheme="minorHAnsi" w:hAnsiTheme="minorHAnsi" w:cs="Arial"/>
                <w:sz w:val="18"/>
                <w:szCs w:val="18"/>
              </w:rPr>
              <w:t xml:space="preserve"> </w:t>
            </w:r>
            <w:r w:rsidR="005F49AE">
              <w:rPr>
                <w:rFonts w:asciiTheme="minorHAnsi" w:hAnsiTheme="minorHAnsi" w:cs="Arial"/>
                <w:b/>
                <w:sz w:val="18"/>
                <w:szCs w:val="18"/>
              </w:rPr>
              <w:t>p</w:t>
            </w:r>
            <w:r w:rsidRPr="00B54C37">
              <w:rPr>
                <w:rFonts w:asciiTheme="minorHAnsi" w:hAnsiTheme="minorHAnsi" w:cs="Arial"/>
                <w:b/>
                <w:sz w:val="18"/>
                <w:szCs w:val="18"/>
              </w:rPr>
              <w:t>řevod</w:t>
            </w:r>
            <w:r w:rsidR="005F49AE">
              <w:rPr>
                <w:rFonts w:asciiTheme="minorHAnsi" w:hAnsiTheme="minorHAnsi" w:cs="Arial"/>
                <w:b/>
                <w:sz w:val="18"/>
                <w:szCs w:val="18"/>
              </w:rPr>
              <w:t>u</w:t>
            </w:r>
            <w:r w:rsidRPr="00B54C37">
              <w:rPr>
                <w:rFonts w:asciiTheme="minorHAnsi" w:hAnsiTheme="minorHAnsi" w:cs="Arial"/>
                <w:b/>
                <w:sz w:val="18"/>
                <w:szCs w:val="18"/>
              </w:rPr>
              <w:t xml:space="preserve"> prostředků</w:t>
            </w:r>
            <w:r w:rsidRPr="00B54C37">
              <w:rPr>
                <w:rFonts w:asciiTheme="minorHAnsi" w:hAnsiTheme="minorHAnsi" w:cs="Arial"/>
                <w:sz w:val="18"/>
                <w:szCs w:val="18"/>
              </w:rPr>
              <w:t xml:space="preserve"> </w:t>
            </w:r>
            <w:r w:rsidRPr="00B54C37">
              <w:rPr>
                <w:rFonts w:asciiTheme="minorHAnsi" w:hAnsiTheme="minorHAnsi" w:cs="Arial"/>
                <w:b/>
                <w:sz w:val="18"/>
                <w:szCs w:val="18"/>
              </w:rPr>
              <w:t>původně alokovaných ve FRM ČMZRB, a.s. do FRM Contera s.r.o.</w:t>
            </w:r>
          </w:p>
        </w:tc>
      </w:tr>
      <w:tr w:rsidR="00297EC0" w:rsidRPr="00FD4171" w:rsidTr="00636988">
        <w:trPr>
          <w:trHeight w:val="2114"/>
        </w:trPr>
        <w:tc>
          <w:tcPr>
            <w:tcW w:w="1134" w:type="dxa"/>
            <w:shd w:val="clear" w:color="auto" w:fill="B8CCE4"/>
          </w:tcPr>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lastRenderedPageBreak/>
              <w:t>OP PK</w:t>
            </w:r>
          </w:p>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Jessica</w:t>
            </w:r>
          </w:p>
        </w:tc>
        <w:tc>
          <w:tcPr>
            <w:tcW w:w="170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Jednostupňové uspořádání bez HF, se správcem FRM vybíraným výběrovým řízením</w:t>
            </w:r>
          </w:p>
        </w:tc>
        <w:tc>
          <w:tcPr>
            <w:tcW w:w="1701" w:type="dxa"/>
          </w:tcPr>
          <w:p w:rsidR="00297EC0" w:rsidRPr="00B54C37" w:rsidRDefault="00297EC0" w:rsidP="00636988">
            <w:pPr>
              <w:spacing w:before="120" w:after="0" w:line="240" w:lineRule="auto"/>
              <w:ind w:left="34"/>
              <w:jc w:val="left"/>
              <w:rPr>
                <w:rFonts w:asciiTheme="minorHAnsi" w:hAnsiTheme="minorHAnsi" w:cs="Arial"/>
                <w:sz w:val="18"/>
                <w:szCs w:val="18"/>
              </w:rPr>
            </w:pPr>
            <w:r w:rsidRPr="00B54C37">
              <w:rPr>
                <w:rFonts w:asciiTheme="minorHAnsi" w:hAnsiTheme="minorHAnsi" w:cs="Arial"/>
                <w:sz w:val="18"/>
                <w:szCs w:val="18"/>
              </w:rPr>
              <w:t>Zvažovány zvýhodněné dlouhodobé úvěry</w:t>
            </w:r>
          </w:p>
        </w:tc>
        <w:tc>
          <w:tcPr>
            <w:tcW w:w="411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Revitalizace brownfields a veřejných ploch (oblast podpory 2.1)</w:t>
            </w:r>
          </w:p>
          <w:p w:rsidR="00297EC0" w:rsidRPr="00B54C37" w:rsidRDefault="004667A4" w:rsidP="00636988">
            <w:pPr>
              <w:spacing w:before="120" w:after="0" w:line="240" w:lineRule="auto"/>
              <w:ind w:left="0"/>
              <w:jc w:val="left"/>
              <w:rPr>
                <w:rFonts w:asciiTheme="minorHAnsi" w:hAnsiTheme="minorHAnsi" w:cs="Arial"/>
                <w:sz w:val="18"/>
                <w:szCs w:val="18"/>
              </w:rPr>
            </w:pPr>
            <w:r>
              <w:rPr>
                <w:rFonts w:asciiTheme="minorHAnsi" w:hAnsiTheme="minorHAnsi" w:cs="Arial"/>
                <w:sz w:val="18"/>
                <w:szCs w:val="18"/>
              </w:rPr>
              <w:t>Koneční p</w:t>
            </w:r>
            <w:r w:rsidR="00297EC0" w:rsidRPr="00B54C37">
              <w:rPr>
                <w:rFonts w:asciiTheme="minorHAnsi" w:hAnsiTheme="minorHAnsi" w:cs="Arial"/>
                <w:sz w:val="18"/>
                <w:szCs w:val="18"/>
              </w:rPr>
              <w:t xml:space="preserve">říjemci: hl. m. Praha, městské části, NNO, MSP </w:t>
            </w:r>
          </w:p>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b/>
                <w:sz w:val="18"/>
                <w:szCs w:val="18"/>
              </w:rPr>
              <w:t>Aktivity na využití finančního nástroje Jessica byly ukončeny</w:t>
            </w:r>
            <w:r w:rsidRPr="00B54C37">
              <w:rPr>
                <w:rFonts w:asciiTheme="minorHAnsi" w:hAnsiTheme="minorHAnsi" w:cs="Arial"/>
                <w:sz w:val="18"/>
                <w:szCs w:val="18"/>
              </w:rPr>
              <w:t xml:space="preserve"> a to z důvodu, že do výběrového řízení na správce FRM byly podány pouze dvě nabídky a jedna z nich musela být vyřazena již na formálních náležitostech. Další vývoj se nepředpokládá.</w:t>
            </w:r>
          </w:p>
        </w:tc>
      </w:tr>
      <w:tr w:rsidR="00297EC0" w:rsidRPr="00FD4171" w:rsidTr="00636988">
        <w:trPr>
          <w:trHeight w:val="2114"/>
        </w:trPr>
        <w:tc>
          <w:tcPr>
            <w:tcW w:w="1134" w:type="dxa"/>
            <w:shd w:val="clear" w:color="auto" w:fill="B8CCE4"/>
          </w:tcPr>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ROP SM</w:t>
            </w:r>
          </w:p>
          <w:p w:rsidR="00297EC0" w:rsidRPr="00FD4171" w:rsidRDefault="00297EC0" w:rsidP="00FD4171">
            <w:pPr>
              <w:spacing w:before="120" w:after="0" w:line="240" w:lineRule="auto"/>
              <w:ind w:left="0"/>
              <w:rPr>
                <w:rFonts w:cs="Arial"/>
                <w:b/>
                <w:i/>
                <w:sz w:val="18"/>
                <w:szCs w:val="18"/>
              </w:rPr>
            </w:pPr>
            <w:r w:rsidRPr="00FD4171">
              <w:rPr>
                <w:rFonts w:cs="Arial"/>
                <w:b/>
                <w:i/>
                <w:sz w:val="18"/>
                <w:szCs w:val="18"/>
              </w:rPr>
              <w:t>Jessica</w:t>
            </w:r>
          </w:p>
        </w:tc>
        <w:tc>
          <w:tcPr>
            <w:tcW w:w="170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Jednostupňové uspořádání bez HF, se správcem FRM vybíraným výběrovým řízením</w:t>
            </w:r>
          </w:p>
        </w:tc>
        <w:tc>
          <w:tcPr>
            <w:tcW w:w="1701" w:type="dxa"/>
          </w:tcPr>
          <w:p w:rsidR="00297EC0" w:rsidRPr="00B54C37" w:rsidRDefault="00297EC0" w:rsidP="00636988">
            <w:pPr>
              <w:spacing w:before="120" w:after="0" w:line="240" w:lineRule="auto"/>
              <w:ind w:left="34"/>
              <w:jc w:val="left"/>
              <w:rPr>
                <w:rFonts w:asciiTheme="minorHAnsi" w:hAnsiTheme="minorHAnsi" w:cs="Arial"/>
                <w:sz w:val="18"/>
                <w:szCs w:val="18"/>
              </w:rPr>
            </w:pPr>
            <w:r w:rsidRPr="00B54C37">
              <w:rPr>
                <w:rFonts w:asciiTheme="minorHAnsi" w:hAnsiTheme="minorHAnsi" w:cs="Arial"/>
                <w:sz w:val="18"/>
                <w:szCs w:val="18"/>
              </w:rPr>
              <w:t>Zvažovány zvýhodněné dlouhodobé úvěry</w:t>
            </w:r>
          </w:p>
        </w:tc>
        <w:tc>
          <w:tcPr>
            <w:tcW w:w="4111" w:type="dxa"/>
          </w:tcPr>
          <w:p w:rsidR="00297EC0" w:rsidRPr="00B54C37" w:rsidRDefault="00297EC0" w:rsidP="00636988">
            <w:pPr>
              <w:spacing w:before="120" w:after="0" w:line="240" w:lineRule="auto"/>
              <w:ind w:left="0"/>
              <w:jc w:val="left"/>
              <w:rPr>
                <w:rFonts w:asciiTheme="minorHAnsi" w:hAnsiTheme="minorHAnsi" w:cs="Arial"/>
                <w:sz w:val="18"/>
                <w:szCs w:val="18"/>
              </w:rPr>
            </w:pPr>
            <w:r w:rsidRPr="00B54C37">
              <w:rPr>
                <w:rFonts w:asciiTheme="minorHAnsi" w:hAnsiTheme="minorHAnsi" w:cs="Arial"/>
                <w:sz w:val="18"/>
                <w:szCs w:val="18"/>
              </w:rPr>
              <w:t>Zaměření na PO 2 Integrovaný rozvoj a obnova regionu, oblasti podpory 2.1 Rozvoj regionálních center, 2.2 Rozvoj měst a 2.4 Podpora podnikání.</w:t>
            </w:r>
          </w:p>
          <w:p w:rsidR="00297EC0" w:rsidRPr="00B54C37" w:rsidRDefault="004667A4" w:rsidP="00636988">
            <w:pPr>
              <w:spacing w:before="120" w:after="0" w:line="240" w:lineRule="auto"/>
              <w:ind w:left="0"/>
              <w:jc w:val="left"/>
              <w:rPr>
                <w:rFonts w:asciiTheme="minorHAnsi" w:hAnsiTheme="minorHAnsi" w:cs="Arial"/>
                <w:sz w:val="18"/>
                <w:szCs w:val="18"/>
              </w:rPr>
            </w:pPr>
            <w:r>
              <w:rPr>
                <w:rFonts w:asciiTheme="minorHAnsi" w:hAnsiTheme="minorHAnsi" w:cs="Arial"/>
                <w:sz w:val="18"/>
                <w:szCs w:val="18"/>
              </w:rPr>
              <w:t>Koneční p</w:t>
            </w:r>
            <w:r w:rsidR="00297EC0" w:rsidRPr="00B54C37">
              <w:rPr>
                <w:rFonts w:asciiTheme="minorHAnsi" w:hAnsiTheme="minorHAnsi" w:cs="Arial"/>
                <w:sz w:val="18"/>
                <w:szCs w:val="18"/>
              </w:rPr>
              <w:t>říjemci: města v rámci NUTS2 Střední Morava s počtem obyvatel nad 10 tis. a ostatní oprávnění příjemci v dané PO.</w:t>
            </w:r>
          </w:p>
          <w:p w:rsidR="00297EC0" w:rsidRPr="00B54C37" w:rsidRDefault="00297EC0" w:rsidP="00E871A7">
            <w:pPr>
              <w:spacing w:before="120" w:after="0" w:line="240" w:lineRule="auto"/>
              <w:ind w:left="0"/>
              <w:jc w:val="left"/>
              <w:rPr>
                <w:rFonts w:asciiTheme="minorHAnsi" w:hAnsiTheme="minorHAnsi" w:cs="Arial"/>
                <w:sz w:val="18"/>
                <w:szCs w:val="18"/>
              </w:rPr>
            </w:pPr>
            <w:r w:rsidRPr="00B54C37">
              <w:rPr>
                <w:rFonts w:asciiTheme="minorHAnsi" w:hAnsiTheme="minorHAnsi" w:cs="Arial"/>
                <w:b/>
                <w:sz w:val="18"/>
                <w:szCs w:val="18"/>
              </w:rPr>
              <w:t>Správce FRM byl vybírán v souladu se ZVZ, první zadávací řízení zrušeno, druhé také, další vývoj se</w:t>
            </w:r>
            <w:r w:rsidR="00E871A7">
              <w:rPr>
                <w:rFonts w:asciiTheme="minorHAnsi" w:hAnsiTheme="minorHAnsi" w:cs="Arial"/>
                <w:b/>
                <w:sz w:val="18"/>
                <w:szCs w:val="18"/>
              </w:rPr>
              <w:t> </w:t>
            </w:r>
            <w:r w:rsidRPr="00B54C37">
              <w:rPr>
                <w:rFonts w:asciiTheme="minorHAnsi" w:hAnsiTheme="minorHAnsi" w:cs="Arial"/>
                <w:b/>
                <w:sz w:val="18"/>
                <w:szCs w:val="18"/>
              </w:rPr>
              <w:t>nepředpokládá.</w:t>
            </w:r>
          </w:p>
        </w:tc>
      </w:tr>
    </w:tbl>
    <w:p w:rsidR="00297EC0" w:rsidRPr="00021F68" w:rsidRDefault="00297EC0" w:rsidP="00B54C37">
      <w:pPr>
        <w:spacing w:before="240"/>
        <w:rPr>
          <w:b/>
          <w:color w:val="548DD4"/>
        </w:rPr>
      </w:pPr>
      <w:r w:rsidRPr="00021F68">
        <w:rPr>
          <w:b/>
          <w:color w:val="548DD4"/>
        </w:rPr>
        <w:t>Zkušenosti z jiných zemí</w:t>
      </w:r>
    </w:p>
    <w:p w:rsidR="00AA08FF" w:rsidRDefault="00297EC0" w:rsidP="00297EC0">
      <w:r w:rsidRPr="003219A9">
        <w:t xml:space="preserve">Jeden z nejúspěšnějších příkladů jejich implementace představuje </w:t>
      </w:r>
      <w:r w:rsidRPr="00124BA0">
        <w:rPr>
          <w:b/>
        </w:rPr>
        <w:t>Estonsko</w:t>
      </w:r>
      <w:r w:rsidRPr="003219A9">
        <w:t>, které ke konci roku 2012 implementovalo na úrovni konečných příjemců 90</w:t>
      </w:r>
      <w:r w:rsidR="00C567D3">
        <w:t xml:space="preserve"> </w:t>
      </w:r>
      <w:r w:rsidRPr="003219A9">
        <w:t>% z celkově alokovaných 183 mil. EUR z operačních programů</w:t>
      </w:r>
      <w:r w:rsidR="00AA08FF">
        <w:t>.</w:t>
      </w:r>
    </w:p>
    <w:p w:rsidR="00AA08FF" w:rsidRDefault="00297EC0" w:rsidP="00297EC0">
      <w:r w:rsidRPr="003219A9">
        <w:t xml:space="preserve">Implementace </w:t>
      </w:r>
      <w:r w:rsidR="00420428">
        <w:t>IFN</w:t>
      </w:r>
      <w:r w:rsidRPr="003219A9">
        <w:t xml:space="preserve"> v pobaltských zemích EU pokračuje natolik úspěšně, že </w:t>
      </w:r>
      <w:r w:rsidRPr="00124BA0">
        <w:rPr>
          <w:b/>
        </w:rPr>
        <w:t>Estonsko, Lotyšsko a Litva</w:t>
      </w:r>
      <w:r w:rsidRPr="003219A9">
        <w:t xml:space="preserve"> ve spolupráci s EIF přistoupily v roce 2012 k vytvoření společného regionálního Baltského inovačního fondu (Baltic Innovation Fund, the Fund of Funds), do kterého každá </w:t>
      </w:r>
      <w:r w:rsidR="008846C4" w:rsidRPr="003219A9">
        <w:t>ze</w:t>
      </w:r>
      <w:r w:rsidR="008846C4">
        <w:t> </w:t>
      </w:r>
      <w:r w:rsidRPr="003219A9">
        <w:t xml:space="preserve">zemí přispěla částkou 20 mil. EUR z již navrácených prostředků z </w:t>
      </w:r>
      <w:r w:rsidR="00420428">
        <w:t>IFN</w:t>
      </w:r>
      <w:r w:rsidRPr="003219A9">
        <w:t xml:space="preserve"> a EIF přispěl částkou </w:t>
      </w:r>
      <w:r w:rsidR="008846C4" w:rsidRPr="003219A9">
        <w:t>40</w:t>
      </w:r>
      <w:r w:rsidR="008846C4">
        <w:t> </w:t>
      </w:r>
      <w:r w:rsidRPr="003219A9">
        <w:t>mil. EUR</w:t>
      </w:r>
      <w:r w:rsidR="00AA08FF">
        <w:t>.</w:t>
      </w:r>
    </w:p>
    <w:p w:rsidR="00AA08FF" w:rsidRDefault="00297EC0" w:rsidP="00297EC0">
      <w:r w:rsidRPr="003219A9">
        <w:t xml:space="preserve">Zřízení </w:t>
      </w:r>
      <w:r w:rsidR="00E25C1F">
        <w:t>Fondu fondů</w:t>
      </w:r>
      <w:r w:rsidRPr="003219A9">
        <w:t xml:space="preserve"> </w:t>
      </w:r>
      <w:r w:rsidRPr="00124BA0">
        <w:t xml:space="preserve">v </w:t>
      </w:r>
      <w:r w:rsidRPr="00124BA0">
        <w:rPr>
          <w:b/>
        </w:rPr>
        <w:t>Polsku</w:t>
      </w:r>
      <w:r w:rsidRPr="003219A9">
        <w:t xml:space="preserve"> (Polish Growth Fund of Funds) polskou národní rozvojovou bankou BGK (Bank Gospodarstwa Krajowego) a Evropským investičním fondem (EIF) </w:t>
      </w:r>
      <w:r w:rsidR="008846C4" w:rsidRPr="003219A9">
        <w:t>s</w:t>
      </w:r>
      <w:r w:rsidR="008846C4">
        <w:t> </w:t>
      </w:r>
      <w:r w:rsidRPr="003219A9">
        <w:t xml:space="preserve">cílovým objemem 180 mil. EUR (v současnosti zatím 90 mil. EUR) na investice v rámci rizikového kapitálu, private equity a mezaninového financování je jedním z příkladů v regionu V4. Kromě toho Polsko spouští Program polských investic (Polish Investments Programme), opírající se o BGK a PIR (Polskie Inwestycje Rozwojowe, equity a mezaninovému investor) </w:t>
      </w:r>
      <w:r w:rsidR="008846C4" w:rsidRPr="003219A9">
        <w:t>s</w:t>
      </w:r>
      <w:r w:rsidR="008846C4">
        <w:t> </w:t>
      </w:r>
      <w:r w:rsidRPr="003219A9">
        <w:t>cílem podpory dlouhodobých investic potřebných na udržitelný růst</w:t>
      </w:r>
      <w:r w:rsidR="00AA08FF">
        <w:t>.</w:t>
      </w:r>
    </w:p>
    <w:p w:rsidR="00AA08FF" w:rsidRDefault="00297EC0" w:rsidP="00297EC0">
      <w:r>
        <w:t xml:space="preserve">Přestože se </w:t>
      </w:r>
      <w:r w:rsidRPr="00124BA0">
        <w:t>Evropský fond pro</w:t>
      </w:r>
      <w:r w:rsidRPr="00124BA0">
        <w:rPr>
          <w:b/>
        </w:rPr>
        <w:t xml:space="preserve"> jihovýchodní Evropu</w:t>
      </w:r>
      <w:r w:rsidRPr="003219A9">
        <w:t xml:space="preserve"> (European Fund for Southeast Europe, zaměřený především na podporu MSP a zaměstnanosti, založený v roce 2005) a Fond na podporu zeleného růstu v jihovýchodní Evropě (Green for Growth Fund, Southeast Europe, zaměřený na podporu energetické účinnosti a využívání obnovitelných zdrojů energie, založený v roce 2009) zaměřují na region, a ne na jednu zemi, oba představují také iniciativy, v nichž jsou veřejné evropské prostředky efektivně znásobené soukromými</w:t>
      </w:r>
      <w:r w:rsidR="00AA08FF">
        <w:t>.</w:t>
      </w:r>
    </w:p>
    <w:p w:rsidR="00AA08FF" w:rsidRDefault="00297EC0" w:rsidP="00297EC0">
      <w:r w:rsidRPr="003219A9">
        <w:t xml:space="preserve">Jako další příklad lze zmínit F2i, </w:t>
      </w:r>
      <w:r w:rsidRPr="00124BA0">
        <w:rPr>
          <w:b/>
        </w:rPr>
        <w:t>italský</w:t>
      </w:r>
      <w:r w:rsidRPr="003219A9">
        <w:t xml:space="preserve"> infrastrukturní fond a zároveň největší fond tohoto typu operující výhradně v jedné zemi</w:t>
      </w:r>
      <w:r w:rsidR="00AA08FF">
        <w:t>.</w:t>
      </w:r>
    </w:p>
    <w:p w:rsidR="000C0B4C" w:rsidRPr="00021F68" w:rsidRDefault="000C0B4C" w:rsidP="00297EC0">
      <w:pPr>
        <w:rPr>
          <w:b/>
          <w:color w:val="548DD4"/>
        </w:rPr>
      </w:pPr>
      <w:r w:rsidRPr="00021F68">
        <w:rPr>
          <w:b/>
          <w:color w:val="548DD4"/>
        </w:rPr>
        <w:t>Další příklady</w:t>
      </w:r>
      <w:r w:rsidRPr="00021F68">
        <w:rPr>
          <w:rStyle w:val="Znakapoznpodarou"/>
          <w:b/>
          <w:color w:val="548DD4"/>
        </w:rPr>
        <w:footnoteReference w:id="157"/>
      </w:r>
    </w:p>
    <w:p w:rsidR="000C0B4C" w:rsidRDefault="000C0B4C" w:rsidP="000C0B4C">
      <w:r>
        <w:lastRenderedPageBreak/>
        <w:t xml:space="preserve">Britská vláda připravuje masivní investice do sociálního bydlení za přispění penzijních fondů </w:t>
      </w:r>
      <w:r w:rsidR="008846C4">
        <w:t>i </w:t>
      </w:r>
      <w:r>
        <w:t>velké projekty pro oblast železniční dopravy. Francie nedávno vytvořila národní investiční banku. Velké investice rozbíhají také severské země, zvláště Švédsko.</w:t>
      </w:r>
    </w:p>
    <w:p w:rsidR="00AA08FF" w:rsidRDefault="000C0B4C" w:rsidP="000C0B4C">
      <w:r>
        <w:t xml:space="preserve">V mnoha zemích se na financování infrastruktury podílejí </w:t>
      </w:r>
      <w:r w:rsidR="00787752">
        <w:t>mechanizm</w:t>
      </w:r>
      <w:r>
        <w:t xml:space="preserve">y vyčleněné z přímého okruhu veřejných financí. Jde o specializované prorůstové fondy nebo o rozvojové banky. </w:t>
      </w:r>
      <w:r w:rsidR="008846C4">
        <w:t>V </w:t>
      </w:r>
      <w:r>
        <w:t>těchto případech je obyčejně modelem mamutí německá banka KfW (v minulosti známá jako Kreditanstalt für Wiederaufbau). Z 80 procent ji vlastní federální vláda, zbývajících 20 procent je ve vlastnictví spolkových zemí. Portfolio celé bankovní skupiny zahrnuje i další aktivity jako půjčky malým a středním podnikům a rozvojovou pomoc do</w:t>
      </w:r>
      <w:r w:rsidR="000F0738">
        <w:t xml:space="preserve"> </w:t>
      </w:r>
      <w:r>
        <w:t>zahraničí. Dceřiná společnost IPEX Bank je německou exportní a importní bankou. Těžištěm KfW jsou ovšem infrastrukturní operace. Banka ve velkém financuje bydlení a komunální infrastrukturu</w:t>
      </w:r>
      <w:r w:rsidR="00AA08FF">
        <w:t>.</w:t>
      </w:r>
    </w:p>
    <w:p w:rsidR="000C0B4C" w:rsidRDefault="000C0B4C" w:rsidP="000C0B4C">
      <w:r>
        <w:t xml:space="preserve">Zajímavý je vývoj v sousedním Polsku. Tamní rozvojovou banku, Bank Gospodarstwa Krajowego (BGK), vláda nedávno kapitálově významně posílila. Důvodem je právě to, aby BGK spolu s nově založeným prorůstovým fondem, Polskie Inwestycje Rozwojowe (PIR), hrála významnější roli ve financování infrastrukturní výstavby. Obdobu KfW mají i severské země, </w:t>
      </w:r>
      <w:r w:rsidR="00FC7CD5">
        <w:t>v </w:t>
      </w:r>
      <w:r>
        <w:t>nichž funguje Nordická investiční banka, kterou vlastní společně vlády a banky regionu.</w:t>
      </w:r>
    </w:p>
    <w:p w:rsidR="000C0B4C" w:rsidRDefault="000C0B4C" w:rsidP="000C0B4C">
      <w:r>
        <w:t xml:space="preserve">Ve Francii již od roku 1816 funguje fond Caisse des dépôts et consignations(CDC). Fond kromě malých a středních podniků podporuje také infrastrukturní projekty. Kromě investic do </w:t>
      </w:r>
      <w:r w:rsidR="00420428">
        <w:t>IFN</w:t>
      </w:r>
      <w:r>
        <w:t xml:space="preserve"> je také významným podílníkem: je akcionářem ve 13 ze 40 společností, které jsou součástí pařížského akciového indexu CAC. Celkově má fond investice ve výši kolem 50 </w:t>
      </w:r>
      <w:r w:rsidR="000D59AC">
        <w:rPr>
          <w:lang w:eastAsia="cs-CZ"/>
        </w:rPr>
        <w:t xml:space="preserve">mld. </w:t>
      </w:r>
      <w:r w:rsidR="00984B83">
        <w:t>EUR</w:t>
      </w:r>
      <w:r>
        <w:t>. Fond CDC se řídí dlouhodobou investiční strategií. Až třetinu zisku z finančních operací musí reinvestovat do veřejně prospěšných projektů. CDC přitom nekontroluje francouzská vláda, ale</w:t>
      </w:r>
      <w:r w:rsidR="009129B7">
        <w:t> </w:t>
      </w:r>
      <w:r>
        <w:t xml:space="preserve">parlament. Řídí se dlouhodobou investiční strategií. Až třetinu zisku z finančních operací musí reinvestovat do veřejně prospěšných projektů. Strategie mu pak ukládá třeba podpořit v letech 2010 až 2020 výstavbu 90 tisíc bytů. Ke konci roku 2012 se CDC stal polovičním akcionářem </w:t>
      </w:r>
      <w:r w:rsidR="00FC7CD5">
        <w:t>v </w:t>
      </w:r>
      <w:r>
        <w:t>nové rozvojové bance Banque publique d‘investissements (BPI), kde druhou polovinu vlastní přímo francouzská vláda. Banka vznikla sloučením již existujících fondů pro financování malých a středních podniků Oseo a růstového fondu FPI, s celkovým kapitálem 42</w:t>
      </w:r>
      <w:r w:rsidR="009129B7">
        <w:t> </w:t>
      </w:r>
      <w:r w:rsidR="000D59AC">
        <w:rPr>
          <w:lang w:eastAsia="cs-CZ"/>
        </w:rPr>
        <w:t xml:space="preserve">mld. </w:t>
      </w:r>
      <w:r w:rsidR="00984B83">
        <w:t>EUR</w:t>
      </w:r>
      <w:r>
        <w:t>. BPI byla přímo modelována podle německé KfW.</w:t>
      </w:r>
    </w:p>
    <w:p w:rsidR="00AA08FF" w:rsidRDefault="000C0B4C" w:rsidP="000C0B4C">
      <w:r>
        <w:t>Obdobnou společnost má i Itálie. Jmenuje se Cassa depositi e prestiti (CDeP) a vlastní ji ze</w:t>
      </w:r>
      <w:r w:rsidR="009129B7">
        <w:t> </w:t>
      </w:r>
      <w:r w:rsidR="00FC7CD5">
        <w:t>70 </w:t>
      </w:r>
      <w:r>
        <w:t>procent ministerstvo hospodářství a z 30 procent bankovní asociace</w:t>
      </w:r>
      <w:r w:rsidR="00AA08FF">
        <w:t>.</w:t>
      </w:r>
    </w:p>
    <w:p w:rsidR="000C0B4C" w:rsidRDefault="000C0B4C" w:rsidP="000C0B4C">
      <w:r>
        <w:t>Model veřejných růstových fondů se popularizuje i ve Velké Británii. Tam vláda v roce 2009 vytvořila UK Strategic Investment</w:t>
      </w:r>
      <w:r w:rsidR="006B1653">
        <w:t xml:space="preserve"> </w:t>
      </w:r>
      <w:r>
        <w:t xml:space="preserve">Fund. V tomto období investoval zhruba 750 </w:t>
      </w:r>
      <w:r w:rsidR="000D59AC" w:rsidRPr="000D59AC">
        <w:t xml:space="preserve">mil. </w:t>
      </w:r>
      <w:r w:rsidR="00984B83">
        <w:t>GBP</w:t>
      </w:r>
      <w:r>
        <w:t xml:space="preserve"> </w:t>
      </w:r>
      <w:r w:rsidR="00FC7CD5">
        <w:t>do </w:t>
      </w:r>
      <w:r>
        <w:t>projektů dlouhodobého strategického významu</w:t>
      </w:r>
      <w:r w:rsidR="00AB40C0">
        <w:t>,</w:t>
      </w:r>
      <w:r>
        <w:t xml:space="preserve"> jako například rozšiřování digitální infrastruktury. Fond měl především nahradit mezeru v soukromém financování v období krize. Vláda pak vytvořila skutečnou rozvojovou banku, UK Green Investment Bank. Do roku 2016 jí </w:t>
      </w:r>
      <w:r w:rsidR="00FC7CD5">
        <w:t>s </w:t>
      </w:r>
      <w:r>
        <w:t xml:space="preserve">projekty finančně pomůže přímo vláda, pak bude banka s kapitálem </w:t>
      </w:r>
      <w:r w:rsidR="000740A2">
        <w:t>3 mil. GBP</w:t>
      </w:r>
      <w:r>
        <w:t xml:space="preserve"> připravena fungovat samostatně a podporovat inovativní projekty v oblasti zelených energií. V roce 2012 vytvořila britská vláda Penzijní investiční platformu, přes kterou se budou na infrastrukturních projektech podílet velké penzijní fondy. Jen do sociálního bydlení se má do roku 2020 investovat </w:t>
      </w:r>
      <w:r w:rsidR="000740A2">
        <w:t>10 mil. GBP</w:t>
      </w:r>
      <w:r>
        <w:t>. Další miliardy pak půjdou do obnovy a výstavby železničních tratí.</w:t>
      </w:r>
    </w:p>
    <w:p w:rsidR="00297EC0" w:rsidRDefault="00297EC0" w:rsidP="00297EC0">
      <w:r w:rsidRPr="003219A9">
        <w:t xml:space="preserve">Dalším projevem aktuálního trendu je zřízení takzvané High Level Expert Group (HLG) </w:t>
      </w:r>
      <w:r w:rsidR="00FC7CD5" w:rsidRPr="003219A9">
        <w:t>na</w:t>
      </w:r>
      <w:r w:rsidR="00FC7CD5">
        <w:t> </w:t>
      </w:r>
      <w:r w:rsidRPr="003219A9">
        <w:t xml:space="preserve">úrovni EU, která se zabývá návratnou formou financování malých a středních podniků </w:t>
      </w:r>
      <w:r w:rsidR="00FC7CD5" w:rsidRPr="003219A9">
        <w:t>a</w:t>
      </w:r>
      <w:r w:rsidR="00FC7CD5">
        <w:t> </w:t>
      </w:r>
      <w:r w:rsidRPr="003219A9">
        <w:t xml:space="preserve">infrastrukturních projektů. Zvýšenou podporu </w:t>
      </w:r>
      <w:r w:rsidR="00420428">
        <w:t>IFN</w:t>
      </w:r>
      <w:r w:rsidRPr="003219A9">
        <w:t xml:space="preserve"> tak lze zaznamenat napříč celou EU.</w:t>
      </w:r>
    </w:p>
    <w:p w:rsidR="000C0B4C" w:rsidRPr="00021F68" w:rsidRDefault="000C0B4C" w:rsidP="00021F68">
      <w:pPr>
        <w:rPr>
          <w:b/>
          <w:color w:val="548DD4"/>
        </w:rPr>
      </w:pPr>
      <w:r w:rsidRPr="00021F68">
        <w:rPr>
          <w:b/>
          <w:color w:val="548DD4"/>
        </w:rPr>
        <w:lastRenderedPageBreak/>
        <w:t>Slovenská republika</w:t>
      </w:r>
      <w:r w:rsidRPr="00021F68">
        <w:rPr>
          <w:rStyle w:val="Znakapoznpodarou"/>
          <w:b/>
          <w:color w:val="548DD4"/>
        </w:rPr>
        <w:footnoteReference w:id="158"/>
      </w:r>
    </w:p>
    <w:p w:rsidR="00AA08FF" w:rsidRDefault="000C0B4C" w:rsidP="000C0B4C">
      <w:r>
        <w:t xml:space="preserve">Centralizovanou strukturu připravilo také </w:t>
      </w:r>
      <w:r w:rsidRPr="00124BA0">
        <w:rPr>
          <w:b/>
        </w:rPr>
        <w:t>Slovensko</w:t>
      </w:r>
      <w:r>
        <w:t xml:space="preserve"> v podobě Slovenského investičního holdingu -</w:t>
      </w:r>
      <w:r w:rsidRPr="003219A9">
        <w:t xml:space="preserve"> SIH </w:t>
      </w:r>
      <w:r w:rsidRPr="00EF2F90">
        <w:t xml:space="preserve">jako </w:t>
      </w:r>
      <w:r w:rsidR="00E25C1F" w:rsidRPr="00EF2F90">
        <w:t>Fondu fondů</w:t>
      </w:r>
      <w:r w:rsidRPr="00EF2F90">
        <w:t xml:space="preserve"> bude využívat prostředky z </w:t>
      </w:r>
      <w:r w:rsidR="00F82B0A">
        <w:t>ESIF</w:t>
      </w:r>
      <w:r w:rsidR="00F82B0A" w:rsidRPr="003219A9">
        <w:t xml:space="preserve"> </w:t>
      </w:r>
      <w:r w:rsidRPr="00EF2F90">
        <w:t>k dosažení několika tematických cílů. SIH potvrzuje současné aktivity napříč celou</w:t>
      </w:r>
      <w:r w:rsidRPr="003219A9">
        <w:t xml:space="preserve"> EU, kdy členské země alokovaly bez</w:t>
      </w:r>
      <w:r w:rsidR="00420428">
        <w:t>precedentní objemy prostředků z ESIF</w:t>
      </w:r>
      <w:r w:rsidRPr="003219A9">
        <w:t xml:space="preserve"> fondů na </w:t>
      </w:r>
      <w:r w:rsidR="00EA2C3F">
        <w:t>IFN</w:t>
      </w:r>
      <w:r w:rsidRPr="003219A9">
        <w:t>. SIH tedy zapadá mezi další iniciativy evropských institucí i členských států. Fond fondů bude budovat na prověřených prvcích těchto fondů</w:t>
      </w:r>
      <w:r w:rsidR="00AA08FF">
        <w:t>.</w:t>
      </w:r>
    </w:p>
    <w:p w:rsidR="00297EC0" w:rsidRPr="00F608B1" w:rsidRDefault="00297EC0" w:rsidP="00297EC0">
      <w:r w:rsidRPr="00F608B1">
        <w:t>Slovenská vláda se v usnesení vlády SR č. 227 z 15. května 2013</w:t>
      </w:r>
      <w:r w:rsidRPr="00F608B1">
        <w:rPr>
          <w:rStyle w:val="Znakapoznpodarou"/>
        </w:rPr>
        <w:footnoteReference w:id="159"/>
      </w:r>
      <w:r w:rsidRPr="00F608B1">
        <w:t xml:space="preserve"> rozhodla pro jednotnou implementaci </w:t>
      </w:r>
      <w:r w:rsidR="00420428">
        <w:t>IFN</w:t>
      </w:r>
      <w:r w:rsidRPr="00F608B1">
        <w:t xml:space="preserve"> prostřednictvím </w:t>
      </w:r>
      <w:r w:rsidRPr="00F608B1">
        <w:rPr>
          <w:b/>
        </w:rPr>
        <w:t>Slovenského investičního holdingu (SIH)</w:t>
      </w:r>
      <w:r w:rsidRPr="00F608B1">
        <w:t xml:space="preserve">. Tento model implementace </w:t>
      </w:r>
      <w:r w:rsidR="00420428">
        <w:t>IFN</w:t>
      </w:r>
      <w:r w:rsidRPr="00F608B1">
        <w:t xml:space="preserve"> je postaven na založení dvou společností: Slovak Investment Holding, a. s. a Slovenská záručná a rozvojová banka Asset Management, a. s. (dceřiná společnost SZRB), která bude </w:t>
      </w:r>
      <w:r w:rsidRPr="00F608B1">
        <w:rPr>
          <w:b/>
        </w:rPr>
        <w:t>správcem SIH</w:t>
      </w:r>
      <w:r w:rsidRPr="00F608B1">
        <w:t>.</w:t>
      </w:r>
    </w:p>
    <w:p w:rsidR="00297EC0" w:rsidRPr="00F608B1" w:rsidRDefault="00297EC0" w:rsidP="00297EC0">
      <w:r w:rsidRPr="00F608B1">
        <w:t xml:space="preserve">SIH je navrhovaný jako </w:t>
      </w:r>
      <w:r w:rsidR="00D7299F">
        <w:rPr>
          <w:b/>
        </w:rPr>
        <w:t>Fond fondů</w:t>
      </w:r>
      <w:r w:rsidRPr="00F608B1">
        <w:t xml:space="preserve">, jenž bude investovat prostředky do jednotlivých fondů nebo podfondů. Z dlouhodobého hlediska se předpokládá vytvořit institucionální strukturu, která bude zaměřená nejen na podporu </w:t>
      </w:r>
      <w:r w:rsidR="00986EE0">
        <w:t>IFN</w:t>
      </w:r>
      <w:r w:rsidRPr="00F608B1">
        <w:t xml:space="preserve"> z prostředků ESIF, ale obecně bude schopná podporovat </w:t>
      </w:r>
      <w:r w:rsidR="00FC7CD5" w:rsidRPr="00F608B1">
        <w:t>i</w:t>
      </w:r>
      <w:r w:rsidR="00FC7CD5">
        <w:t> </w:t>
      </w:r>
      <w:r w:rsidRPr="00F608B1">
        <w:t>velké, náročnější návratné projekty (např. na bázi PPP) na Slovensku. Současně se plánuje, že</w:t>
      </w:r>
      <w:r w:rsidR="009129B7">
        <w:t> </w:t>
      </w:r>
      <w:r w:rsidRPr="00F608B1">
        <w:t>SIH bude plnit i úlohu správce prostředků od soukromých investorů, kteří se budou kapitálově podílet na financování jednotlivých projektů.</w:t>
      </w:r>
    </w:p>
    <w:p w:rsidR="00297EC0" w:rsidRPr="00F608B1" w:rsidRDefault="00297EC0" w:rsidP="00297EC0">
      <w:r w:rsidRPr="00F608B1">
        <w:t xml:space="preserve">SIH bude tvořen orgány, jako jsou představenstvo, dozorčí rada a valná hromada. Hlavní rozhodovacím orgánem bude na základě investiční strategie </w:t>
      </w:r>
      <w:r w:rsidRPr="00F608B1">
        <w:rPr>
          <w:b/>
        </w:rPr>
        <w:t>správce fondu</w:t>
      </w:r>
      <w:r w:rsidRPr="00F608B1">
        <w:t xml:space="preserve">. </w:t>
      </w:r>
      <w:r w:rsidRPr="00F608B1">
        <w:rPr>
          <w:b/>
        </w:rPr>
        <w:t>Dozorčí rada</w:t>
      </w:r>
      <w:r w:rsidRPr="00F608B1">
        <w:t xml:space="preserve"> bude složená ze zástupců ŘO, které budou alokovat prostředky do SIH. Současně v SIH budou zapojeni i zástupci Ministerstva financí, Ministerstva hospodářství a další subjekty.</w:t>
      </w:r>
    </w:p>
    <w:p w:rsidR="00297EC0" w:rsidRDefault="00297EC0" w:rsidP="00297EC0">
      <w:r w:rsidRPr="00F608B1">
        <w:t>Implementační uspořádání s „centralizovaným“ fondem fondů na Slovensku shrnujeme v následujícím schématu, pod nímž následuje ilustrativní výčet možných výhod a nevýhod spojených s tímto modelem.</w:t>
      </w:r>
    </w:p>
    <w:p w:rsidR="006F5B46" w:rsidRDefault="006F5B46" w:rsidP="004C1734">
      <w:pPr>
        <w:pStyle w:val="Titulek"/>
      </w:pPr>
      <w:r>
        <w:lastRenderedPageBreak/>
        <w:t xml:space="preserve">Schéma </w:t>
      </w:r>
      <w:fldSimple w:instr=" SEQ Schéma \* ARABIC ">
        <w:r w:rsidR="006C5EA3">
          <w:rPr>
            <w:noProof/>
          </w:rPr>
          <w:t>31</w:t>
        </w:r>
      </w:fldSimple>
      <w:r>
        <w:t>: Slovenský model</w:t>
      </w:r>
    </w:p>
    <w:p w:rsidR="00297EC0" w:rsidRDefault="0055330E" w:rsidP="00297EC0">
      <w:r>
        <w:rPr>
          <w:noProof/>
          <w:lang w:eastAsia="cs-CZ"/>
        </w:rPr>
        <w:drawing>
          <wp:inline distT="0" distB="0" distL="0" distR="0" wp14:anchorId="08800E7F" wp14:editId="33B8DA9B">
            <wp:extent cx="5617562" cy="4754880"/>
            <wp:effectExtent l="0" t="0" r="0" b="0"/>
            <wp:docPr id="4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3"/>
                    <pic:cNvPicPr>
                      <a:picLocks noChangeAspect="1" noChangeArrowheads="1"/>
                    </pic:cNvPicPr>
                  </pic:nvPicPr>
                  <pic:blipFill>
                    <a:blip r:embed="rId54"/>
                    <a:srcRect/>
                    <a:stretch>
                      <a:fillRect/>
                    </a:stretch>
                  </pic:blipFill>
                  <pic:spPr bwMode="auto">
                    <a:xfrm>
                      <a:off x="0" y="0"/>
                      <a:ext cx="5623228" cy="4759676"/>
                    </a:xfrm>
                    <a:prstGeom prst="rect">
                      <a:avLst/>
                    </a:prstGeom>
                    <a:noFill/>
                    <a:ln w="9525">
                      <a:noFill/>
                      <a:miter lim="800000"/>
                      <a:headEnd/>
                      <a:tailEnd/>
                    </a:ln>
                  </pic:spPr>
                </pic:pic>
              </a:graphicData>
            </a:graphic>
          </wp:inline>
        </w:drawing>
      </w:r>
    </w:p>
    <w:p w:rsidR="006F5B46" w:rsidRDefault="006F5B46" w:rsidP="00636988">
      <w:pPr>
        <w:pStyle w:val="Titulek"/>
      </w:pPr>
      <w:r>
        <w:t xml:space="preserve">Tabulka </w:t>
      </w:r>
      <w:fldSimple w:instr=" SEQ Tabulka \* ARABIC ">
        <w:r w:rsidR="006C5EA3">
          <w:rPr>
            <w:noProof/>
          </w:rPr>
          <w:t>6</w:t>
        </w:r>
      </w:fldSimple>
      <w:r>
        <w:t>: Výhody a nevýhody modelu na Slovensku</w:t>
      </w:r>
    </w:p>
    <w:tbl>
      <w:tblPr>
        <w:tblStyle w:val="Mkatabulky"/>
        <w:tblW w:w="0" w:type="auto"/>
        <w:tblInd w:w="567" w:type="dxa"/>
        <w:tblLook w:val="04A0" w:firstRow="1" w:lastRow="0" w:firstColumn="1" w:lastColumn="0" w:noHBand="0" w:noVBand="1"/>
      </w:tblPr>
      <w:tblGrid>
        <w:gridCol w:w="4473"/>
        <w:gridCol w:w="4360"/>
      </w:tblGrid>
      <w:tr w:rsidR="00092DCA" w:rsidTr="00636988">
        <w:tc>
          <w:tcPr>
            <w:tcW w:w="4473" w:type="dxa"/>
            <w:shd w:val="clear" w:color="auto" w:fill="548DD4" w:themeFill="text2" w:themeFillTint="99"/>
          </w:tcPr>
          <w:p w:rsidR="00092DCA" w:rsidRPr="00636988" w:rsidRDefault="00092DCA" w:rsidP="00636988">
            <w:pPr>
              <w:tabs>
                <w:tab w:val="left" w:pos="680"/>
              </w:tabs>
              <w:spacing w:line="264" w:lineRule="auto"/>
              <w:ind w:left="680" w:right="21" w:hanging="314"/>
              <w:jc w:val="left"/>
              <w:rPr>
                <w:rFonts w:asciiTheme="minorHAnsi" w:eastAsia="Georgia" w:hAnsiTheme="minorHAnsi" w:cs="Georgia"/>
                <w:b/>
                <w:color w:val="FFFFFF" w:themeColor="background1"/>
                <w:sz w:val="20"/>
                <w:szCs w:val="20"/>
              </w:rPr>
            </w:pPr>
            <w:r w:rsidRPr="00636988">
              <w:rPr>
                <w:rFonts w:asciiTheme="minorHAnsi" w:eastAsia="Georgia" w:hAnsiTheme="minorHAnsi" w:cs="Georgia"/>
                <w:b/>
                <w:color w:val="FFFFFF" w:themeColor="background1"/>
                <w:sz w:val="20"/>
                <w:szCs w:val="20"/>
              </w:rPr>
              <w:t>Nevýhody</w:t>
            </w:r>
          </w:p>
        </w:tc>
        <w:tc>
          <w:tcPr>
            <w:tcW w:w="4360" w:type="dxa"/>
            <w:shd w:val="clear" w:color="auto" w:fill="548DD4" w:themeFill="text2" w:themeFillTint="99"/>
          </w:tcPr>
          <w:p w:rsidR="00092DCA" w:rsidRPr="00636988" w:rsidRDefault="00092DCA" w:rsidP="00636988">
            <w:pPr>
              <w:ind w:left="0"/>
              <w:jc w:val="left"/>
              <w:rPr>
                <w:rFonts w:asciiTheme="minorHAnsi" w:hAnsiTheme="minorHAnsi"/>
                <w:b/>
                <w:color w:val="FFFFFF" w:themeColor="background1"/>
                <w:sz w:val="20"/>
                <w:szCs w:val="20"/>
              </w:rPr>
            </w:pPr>
            <w:r w:rsidRPr="00636988">
              <w:rPr>
                <w:rFonts w:asciiTheme="minorHAnsi" w:hAnsiTheme="minorHAnsi"/>
                <w:b/>
                <w:color w:val="FFFFFF" w:themeColor="background1"/>
                <w:sz w:val="20"/>
                <w:szCs w:val="20"/>
              </w:rPr>
              <w:t>Výhody</w:t>
            </w:r>
          </w:p>
        </w:tc>
      </w:tr>
      <w:tr w:rsidR="00092DCA" w:rsidTr="00636988">
        <w:tc>
          <w:tcPr>
            <w:tcW w:w="4473" w:type="dxa"/>
          </w:tcPr>
          <w:p w:rsidR="00092DCA" w:rsidRPr="00873900" w:rsidRDefault="001A3B8A" w:rsidP="00636988">
            <w:pPr>
              <w:pStyle w:val="Odstavecseseznamem"/>
              <w:numPr>
                <w:ilvl w:val="0"/>
                <w:numId w:val="3"/>
              </w:numPr>
              <w:spacing w:line="264" w:lineRule="auto"/>
              <w:ind w:left="709" w:right="21" w:hanging="425"/>
              <w:jc w:val="left"/>
              <w:rPr>
                <w:rFonts w:asciiTheme="minorHAnsi" w:eastAsia="Georgia" w:hAnsiTheme="minorHAnsi" w:cs="Georgia"/>
                <w:sz w:val="20"/>
                <w:szCs w:val="20"/>
              </w:rPr>
            </w:pPr>
            <w:r w:rsidRPr="00636988">
              <w:rPr>
                <w:rFonts w:asciiTheme="minorHAnsi" w:hAnsiTheme="minorHAnsi"/>
                <w:sz w:val="20"/>
              </w:rPr>
              <w:t>Využití</w:t>
            </w:r>
            <w:r w:rsidRPr="00636988">
              <w:rPr>
                <w:rFonts w:asciiTheme="minorHAnsi" w:hAnsiTheme="minorHAnsi"/>
                <w:spacing w:val="21"/>
                <w:sz w:val="20"/>
              </w:rPr>
              <w:t xml:space="preserve"> </w:t>
            </w:r>
            <w:r w:rsidRPr="00636988">
              <w:rPr>
                <w:rFonts w:asciiTheme="minorHAnsi" w:hAnsiTheme="minorHAnsi"/>
                <w:sz w:val="20"/>
              </w:rPr>
              <w:t>stávajících</w:t>
            </w:r>
            <w:r w:rsidRPr="00636988">
              <w:rPr>
                <w:rFonts w:asciiTheme="minorHAnsi" w:hAnsiTheme="minorHAnsi"/>
                <w:spacing w:val="31"/>
                <w:sz w:val="20"/>
              </w:rPr>
              <w:t xml:space="preserve"> </w:t>
            </w:r>
            <w:r w:rsidRPr="00636988">
              <w:rPr>
                <w:rFonts w:asciiTheme="minorHAnsi" w:hAnsiTheme="minorHAnsi"/>
                <w:sz w:val="20"/>
              </w:rPr>
              <w:t>kapacit</w:t>
            </w:r>
            <w:r w:rsidRPr="00636988">
              <w:rPr>
                <w:rFonts w:asciiTheme="minorHAnsi" w:hAnsiTheme="minorHAnsi"/>
                <w:spacing w:val="22"/>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sz w:val="20"/>
              </w:rPr>
              <w:t>zkušeností</w:t>
            </w:r>
            <w:r w:rsidRPr="00636988">
              <w:rPr>
                <w:rFonts w:asciiTheme="minorHAnsi" w:hAnsiTheme="minorHAnsi"/>
                <w:spacing w:val="30"/>
                <w:sz w:val="20"/>
              </w:rPr>
              <w:t xml:space="preserve"> </w:t>
            </w:r>
            <w:r w:rsidRPr="00636988">
              <w:rPr>
                <w:rFonts w:asciiTheme="minorHAnsi" w:hAnsiTheme="minorHAnsi"/>
                <w:sz w:val="20"/>
              </w:rPr>
              <w:t>SZRB</w:t>
            </w:r>
            <w:r w:rsidRPr="00636988">
              <w:rPr>
                <w:rFonts w:asciiTheme="minorHAnsi" w:hAnsiTheme="minorHAnsi"/>
                <w:spacing w:val="17"/>
                <w:sz w:val="20"/>
              </w:rPr>
              <w:t xml:space="preserve"> </w:t>
            </w:r>
            <w:r w:rsidRPr="00636988">
              <w:rPr>
                <w:rFonts w:asciiTheme="minorHAnsi" w:hAnsiTheme="minorHAnsi"/>
                <w:w w:val="104"/>
                <w:sz w:val="20"/>
              </w:rPr>
              <w:t>(zkušenost</w:t>
            </w:r>
            <w:r w:rsidRPr="00636988">
              <w:rPr>
                <w:rFonts w:asciiTheme="minorHAnsi" w:hAnsiTheme="minorHAnsi"/>
                <w:w w:val="105"/>
                <w:sz w:val="20"/>
              </w:rPr>
              <w:t xml:space="preserve">i </w:t>
            </w:r>
            <w:r w:rsidRPr="00636988">
              <w:rPr>
                <w:rFonts w:asciiTheme="minorHAnsi" w:hAnsiTheme="minorHAnsi"/>
                <w:sz w:val="20"/>
              </w:rPr>
              <w:t>s</w:t>
            </w:r>
            <w:r w:rsidRPr="00636988">
              <w:rPr>
                <w:rFonts w:asciiTheme="minorHAnsi" w:hAnsiTheme="minorHAnsi"/>
                <w:spacing w:val="5"/>
                <w:sz w:val="20"/>
              </w:rPr>
              <w:t xml:space="preserve"> </w:t>
            </w:r>
            <w:r w:rsidRPr="00636988">
              <w:rPr>
                <w:rFonts w:asciiTheme="minorHAnsi" w:hAnsiTheme="minorHAnsi"/>
                <w:sz w:val="20"/>
              </w:rPr>
              <w:t xml:space="preserve">implementací </w:t>
            </w:r>
            <w:r w:rsidRPr="00636988">
              <w:rPr>
                <w:rFonts w:asciiTheme="minorHAnsi" w:hAnsiTheme="minorHAnsi"/>
                <w:spacing w:val="3"/>
                <w:sz w:val="20"/>
              </w:rPr>
              <w:t xml:space="preserve"> </w:t>
            </w:r>
            <w:r w:rsidRPr="00636988">
              <w:rPr>
                <w:rFonts w:asciiTheme="minorHAnsi" w:hAnsiTheme="minorHAnsi"/>
                <w:sz w:val="20"/>
              </w:rPr>
              <w:t>FN</w:t>
            </w:r>
            <w:r w:rsidRPr="00636988">
              <w:rPr>
                <w:rFonts w:asciiTheme="minorHAnsi" w:hAnsiTheme="minorHAnsi"/>
                <w:spacing w:val="10"/>
                <w:sz w:val="20"/>
              </w:rPr>
              <w:t xml:space="preserve"> </w:t>
            </w:r>
            <w:r w:rsidRPr="00636988">
              <w:rPr>
                <w:rFonts w:asciiTheme="minorHAnsi" w:hAnsiTheme="minorHAnsi"/>
                <w:w w:val="104"/>
                <w:sz w:val="20"/>
              </w:rPr>
              <w:t>JEREM</w:t>
            </w:r>
            <w:r w:rsidRPr="00636988">
              <w:rPr>
                <w:rFonts w:asciiTheme="minorHAnsi" w:hAnsiTheme="minorHAnsi"/>
                <w:w w:val="105"/>
                <w:sz w:val="20"/>
              </w:rPr>
              <w:t>I</w:t>
            </w:r>
            <w:r w:rsidRPr="00636988">
              <w:rPr>
                <w:rFonts w:asciiTheme="minorHAnsi" w:hAnsiTheme="minorHAnsi"/>
                <w:w w:val="104"/>
                <w:sz w:val="20"/>
              </w:rPr>
              <w:t>E).</w:t>
            </w:r>
          </w:p>
          <w:p w:rsidR="00092DCA" w:rsidRPr="00873900" w:rsidRDefault="001A3B8A" w:rsidP="00636988">
            <w:pPr>
              <w:pStyle w:val="Odstavecseseznamem"/>
              <w:numPr>
                <w:ilvl w:val="0"/>
                <w:numId w:val="3"/>
              </w:numPr>
              <w:tabs>
                <w:tab w:val="left" w:pos="680"/>
              </w:tabs>
              <w:spacing w:before="94" w:line="265" w:lineRule="auto"/>
              <w:ind w:left="709" w:right="-26" w:hanging="425"/>
              <w:jc w:val="left"/>
              <w:rPr>
                <w:rFonts w:asciiTheme="minorHAnsi" w:eastAsia="Georgia" w:hAnsiTheme="minorHAnsi" w:cs="Georgia"/>
                <w:sz w:val="20"/>
                <w:szCs w:val="20"/>
              </w:rPr>
            </w:pPr>
            <w:r w:rsidRPr="00636988">
              <w:rPr>
                <w:rFonts w:asciiTheme="minorHAnsi" w:hAnsiTheme="minorHAnsi"/>
                <w:sz w:val="20"/>
              </w:rPr>
              <w:t>Centralizované řízení</w:t>
            </w:r>
            <w:r w:rsidRPr="00636988">
              <w:rPr>
                <w:rFonts w:asciiTheme="minorHAnsi" w:hAnsiTheme="minorHAnsi"/>
                <w:spacing w:val="18"/>
                <w:sz w:val="20"/>
              </w:rPr>
              <w:t xml:space="preserve"> </w:t>
            </w:r>
            <w:r w:rsidRPr="00636988">
              <w:rPr>
                <w:rFonts w:asciiTheme="minorHAnsi" w:hAnsiTheme="minorHAnsi"/>
                <w:sz w:val="20"/>
              </w:rPr>
              <w:t>v</w:t>
            </w:r>
            <w:r w:rsidRPr="00636988">
              <w:rPr>
                <w:rFonts w:asciiTheme="minorHAnsi" w:hAnsiTheme="minorHAnsi"/>
                <w:spacing w:val="5"/>
                <w:sz w:val="20"/>
              </w:rPr>
              <w:t xml:space="preserve"> </w:t>
            </w:r>
            <w:r w:rsidRPr="00636988">
              <w:rPr>
                <w:rFonts w:asciiTheme="minorHAnsi" w:hAnsiTheme="minorHAnsi"/>
                <w:sz w:val="20"/>
              </w:rPr>
              <w:t>tom</w:t>
            </w:r>
            <w:r w:rsidRPr="00636988">
              <w:rPr>
                <w:rFonts w:asciiTheme="minorHAnsi" w:hAnsiTheme="minorHAnsi"/>
                <w:spacing w:val="13"/>
                <w:sz w:val="20"/>
              </w:rPr>
              <w:t xml:space="preserve"> </w:t>
            </w:r>
            <w:r w:rsidRPr="00636988">
              <w:rPr>
                <w:rFonts w:asciiTheme="minorHAnsi" w:hAnsiTheme="minorHAnsi"/>
                <w:sz w:val="20"/>
              </w:rPr>
              <w:t>smyslu,</w:t>
            </w:r>
            <w:r w:rsidRPr="00636988">
              <w:rPr>
                <w:rFonts w:asciiTheme="minorHAnsi" w:hAnsiTheme="minorHAnsi"/>
                <w:spacing w:val="22"/>
                <w:sz w:val="20"/>
              </w:rPr>
              <w:t xml:space="preserve"> </w:t>
            </w:r>
            <w:r w:rsidRPr="00636988">
              <w:rPr>
                <w:rFonts w:asciiTheme="minorHAnsi" w:hAnsiTheme="minorHAnsi"/>
                <w:sz w:val="20"/>
              </w:rPr>
              <w:t>že</w:t>
            </w:r>
            <w:r w:rsidR="009129B7">
              <w:rPr>
                <w:rFonts w:asciiTheme="minorHAnsi" w:hAnsiTheme="minorHAnsi"/>
                <w:spacing w:val="8"/>
                <w:sz w:val="20"/>
              </w:rPr>
              <w:t> </w:t>
            </w:r>
            <w:r w:rsidRPr="00636988">
              <w:rPr>
                <w:rFonts w:asciiTheme="minorHAnsi" w:hAnsiTheme="minorHAnsi"/>
                <w:sz w:val="20"/>
              </w:rPr>
              <w:t>budou</w:t>
            </w:r>
            <w:r w:rsidRPr="00636988">
              <w:rPr>
                <w:rFonts w:asciiTheme="minorHAnsi" w:hAnsiTheme="minorHAnsi"/>
                <w:spacing w:val="19"/>
                <w:sz w:val="20"/>
              </w:rPr>
              <w:t xml:space="preserve"> </w:t>
            </w:r>
            <w:r w:rsidRPr="00636988">
              <w:rPr>
                <w:rFonts w:asciiTheme="minorHAnsi" w:hAnsiTheme="minorHAnsi"/>
                <w:w w:val="105"/>
                <w:sz w:val="20"/>
              </w:rPr>
              <w:t>i</w:t>
            </w:r>
            <w:r w:rsidRPr="00636988">
              <w:rPr>
                <w:rFonts w:asciiTheme="minorHAnsi" w:hAnsiTheme="minorHAnsi"/>
                <w:w w:val="104"/>
                <w:sz w:val="20"/>
              </w:rPr>
              <w:t xml:space="preserve">ntegrovány </w:t>
            </w:r>
            <w:r w:rsidRPr="00636988">
              <w:rPr>
                <w:rFonts w:asciiTheme="minorHAnsi" w:hAnsiTheme="minorHAnsi"/>
                <w:sz w:val="20"/>
              </w:rPr>
              <w:t>relevantní</w:t>
            </w:r>
            <w:r w:rsidRPr="00636988">
              <w:rPr>
                <w:rFonts w:asciiTheme="minorHAnsi" w:hAnsiTheme="minorHAnsi"/>
                <w:spacing w:val="29"/>
                <w:sz w:val="20"/>
              </w:rPr>
              <w:t xml:space="preserve"> </w:t>
            </w:r>
            <w:r w:rsidRPr="00636988">
              <w:rPr>
                <w:rFonts w:asciiTheme="minorHAnsi" w:hAnsiTheme="minorHAnsi"/>
                <w:sz w:val="20"/>
              </w:rPr>
              <w:t>ŘO</w:t>
            </w:r>
            <w:r w:rsidRPr="00636988">
              <w:rPr>
                <w:rFonts w:asciiTheme="minorHAnsi" w:hAnsiTheme="minorHAnsi"/>
                <w:spacing w:val="11"/>
                <w:sz w:val="20"/>
              </w:rPr>
              <w:t xml:space="preserve"> </w:t>
            </w:r>
            <w:r w:rsidRPr="00636988">
              <w:rPr>
                <w:rFonts w:asciiTheme="minorHAnsi" w:hAnsiTheme="minorHAnsi"/>
                <w:sz w:val="20"/>
              </w:rPr>
              <w:t>a</w:t>
            </w:r>
            <w:r w:rsidR="009129B7">
              <w:rPr>
                <w:rFonts w:asciiTheme="minorHAnsi" w:hAnsiTheme="minorHAnsi"/>
                <w:spacing w:val="5"/>
                <w:sz w:val="20"/>
              </w:rPr>
              <w:t> </w:t>
            </w:r>
            <w:r w:rsidRPr="00636988">
              <w:rPr>
                <w:rFonts w:asciiTheme="minorHAnsi" w:hAnsiTheme="minorHAnsi"/>
                <w:sz w:val="20"/>
              </w:rPr>
              <w:t>sjednoceny</w:t>
            </w:r>
            <w:r w:rsidRPr="00636988">
              <w:rPr>
                <w:rFonts w:asciiTheme="minorHAnsi" w:hAnsiTheme="minorHAnsi"/>
                <w:spacing w:val="32"/>
                <w:sz w:val="20"/>
              </w:rPr>
              <w:t xml:space="preserve"> </w:t>
            </w:r>
            <w:r w:rsidRPr="00636988">
              <w:rPr>
                <w:rFonts w:asciiTheme="minorHAnsi" w:hAnsiTheme="minorHAnsi"/>
                <w:sz w:val="20"/>
              </w:rPr>
              <w:t>postupy</w:t>
            </w:r>
            <w:r w:rsidRPr="00636988">
              <w:rPr>
                <w:rFonts w:asciiTheme="minorHAnsi" w:hAnsiTheme="minorHAnsi"/>
                <w:spacing w:val="23"/>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sz w:val="20"/>
              </w:rPr>
              <w:t>nastavena</w:t>
            </w:r>
            <w:r w:rsidRPr="00636988">
              <w:rPr>
                <w:rFonts w:asciiTheme="minorHAnsi" w:hAnsiTheme="minorHAnsi"/>
                <w:spacing w:val="29"/>
                <w:sz w:val="20"/>
              </w:rPr>
              <w:t xml:space="preserve"> </w:t>
            </w:r>
            <w:r w:rsidRPr="00636988">
              <w:rPr>
                <w:rFonts w:asciiTheme="minorHAnsi" w:hAnsiTheme="minorHAnsi"/>
                <w:w w:val="104"/>
                <w:sz w:val="20"/>
              </w:rPr>
              <w:t>prav</w:t>
            </w:r>
            <w:r w:rsidRPr="00636988">
              <w:rPr>
                <w:rFonts w:asciiTheme="minorHAnsi" w:hAnsiTheme="minorHAnsi"/>
                <w:w w:val="105"/>
                <w:sz w:val="20"/>
              </w:rPr>
              <w:t>i</w:t>
            </w:r>
            <w:r w:rsidRPr="00636988">
              <w:rPr>
                <w:rFonts w:asciiTheme="minorHAnsi" w:hAnsiTheme="minorHAnsi"/>
                <w:w w:val="104"/>
                <w:sz w:val="20"/>
              </w:rPr>
              <w:t xml:space="preserve">dla </w:t>
            </w:r>
            <w:r w:rsidRPr="00636988">
              <w:rPr>
                <w:rFonts w:asciiTheme="minorHAnsi" w:hAnsiTheme="minorHAnsi"/>
                <w:sz w:val="20"/>
              </w:rPr>
              <w:t>pro</w:t>
            </w:r>
            <w:r w:rsidRPr="00636988">
              <w:rPr>
                <w:rFonts w:asciiTheme="minorHAnsi" w:hAnsiTheme="minorHAnsi"/>
                <w:spacing w:val="11"/>
                <w:sz w:val="20"/>
              </w:rPr>
              <w:t xml:space="preserve"> </w:t>
            </w:r>
            <w:r w:rsidRPr="00636988">
              <w:rPr>
                <w:rFonts w:asciiTheme="minorHAnsi" w:hAnsiTheme="minorHAnsi"/>
                <w:sz w:val="20"/>
              </w:rPr>
              <w:t>implementaci finančních</w:t>
            </w:r>
            <w:r w:rsidRPr="00636988">
              <w:rPr>
                <w:rFonts w:asciiTheme="minorHAnsi" w:hAnsiTheme="minorHAnsi"/>
                <w:spacing w:val="31"/>
                <w:sz w:val="20"/>
              </w:rPr>
              <w:t xml:space="preserve"> </w:t>
            </w:r>
            <w:r w:rsidRPr="00636988">
              <w:rPr>
                <w:rFonts w:asciiTheme="minorHAnsi" w:hAnsiTheme="minorHAnsi"/>
                <w:sz w:val="20"/>
              </w:rPr>
              <w:t>nástrojů,</w:t>
            </w:r>
            <w:r w:rsidRPr="00636988">
              <w:rPr>
                <w:rFonts w:asciiTheme="minorHAnsi" w:hAnsiTheme="minorHAnsi"/>
                <w:spacing w:val="26"/>
                <w:sz w:val="20"/>
              </w:rPr>
              <w:t xml:space="preserve"> </w:t>
            </w:r>
            <w:r w:rsidRPr="00636988">
              <w:rPr>
                <w:rFonts w:asciiTheme="minorHAnsi" w:hAnsiTheme="minorHAnsi"/>
                <w:sz w:val="20"/>
              </w:rPr>
              <w:t>včetně</w:t>
            </w:r>
            <w:r w:rsidRPr="00636988">
              <w:rPr>
                <w:rFonts w:asciiTheme="minorHAnsi" w:hAnsiTheme="minorHAnsi"/>
                <w:spacing w:val="19"/>
                <w:sz w:val="20"/>
              </w:rPr>
              <w:t xml:space="preserve"> </w:t>
            </w:r>
            <w:r w:rsidRPr="00636988">
              <w:rPr>
                <w:rFonts w:asciiTheme="minorHAnsi" w:hAnsiTheme="minorHAnsi"/>
                <w:w w:val="104"/>
                <w:sz w:val="20"/>
              </w:rPr>
              <w:t>zpracován</w:t>
            </w:r>
            <w:r w:rsidRPr="00636988">
              <w:rPr>
                <w:rFonts w:asciiTheme="minorHAnsi" w:hAnsiTheme="minorHAnsi"/>
                <w:w w:val="105"/>
                <w:sz w:val="20"/>
              </w:rPr>
              <w:t xml:space="preserve">í </w:t>
            </w:r>
            <w:r w:rsidRPr="00636988">
              <w:rPr>
                <w:rFonts w:asciiTheme="minorHAnsi" w:hAnsiTheme="minorHAnsi"/>
                <w:sz w:val="20"/>
              </w:rPr>
              <w:t>jednotného</w:t>
            </w:r>
            <w:r w:rsidRPr="00636988">
              <w:rPr>
                <w:rFonts w:asciiTheme="minorHAnsi" w:hAnsiTheme="minorHAnsi"/>
                <w:spacing w:val="33"/>
                <w:sz w:val="20"/>
              </w:rPr>
              <w:t xml:space="preserve"> </w:t>
            </w:r>
            <w:r w:rsidRPr="00636988">
              <w:rPr>
                <w:rFonts w:asciiTheme="minorHAnsi" w:hAnsiTheme="minorHAnsi"/>
                <w:sz w:val="20"/>
              </w:rPr>
              <w:t>předběžného</w:t>
            </w:r>
            <w:r w:rsidR="007A6D0C" w:rsidRPr="00873900">
              <w:rPr>
                <w:rFonts w:asciiTheme="minorHAnsi" w:eastAsia="Georgia" w:hAnsiTheme="minorHAnsi" w:cs="Georgia"/>
                <w:sz w:val="20"/>
                <w:szCs w:val="20"/>
              </w:rPr>
              <w:t xml:space="preserve"> </w:t>
            </w:r>
            <w:r w:rsidRPr="00636988">
              <w:rPr>
                <w:rFonts w:asciiTheme="minorHAnsi" w:hAnsiTheme="minorHAnsi"/>
                <w:sz w:val="20"/>
              </w:rPr>
              <w:t>posouzení,</w:t>
            </w:r>
            <w:r w:rsidRPr="00636988">
              <w:rPr>
                <w:rFonts w:asciiTheme="minorHAnsi" w:hAnsiTheme="minorHAnsi"/>
                <w:spacing w:val="31"/>
                <w:sz w:val="20"/>
              </w:rPr>
              <w:t xml:space="preserve"> </w:t>
            </w:r>
            <w:r w:rsidRPr="00636988">
              <w:rPr>
                <w:rFonts w:asciiTheme="minorHAnsi" w:hAnsiTheme="minorHAnsi"/>
                <w:sz w:val="20"/>
              </w:rPr>
              <w:t>které</w:t>
            </w:r>
            <w:r w:rsidRPr="00636988">
              <w:rPr>
                <w:rFonts w:asciiTheme="minorHAnsi" w:hAnsiTheme="minorHAnsi"/>
                <w:spacing w:val="16"/>
                <w:sz w:val="20"/>
              </w:rPr>
              <w:t xml:space="preserve"> </w:t>
            </w:r>
            <w:r w:rsidRPr="00636988">
              <w:rPr>
                <w:rFonts w:asciiTheme="minorHAnsi" w:hAnsiTheme="minorHAnsi"/>
                <w:sz w:val="20"/>
              </w:rPr>
              <w:t>s</w:t>
            </w:r>
            <w:r w:rsidRPr="00636988">
              <w:rPr>
                <w:rFonts w:asciiTheme="minorHAnsi" w:hAnsiTheme="minorHAnsi"/>
                <w:spacing w:val="5"/>
                <w:sz w:val="20"/>
              </w:rPr>
              <w:t xml:space="preserve"> </w:t>
            </w:r>
            <w:r w:rsidRPr="00636988">
              <w:rPr>
                <w:rFonts w:asciiTheme="minorHAnsi" w:hAnsiTheme="minorHAnsi"/>
                <w:w w:val="104"/>
                <w:sz w:val="20"/>
              </w:rPr>
              <w:t xml:space="preserve">uvedenou </w:t>
            </w:r>
            <w:r w:rsidRPr="00636988">
              <w:rPr>
                <w:rFonts w:asciiTheme="minorHAnsi" w:hAnsiTheme="minorHAnsi"/>
                <w:sz w:val="20"/>
              </w:rPr>
              <w:t>variantou</w:t>
            </w:r>
            <w:r w:rsidRPr="00636988">
              <w:rPr>
                <w:rFonts w:asciiTheme="minorHAnsi" w:hAnsiTheme="minorHAnsi"/>
                <w:spacing w:val="28"/>
                <w:sz w:val="20"/>
              </w:rPr>
              <w:t xml:space="preserve"> </w:t>
            </w:r>
            <w:r w:rsidRPr="00636988">
              <w:rPr>
                <w:rFonts w:asciiTheme="minorHAnsi" w:hAnsiTheme="minorHAnsi"/>
                <w:sz w:val="20"/>
              </w:rPr>
              <w:t>počítá</w:t>
            </w:r>
            <w:r w:rsidRPr="00636988">
              <w:rPr>
                <w:rFonts w:asciiTheme="minorHAnsi" w:hAnsiTheme="minorHAnsi"/>
                <w:spacing w:val="19"/>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sz w:val="20"/>
              </w:rPr>
              <w:t>pokrývá</w:t>
            </w:r>
            <w:r w:rsidRPr="00636988">
              <w:rPr>
                <w:rFonts w:asciiTheme="minorHAnsi" w:hAnsiTheme="minorHAnsi"/>
                <w:spacing w:val="23"/>
                <w:sz w:val="20"/>
              </w:rPr>
              <w:t xml:space="preserve"> </w:t>
            </w:r>
            <w:r w:rsidRPr="00636988">
              <w:rPr>
                <w:rFonts w:asciiTheme="minorHAnsi" w:hAnsiTheme="minorHAnsi"/>
                <w:sz w:val="20"/>
              </w:rPr>
              <w:t>všechny</w:t>
            </w:r>
            <w:r w:rsidRPr="00636988">
              <w:rPr>
                <w:rFonts w:asciiTheme="minorHAnsi" w:hAnsiTheme="minorHAnsi"/>
                <w:spacing w:val="23"/>
                <w:sz w:val="20"/>
              </w:rPr>
              <w:t xml:space="preserve"> </w:t>
            </w:r>
            <w:r w:rsidRPr="00636988">
              <w:rPr>
                <w:rFonts w:asciiTheme="minorHAnsi" w:hAnsiTheme="minorHAnsi"/>
                <w:w w:val="104"/>
                <w:sz w:val="20"/>
              </w:rPr>
              <w:t>Programy.</w:t>
            </w:r>
          </w:p>
          <w:p w:rsidR="00092DCA" w:rsidRPr="00873900" w:rsidRDefault="001A3B8A" w:rsidP="00636988">
            <w:pPr>
              <w:pStyle w:val="Odstavecseseznamem"/>
              <w:numPr>
                <w:ilvl w:val="0"/>
                <w:numId w:val="3"/>
              </w:numPr>
              <w:tabs>
                <w:tab w:val="left" w:pos="680"/>
              </w:tabs>
              <w:spacing w:before="93" w:line="264" w:lineRule="auto"/>
              <w:ind w:left="709" w:right="151" w:hanging="425"/>
              <w:jc w:val="left"/>
              <w:rPr>
                <w:rFonts w:asciiTheme="minorHAnsi" w:eastAsia="Georgia" w:hAnsiTheme="minorHAnsi" w:cs="Georgia"/>
                <w:sz w:val="20"/>
                <w:szCs w:val="20"/>
              </w:rPr>
            </w:pPr>
            <w:r w:rsidRPr="00636988">
              <w:rPr>
                <w:rFonts w:asciiTheme="minorHAnsi" w:hAnsiTheme="minorHAnsi"/>
                <w:sz w:val="20"/>
              </w:rPr>
              <w:t>Možná</w:t>
            </w:r>
            <w:r w:rsidRPr="00636988">
              <w:rPr>
                <w:rFonts w:asciiTheme="minorHAnsi" w:hAnsiTheme="minorHAnsi"/>
                <w:spacing w:val="20"/>
                <w:sz w:val="20"/>
              </w:rPr>
              <w:t xml:space="preserve"> </w:t>
            </w:r>
            <w:r w:rsidRPr="00636988">
              <w:rPr>
                <w:rFonts w:asciiTheme="minorHAnsi" w:hAnsiTheme="minorHAnsi"/>
                <w:sz w:val="20"/>
              </w:rPr>
              <w:t>úspora</w:t>
            </w:r>
            <w:r w:rsidRPr="00636988">
              <w:rPr>
                <w:rFonts w:asciiTheme="minorHAnsi" w:hAnsiTheme="minorHAnsi"/>
                <w:spacing w:val="20"/>
                <w:sz w:val="20"/>
              </w:rPr>
              <w:t xml:space="preserve"> </w:t>
            </w:r>
            <w:r w:rsidR="00346684" w:rsidRPr="00873900">
              <w:rPr>
                <w:rFonts w:asciiTheme="minorHAnsi" w:eastAsia="Georgia" w:hAnsiTheme="minorHAnsi" w:cs="Georgia"/>
                <w:w w:val="104"/>
                <w:sz w:val="20"/>
                <w:szCs w:val="20"/>
              </w:rPr>
              <w:t>administrativních</w:t>
            </w:r>
            <w:r w:rsidRPr="00636988">
              <w:rPr>
                <w:rFonts w:asciiTheme="minorHAnsi" w:hAnsiTheme="minorHAnsi"/>
                <w:spacing w:val="2"/>
                <w:w w:val="104"/>
                <w:sz w:val="20"/>
              </w:rPr>
              <w:t xml:space="preserve"> </w:t>
            </w:r>
            <w:r w:rsidRPr="00636988">
              <w:rPr>
                <w:rFonts w:asciiTheme="minorHAnsi" w:hAnsiTheme="minorHAnsi"/>
                <w:sz w:val="20"/>
              </w:rPr>
              <w:t>a</w:t>
            </w:r>
            <w:r w:rsidR="009129B7">
              <w:rPr>
                <w:rFonts w:asciiTheme="minorHAnsi" w:hAnsiTheme="minorHAnsi"/>
                <w:spacing w:val="5"/>
                <w:sz w:val="20"/>
              </w:rPr>
              <w:t> </w:t>
            </w:r>
            <w:r w:rsidRPr="00636988">
              <w:rPr>
                <w:rFonts w:asciiTheme="minorHAnsi" w:hAnsiTheme="minorHAnsi"/>
                <w:sz w:val="20"/>
              </w:rPr>
              <w:t>kapacitních</w:t>
            </w:r>
            <w:r w:rsidRPr="00636988">
              <w:rPr>
                <w:rFonts w:asciiTheme="minorHAnsi" w:hAnsiTheme="minorHAnsi"/>
                <w:spacing w:val="34"/>
                <w:sz w:val="20"/>
              </w:rPr>
              <w:t xml:space="preserve"> </w:t>
            </w:r>
            <w:r w:rsidRPr="00636988">
              <w:rPr>
                <w:rFonts w:asciiTheme="minorHAnsi" w:hAnsiTheme="minorHAnsi"/>
                <w:w w:val="104"/>
                <w:sz w:val="20"/>
              </w:rPr>
              <w:t xml:space="preserve">nákladů </w:t>
            </w:r>
            <w:r w:rsidR="00346684" w:rsidRPr="00873900">
              <w:rPr>
                <w:rFonts w:asciiTheme="minorHAnsi" w:eastAsia="Georgia" w:hAnsiTheme="minorHAnsi" w:cs="Georgia"/>
                <w:sz w:val="20"/>
                <w:szCs w:val="20"/>
              </w:rPr>
              <w:t>vyplývající</w:t>
            </w:r>
            <w:r w:rsidRPr="00636988">
              <w:rPr>
                <w:rFonts w:asciiTheme="minorHAnsi" w:hAnsiTheme="minorHAnsi"/>
                <w:spacing w:val="31"/>
                <w:sz w:val="20"/>
              </w:rPr>
              <w:t xml:space="preserve"> </w:t>
            </w:r>
            <w:r w:rsidRPr="00636988">
              <w:rPr>
                <w:rFonts w:asciiTheme="minorHAnsi" w:hAnsiTheme="minorHAnsi"/>
                <w:sz w:val="20"/>
              </w:rPr>
              <w:t>z</w:t>
            </w:r>
            <w:r w:rsidR="009129B7">
              <w:rPr>
                <w:rFonts w:asciiTheme="minorHAnsi" w:hAnsiTheme="minorHAnsi"/>
                <w:spacing w:val="5"/>
                <w:sz w:val="20"/>
              </w:rPr>
              <w:t> </w:t>
            </w:r>
            <w:r w:rsidRPr="00636988">
              <w:rPr>
                <w:rFonts w:asciiTheme="minorHAnsi" w:hAnsiTheme="minorHAnsi"/>
                <w:sz w:val="20"/>
              </w:rPr>
              <w:t>jednotné</w:t>
            </w:r>
            <w:r w:rsidRPr="00636988">
              <w:rPr>
                <w:rFonts w:asciiTheme="minorHAnsi" w:hAnsiTheme="minorHAnsi"/>
                <w:spacing w:val="26"/>
                <w:sz w:val="20"/>
              </w:rPr>
              <w:t xml:space="preserve"> </w:t>
            </w:r>
            <w:r w:rsidRPr="00636988">
              <w:rPr>
                <w:rFonts w:asciiTheme="minorHAnsi" w:hAnsiTheme="minorHAnsi"/>
                <w:w w:val="105"/>
                <w:sz w:val="20"/>
              </w:rPr>
              <w:t>i</w:t>
            </w:r>
            <w:r w:rsidRPr="00636988">
              <w:rPr>
                <w:rFonts w:asciiTheme="minorHAnsi" w:hAnsiTheme="minorHAnsi"/>
                <w:w w:val="104"/>
                <w:sz w:val="20"/>
              </w:rPr>
              <w:t>mplementace.</w:t>
            </w:r>
          </w:p>
          <w:p w:rsidR="00092DCA" w:rsidRPr="00873900" w:rsidRDefault="00092DCA" w:rsidP="00636988">
            <w:pPr>
              <w:ind w:left="0"/>
              <w:jc w:val="left"/>
              <w:rPr>
                <w:rFonts w:asciiTheme="minorHAnsi" w:hAnsiTheme="minorHAnsi"/>
                <w:sz w:val="20"/>
                <w:szCs w:val="20"/>
              </w:rPr>
            </w:pPr>
          </w:p>
        </w:tc>
        <w:tc>
          <w:tcPr>
            <w:tcW w:w="4360" w:type="dxa"/>
          </w:tcPr>
          <w:p w:rsidR="00092DCA" w:rsidRPr="00873900" w:rsidRDefault="001A3B8A" w:rsidP="00636988">
            <w:pPr>
              <w:pStyle w:val="Odstavecseseznamem"/>
              <w:numPr>
                <w:ilvl w:val="0"/>
                <w:numId w:val="3"/>
              </w:numPr>
              <w:tabs>
                <w:tab w:val="left" w:pos="4144"/>
              </w:tabs>
              <w:spacing w:line="264" w:lineRule="auto"/>
              <w:ind w:left="772" w:right="112" w:hanging="425"/>
              <w:jc w:val="left"/>
              <w:rPr>
                <w:rFonts w:asciiTheme="minorHAnsi" w:eastAsia="Georgia" w:hAnsiTheme="minorHAnsi" w:cs="Georgia"/>
                <w:sz w:val="20"/>
                <w:szCs w:val="20"/>
              </w:rPr>
            </w:pPr>
            <w:r w:rsidRPr="00636988">
              <w:rPr>
                <w:rFonts w:asciiTheme="minorHAnsi" w:hAnsiTheme="minorHAnsi"/>
                <w:sz w:val="20"/>
              </w:rPr>
              <w:t>Zvýšené</w:t>
            </w:r>
            <w:r w:rsidRPr="00636988">
              <w:rPr>
                <w:rFonts w:asciiTheme="minorHAnsi" w:hAnsiTheme="minorHAnsi"/>
                <w:spacing w:val="23"/>
                <w:sz w:val="20"/>
              </w:rPr>
              <w:t xml:space="preserve"> </w:t>
            </w:r>
            <w:r w:rsidRPr="00636988">
              <w:rPr>
                <w:rFonts w:asciiTheme="minorHAnsi" w:hAnsiTheme="minorHAnsi"/>
                <w:sz w:val="20"/>
              </w:rPr>
              <w:t>požadavky</w:t>
            </w:r>
            <w:r w:rsidRPr="00636988">
              <w:rPr>
                <w:rFonts w:asciiTheme="minorHAnsi" w:hAnsiTheme="minorHAnsi"/>
                <w:spacing w:val="30"/>
                <w:sz w:val="20"/>
              </w:rPr>
              <w:t xml:space="preserve"> </w:t>
            </w:r>
            <w:r w:rsidRPr="00636988">
              <w:rPr>
                <w:rFonts w:asciiTheme="minorHAnsi" w:hAnsiTheme="minorHAnsi"/>
                <w:sz w:val="20"/>
              </w:rPr>
              <w:t>na</w:t>
            </w:r>
            <w:r w:rsidRPr="00636988">
              <w:rPr>
                <w:rFonts w:asciiTheme="minorHAnsi" w:hAnsiTheme="minorHAnsi"/>
                <w:spacing w:val="9"/>
                <w:sz w:val="20"/>
              </w:rPr>
              <w:t xml:space="preserve"> </w:t>
            </w:r>
            <w:r w:rsidRPr="00636988">
              <w:rPr>
                <w:rFonts w:asciiTheme="minorHAnsi" w:hAnsiTheme="minorHAnsi"/>
                <w:sz w:val="20"/>
              </w:rPr>
              <w:t>řídící</w:t>
            </w:r>
            <w:r w:rsidRPr="00636988">
              <w:rPr>
                <w:rFonts w:asciiTheme="minorHAnsi" w:hAnsiTheme="minorHAnsi"/>
                <w:spacing w:val="17"/>
                <w:sz w:val="20"/>
              </w:rPr>
              <w:t xml:space="preserve"> </w:t>
            </w:r>
            <w:r w:rsidRPr="00636988">
              <w:rPr>
                <w:rFonts w:asciiTheme="minorHAnsi" w:hAnsiTheme="minorHAnsi"/>
                <w:sz w:val="20"/>
              </w:rPr>
              <w:t>a</w:t>
            </w:r>
            <w:r w:rsidR="009129B7">
              <w:rPr>
                <w:rFonts w:asciiTheme="minorHAnsi" w:hAnsiTheme="minorHAnsi"/>
                <w:spacing w:val="5"/>
                <w:sz w:val="20"/>
              </w:rPr>
              <w:t> </w:t>
            </w:r>
            <w:r w:rsidRPr="00636988">
              <w:rPr>
                <w:rFonts w:asciiTheme="minorHAnsi" w:hAnsiTheme="minorHAnsi"/>
                <w:sz w:val="20"/>
              </w:rPr>
              <w:t>rozhodovací</w:t>
            </w:r>
            <w:r w:rsidRPr="00636988">
              <w:rPr>
                <w:rFonts w:asciiTheme="minorHAnsi" w:hAnsiTheme="minorHAnsi"/>
                <w:spacing w:val="35"/>
                <w:sz w:val="20"/>
              </w:rPr>
              <w:t xml:space="preserve"> </w:t>
            </w:r>
            <w:r w:rsidRPr="00636988">
              <w:rPr>
                <w:rFonts w:asciiTheme="minorHAnsi" w:hAnsiTheme="minorHAnsi"/>
                <w:w w:val="104"/>
                <w:sz w:val="20"/>
              </w:rPr>
              <w:t xml:space="preserve">strukturu, </w:t>
            </w:r>
            <w:r w:rsidRPr="00636988">
              <w:rPr>
                <w:rFonts w:asciiTheme="minorHAnsi" w:hAnsiTheme="minorHAnsi"/>
                <w:sz w:val="20"/>
              </w:rPr>
              <w:t>nastavení</w:t>
            </w:r>
            <w:r w:rsidRPr="00636988">
              <w:rPr>
                <w:rFonts w:asciiTheme="minorHAnsi" w:hAnsiTheme="minorHAnsi"/>
                <w:spacing w:val="28"/>
                <w:sz w:val="20"/>
              </w:rPr>
              <w:t xml:space="preserve"> </w:t>
            </w:r>
            <w:r w:rsidRPr="00636988">
              <w:rPr>
                <w:rFonts w:asciiTheme="minorHAnsi" w:hAnsiTheme="minorHAnsi"/>
                <w:sz w:val="20"/>
              </w:rPr>
              <w:t>kompetencí</w:t>
            </w:r>
            <w:r w:rsidRPr="00636988">
              <w:rPr>
                <w:rFonts w:asciiTheme="minorHAnsi" w:hAnsiTheme="minorHAnsi"/>
                <w:spacing w:val="33"/>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sz w:val="20"/>
              </w:rPr>
              <w:t>odpovědnosti při</w:t>
            </w:r>
            <w:r w:rsidR="009129B7">
              <w:rPr>
                <w:rFonts w:asciiTheme="minorHAnsi" w:hAnsiTheme="minorHAnsi"/>
                <w:spacing w:val="10"/>
                <w:sz w:val="20"/>
              </w:rPr>
              <w:t> </w:t>
            </w:r>
            <w:r w:rsidRPr="00636988">
              <w:rPr>
                <w:rFonts w:asciiTheme="minorHAnsi" w:hAnsiTheme="minorHAnsi"/>
                <w:w w:val="104"/>
                <w:sz w:val="20"/>
              </w:rPr>
              <w:t>vzn</w:t>
            </w:r>
            <w:r w:rsidRPr="00636988">
              <w:rPr>
                <w:rFonts w:asciiTheme="minorHAnsi" w:hAnsiTheme="minorHAnsi"/>
                <w:w w:val="105"/>
                <w:sz w:val="20"/>
              </w:rPr>
              <w:t>i</w:t>
            </w:r>
            <w:r w:rsidRPr="00636988">
              <w:rPr>
                <w:rFonts w:asciiTheme="minorHAnsi" w:hAnsiTheme="minorHAnsi"/>
                <w:w w:val="104"/>
                <w:sz w:val="20"/>
              </w:rPr>
              <w:t xml:space="preserve">klých </w:t>
            </w:r>
            <w:r w:rsidRPr="00636988">
              <w:rPr>
                <w:rFonts w:asciiTheme="minorHAnsi" w:hAnsiTheme="minorHAnsi"/>
                <w:sz w:val="20"/>
              </w:rPr>
              <w:t>nesrovnalostech a</w:t>
            </w:r>
            <w:r w:rsidR="009129B7">
              <w:rPr>
                <w:rFonts w:asciiTheme="minorHAnsi" w:hAnsiTheme="minorHAnsi"/>
                <w:spacing w:val="5"/>
                <w:sz w:val="20"/>
              </w:rPr>
              <w:t> </w:t>
            </w:r>
            <w:r w:rsidRPr="00636988">
              <w:rPr>
                <w:rFonts w:asciiTheme="minorHAnsi" w:hAnsiTheme="minorHAnsi"/>
                <w:sz w:val="20"/>
              </w:rPr>
              <w:t>metodické</w:t>
            </w:r>
            <w:r w:rsidRPr="00636988">
              <w:rPr>
                <w:rFonts w:asciiTheme="minorHAnsi" w:hAnsiTheme="minorHAnsi"/>
                <w:spacing w:val="30"/>
                <w:sz w:val="20"/>
              </w:rPr>
              <w:t xml:space="preserve"> </w:t>
            </w:r>
            <w:r w:rsidRPr="00636988">
              <w:rPr>
                <w:rFonts w:asciiTheme="minorHAnsi" w:hAnsiTheme="minorHAnsi"/>
                <w:w w:val="104"/>
                <w:sz w:val="20"/>
              </w:rPr>
              <w:t>ř</w:t>
            </w:r>
            <w:r w:rsidRPr="00636988">
              <w:rPr>
                <w:rFonts w:asciiTheme="minorHAnsi" w:hAnsiTheme="minorHAnsi"/>
                <w:w w:val="105"/>
                <w:sz w:val="20"/>
              </w:rPr>
              <w:t>í</w:t>
            </w:r>
            <w:r w:rsidRPr="00636988">
              <w:rPr>
                <w:rFonts w:asciiTheme="minorHAnsi" w:hAnsiTheme="minorHAnsi"/>
                <w:w w:val="104"/>
                <w:sz w:val="20"/>
              </w:rPr>
              <w:t>zen</w:t>
            </w:r>
            <w:r w:rsidRPr="00636988">
              <w:rPr>
                <w:rFonts w:asciiTheme="minorHAnsi" w:hAnsiTheme="minorHAnsi"/>
                <w:w w:val="105"/>
                <w:sz w:val="20"/>
              </w:rPr>
              <w:t>í</w:t>
            </w:r>
            <w:r w:rsidRPr="00636988">
              <w:rPr>
                <w:rFonts w:asciiTheme="minorHAnsi" w:hAnsiTheme="minorHAnsi"/>
                <w:w w:val="104"/>
                <w:sz w:val="20"/>
              </w:rPr>
              <w:t>.</w:t>
            </w:r>
          </w:p>
          <w:p w:rsidR="00092DCA" w:rsidRPr="00873900" w:rsidRDefault="001A3B8A" w:rsidP="00636988">
            <w:pPr>
              <w:pStyle w:val="Odstavecseseznamem"/>
              <w:numPr>
                <w:ilvl w:val="0"/>
                <w:numId w:val="3"/>
              </w:numPr>
              <w:tabs>
                <w:tab w:val="left" w:pos="4144"/>
              </w:tabs>
              <w:spacing w:before="94" w:line="264" w:lineRule="auto"/>
              <w:ind w:left="772" w:right="112" w:hanging="425"/>
              <w:jc w:val="left"/>
              <w:rPr>
                <w:rFonts w:asciiTheme="minorHAnsi" w:eastAsia="Georgia" w:hAnsiTheme="minorHAnsi" w:cs="Georgia"/>
                <w:sz w:val="20"/>
                <w:szCs w:val="20"/>
              </w:rPr>
            </w:pPr>
            <w:r w:rsidRPr="00636988">
              <w:rPr>
                <w:rFonts w:asciiTheme="minorHAnsi" w:hAnsiTheme="minorHAnsi"/>
                <w:sz w:val="20"/>
              </w:rPr>
              <w:t>Není</w:t>
            </w:r>
            <w:r w:rsidRPr="00636988">
              <w:rPr>
                <w:rFonts w:asciiTheme="minorHAnsi" w:hAnsiTheme="minorHAnsi"/>
                <w:spacing w:val="15"/>
                <w:sz w:val="20"/>
              </w:rPr>
              <w:t xml:space="preserve"> </w:t>
            </w:r>
            <w:r w:rsidRPr="00636988">
              <w:rPr>
                <w:rFonts w:asciiTheme="minorHAnsi" w:hAnsiTheme="minorHAnsi"/>
                <w:sz w:val="20"/>
              </w:rPr>
              <w:t>zcela</w:t>
            </w:r>
            <w:r w:rsidRPr="00636988">
              <w:rPr>
                <w:rFonts w:asciiTheme="minorHAnsi" w:hAnsiTheme="minorHAnsi"/>
                <w:spacing w:val="15"/>
                <w:sz w:val="20"/>
              </w:rPr>
              <w:t xml:space="preserve"> </w:t>
            </w:r>
            <w:r w:rsidRPr="00636988">
              <w:rPr>
                <w:rFonts w:asciiTheme="minorHAnsi" w:hAnsiTheme="minorHAnsi"/>
                <w:sz w:val="20"/>
              </w:rPr>
              <w:t>dořešena</w:t>
            </w:r>
            <w:r w:rsidRPr="00636988">
              <w:rPr>
                <w:rFonts w:asciiTheme="minorHAnsi" w:hAnsiTheme="minorHAnsi"/>
                <w:spacing w:val="26"/>
                <w:sz w:val="20"/>
              </w:rPr>
              <w:t xml:space="preserve"> </w:t>
            </w:r>
            <w:r w:rsidRPr="00636988">
              <w:rPr>
                <w:rFonts w:asciiTheme="minorHAnsi" w:hAnsiTheme="minorHAnsi"/>
                <w:sz w:val="20"/>
              </w:rPr>
              <w:t>implementační struktura</w:t>
            </w:r>
            <w:r w:rsidRPr="00636988">
              <w:rPr>
                <w:rFonts w:asciiTheme="minorHAnsi" w:hAnsiTheme="minorHAnsi"/>
                <w:spacing w:val="27"/>
                <w:sz w:val="20"/>
              </w:rPr>
              <w:t xml:space="preserve"> </w:t>
            </w:r>
            <w:r w:rsidRPr="00636988">
              <w:rPr>
                <w:rFonts w:asciiTheme="minorHAnsi" w:hAnsiTheme="minorHAnsi"/>
                <w:w w:val="104"/>
                <w:sz w:val="20"/>
              </w:rPr>
              <w:t xml:space="preserve">včetně </w:t>
            </w:r>
            <w:r w:rsidRPr="00636988">
              <w:rPr>
                <w:rFonts w:asciiTheme="minorHAnsi" w:hAnsiTheme="minorHAnsi"/>
                <w:sz w:val="20"/>
              </w:rPr>
              <w:t>řídících</w:t>
            </w:r>
            <w:r w:rsidRPr="00636988">
              <w:rPr>
                <w:rFonts w:asciiTheme="minorHAnsi" w:hAnsiTheme="minorHAnsi"/>
                <w:spacing w:val="23"/>
                <w:sz w:val="20"/>
              </w:rPr>
              <w:t xml:space="preserve"> </w:t>
            </w:r>
            <w:r w:rsidRPr="00636988">
              <w:rPr>
                <w:rFonts w:asciiTheme="minorHAnsi" w:hAnsiTheme="minorHAnsi"/>
                <w:sz w:val="20"/>
              </w:rPr>
              <w:t>a</w:t>
            </w:r>
            <w:r w:rsidR="009129B7">
              <w:rPr>
                <w:rFonts w:asciiTheme="minorHAnsi" w:hAnsiTheme="minorHAnsi"/>
                <w:spacing w:val="5"/>
                <w:sz w:val="20"/>
              </w:rPr>
              <w:t> </w:t>
            </w:r>
            <w:r w:rsidRPr="00636988">
              <w:rPr>
                <w:rFonts w:asciiTheme="minorHAnsi" w:hAnsiTheme="minorHAnsi"/>
                <w:sz w:val="20"/>
              </w:rPr>
              <w:t>rozhodovacích mechanismů na</w:t>
            </w:r>
            <w:r w:rsidRPr="00636988">
              <w:rPr>
                <w:rFonts w:asciiTheme="minorHAnsi" w:hAnsiTheme="minorHAnsi"/>
                <w:spacing w:val="9"/>
                <w:sz w:val="20"/>
              </w:rPr>
              <w:t xml:space="preserve"> </w:t>
            </w:r>
            <w:r w:rsidRPr="00636988">
              <w:rPr>
                <w:rFonts w:asciiTheme="minorHAnsi" w:hAnsiTheme="minorHAnsi"/>
                <w:sz w:val="20"/>
              </w:rPr>
              <w:t>úrovni</w:t>
            </w:r>
            <w:r w:rsidRPr="00636988">
              <w:rPr>
                <w:rFonts w:asciiTheme="minorHAnsi" w:hAnsiTheme="minorHAnsi"/>
                <w:spacing w:val="20"/>
                <w:sz w:val="20"/>
              </w:rPr>
              <w:t xml:space="preserve"> </w:t>
            </w:r>
            <w:r w:rsidRPr="00636988">
              <w:rPr>
                <w:rFonts w:asciiTheme="minorHAnsi" w:hAnsiTheme="minorHAnsi"/>
                <w:w w:val="104"/>
                <w:sz w:val="20"/>
              </w:rPr>
              <w:t>n</w:t>
            </w:r>
            <w:r w:rsidRPr="00636988">
              <w:rPr>
                <w:rFonts w:asciiTheme="minorHAnsi" w:hAnsiTheme="minorHAnsi"/>
                <w:w w:val="105"/>
                <w:sz w:val="20"/>
              </w:rPr>
              <w:t>i</w:t>
            </w:r>
            <w:r w:rsidRPr="00636988">
              <w:rPr>
                <w:rFonts w:asciiTheme="minorHAnsi" w:hAnsiTheme="minorHAnsi"/>
                <w:w w:val="104"/>
                <w:sz w:val="20"/>
              </w:rPr>
              <w:t>žš</w:t>
            </w:r>
            <w:r w:rsidRPr="00636988">
              <w:rPr>
                <w:rFonts w:asciiTheme="minorHAnsi" w:hAnsiTheme="minorHAnsi"/>
                <w:w w:val="105"/>
                <w:sz w:val="20"/>
              </w:rPr>
              <w:t>í</w:t>
            </w:r>
            <w:r w:rsidRPr="00636988">
              <w:rPr>
                <w:rFonts w:asciiTheme="minorHAnsi" w:hAnsiTheme="minorHAnsi"/>
                <w:w w:val="104"/>
                <w:sz w:val="20"/>
              </w:rPr>
              <w:t xml:space="preserve">ch </w:t>
            </w:r>
            <w:r w:rsidRPr="00636988">
              <w:rPr>
                <w:rFonts w:asciiTheme="minorHAnsi" w:hAnsiTheme="minorHAnsi"/>
                <w:sz w:val="20"/>
              </w:rPr>
              <w:t>článků</w:t>
            </w:r>
            <w:r w:rsidRPr="00636988">
              <w:rPr>
                <w:rFonts w:asciiTheme="minorHAnsi" w:hAnsiTheme="minorHAnsi"/>
                <w:spacing w:val="20"/>
                <w:sz w:val="20"/>
              </w:rPr>
              <w:t xml:space="preserve"> </w:t>
            </w:r>
            <w:r w:rsidRPr="00636988">
              <w:rPr>
                <w:rFonts w:asciiTheme="minorHAnsi" w:hAnsiTheme="minorHAnsi"/>
                <w:sz w:val="20"/>
              </w:rPr>
              <w:t>implementace</w:t>
            </w:r>
            <w:r w:rsidRPr="00636988">
              <w:rPr>
                <w:rFonts w:asciiTheme="minorHAnsi" w:hAnsiTheme="minorHAnsi"/>
                <w:spacing w:val="4"/>
                <w:sz w:val="20"/>
              </w:rPr>
              <w:t xml:space="preserve"> </w:t>
            </w:r>
            <w:r w:rsidRPr="00636988">
              <w:rPr>
                <w:rFonts w:asciiTheme="minorHAnsi" w:hAnsiTheme="minorHAnsi"/>
                <w:sz w:val="20"/>
              </w:rPr>
              <w:t>(tj.</w:t>
            </w:r>
            <w:r w:rsidRPr="00636988">
              <w:rPr>
                <w:rFonts w:asciiTheme="minorHAnsi" w:hAnsiTheme="minorHAnsi"/>
                <w:spacing w:val="10"/>
                <w:sz w:val="20"/>
              </w:rPr>
              <w:t xml:space="preserve"> </w:t>
            </w:r>
            <w:r w:rsidRPr="00636988">
              <w:rPr>
                <w:rFonts w:asciiTheme="minorHAnsi" w:hAnsiTheme="minorHAnsi"/>
                <w:sz w:val="20"/>
              </w:rPr>
              <w:t>fondů</w:t>
            </w:r>
            <w:r w:rsidRPr="00636988">
              <w:rPr>
                <w:rFonts w:asciiTheme="minorHAnsi" w:hAnsiTheme="minorHAnsi"/>
                <w:spacing w:val="18"/>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w w:val="104"/>
                <w:sz w:val="20"/>
              </w:rPr>
              <w:t>podfondů).</w:t>
            </w:r>
          </w:p>
          <w:p w:rsidR="00092DCA" w:rsidRPr="00873900" w:rsidRDefault="001A3B8A" w:rsidP="00636988">
            <w:pPr>
              <w:pStyle w:val="Odstavecseseznamem"/>
              <w:numPr>
                <w:ilvl w:val="0"/>
                <w:numId w:val="3"/>
              </w:numPr>
              <w:tabs>
                <w:tab w:val="left" w:pos="4144"/>
              </w:tabs>
              <w:spacing w:before="93"/>
              <w:ind w:left="772" w:right="112" w:hanging="425"/>
              <w:jc w:val="left"/>
              <w:rPr>
                <w:rFonts w:asciiTheme="minorHAnsi" w:eastAsia="Georgia" w:hAnsiTheme="minorHAnsi" w:cs="Georgia"/>
                <w:sz w:val="20"/>
                <w:szCs w:val="20"/>
              </w:rPr>
            </w:pPr>
            <w:r w:rsidRPr="00636988">
              <w:rPr>
                <w:rFonts w:asciiTheme="minorHAnsi" w:hAnsiTheme="minorHAnsi"/>
                <w:sz w:val="20"/>
              </w:rPr>
              <w:t>Úspěch</w:t>
            </w:r>
            <w:r w:rsidRPr="00636988">
              <w:rPr>
                <w:rFonts w:asciiTheme="minorHAnsi" w:hAnsiTheme="minorHAnsi"/>
                <w:spacing w:val="22"/>
                <w:sz w:val="20"/>
              </w:rPr>
              <w:t xml:space="preserve"> </w:t>
            </w:r>
            <w:r w:rsidRPr="00636988">
              <w:rPr>
                <w:rFonts w:asciiTheme="minorHAnsi" w:hAnsiTheme="minorHAnsi"/>
                <w:sz w:val="20"/>
              </w:rPr>
              <w:t>modelu</w:t>
            </w:r>
            <w:r w:rsidRPr="00636988">
              <w:rPr>
                <w:rFonts w:asciiTheme="minorHAnsi" w:hAnsiTheme="minorHAnsi"/>
                <w:spacing w:val="22"/>
                <w:sz w:val="20"/>
              </w:rPr>
              <w:t xml:space="preserve"> </w:t>
            </w:r>
            <w:r w:rsidRPr="00636988">
              <w:rPr>
                <w:rFonts w:asciiTheme="minorHAnsi" w:hAnsiTheme="minorHAnsi"/>
                <w:sz w:val="20"/>
              </w:rPr>
              <w:t>je</w:t>
            </w:r>
            <w:r w:rsidRPr="00636988">
              <w:rPr>
                <w:rFonts w:asciiTheme="minorHAnsi" w:hAnsiTheme="minorHAnsi"/>
                <w:spacing w:val="7"/>
                <w:sz w:val="20"/>
              </w:rPr>
              <w:t xml:space="preserve"> </w:t>
            </w:r>
            <w:r w:rsidRPr="00636988">
              <w:rPr>
                <w:rFonts w:asciiTheme="minorHAnsi" w:hAnsiTheme="minorHAnsi"/>
                <w:sz w:val="20"/>
              </w:rPr>
              <w:t>založen</w:t>
            </w:r>
            <w:r w:rsidRPr="00636988">
              <w:rPr>
                <w:rFonts w:asciiTheme="minorHAnsi" w:hAnsiTheme="minorHAnsi"/>
                <w:spacing w:val="22"/>
                <w:sz w:val="20"/>
              </w:rPr>
              <w:t xml:space="preserve"> </w:t>
            </w:r>
            <w:r w:rsidRPr="00636988">
              <w:rPr>
                <w:rFonts w:asciiTheme="minorHAnsi" w:hAnsiTheme="minorHAnsi"/>
                <w:sz w:val="20"/>
              </w:rPr>
              <w:t>na</w:t>
            </w:r>
            <w:r w:rsidR="009129B7">
              <w:rPr>
                <w:rFonts w:asciiTheme="minorHAnsi" w:hAnsiTheme="minorHAnsi"/>
                <w:spacing w:val="9"/>
                <w:sz w:val="20"/>
              </w:rPr>
              <w:t> </w:t>
            </w:r>
            <w:r w:rsidRPr="00636988">
              <w:rPr>
                <w:rFonts w:asciiTheme="minorHAnsi" w:hAnsiTheme="minorHAnsi"/>
                <w:sz w:val="20"/>
              </w:rPr>
              <w:t>kredibilitě</w:t>
            </w:r>
            <w:r w:rsidRPr="00636988">
              <w:rPr>
                <w:rFonts w:asciiTheme="minorHAnsi" w:hAnsiTheme="minorHAnsi"/>
                <w:spacing w:val="31"/>
                <w:sz w:val="20"/>
              </w:rPr>
              <w:t xml:space="preserve"> </w:t>
            </w:r>
            <w:r w:rsidRPr="00636988">
              <w:rPr>
                <w:rFonts w:asciiTheme="minorHAnsi" w:hAnsiTheme="minorHAnsi"/>
                <w:w w:val="104"/>
                <w:sz w:val="20"/>
              </w:rPr>
              <w:t xml:space="preserve">managementu </w:t>
            </w:r>
            <w:r w:rsidRPr="00636988">
              <w:rPr>
                <w:rFonts w:asciiTheme="minorHAnsi" w:hAnsiTheme="minorHAnsi"/>
                <w:sz w:val="20"/>
              </w:rPr>
              <w:t>SZRB</w:t>
            </w:r>
            <w:r w:rsidRPr="00636988">
              <w:rPr>
                <w:rFonts w:asciiTheme="minorHAnsi" w:hAnsiTheme="minorHAnsi"/>
                <w:spacing w:val="17"/>
                <w:sz w:val="20"/>
              </w:rPr>
              <w:t xml:space="preserve"> </w:t>
            </w:r>
            <w:r w:rsidRPr="00636988">
              <w:rPr>
                <w:rFonts w:asciiTheme="minorHAnsi" w:hAnsiTheme="minorHAnsi"/>
                <w:sz w:val="20"/>
              </w:rPr>
              <w:t>AM</w:t>
            </w:r>
            <w:r w:rsidRPr="00636988">
              <w:rPr>
                <w:rFonts w:asciiTheme="minorHAnsi" w:hAnsiTheme="minorHAnsi"/>
                <w:spacing w:val="12"/>
                <w:sz w:val="20"/>
              </w:rPr>
              <w:t xml:space="preserve"> </w:t>
            </w:r>
            <w:r w:rsidRPr="00636988">
              <w:rPr>
                <w:rFonts w:asciiTheme="minorHAnsi" w:hAnsiTheme="minorHAnsi"/>
                <w:sz w:val="20"/>
              </w:rPr>
              <w:t>pro</w:t>
            </w:r>
            <w:r w:rsidRPr="00636988">
              <w:rPr>
                <w:rFonts w:asciiTheme="minorHAnsi" w:hAnsiTheme="minorHAnsi"/>
                <w:spacing w:val="11"/>
                <w:sz w:val="20"/>
              </w:rPr>
              <w:t xml:space="preserve"> </w:t>
            </w:r>
            <w:r w:rsidRPr="00636988">
              <w:rPr>
                <w:rFonts w:asciiTheme="minorHAnsi" w:hAnsiTheme="minorHAnsi"/>
                <w:sz w:val="20"/>
              </w:rPr>
              <w:t>soukromé</w:t>
            </w:r>
            <w:r w:rsidRPr="00636988">
              <w:rPr>
                <w:rFonts w:asciiTheme="minorHAnsi" w:hAnsiTheme="minorHAnsi"/>
                <w:spacing w:val="28"/>
                <w:sz w:val="20"/>
              </w:rPr>
              <w:t xml:space="preserve"> </w:t>
            </w:r>
            <w:r w:rsidRPr="00636988">
              <w:rPr>
                <w:rFonts w:asciiTheme="minorHAnsi" w:hAnsiTheme="minorHAnsi"/>
                <w:w w:val="105"/>
                <w:sz w:val="20"/>
              </w:rPr>
              <w:t>i</w:t>
            </w:r>
            <w:r w:rsidRPr="00636988">
              <w:rPr>
                <w:rFonts w:asciiTheme="minorHAnsi" w:hAnsiTheme="minorHAnsi"/>
                <w:w w:val="104"/>
                <w:sz w:val="20"/>
              </w:rPr>
              <w:t>nvestory.</w:t>
            </w:r>
          </w:p>
          <w:p w:rsidR="00092DCA" w:rsidRPr="00873900" w:rsidRDefault="001A3B8A" w:rsidP="00636988">
            <w:pPr>
              <w:pStyle w:val="Odstavecseseznamem"/>
              <w:numPr>
                <w:ilvl w:val="0"/>
                <w:numId w:val="3"/>
              </w:numPr>
              <w:tabs>
                <w:tab w:val="left" w:pos="4144"/>
              </w:tabs>
              <w:ind w:left="772" w:right="112" w:hanging="425"/>
              <w:jc w:val="left"/>
              <w:rPr>
                <w:rFonts w:asciiTheme="minorHAnsi" w:eastAsia="Georgia" w:hAnsiTheme="minorHAnsi" w:cs="Georgia"/>
                <w:sz w:val="20"/>
                <w:szCs w:val="20"/>
              </w:rPr>
            </w:pPr>
            <w:r w:rsidRPr="00636988">
              <w:rPr>
                <w:rFonts w:asciiTheme="minorHAnsi" w:hAnsiTheme="minorHAnsi"/>
                <w:sz w:val="20"/>
              </w:rPr>
              <w:t>Částečně</w:t>
            </w:r>
            <w:r w:rsidRPr="00636988">
              <w:rPr>
                <w:rFonts w:asciiTheme="minorHAnsi" w:hAnsiTheme="minorHAnsi"/>
                <w:spacing w:val="26"/>
                <w:sz w:val="20"/>
              </w:rPr>
              <w:t xml:space="preserve"> </w:t>
            </w:r>
            <w:r w:rsidRPr="00636988">
              <w:rPr>
                <w:rFonts w:asciiTheme="minorHAnsi" w:hAnsiTheme="minorHAnsi"/>
                <w:sz w:val="20"/>
              </w:rPr>
              <w:t>direktivní</w:t>
            </w:r>
            <w:r w:rsidRPr="00636988">
              <w:rPr>
                <w:rFonts w:asciiTheme="minorHAnsi" w:hAnsiTheme="minorHAnsi"/>
                <w:spacing w:val="29"/>
                <w:sz w:val="20"/>
              </w:rPr>
              <w:t xml:space="preserve"> </w:t>
            </w:r>
            <w:r w:rsidRPr="00636988">
              <w:rPr>
                <w:rFonts w:asciiTheme="minorHAnsi" w:hAnsiTheme="minorHAnsi"/>
                <w:sz w:val="20"/>
              </w:rPr>
              <w:t>zapojení</w:t>
            </w:r>
            <w:r w:rsidRPr="00636988">
              <w:rPr>
                <w:rFonts w:asciiTheme="minorHAnsi" w:hAnsiTheme="minorHAnsi"/>
                <w:spacing w:val="25"/>
                <w:sz w:val="20"/>
              </w:rPr>
              <w:t xml:space="preserve"> </w:t>
            </w:r>
            <w:r w:rsidRPr="00636988">
              <w:rPr>
                <w:rFonts w:asciiTheme="minorHAnsi" w:hAnsiTheme="minorHAnsi"/>
                <w:sz w:val="20"/>
              </w:rPr>
              <w:t>ŘO</w:t>
            </w:r>
            <w:r w:rsidRPr="00636988">
              <w:rPr>
                <w:rFonts w:asciiTheme="minorHAnsi" w:hAnsiTheme="minorHAnsi"/>
                <w:spacing w:val="11"/>
                <w:sz w:val="20"/>
              </w:rPr>
              <w:t xml:space="preserve"> </w:t>
            </w:r>
            <w:r w:rsidRPr="00636988">
              <w:rPr>
                <w:rFonts w:asciiTheme="minorHAnsi" w:hAnsiTheme="minorHAnsi"/>
                <w:sz w:val="20"/>
              </w:rPr>
              <w:t>–</w:t>
            </w:r>
            <w:r w:rsidRPr="00636988">
              <w:rPr>
                <w:rFonts w:asciiTheme="minorHAnsi" w:hAnsiTheme="minorHAnsi"/>
                <w:spacing w:val="6"/>
                <w:sz w:val="20"/>
              </w:rPr>
              <w:t xml:space="preserve"> </w:t>
            </w:r>
            <w:r w:rsidRPr="00636988">
              <w:rPr>
                <w:rFonts w:asciiTheme="minorHAnsi" w:hAnsiTheme="minorHAnsi"/>
                <w:sz w:val="20"/>
              </w:rPr>
              <w:t>povinnost</w:t>
            </w:r>
            <w:r w:rsidRPr="00636988">
              <w:rPr>
                <w:rFonts w:asciiTheme="minorHAnsi" w:hAnsiTheme="minorHAnsi"/>
                <w:spacing w:val="29"/>
                <w:sz w:val="20"/>
              </w:rPr>
              <w:t xml:space="preserve"> </w:t>
            </w:r>
            <w:r w:rsidR="00092DCA" w:rsidRPr="00071D24">
              <w:rPr>
                <w:rFonts w:asciiTheme="minorHAnsi" w:eastAsia="Georgia" w:hAnsiTheme="minorHAnsi" w:cs="Georgia"/>
                <w:w w:val="104"/>
                <w:sz w:val="20"/>
                <w:szCs w:val="20"/>
              </w:rPr>
              <w:t>kaž</w:t>
            </w:r>
            <w:r w:rsidR="00092DCA" w:rsidRPr="00873900">
              <w:rPr>
                <w:rFonts w:asciiTheme="minorHAnsi" w:eastAsia="Georgia" w:hAnsiTheme="minorHAnsi" w:cs="Georgia"/>
                <w:w w:val="104"/>
                <w:sz w:val="20"/>
                <w:szCs w:val="20"/>
              </w:rPr>
              <w:t>dého</w:t>
            </w:r>
            <w:r w:rsidR="00346684" w:rsidRPr="00873900">
              <w:rPr>
                <w:rFonts w:asciiTheme="minorHAnsi" w:eastAsia="Georgia" w:hAnsiTheme="minorHAnsi" w:cs="Georgia"/>
                <w:w w:val="104"/>
                <w:sz w:val="20"/>
                <w:szCs w:val="20"/>
              </w:rPr>
              <w:t xml:space="preserve"> </w:t>
            </w:r>
            <w:r w:rsidR="00092DCA" w:rsidRPr="00873900">
              <w:rPr>
                <w:rFonts w:asciiTheme="minorHAnsi" w:eastAsia="Georgia" w:hAnsiTheme="minorHAnsi" w:cs="Georgia"/>
                <w:sz w:val="20"/>
                <w:szCs w:val="20"/>
              </w:rPr>
              <w:t>z</w:t>
            </w:r>
            <w:r w:rsidRPr="00636988">
              <w:rPr>
                <w:rFonts w:asciiTheme="minorHAnsi" w:hAnsiTheme="minorHAnsi"/>
                <w:spacing w:val="5"/>
                <w:sz w:val="20"/>
              </w:rPr>
              <w:t xml:space="preserve"> </w:t>
            </w:r>
            <w:r w:rsidRPr="00636988">
              <w:rPr>
                <w:rFonts w:asciiTheme="minorHAnsi" w:hAnsiTheme="minorHAnsi"/>
                <w:sz w:val="20"/>
              </w:rPr>
              <w:t>nich</w:t>
            </w:r>
            <w:r w:rsidRPr="00636988">
              <w:rPr>
                <w:rFonts w:asciiTheme="minorHAnsi" w:hAnsiTheme="minorHAnsi"/>
                <w:spacing w:val="14"/>
                <w:sz w:val="20"/>
              </w:rPr>
              <w:t xml:space="preserve"> </w:t>
            </w:r>
            <w:r w:rsidRPr="00636988">
              <w:rPr>
                <w:rFonts w:asciiTheme="minorHAnsi" w:hAnsiTheme="minorHAnsi"/>
                <w:sz w:val="20"/>
              </w:rPr>
              <w:t>převést</w:t>
            </w:r>
            <w:r w:rsidRPr="00636988">
              <w:rPr>
                <w:rFonts w:asciiTheme="minorHAnsi" w:hAnsiTheme="minorHAnsi"/>
                <w:spacing w:val="21"/>
                <w:sz w:val="20"/>
              </w:rPr>
              <w:t xml:space="preserve"> </w:t>
            </w:r>
            <w:r w:rsidRPr="00636988">
              <w:rPr>
                <w:rFonts w:asciiTheme="minorHAnsi" w:hAnsiTheme="minorHAnsi"/>
                <w:sz w:val="20"/>
              </w:rPr>
              <w:t>do</w:t>
            </w:r>
            <w:r w:rsidR="009129B7">
              <w:rPr>
                <w:rFonts w:asciiTheme="minorHAnsi" w:hAnsiTheme="minorHAnsi"/>
                <w:spacing w:val="9"/>
                <w:sz w:val="20"/>
              </w:rPr>
              <w:t> </w:t>
            </w:r>
            <w:r w:rsidRPr="00636988">
              <w:rPr>
                <w:rFonts w:asciiTheme="minorHAnsi" w:hAnsiTheme="minorHAnsi"/>
                <w:sz w:val="20"/>
              </w:rPr>
              <w:t>SIH</w:t>
            </w:r>
            <w:r w:rsidRPr="00636988">
              <w:rPr>
                <w:rFonts w:asciiTheme="minorHAnsi" w:hAnsiTheme="minorHAnsi"/>
                <w:spacing w:val="13"/>
                <w:sz w:val="20"/>
              </w:rPr>
              <w:t xml:space="preserve"> </w:t>
            </w:r>
            <w:r w:rsidRPr="00636988">
              <w:rPr>
                <w:rFonts w:asciiTheme="minorHAnsi" w:hAnsiTheme="minorHAnsi"/>
                <w:sz w:val="20"/>
              </w:rPr>
              <w:t>3</w:t>
            </w:r>
            <w:r w:rsidRPr="00636988">
              <w:rPr>
                <w:rFonts w:asciiTheme="minorHAnsi" w:hAnsiTheme="minorHAnsi"/>
                <w:spacing w:val="5"/>
                <w:sz w:val="20"/>
              </w:rPr>
              <w:t xml:space="preserve"> </w:t>
            </w:r>
            <w:r w:rsidRPr="00636988">
              <w:rPr>
                <w:rFonts w:asciiTheme="minorHAnsi" w:hAnsiTheme="minorHAnsi"/>
                <w:sz w:val="20"/>
              </w:rPr>
              <w:t>%</w:t>
            </w:r>
            <w:r w:rsidRPr="00636988">
              <w:rPr>
                <w:rFonts w:asciiTheme="minorHAnsi" w:hAnsiTheme="minorHAnsi"/>
                <w:spacing w:val="7"/>
                <w:sz w:val="20"/>
              </w:rPr>
              <w:t xml:space="preserve"> </w:t>
            </w:r>
            <w:r w:rsidRPr="00636988">
              <w:rPr>
                <w:rFonts w:asciiTheme="minorHAnsi" w:hAnsiTheme="minorHAnsi"/>
                <w:sz w:val="20"/>
              </w:rPr>
              <w:t>celkové</w:t>
            </w:r>
            <w:r w:rsidRPr="00636988">
              <w:rPr>
                <w:rFonts w:asciiTheme="minorHAnsi" w:hAnsiTheme="minorHAnsi"/>
                <w:spacing w:val="22"/>
                <w:sz w:val="20"/>
              </w:rPr>
              <w:t xml:space="preserve"> </w:t>
            </w:r>
            <w:r w:rsidRPr="00636988">
              <w:rPr>
                <w:rFonts w:asciiTheme="minorHAnsi" w:hAnsiTheme="minorHAnsi"/>
                <w:sz w:val="20"/>
              </w:rPr>
              <w:t>alokace</w:t>
            </w:r>
            <w:r w:rsidRPr="00636988">
              <w:rPr>
                <w:rFonts w:asciiTheme="minorHAnsi" w:hAnsiTheme="minorHAnsi"/>
                <w:spacing w:val="22"/>
                <w:sz w:val="20"/>
              </w:rPr>
              <w:t xml:space="preserve"> </w:t>
            </w:r>
            <w:r w:rsidRPr="00636988">
              <w:rPr>
                <w:rFonts w:asciiTheme="minorHAnsi" w:hAnsiTheme="minorHAnsi"/>
                <w:sz w:val="20"/>
              </w:rPr>
              <w:t>Programu,</w:t>
            </w:r>
            <w:r w:rsidRPr="00636988">
              <w:rPr>
                <w:rFonts w:asciiTheme="minorHAnsi" w:hAnsiTheme="minorHAnsi"/>
                <w:spacing w:val="30"/>
                <w:sz w:val="20"/>
              </w:rPr>
              <w:t xml:space="preserve"> </w:t>
            </w:r>
            <w:r w:rsidRPr="00636988">
              <w:rPr>
                <w:rFonts w:asciiTheme="minorHAnsi" w:hAnsiTheme="minorHAnsi"/>
                <w:w w:val="104"/>
                <w:sz w:val="20"/>
              </w:rPr>
              <w:t xml:space="preserve">bez </w:t>
            </w:r>
            <w:r w:rsidRPr="00636988">
              <w:rPr>
                <w:rFonts w:asciiTheme="minorHAnsi" w:hAnsiTheme="minorHAnsi"/>
                <w:sz w:val="20"/>
              </w:rPr>
              <w:t>ohledu</w:t>
            </w:r>
            <w:r w:rsidRPr="00636988">
              <w:rPr>
                <w:rFonts w:asciiTheme="minorHAnsi" w:hAnsiTheme="minorHAnsi"/>
                <w:spacing w:val="20"/>
                <w:sz w:val="20"/>
              </w:rPr>
              <w:t xml:space="preserve"> </w:t>
            </w:r>
            <w:r w:rsidRPr="00636988">
              <w:rPr>
                <w:rFonts w:asciiTheme="minorHAnsi" w:hAnsiTheme="minorHAnsi"/>
                <w:sz w:val="20"/>
              </w:rPr>
              <w:t>na</w:t>
            </w:r>
            <w:r w:rsidRPr="00636988">
              <w:rPr>
                <w:rFonts w:asciiTheme="minorHAnsi" w:hAnsiTheme="minorHAnsi"/>
                <w:spacing w:val="9"/>
                <w:sz w:val="20"/>
              </w:rPr>
              <w:t xml:space="preserve"> </w:t>
            </w:r>
            <w:r w:rsidRPr="00636988">
              <w:rPr>
                <w:rFonts w:asciiTheme="minorHAnsi" w:hAnsiTheme="minorHAnsi"/>
                <w:sz w:val="20"/>
              </w:rPr>
              <w:t>to,</w:t>
            </w:r>
            <w:r w:rsidRPr="00636988">
              <w:rPr>
                <w:rFonts w:asciiTheme="minorHAnsi" w:hAnsiTheme="minorHAnsi"/>
                <w:spacing w:val="9"/>
                <w:sz w:val="20"/>
              </w:rPr>
              <w:t xml:space="preserve"> </w:t>
            </w:r>
            <w:r w:rsidRPr="00636988">
              <w:rPr>
                <w:rFonts w:asciiTheme="minorHAnsi" w:hAnsiTheme="minorHAnsi"/>
                <w:sz w:val="20"/>
              </w:rPr>
              <w:t>o</w:t>
            </w:r>
            <w:r w:rsidRPr="00636988">
              <w:rPr>
                <w:rFonts w:asciiTheme="minorHAnsi" w:hAnsiTheme="minorHAnsi"/>
                <w:spacing w:val="5"/>
                <w:sz w:val="20"/>
              </w:rPr>
              <w:t xml:space="preserve"> </w:t>
            </w:r>
            <w:r w:rsidRPr="00636988">
              <w:rPr>
                <w:rFonts w:asciiTheme="minorHAnsi" w:hAnsiTheme="minorHAnsi"/>
                <w:sz w:val="20"/>
              </w:rPr>
              <w:t>jaký</w:t>
            </w:r>
            <w:r w:rsidRPr="00636988">
              <w:rPr>
                <w:rFonts w:asciiTheme="minorHAnsi" w:hAnsiTheme="minorHAnsi"/>
                <w:spacing w:val="13"/>
                <w:sz w:val="20"/>
              </w:rPr>
              <w:t xml:space="preserve"> </w:t>
            </w:r>
            <w:r w:rsidRPr="00636988">
              <w:rPr>
                <w:rFonts w:asciiTheme="minorHAnsi" w:hAnsiTheme="minorHAnsi"/>
                <w:sz w:val="20"/>
              </w:rPr>
              <w:t>typ</w:t>
            </w:r>
            <w:r w:rsidRPr="00636988">
              <w:rPr>
                <w:rFonts w:asciiTheme="minorHAnsi" w:hAnsiTheme="minorHAnsi"/>
                <w:spacing w:val="10"/>
                <w:sz w:val="20"/>
              </w:rPr>
              <w:t xml:space="preserve"> </w:t>
            </w:r>
            <w:r w:rsidRPr="00636988">
              <w:rPr>
                <w:rFonts w:asciiTheme="minorHAnsi" w:hAnsiTheme="minorHAnsi"/>
                <w:sz w:val="20"/>
              </w:rPr>
              <w:t>podporovaných</w:t>
            </w:r>
            <w:r w:rsidRPr="00636988">
              <w:rPr>
                <w:rFonts w:asciiTheme="minorHAnsi" w:hAnsiTheme="minorHAnsi"/>
                <w:spacing w:val="7"/>
                <w:sz w:val="20"/>
              </w:rPr>
              <w:t xml:space="preserve"> </w:t>
            </w:r>
            <w:r w:rsidRPr="00636988">
              <w:rPr>
                <w:rFonts w:asciiTheme="minorHAnsi" w:hAnsiTheme="minorHAnsi"/>
                <w:sz w:val="20"/>
              </w:rPr>
              <w:t>aktivit</w:t>
            </w:r>
            <w:r w:rsidRPr="00636988">
              <w:rPr>
                <w:rFonts w:asciiTheme="minorHAnsi" w:hAnsiTheme="minorHAnsi"/>
                <w:spacing w:val="20"/>
                <w:sz w:val="20"/>
              </w:rPr>
              <w:t xml:space="preserve"> </w:t>
            </w:r>
            <w:r w:rsidRPr="00636988">
              <w:rPr>
                <w:rFonts w:asciiTheme="minorHAnsi" w:hAnsiTheme="minorHAnsi"/>
                <w:sz w:val="20"/>
              </w:rPr>
              <w:t>a</w:t>
            </w:r>
            <w:r w:rsidRPr="00636988">
              <w:rPr>
                <w:rFonts w:asciiTheme="minorHAnsi" w:hAnsiTheme="minorHAnsi"/>
                <w:spacing w:val="5"/>
                <w:sz w:val="20"/>
              </w:rPr>
              <w:t xml:space="preserve"> </w:t>
            </w:r>
            <w:r w:rsidRPr="00636988">
              <w:rPr>
                <w:rFonts w:asciiTheme="minorHAnsi" w:hAnsiTheme="minorHAnsi"/>
                <w:w w:val="104"/>
                <w:sz w:val="20"/>
              </w:rPr>
              <w:t xml:space="preserve">produktů </w:t>
            </w:r>
            <w:r w:rsidRPr="00636988">
              <w:rPr>
                <w:rFonts w:asciiTheme="minorHAnsi" w:hAnsiTheme="minorHAnsi"/>
                <w:sz w:val="20"/>
              </w:rPr>
              <w:lastRenderedPageBreak/>
              <w:t>se</w:t>
            </w:r>
            <w:r w:rsidR="009129B7">
              <w:rPr>
                <w:rFonts w:asciiTheme="minorHAnsi" w:hAnsiTheme="minorHAnsi"/>
                <w:spacing w:val="7"/>
                <w:sz w:val="20"/>
              </w:rPr>
              <w:t> </w:t>
            </w:r>
            <w:r w:rsidRPr="00636988">
              <w:rPr>
                <w:rFonts w:asciiTheme="minorHAnsi" w:hAnsiTheme="minorHAnsi"/>
                <w:sz w:val="20"/>
              </w:rPr>
              <w:t>bude</w:t>
            </w:r>
            <w:r w:rsidRPr="00636988">
              <w:rPr>
                <w:rFonts w:asciiTheme="minorHAnsi" w:hAnsiTheme="minorHAnsi"/>
                <w:spacing w:val="15"/>
                <w:sz w:val="20"/>
              </w:rPr>
              <w:t xml:space="preserve"> </w:t>
            </w:r>
            <w:r w:rsidRPr="00636988">
              <w:rPr>
                <w:rFonts w:asciiTheme="minorHAnsi" w:hAnsiTheme="minorHAnsi"/>
                <w:w w:val="105"/>
                <w:sz w:val="20"/>
              </w:rPr>
              <w:t>j</w:t>
            </w:r>
            <w:r w:rsidRPr="00636988">
              <w:rPr>
                <w:rFonts w:asciiTheme="minorHAnsi" w:hAnsiTheme="minorHAnsi"/>
                <w:w w:val="104"/>
                <w:sz w:val="20"/>
              </w:rPr>
              <w:t>ednat.</w:t>
            </w:r>
          </w:p>
          <w:p w:rsidR="00092DCA" w:rsidRPr="00873900" w:rsidRDefault="001A3B8A" w:rsidP="00636988">
            <w:pPr>
              <w:pStyle w:val="Odstavecseseznamem"/>
              <w:numPr>
                <w:ilvl w:val="0"/>
                <w:numId w:val="3"/>
              </w:numPr>
              <w:tabs>
                <w:tab w:val="left" w:pos="4144"/>
              </w:tabs>
              <w:spacing w:before="93" w:line="264" w:lineRule="auto"/>
              <w:ind w:left="772" w:right="112" w:hanging="425"/>
              <w:jc w:val="left"/>
              <w:rPr>
                <w:rFonts w:asciiTheme="minorHAnsi" w:eastAsia="Georgia" w:hAnsiTheme="minorHAnsi" w:cs="Georgia"/>
                <w:sz w:val="20"/>
                <w:szCs w:val="20"/>
              </w:rPr>
            </w:pPr>
            <w:r w:rsidRPr="00636988">
              <w:rPr>
                <w:rFonts w:asciiTheme="minorHAnsi" w:hAnsiTheme="minorHAnsi"/>
                <w:sz w:val="20"/>
              </w:rPr>
              <w:t>Možný</w:t>
            </w:r>
            <w:r w:rsidRPr="00636988">
              <w:rPr>
                <w:rFonts w:asciiTheme="minorHAnsi" w:hAnsiTheme="minorHAnsi"/>
                <w:spacing w:val="20"/>
                <w:sz w:val="20"/>
              </w:rPr>
              <w:t xml:space="preserve"> </w:t>
            </w:r>
            <w:r w:rsidRPr="00636988">
              <w:rPr>
                <w:rFonts w:asciiTheme="minorHAnsi" w:hAnsiTheme="minorHAnsi"/>
                <w:sz w:val="20"/>
              </w:rPr>
              <w:t>problém</w:t>
            </w:r>
            <w:r w:rsidRPr="00636988">
              <w:rPr>
                <w:rFonts w:asciiTheme="minorHAnsi" w:hAnsiTheme="minorHAnsi"/>
                <w:spacing w:val="24"/>
                <w:sz w:val="20"/>
              </w:rPr>
              <w:t xml:space="preserve"> </w:t>
            </w:r>
            <w:r w:rsidRPr="00636988">
              <w:rPr>
                <w:rFonts w:asciiTheme="minorHAnsi" w:hAnsiTheme="minorHAnsi"/>
                <w:sz w:val="20"/>
              </w:rPr>
              <w:t>s</w:t>
            </w:r>
            <w:r w:rsidRPr="00636988">
              <w:rPr>
                <w:rFonts w:asciiTheme="minorHAnsi" w:hAnsiTheme="minorHAnsi"/>
                <w:spacing w:val="5"/>
                <w:sz w:val="20"/>
              </w:rPr>
              <w:t xml:space="preserve"> </w:t>
            </w:r>
            <w:r w:rsidRPr="00636988">
              <w:rPr>
                <w:rFonts w:asciiTheme="minorHAnsi" w:hAnsiTheme="minorHAnsi"/>
                <w:sz w:val="20"/>
              </w:rPr>
              <w:t>absorpční</w:t>
            </w:r>
            <w:r w:rsidRPr="00636988">
              <w:rPr>
                <w:rFonts w:asciiTheme="minorHAnsi" w:hAnsiTheme="minorHAnsi"/>
                <w:spacing w:val="29"/>
                <w:sz w:val="20"/>
              </w:rPr>
              <w:t xml:space="preserve"> </w:t>
            </w:r>
            <w:r w:rsidRPr="00636988">
              <w:rPr>
                <w:rFonts w:asciiTheme="minorHAnsi" w:hAnsiTheme="minorHAnsi"/>
                <w:sz w:val="20"/>
              </w:rPr>
              <w:t>kapacitou</w:t>
            </w:r>
            <w:r w:rsidRPr="00636988">
              <w:rPr>
                <w:rFonts w:asciiTheme="minorHAnsi" w:hAnsiTheme="minorHAnsi"/>
                <w:spacing w:val="28"/>
                <w:sz w:val="20"/>
              </w:rPr>
              <w:t xml:space="preserve"> </w:t>
            </w:r>
            <w:r w:rsidRPr="00636988">
              <w:rPr>
                <w:rFonts w:asciiTheme="minorHAnsi" w:hAnsiTheme="minorHAnsi"/>
                <w:sz w:val="20"/>
              </w:rPr>
              <w:t>(nedostatek</w:t>
            </w:r>
            <w:r w:rsidRPr="00636988">
              <w:rPr>
                <w:rFonts w:asciiTheme="minorHAnsi" w:hAnsiTheme="minorHAnsi"/>
                <w:spacing w:val="33"/>
                <w:sz w:val="20"/>
              </w:rPr>
              <w:t xml:space="preserve"> </w:t>
            </w:r>
            <w:r w:rsidRPr="00636988">
              <w:rPr>
                <w:rFonts w:asciiTheme="minorHAnsi" w:hAnsiTheme="minorHAnsi"/>
                <w:w w:val="104"/>
                <w:sz w:val="20"/>
              </w:rPr>
              <w:t xml:space="preserve">velkých </w:t>
            </w:r>
            <w:r w:rsidRPr="00636988">
              <w:rPr>
                <w:rFonts w:asciiTheme="minorHAnsi" w:hAnsiTheme="minorHAnsi"/>
                <w:sz w:val="20"/>
              </w:rPr>
              <w:t>projektů,</w:t>
            </w:r>
            <w:r w:rsidRPr="00636988">
              <w:rPr>
                <w:rFonts w:asciiTheme="minorHAnsi" w:hAnsiTheme="minorHAnsi"/>
                <w:spacing w:val="27"/>
                <w:sz w:val="20"/>
              </w:rPr>
              <w:t xml:space="preserve"> </w:t>
            </w:r>
            <w:r w:rsidRPr="00636988">
              <w:rPr>
                <w:rFonts w:asciiTheme="minorHAnsi" w:hAnsiTheme="minorHAnsi"/>
                <w:sz w:val="20"/>
              </w:rPr>
              <w:t>s</w:t>
            </w:r>
            <w:r w:rsidRPr="00636988">
              <w:rPr>
                <w:rFonts w:asciiTheme="minorHAnsi" w:hAnsiTheme="minorHAnsi"/>
                <w:spacing w:val="5"/>
                <w:sz w:val="20"/>
              </w:rPr>
              <w:t xml:space="preserve"> </w:t>
            </w:r>
            <w:r w:rsidRPr="00636988">
              <w:rPr>
                <w:rFonts w:asciiTheme="minorHAnsi" w:hAnsiTheme="minorHAnsi"/>
                <w:sz w:val="20"/>
              </w:rPr>
              <w:t>jejichž</w:t>
            </w:r>
            <w:r w:rsidRPr="00636988">
              <w:rPr>
                <w:rFonts w:asciiTheme="minorHAnsi" w:hAnsiTheme="minorHAnsi"/>
                <w:spacing w:val="20"/>
                <w:sz w:val="20"/>
              </w:rPr>
              <w:t xml:space="preserve"> </w:t>
            </w:r>
            <w:r w:rsidRPr="00636988">
              <w:rPr>
                <w:rFonts w:asciiTheme="minorHAnsi" w:hAnsiTheme="minorHAnsi"/>
                <w:sz w:val="20"/>
              </w:rPr>
              <w:t>realizací</w:t>
            </w:r>
            <w:r w:rsidRPr="00636988">
              <w:rPr>
                <w:rFonts w:asciiTheme="minorHAnsi" w:hAnsiTheme="minorHAnsi"/>
                <w:spacing w:val="25"/>
                <w:sz w:val="20"/>
              </w:rPr>
              <w:t xml:space="preserve"> </w:t>
            </w:r>
            <w:r w:rsidRPr="00636988">
              <w:rPr>
                <w:rFonts w:asciiTheme="minorHAnsi" w:hAnsiTheme="minorHAnsi"/>
                <w:sz w:val="20"/>
              </w:rPr>
              <w:t>se</w:t>
            </w:r>
            <w:r w:rsidRPr="00636988">
              <w:rPr>
                <w:rFonts w:asciiTheme="minorHAnsi" w:hAnsiTheme="minorHAnsi"/>
                <w:spacing w:val="7"/>
                <w:sz w:val="20"/>
              </w:rPr>
              <w:t xml:space="preserve"> </w:t>
            </w:r>
            <w:r w:rsidRPr="00636988">
              <w:rPr>
                <w:rFonts w:asciiTheme="minorHAnsi" w:hAnsiTheme="minorHAnsi"/>
                <w:sz w:val="20"/>
              </w:rPr>
              <w:t>v</w:t>
            </w:r>
            <w:r w:rsidRPr="00636988">
              <w:rPr>
                <w:rFonts w:asciiTheme="minorHAnsi" w:hAnsiTheme="minorHAnsi"/>
                <w:spacing w:val="5"/>
                <w:sz w:val="20"/>
              </w:rPr>
              <w:t xml:space="preserve"> </w:t>
            </w:r>
            <w:r w:rsidRPr="00636988">
              <w:rPr>
                <w:rFonts w:asciiTheme="minorHAnsi" w:hAnsiTheme="minorHAnsi"/>
                <w:sz w:val="20"/>
              </w:rPr>
              <w:t>rámci</w:t>
            </w:r>
            <w:r w:rsidRPr="00636988">
              <w:rPr>
                <w:rFonts w:asciiTheme="minorHAnsi" w:hAnsiTheme="minorHAnsi"/>
                <w:spacing w:val="18"/>
                <w:sz w:val="20"/>
              </w:rPr>
              <w:t xml:space="preserve"> </w:t>
            </w:r>
            <w:r w:rsidRPr="00636988">
              <w:rPr>
                <w:rFonts w:asciiTheme="minorHAnsi" w:hAnsiTheme="minorHAnsi"/>
                <w:sz w:val="20"/>
              </w:rPr>
              <w:t>fungování</w:t>
            </w:r>
            <w:r w:rsidRPr="00636988">
              <w:rPr>
                <w:rFonts w:asciiTheme="minorHAnsi" w:hAnsiTheme="minorHAnsi"/>
                <w:spacing w:val="29"/>
                <w:sz w:val="20"/>
              </w:rPr>
              <w:t xml:space="preserve"> </w:t>
            </w:r>
            <w:r w:rsidRPr="00636988">
              <w:rPr>
                <w:rFonts w:asciiTheme="minorHAnsi" w:hAnsiTheme="minorHAnsi"/>
                <w:w w:val="104"/>
                <w:sz w:val="20"/>
              </w:rPr>
              <w:t>S</w:t>
            </w:r>
            <w:r w:rsidRPr="00636988">
              <w:rPr>
                <w:rFonts w:asciiTheme="minorHAnsi" w:hAnsiTheme="minorHAnsi"/>
                <w:w w:val="105"/>
                <w:sz w:val="20"/>
              </w:rPr>
              <w:t>I</w:t>
            </w:r>
            <w:r w:rsidRPr="00636988">
              <w:rPr>
                <w:rFonts w:asciiTheme="minorHAnsi" w:hAnsiTheme="minorHAnsi"/>
                <w:w w:val="104"/>
                <w:sz w:val="20"/>
              </w:rPr>
              <w:t>H poč</w:t>
            </w:r>
            <w:r w:rsidRPr="00636988">
              <w:rPr>
                <w:rFonts w:asciiTheme="minorHAnsi" w:hAnsiTheme="minorHAnsi"/>
                <w:w w:val="105"/>
                <w:sz w:val="20"/>
              </w:rPr>
              <w:t>í</w:t>
            </w:r>
            <w:r w:rsidRPr="00636988">
              <w:rPr>
                <w:rFonts w:asciiTheme="minorHAnsi" w:hAnsiTheme="minorHAnsi"/>
                <w:w w:val="104"/>
                <w:sz w:val="20"/>
              </w:rPr>
              <w:t>tá).</w:t>
            </w:r>
          </w:p>
          <w:p w:rsidR="00092DCA" w:rsidRPr="00873900" w:rsidRDefault="001A3B8A" w:rsidP="00636988">
            <w:pPr>
              <w:pStyle w:val="Odstavecseseznamem"/>
              <w:numPr>
                <w:ilvl w:val="0"/>
                <w:numId w:val="3"/>
              </w:numPr>
              <w:tabs>
                <w:tab w:val="left" w:pos="4144"/>
              </w:tabs>
              <w:spacing w:before="94" w:line="264" w:lineRule="auto"/>
              <w:ind w:left="772" w:right="112" w:hanging="425"/>
              <w:jc w:val="left"/>
              <w:rPr>
                <w:rFonts w:asciiTheme="minorHAnsi" w:eastAsia="Georgia" w:hAnsiTheme="minorHAnsi" w:cs="Georgia"/>
                <w:sz w:val="20"/>
                <w:szCs w:val="20"/>
              </w:rPr>
            </w:pPr>
            <w:r w:rsidRPr="00636988">
              <w:rPr>
                <w:rFonts w:asciiTheme="minorHAnsi" w:hAnsiTheme="minorHAnsi"/>
                <w:sz w:val="20"/>
              </w:rPr>
              <w:t>Možná</w:t>
            </w:r>
            <w:r w:rsidRPr="00636988">
              <w:rPr>
                <w:rFonts w:asciiTheme="minorHAnsi" w:hAnsiTheme="minorHAnsi"/>
                <w:spacing w:val="20"/>
                <w:sz w:val="20"/>
              </w:rPr>
              <w:t xml:space="preserve"> </w:t>
            </w:r>
            <w:r w:rsidRPr="00636988">
              <w:rPr>
                <w:rFonts w:asciiTheme="minorHAnsi" w:hAnsiTheme="minorHAnsi"/>
                <w:sz w:val="20"/>
              </w:rPr>
              <w:t>rigidita</w:t>
            </w:r>
            <w:r w:rsidRPr="00636988">
              <w:rPr>
                <w:rFonts w:asciiTheme="minorHAnsi" w:hAnsiTheme="minorHAnsi"/>
                <w:spacing w:val="23"/>
                <w:sz w:val="20"/>
              </w:rPr>
              <w:t xml:space="preserve"> </w:t>
            </w:r>
            <w:r w:rsidRPr="00636988">
              <w:rPr>
                <w:rFonts w:asciiTheme="minorHAnsi" w:hAnsiTheme="minorHAnsi"/>
                <w:sz w:val="20"/>
              </w:rPr>
              <w:t>tohoto</w:t>
            </w:r>
            <w:r w:rsidRPr="00636988">
              <w:rPr>
                <w:rFonts w:asciiTheme="minorHAnsi" w:hAnsiTheme="minorHAnsi"/>
                <w:spacing w:val="19"/>
                <w:sz w:val="20"/>
              </w:rPr>
              <w:t xml:space="preserve"> </w:t>
            </w:r>
            <w:r w:rsidRPr="00636988">
              <w:rPr>
                <w:rFonts w:asciiTheme="minorHAnsi" w:hAnsiTheme="minorHAnsi"/>
                <w:sz w:val="20"/>
              </w:rPr>
              <w:t>modelu</w:t>
            </w:r>
            <w:r w:rsidRPr="00636988">
              <w:rPr>
                <w:rFonts w:asciiTheme="minorHAnsi" w:hAnsiTheme="minorHAnsi"/>
                <w:spacing w:val="22"/>
                <w:sz w:val="20"/>
              </w:rPr>
              <w:t xml:space="preserve"> </w:t>
            </w:r>
            <w:r w:rsidRPr="00636988">
              <w:rPr>
                <w:rFonts w:asciiTheme="minorHAnsi" w:hAnsiTheme="minorHAnsi"/>
                <w:sz w:val="20"/>
              </w:rPr>
              <w:t>implementace –</w:t>
            </w:r>
            <w:r w:rsidRPr="00636988">
              <w:rPr>
                <w:rFonts w:asciiTheme="minorHAnsi" w:hAnsiTheme="minorHAnsi"/>
                <w:spacing w:val="6"/>
                <w:sz w:val="20"/>
              </w:rPr>
              <w:t xml:space="preserve"> </w:t>
            </w:r>
            <w:r w:rsidRPr="00636988">
              <w:rPr>
                <w:rFonts w:asciiTheme="minorHAnsi" w:hAnsiTheme="minorHAnsi"/>
                <w:sz w:val="20"/>
              </w:rPr>
              <w:t>v</w:t>
            </w:r>
            <w:r w:rsidRPr="00636988">
              <w:rPr>
                <w:rFonts w:asciiTheme="minorHAnsi" w:hAnsiTheme="minorHAnsi"/>
                <w:spacing w:val="5"/>
                <w:sz w:val="20"/>
              </w:rPr>
              <w:t xml:space="preserve"> </w:t>
            </w:r>
            <w:r w:rsidRPr="00636988">
              <w:rPr>
                <w:rFonts w:asciiTheme="minorHAnsi" w:hAnsiTheme="minorHAnsi"/>
                <w:w w:val="104"/>
                <w:sz w:val="20"/>
              </w:rPr>
              <w:t>př</w:t>
            </w:r>
            <w:r w:rsidRPr="00636988">
              <w:rPr>
                <w:rFonts w:asciiTheme="minorHAnsi" w:hAnsiTheme="minorHAnsi"/>
                <w:w w:val="105"/>
                <w:sz w:val="20"/>
              </w:rPr>
              <w:t>í</w:t>
            </w:r>
            <w:r w:rsidRPr="00636988">
              <w:rPr>
                <w:rFonts w:asciiTheme="minorHAnsi" w:hAnsiTheme="minorHAnsi"/>
                <w:w w:val="104"/>
                <w:sz w:val="20"/>
              </w:rPr>
              <w:t xml:space="preserve">padě </w:t>
            </w:r>
            <w:r w:rsidRPr="00636988">
              <w:rPr>
                <w:rFonts w:asciiTheme="minorHAnsi" w:hAnsiTheme="minorHAnsi"/>
                <w:sz w:val="20"/>
              </w:rPr>
              <w:t>řešení</w:t>
            </w:r>
            <w:r w:rsidRPr="00636988">
              <w:rPr>
                <w:rFonts w:asciiTheme="minorHAnsi" w:hAnsiTheme="minorHAnsi"/>
                <w:spacing w:val="19"/>
                <w:sz w:val="20"/>
              </w:rPr>
              <w:t xml:space="preserve"> </w:t>
            </w:r>
            <w:r w:rsidRPr="00636988">
              <w:rPr>
                <w:rFonts w:asciiTheme="minorHAnsi" w:hAnsiTheme="minorHAnsi"/>
                <w:sz w:val="20"/>
              </w:rPr>
              <w:t>změn</w:t>
            </w:r>
            <w:r w:rsidRPr="00636988">
              <w:rPr>
                <w:rFonts w:asciiTheme="minorHAnsi" w:hAnsiTheme="minorHAnsi"/>
                <w:spacing w:val="16"/>
                <w:sz w:val="20"/>
              </w:rPr>
              <w:t xml:space="preserve"> </w:t>
            </w:r>
            <w:r w:rsidRPr="00636988">
              <w:rPr>
                <w:rFonts w:asciiTheme="minorHAnsi" w:hAnsiTheme="minorHAnsi"/>
                <w:sz w:val="20"/>
              </w:rPr>
              <w:t>bude</w:t>
            </w:r>
            <w:r w:rsidRPr="00636988">
              <w:rPr>
                <w:rFonts w:asciiTheme="minorHAnsi" w:hAnsiTheme="minorHAnsi"/>
                <w:spacing w:val="15"/>
                <w:sz w:val="20"/>
              </w:rPr>
              <w:t xml:space="preserve"> </w:t>
            </w:r>
            <w:r w:rsidRPr="00636988">
              <w:rPr>
                <w:rFonts w:asciiTheme="minorHAnsi" w:hAnsiTheme="minorHAnsi"/>
                <w:sz w:val="20"/>
              </w:rPr>
              <w:t>nutný</w:t>
            </w:r>
            <w:r w:rsidRPr="00636988">
              <w:rPr>
                <w:rFonts w:asciiTheme="minorHAnsi" w:hAnsiTheme="minorHAnsi"/>
                <w:spacing w:val="18"/>
                <w:sz w:val="20"/>
              </w:rPr>
              <w:t xml:space="preserve"> </w:t>
            </w:r>
            <w:r w:rsidRPr="00636988">
              <w:rPr>
                <w:rFonts w:asciiTheme="minorHAnsi" w:hAnsiTheme="minorHAnsi"/>
                <w:sz w:val="20"/>
              </w:rPr>
              <w:t>souhlas</w:t>
            </w:r>
            <w:r w:rsidRPr="00636988">
              <w:rPr>
                <w:rFonts w:asciiTheme="minorHAnsi" w:hAnsiTheme="minorHAnsi"/>
                <w:spacing w:val="22"/>
                <w:sz w:val="20"/>
              </w:rPr>
              <w:t xml:space="preserve"> </w:t>
            </w:r>
            <w:r w:rsidRPr="00636988">
              <w:rPr>
                <w:rFonts w:asciiTheme="minorHAnsi" w:hAnsiTheme="minorHAnsi"/>
                <w:sz w:val="20"/>
              </w:rPr>
              <w:t>více</w:t>
            </w:r>
            <w:r w:rsidRPr="00636988">
              <w:rPr>
                <w:rFonts w:asciiTheme="minorHAnsi" w:hAnsiTheme="minorHAnsi"/>
                <w:spacing w:val="13"/>
                <w:sz w:val="20"/>
              </w:rPr>
              <w:t xml:space="preserve"> </w:t>
            </w:r>
            <w:r w:rsidRPr="00636988">
              <w:rPr>
                <w:rFonts w:asciiTheme="minorHAnsi" w:hAnsiTheme="minorHAnsi"/>
                <w:sz w:val="20"/>
              </w:rPr>
              <w:t>aktérů</w:t>
            </w:r>
            <w:r w:rsidRPr="00636988">
              <w:rPr>
                <w:rFonts w:asciiTheme="minorHAnsi" w:hAnsiTheme="minorHAnsi"/>
                <w:spacing w:val="19"/>
                <w:sz w:val="20"/>
              </w:rPr>
              <w:t xml:space="preserve"> </w:t>
            </w:r>
            <w:r w:rsidRPr="00636988">
              <w:rPr>
                <w:rFonts w:asciiTheme="minorHAnsi" w:hAnsiTheme="minorHAnsi"/>
                <w:w w:val="104"/>
                <w:sz w:val="20"/>
              </w:rPr>
              <w:t xml:space="preserve">zahrnutých </w:t>
            </w:r>
            <w:r w:rsidRPr="00636988">
              <w:rPr>
                <w:rFonts w:asciiTheme="minorHAnsi" w:hAnsiTheme="minorHAnsi"/>
                <w:sz w:val="20"/>
              </w:rPr>
              <w:t>např.</w:t>
            </w:r>
            <w:r w:rsidRPr="00636988">
              <w:rPr>
                <w:rFonts w:asciiTheme="minorHAnsi" w:hAnsiTheme="minorHAnsi"/>
                <w:spacing w:val="16"/>
                <w:sz w:val="20"/>
              </w:rPr>
              <w:t xml:space="preserve"> </w:t>
            </w:r>
            <w:r w:rsidRPr="00636988">
              <w:rPr>
                <w:rFonts w:asciiTheme="minorHAnsi" w:hAnsiTheme="minorHAnsi"/>
                <w:sz w:val="20"/>
              </w:rPr>
              <w:t>v</w:t>
            </w:r>
            <w:r w:rsidRPr="00636988">
              <w:rPr>
                <w:rFonts w:asciiTheme="minorHAnsi" w:hAnsiTheme="minorHAnsi"/>
                <w:spacing w:val="5"/>
                <w:sz w:val="20"/>
              </w:rPr>
              <w:t xml:space="preserve"> </w:t>
            </w:r>
            <w:r w:rsidRPr="00636988">
              <w:rPr>
                <w:rFonts w:asciiTheme="minorHAnsi" w:hAnsiTheme="minorHAnsi"/>
                <w:sz w:val="20"/>
              </w:rPr>
              <w:t>dozorčí</w:t>
            </w:r>
            <w:r w:rsidRPr="00636988">
              <w:rPr>
                <w:rFonts w:asciiTheme="minorHAnsi" w:hAnsiTheme="minorHAnsi"/>
                <w:spacing w:val="22"/>
                <w:sz w:val="20"/>
              </w:rPr>
              <w:t xml:space="preserve"> </w:t>
            </w:r>
            <w:r w:rsidRPr="00636988">
              <w:rPr>
                <w:rFonts w:asciiTheme="minorHAnsi" w:hAnsiTheme="minorHAnsi"/>
                <w:sz w:val="20"/>
              </w:rPr>
              <w:t>radě</w:t>
            </w:r>
            <w:r w:rsidRPr="00636988">
              <w:rPr>
                <w:rFonts w:asciiTheme="minorHAnsi" w:hAnsiTheme="minorHAnsi"/>
                <w:spacing w:val="14"/>
                <w:sz w:val="20"/>
              </w:rPr>
              <w:t xml:space="preserve"> </w:t>
            </w:r>
            <w:r w:rsidRPr="00636988">
              <w:rPr>
                <w:rFonts w:asciiTheme="minorHAnsi" w:hAnsiTheme="minorHAnsi"/>
                <w:sz w:val="20"/>
              </w:rPr>
              <w:t>(tj.</w:t>
            </w:r>
            <w:r w:rsidR="009129B7">
              <w:rPr>
                <w:rFonts w:asciiTheme="minorHAnsi" w:hAnsiTheme="minorHAnsi"/>
                <w:spacing w:val="10"/>
                <w:sz w:val="20"/>
              </w:rPr>
              <w:t> </w:t>
            </w:r>
            <w:r w:rsidRPr="00636988">
              <w:rPr>
                <w:rFonts w:asciiTheme="minorHAnsi" w:hAnsiTheme="minorHAnsi"/>
                <w:sz w:val="20"/>
              </w:rPr>
              <w:t>zástupci</w:t>
            </w:r>
            <w:r w:rsidRPr="00636988">
              <w:rPr>
                <w:rFonts w:asciiTheme="minorHAnsi" w:hAnsiTheme="minorHAnsi"/>
                <w:spacing w:val="24"/>
                <w:sz w:val="20"/>
              </w:rPr>
              <w:t xml:space="preserve"> </w:t>
            </w:r>
            <w:r w:rsidRPr="00636988">
              <w:rPr>
                <w:rFonts w:asciiTheme="minorHAnsi" w:hAnsiTheme="minorHAnsi"/>
                <w:sz w:val="20"/>
              </w:rPr>
              <w:t>ŘO,</w:t>
            </w:r>
            <w:r w:rsidRPr="00636988">
              <w:rPr>
                <w:rFonts w:asciiTheme="minorHAnsi" w:hAnsiTheme="minorHAnsi"/>
                <w:spacing w:val="12"/>
                <w:sz w:val="20"/>
              </w:rPr>
              <w:t xml:space="preserve"> </w:t>
            </w:r>
            <w:r w:rsidRPr="00636988">
              <w:rPr>
                <w:rFonts w:asciiTheme="minorHAnsi" w:hAnsiTheme="minorHAnsi"/>
                <w:sz w:val="20"/>
              </w:rPr>
              <w:t>MF,</w:t>
            </w:r>
            <w:r w:rsidRPr="00636988">
              <w:rPr>
                <w:rFonts w:asciiTheme="minorHAnsi" w:hAnsiTheme="minorHAnsi"/>
                <w:spacing w:val="13"/>
                <w:sz w:val="20"/>
              </w:rPr>
              <w:t xml:space="preserve"> </w:t>
            </w:r>
            <w:r w:rsidRPr="00636988">
              <w:rPr>
                <w:rFonts w:asciiTheme="minorHAnsi" w:hAnsiTheme="minorHAnsi"/>
                <w:w w:val="104"/>
                <w:sz w:val="20"/>
              </w:rPr>
              <w:t>atd.).</w:t>
            </w:r>
          </w:p>
          <w:p w:rsidR="00666204" w:rsidRPr="00636988" w:rsidRDefault="001A3B8A" w:rsidP="009129B7">
            <w:pPr>
              <w:pStyle w:val="Odstavecseseznamem"/>
              <w:numPr>
                <w:ilvl w:val="0"/>
                <w:numId w:val="3"/>
              </w:numPr>
              <w:tabs>
                <w:tab w:val="left" w:pos="4144"/>
              </w:tabs>
              <w:spacing w:before="94" w:line="264" w:lineRule="auto"/>
              <w:ind w:left="772" w:right="112" w:hanging="425"/>
              <w:jc w:val="left"/>
              <w:rPr>
                <w:rFonts w:asciiTheme="minorHAnsi" w:hAnsiTheme="minorHAnsi"/>
                <w:sz w:val="20"/>
                <w:szCs w:val="20"/>
              </w:rPr>
            </w:pPr>
            <w:r w:rsidRPr="00636988">
              <w:rPr>
                <w:rFonts w:asciiTheme="minorHAnsi" w:hAnsiTheme="minorHAnsi"/>
                <w:sz w:val="20"/>
              </w:rPr>
              <w:t>Není</w:t>
            </w:r>
            <w:r w:rsidRPr="00636988">
              <w:rPr>
                <w:rFonts w:asciiTheme="minorHAnsi" w:hAnsiTheme="minorHAnsi"/>
                <w:spacing w:val="15"/>
                <w:sz w:val="20"/>
              </w:rPr>
              <w:t xml:space="preserve"> </w:t>
            </w:r>
            <w:r w:rsidRPr="00636988">
              <w:rPr>
                <w:rFonts w:asciiTheme="minorHAnsi" w:hAnsiTheme="minorHAnsi"/>
                <w:sz w:val="20"/>
              </w:rPr>
              <w:t>zcela</w:t>
            </w:r>
            <w:r w:rsidRPr="00636988">
              <w:rPr>
                <w:rFonts w:asciiTheme="minorHAnsi" w:hAnsiTheme="minorHAnsi"/>
                <w:spacing w:val="15"/>
                <w:sz w:val="20"/>
              </w:rPr>
              <w:t xml:space="preserve"> </w:t>
            </w:r>
            <w:r w:rsidRPr="00636988">
              <w:rPr>
                <w:rFonts w:asciiTheme="minorHAnsi" w:hAnsiTheme="minorHAnsi"/>
                <w:sz w:val="20"/>
              </w:rPr>
              <w:t>zřejmé,</w:t>
            </w:r>
            <w:r w:rsidRPr="00636988">
              <w:rPr>
                <w:rFonts w:asciiTheme="minorHAnsi" w:hAnsiTheme="minorHAnsi"/>
                <w:spacing w:val="22"/>
                <w:sz w:val="20"/>
              </w:rPr>
              <w:t xml:space="preserve"> </w:t>
            </w:r>
            <w:r w:rsidRPr="00636988">
              <w:rPr>
                <w:rFonts w:asciiTheme="minorHAnsi" w:hAnsiTheme="minorHAnsi"/>
                <w:sz w:val="20"/>
              </w:rPr>
              <w:t>zda</w:t>
            </w:r>
            <w:r w:rsidRPr="00636988">
              <w:rPr>
                <w:rFonts w:asciiTheme="minorHAnsi" w:hAnsiTheme="minorHAnsi"/>
                <w:spacing w:val="11"/>
                <w:sz w:val="20"/>
              </w:rPr>
              <w:t xml:space="preserve"> </w:t>
            </w:r>
            <w:r w:rsidRPr="00636988">
              <w:rPr>
                <w:rFonts w:asciiTheme="minorHAnsi" w:hAnsiTheme="minorHAnsi"/>
                <w:sz w:val="20"/>
              </w:rPr>
              <w:t>je</w:t>
            </w:r>
            <w:r w:rsidRPr="00636988">
              <w:rPr>
                <w:rFonts w:asciiTheme="minorHAnsi" w:hAnsiTheme="minorHAnsi"/>
                <w:spacing w:val="7"/>
                <w:sz w:val="20"/>
              </w:rPr>
              <w:t xml:space="preserve"> </w:t>
            </w:r>
            <w:r w:rsidRPr="00636988">
              <w:rPr>
                <w:rFonts w:asciiTheme="minorHAnsi" w:hAnsiTheme="minorHAnsi"/>
                <w:sz w:val="20"/>
              </w:rPr>
              <w:t>úhrada</w:t>
            </w:r>
            <w:r w:rsidRPr="00636988">
              <w:rPr>
                <w:rFonts w:asciiTheme="minorHAnsi" w:hAnsiTheme="minorHAnsi"/>
                <w:spacing w:val="21"/>
                <w:sz w:val="20"/>
              </w:rPr>
              <w:t xml:space="preserve"> </w:t>
            </w:r>
            <w:r w:rsidRPr="00636988">
              <w:rPr>
                <w:rFonts w:asciiTheme="minorHAnsi" w:hAnsiTheme="minorHAnsi"/>
                <w:w w:val="104"/>
                <w:sz w:val="20"/>
              </w:rPr>
              <w:t>administrativních</w:t>
            </w:r>
            <w:r w:rsidRPr="00636988">
              <w:rPr>
                <w:rFonts w:asciiTheme="minorHAnsi" w:hAnsiTheme="minorHAnsi"/>
                <w:spacing w:val="2"/>
                <w:w w:val="104"/>
                <w:sz w:val="20"/>
              </w:rPr>
              <w:t xml:space="preserve"> </w:t>
            </w:r>
            <w:r w:rsidRPr="00636988">
              <w:rPr>
                <w:rFonts w:asciiTheme="minorHAnsi" w:hAnsiTheme="minorHAnsi"/>
                <w:w w:val="104"/>
                <w:sz w:val="20"/>
              </w:rPr>
              <w:t>kapac</w:t>
            </w:r>
            <w:r w:rsidRPr="00636988">
              <w:rPr>
                <w:rFonts w:asciiTheme="minorHAnsi" w:hAnsiTheme="minorHAnsi"/>
                <w:w w:val="105"/>
                <w:sz w:val="20"/>
              </w:rPr>
              <w:t>i</w:t>
            </w:r>
            <w:r w:rsidRPr="00636988">
              <w:rPr>
                <w:rFonts w:asciiTheme="minorHAnsi" w:hAnsiTheme="minorHAnsi"/>
                <w:w w:val="104"/>
                <w:sz w:val="20"/>
              </w:rPr>
              <w:t xml:space="preserve">t </w:t>
            </w:r>
            <w:r w:rsidRPr="00636988">
              <w:rPr>
                <w:rFonts w:asciiTheme="minorHAnsi" w:hAnsiTheme="minorHAnsi"/>
                <w:sz w:val="20"/>
              </w:rPr>
              <w:t>a</w:t>
            </w:r>
            <w:r w:rsidR="009129B7">
              <w:rPr>
                <w:rFonts w:asciiTheme="minorHAnsi" w:hAnsiTheme="minorHAnsi"/>
                <w:spacing w:val="5"/>
                <w:sz w:val="20"/>
              </w:rPr>
              <w:t> </w:t>
            </w:r>
            <w:r w:rsidRPr="00636988">
              <w:rPr>
                <w:rFonts w:asciiTheme="minorHAnsi" w:hAnsiTheme="minorHAnsi"/>
                <w:sz w:val="20"/>
              </w:rPr>
              <w:t>zabezpečení</w:t>
            </w:r>
            <w:r w:rsidRPr="00636988">
              <w:rPr>
                <w:rFonts w:asciiTheme="minorHAnsi" w:hAnsiTheme="minorHAnsi"/>
                <w:spacing w:val="34"/>
                <w:sz w:val="20"/>
              </w:rPr>
              <w:t xml:space="preserve"> </w:t>
            </w:r>
            <w:r w:rsidRPr="00636988">
              <w:rPr>
                <w:rFonts w:asciiTheme="minorHAnsi" w:hAnsiTheme="minorHAnsi"/>
                <w:sz w:val="20"/>
              </w:rPr>
              <w:t>činností</w:t>
            </w:r>
            <w:r w:rsidRPr="00636988">
              <w:rPr>
                <w:rFonts w:asciiTheme="minorHAnsi" w:hAnsiTheme="minorHAnsi"/>
                <w:spacing w:val="24"/>
                <w:sz w:val="20"/>
              </w:rPr>
              <w:t xml:space="preserve"> </w:t>
            </w:r>
            <w:r w:rsidRPr="00636988">
              <w:rPr>
                <w:rFonts w:asciiTheme="minorHAnsi" w:hAnsiTheme="minorHAnsi"/>
                <w:sz w:val="20"/>
              </w:rPr>
              <w:t>pro</w:t>
            </w:r>
            <w:r w:rsidRPr="00636988">
              <w:rPr>
                <w:rFonts w:asciiTheme="minorHAnsi" w:hAnsiTheme="minorHAnsi"/>
                <w:spacing w:val="11"/>
                <w:sz w:val="20"/>
              </w:rPr>
              <w:t xml:space="preserve"> </w:t>
            </w:r>
            <w:r w:rsidRPr="00636988">
              <w:rPr>
                <w:rFonts w:asciiTheme="minorHAnsi" w:hAnsiTheme="minorHAnsi"/>
                <w:sz w:val="20"/>
              </w:rPr>
              <w:t>chod</w:t>
            </w:r>
            <w:r w:rsidRPr="00636988">
              <w:rPr>
                <w:rFonts w:asciiTheme="minorHAnsi" w:hAnsiTheme="minorHAnsi"/>
                <w:spacing w:val="15"/>
                <w:sz w:val="20"/>
              </w:rPr>
              <w:t xml:space="preserve"> </w:t>
            </w:r>
            <w:r w:rsidRPr="00636988">
              <w:rPr>
                <w:rFonts w:asciiTheme="minorHAnsi" w:hAnsiTheme="minorHAnsi"/>
                <w:sz w:val="20"/>
              </w:rPr>
              <w:t>SIH</w:t>
            </w:r>
            <w:r w:rsidRPr="00636988">
              <w:rPr>
                <w:rFonts w:asciiTheme="minorHAnsi" w:hAnsiTheme="minorHAnsi"/>
                <w:spacing w:val="13"/>
                <w:sz w:val="20"/>
              </w:rPr>
              <w:t xml:space="preserve"> </w:t>
            </w:r>
            <w:r w:rsidRPr="00636988">
              <w:rPr>
                <w:rFonts w:asciiTheme="minorHAnsi" w:hAnsiTheme="minorHAnsi"/>
                <w:sz w:val="20"/>
              </w:rPr>
              <w:t>způsobilým</w:t>
            </w:r>
            <w:r w:rsidRPr="00636988">
              <w:rPr>
                <w:rFonts w:asciiTheme="minorHAnsi" w:hAnsiTheme="minorHAnsi"/>
                <w:spacing w:val="33"/>
                <w:sz w:val="20"/>
              </w:rPr>
              <w:t xml:space="preserve"> </w:t>
            </w:r>
            <w:r w:rsidRPr="00636988">
              <w:rPr>
                <w:rFonts w:asciiTheme="minorHAnsi" w:hAnsiTheme="minorHAnsi"/>
                <w:w w:val="104"/>
                <w:sz w:val="20"/>
              </w:rPr>
              <w:t>výda</w:t>
            </w:r>
            <w:r w:rsidRPr="00636988">
              <w:rPr>
                <w:rFonts w:asciiTheme="minorHAnsi" w:hAnsiTheme="minorHAnsi"/>
                <w:w w:val="105"/>
                <w:sz w:val="20"/>
              </w:rPr>
              <w:t>j</w:t>
            </w:r>
            <w:r w:rsidRPr="00636988">
              <w:rPr>
                <w:rFonts w:asciiTheme="minorHAnsi" w:hAnsiTheme="minorHAnsi"/>
                <w:w w:val="104"/>
                <w:sz w:val="20"/>
              </w:rPr>
              <w:t xml:space="preserve">em </w:t>
            </w:r>
            <w:r w:rsidRPr="00636988">
              <w:rPr>
                <w:rFonts w:asciiTheme="minorHAnsi" w:hAnsiTheme="minorHAnsi"/>
                <w:sz w:val="20"/>
              </w:rPr>
              <w:t>z</w:t>
            </w:r>
            <w:r w:rsidRPr="00636988">
              <w:rPr>
                <w:rFonts w:asciiTheme="minorHAnsi" w:hAnsiTheme="minorHAnsi"/>
                <w:spacing w:val="5"/>
                <w:sz w:val="20"/>
              </w:rPr>
              <w:t xml:space="preserve"> </w:t>
            </w:r>
            <w:r w:rsidRPr="00636988">
              <w:rPr>
                <w:rFonts w:asciiTheme="minorHAnsi" w:hAnsiTheme="minorHAnsi"/>
                <w:sz w:val="20"/>
              </w:rPr>
              <w:t>OP</w:t>
            </w:r>
            <w:r w:rsidRPr="00636988">
              <w:rPr>
                <w:rFonts w:asciiTheme="minorHAnsi" w:hAnsiTheme="minorHAnsi"/>
                <w:spacing w:val="10"/>
                <w:sz w:val="20"/>
              </w:rPr>
              <w:t xml:space="preserve"> </w:t>
            </w:r>
            <w:r w:rsidRPr="00636988">
              <w:rPr>
                <w:rFonts w:asciiTheme="minorHAnsi" w:hAnsiTheme="minorHAnsi"/>
                <w:sz w:val="20"/>
              </w:rPr>
              <w:t>Technická</w:t>
            </w:r>
            <w:r w:rsidRPr="00636988">
              <w:rPr>
                <w:rFonts w:asciiTheme="minorHAnsi" w:hAnsiTheme="minorHAnsi"/>
                <w:spacing w:val="29"/>
                <w:sz w:val="20"/>
              </w:rPr>
              <w:t xml:space="preserve"> </w:t>
            </w:r>
            <w:r w:rsidRPr="00636988">
              <w:rPr>
                <w:rFonts w:asciiTheme="minorHAnsi" w:hAnsiTheme="minorHAnsi"/>
                <w:w w:val="104"/>
                <w:sz w:val="20"/>
              </w:rPr>
              <w:t>pomoc</w:t>
            </w:r>
          </w:p>
        </w:tc>
      </w:tr>
    </w:tbl>
    <w:p w:rsidR="00092DCA" w:rsidRDefault="00092DCA" w:rsidP="00297EC0"/>
    <w:p w:rsidR="00092DCA" w:rsidRDefault="00092DCA">
      <w:pPr>
        <w:spacing w:after="0" w:line="240" w:lineRule="auto"/>
        <w:ind w:left="0"/>
        <w:jc w:val="left"/>
      </w:pPr>
      <w:r>
        <w:br w:type="page"/>
      </w:r>
    </w:p>
    <w:p w:rsidR="001A3B8A" w:rsidRDefault="00435883" w:rsidP="00636988">
      <w:pPr>
        <w:pStyle w:val="Nadpis2"/>
        <w:numPr>
          <w:ilvl w:val="0"/>
          <w:numId w:val="0"/>
        </w:numPr>
      </w:pPr>
      <w:bookmarkStart w:id="103" w:name="_Toc410115492"/>
      <w:r>
        <w:lastRenderedPageBreak/>
        <w:t>Příloha 2</w:t>
      </w:r>
      <w:r>
        <w:tab/>
      </w:r>
      <w:r w:rsidR="000C0B4C" w:rsidRPr="00435883">
        <w:t xml:space="preserve">Přehled základních informací o připravovaných </w:t>
      </w:r>
      <w:r w:rsidR="00986EE0">
        <w:t>IFN</w:t>
      </w:r>
      <w:r w:rsidR="000C0B4C" w:rsidRPr="00435883">
        <w:t xml:space="preserve"> v programovém období 2014 </w:t>
      </w:r>
      <w:r w:rsidR="005F16DE">
        <w:t>–</w:t>
      </w:r>
      <w:r w:rsidR="00CB0B24">
        <w:t xml:space="preserve"> </w:t>
      </w:r>
      <w:r w:rsidR="000C0B4C" w:rsidRPr="00435883">
        <w:t>2020</w:t>
      </w:r>
      <w:r w:rsidR="00EE2A4B">
        <w:rPr>
          <w:rStyle w:val="Znakapoznpodarou"/>
        </w:rPr>
        <w:footnoteReference w:id="160"/>
      </w:r>
      <w:bookmarkEnd w:id="103"/>
    </w:p>
    <w:p w:rsidR="000C0B4C" w:rsidRPr="00EF2F90" w:rsidRDefault="000C0B4C" w:rsidP="000C0B4C">
      <w:r w:rsidRPr="00EF2F90">
        <w:t xml:space="preserve">V ČR se uvažuje o využití </w:t>
      </w:r>
      <w:r w:rsidR="00986EE0" w:rsidRPr="00EF2F90">
        <w:t>IFN</w:t>
      </w:r>
      <w:r w:rsidRPr="00EF2F90">
        <w:t xml:space="preserve"> v celkem sedmi programech, a to IROP, OP PIK, OP PPR, OP ŽP, OP D, OP Z a OP VVV. V souladu s intervenční logikou pro přípravu a implementaci </w:t>
      </w:r>
      <w:r w:rsidR="00986EE0" w:rsidRPr="00EF2F90">
        <w:t>IFN</w:t>
      </w:r>
      <w:r w:rsidRPr="00EF2F90">
        <w:t xml:space="preserve"> všechny ŘO níže zmíněných OP zmiňují využití </w:t>
      </w:r>
      <w:r w:rsidR="00986EE0" w:rsidRPr="00EF2F90">
        <w:t>IFN</w:t>
      </w:r>
      <w:r w:rsidRPr="00EF2F90">
        <w:t xml:space="preserve"> ve svých programových dokumentech. Liší se ale v tom, zda plánují reálné využití </w:t>
      </w:r>
      <w:r w:rsidR="00986EE0" w:rsidRPr="00EF2F90">
        <w:t>IFN</w:t>
      </w:r>
      <w:r w:rsidRPr="00EF2F90">
        <w:t xml:space="preserve"> či si touto zmínkou ponechávají možnost implementovat </w:t>
      </w:r>
      <w:r w:rsidR="00986EE0" w:rsidRPr="00EF2F90">
        <w:t>IFN</w:t>
      </w:r>
      <w:r w:rsidRPr="00EF2F90">
        <w:t xml:space="preserve"> do budoucna.</w:t>
      </w:r>
    </w:p>
    <w:p w:rsidR="000C0B4C" w:rsidRPr="00EF2F90" w:rsidRDefault="000C0B4C" w:rsidP="000C0B4C">
      <w:r w:rsidRPr="00EF2F90">
        <w:t xml:space="preserve">Čtyři prvně jmenované ŘO spadají do kategorie ŘO plánujících reálné využití </w:t>
      </w:r>
      <w:r w:rsidR="00986EE0" w:rsidRPr="00EF2F90">
        <w:t>IFN</w:t>
      </w:r>
      <w:r w:rsidRPr="00EF2F90">
        <w:t xml:space="preserve"> a již pokročily v přípravě, zadání či zpracování </w:t>
      </w:r>
      <w:r w:rsidR="00E87264" w:rsidRPr="00EF2F90">
        <w:t>ex-ante</w:t>
      </w:r>
      <w:r w:rsidRPr="00EF2F90">
        <w:t xml:space="preserve"> analýzy dle obecného nařízení, podrobnosti jsou </w:t>
      </w:r>
      <w:r w:rsidR="00FC7CD5" w:rsidRPr="00EF2F90">
        <w:t>v</w:t>
      </w:r>
      <w:r w:rsidR="00FC7CD5">
        <w:t> </w:t>
      </w:r>
      <w:r w:rsidRPr="00EF2F90">
        <w:t>tabulce. V případě, OP D, OP Z a OP VVV se jedná spíše o teoretické pilotní využití, které bude do budoucna zvažováno.</w:t>
      </w:r>
    </w:p>
    <w:p w:rsidR="00643659" w:rsidRPr="008135EB" w:rsidRDefault="000C0B4C" w:rsidP="00C91FCD">
      <w:r w:rsidRPr="00EF2F90">
        <w:t xml:space="preserve">Níže uvedená tabulka přináší přehled aktuálního stavu přípravy a zaměření zvažovaných </w:t>
      </w:r>
      <w:r w:rsidR="00986EE0" w:rsidRPr="00EF2F90">
        <w:t>IFN</w:t>
      </w:r>
      <w:r w:rsidRPr="00EF2F90">
        <w:t xml:space="preserve"> k </w:t>
      </w:r>
      <w:r w:rsidR="007B51AF">
        <w:t>prosinci</w:t>
      </w:r>
      <w:r w:rsidR="007B51AF" w:rsidRPr="00EF2F90">
        <w:t xml:space="preserve"> </w:t>
      </w:r>
      <w:r w:rsidRPr="00EF2F90">
        <w:t>2014. Zdrojem jsou aktuální verze PD a informace od příslušných ŘO.</w:t>
      </w:r>
    </w:p>
    <w:p w:rsidR="006F5B46" w:rsidRDefault="006F5B46" w:rsidP="00636988">
      <w:pPr>
        <w:pStyle w:val="Titulek"/>
      </w:pPr>
      <w:r>
        <w:t xml:space="preserve">Tabulka </w:t>
      </w:r>
      <w:fldSimple w:instr=" SEQ Tabulka \* ARABIC ">
        <w:r w:rsidR="006C5EA3">
          <w:rPr>
            <w:noProof/>
          </w:rPr>
          <w:t>7</w:t>
        </w:r>
      </w:fldSimple>
      <w:r>
        <w:t xml:space="preserve">: Přehled přípravy a zaměření </w:t>
      </w:r>
      <w:r w:rsidR="00CA4724">
        <w:t xml:space="preserve">zvažovaných </w:t>
      </w:r>
      <w:r>
        <w:t xml:space="preserve">IFN </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74"/>
        <w:gridCol w:w="1474"/>
        <w:gridCol w:w="1474"/>
        <w:gridCol w:w="1474"/>
        <w:gridCol w:w="1475"/>
      </w:tblGrid>
      <w:tr w:rsidR="000C0B4C" w:rsidRPr="00FD4171" w:rsidTr="00636988">
        <w:trPr>
          <w:trHeight w:val="684"/>
        </w:trPr>
        <w:tc>
          <w:tcPr>
            <w:tcW w:w="1276" w:type="dxa"/>
            <w:tcBorders>
              <w:bottom w:val="single" w:sz="4" w:space="0" w:color="auto"/>
            </w:tcBorders>
            <w:shd w:val="clear" w:color="auto" w:fill="4F81BD"/>
          </w:tcPr>
          <w:p w:rsidR="000C0B4C" w:rsidRPr="00FD4171" w:rsidRDefault="000C0B4C" w:rsidP="00FD4171">
            <w:pPr>
              <w:spacing w:before="120" w:after="0" w:line="240" w:lineRule="auto"/>
              <w:ind w:left="0"/>
              <w:rPr>
                <w:rFonts w:ascii="Calibri" w:hAnsi="Calibri" w:cs="Arial"/>
                <w:b/>
                <w:color w:val="FFFFFF"/>
              </w:rPr>
            </w:pPr>
            <w:r w:rsidRPr="00FD4171">
              <w:rPr>
                <w:rFonts w:ascii="Calibri" w:hAnsi="Calibri" w:cs="Arial"/>
                <w:b/>
                <w:color w:val="FFFFFF"/>
              </w:rPr>
              <w:t>Program</w:t>
            </w:r>
          </w:p>
        </w:tc>
        <w:tc>
          <w:tcPr>
            <w:tcW w:w="1474" w:type="dxa"/>
            <w:shd w:val="clear" w:color="auto" w:fill="4F81BD"/>
          </w:tcPr>
          <w:p w:rsidR="000C0B4C" w:rsidRPr="00FD4171" w:rsidRDefault="000C0B4C" w:rsidP="00636988">
            <w:pPr>
              <w:spacing w:before="120" w:after="0" w:line="240" w:lineRule="auto"/>
              <w:ind w:left="34"/>
              <w:jc w:val="left"/>
              <w:rPr>
                <w:rFonts w:ascii="Calibri" w:hAnsi="Calibri" w:cs="Arial"/>
                <w:b/>
                <w:color w:val="FFFFFF"/>
              </w:rPr>
            </w:pPr>
            <w:r w:rsidRPr="00FD4171">
              <w:rPr>
                <w:rFonts w:ascii="Calibri" w:hAnsi="Calibri" w:cs="Arial"/>
                <w:b/>
                <w:color w:val="FFFFFF"/>
              </w:rPr>
              <w:t xml:space="preserve">Fáze přípravy </w:t>
            </w:r>
            <w:r w:rsidR="00986EE0">
              <w:rPr>
                <w:rFonts w:ascii="Calibri" w:hAnsi="Calibri" w:cs="Arial"/>
                <w:b/>
                <w:color w:val="FFFFFF"/>
              </w:rPr>
              <w:t>IFN</w:t>
            </w:r>
          </w:p>
        </w:tc>
        <w:tc>
          <w:tcPr>
            <w:tcW w:w="1474" w:type="dxa"/>
            <w:shd w:val="clear" w:color="auto" w:fill="4F81BD"/>
          </w:tcPr>
          <w:p w:rsidR="000C0B4C" w:rsidRPr="00FD4171" w:rsidRDefault="000C0B4C" w:rsidP="00636988">
            <w:pPr>
              <w:spacing w:before="120" w:after="0" w:line="240" w:lineRule="auto"/>
              <w:ind w:left="33"/>
              <w:jc w:val="left"/>
              <w:rPr>
                <w:rFonts w:ascii="Calibri" w:hAnsi="Calibri" w:cs="Arial"/>
                <w:b/>
                <w:color w:val="FFFFFF"/>
              </w:rPr>
            </w:pPr>
            <w:r w:rsidRPr="00FD4171">
              <w:rPr>
                <w:rFonts w:ascii="Calibri" w:hAnsi="Calibri" w:cs="Arial"/>
                <w:b/>
                <w:color w:val="FFFFFF"/>
              </w:rPr>
              <w:t>Implementační uspořádání</w:t>
            </w:r>
          </w:p>
        </w:tc>
        <w:tc>
          <w:tcPr>
            <w:tcW w:w="1474" w:type="dxa"/>
            <w:shd w:val="clear" w:color="auto" w:fill="4F81BD"/>
          </w:tcPr>
          <w:p w:rsidR="000C0B4C" w:rsidRPr="00FD4171" w:rsidRDefault="000C0B4C" w:rsidP="00636988">
            <w:pPr>
              <w:spacing w:before="120" w:after="0" w:line="240" w:lineRule="auto"/>
              <w:ind w:left="34"/>
              <w:jc w:val="left"/>
              <w:rPr>
                <w:rFonts w:ascii="Calibri" w:hAnsi="Calibri" w:cs="Arial"/>
                <w:b/>
                <w:color w:val="FFFFFF"/>
              </w:rPr>
            </w:pPr>
            <w:r w:rsidRPr="00FD4171">
              <w:rPr>
                <w:rFonts w:ascii="Calibri" w:hAnsi="Calibri" w:cs="Arial"/>
                <w:b/>
                <w:color w:val="FFFFFF"/>
              </w:rPr>
              <w:t>Podporované oblasti aktivit</w:t>
            </w:r>
          </w:p>
        </w:tc>
        <w:tc>
          <w:tcPr>
            <w:tcW w:w="1474" w:type="dxa"/>
            <w:shd w:val="clear" w:color="auto" w:fill="4F81BD"/>
          </w:tcPr>
          <w:p w:rsidR="000C0B4C" w:rsidRPr="00FD4171" w:rsidRDefault="000C0B4C" w:rsidP="00636988">
            <w:pPr>
              <w:spacing w:before="120" w:after="0" w:line="240" w:lineRule="auto"/>
              <w:ind w:left="34"/>
              <w:jc w:val="left"/>
              <w:rPr>
                <w:rFonts w:ascii="Calibri" w:hAnsi="Calibri" w:cs="Arial"/>
                <w:b/>
                <w:color w:val="FFFFFF"/>
              </w:rPr>
            </w:pPr>
            <w:r w:rsidRPr="00FD4171">
              <w:rPr>
                <w:rFonts w:ascii="Calibri" w:hAnsi="Calibri" w:cs="Arial"/>
                <w:b/>
                <w:color w:val="FFFFFF"/>
              </w:rPr>
              <w:t xml:space="preserve">Forma </w:t>
            </w:r>
            <w:r w:rsidR="00986EE0">
              <w:rPr>
                <w:rFonts w:ascii="Calibri" w:hAnsi="Calibri" w:cs="Arial"/>
                <w:b/>
                <w:color w:val="FFFFFF"/>
              </w:rPr>
              <w:t>IFN</w:t>
            </w:r>
          </w:p>
        </w:tc>
        <w:tc>
          <w:tcPr>
            <w:tcW w:w="1475" w:type="dxa"/>
            <w:shd w:val="clear" w:color="auto" w:fill="4F81BD"/>
          </w:tcPr>
          <w:p w:rsidR="000C0B4C" w:rsidRPr="00FD4171" w:rsidRDefault="000C0B4C" w:rsidP="00636988">
            <w:pPr>
              <w:spacing w:before="120" w:after="0" w:line="240" w:lineRule="auto"/>
              <w:ind w:left="33"/>
              <w:jc w:val="left"/>
              <w:rPr>
                <w:rFonts w:ascii="Calibri" w:hAnsi="Calibri" w:cs="Arial"/>
                <w:b/>
                <w:color w:val="FFFFFF"/>
              </w:rPr>
            </w:pPr>
            <w:r w:rsidRPr="00FD4171">
              <w:rPr>
                <w:rFonts w:ascii="Calibri" w:hAnsi="Calibri" w:cs="Arial"/>
                <w:b/>
                <w:color w:val="FFFFFF"/>
              </w:rPr>
              <w:t xml:space="preserve">Podíl na alokaci </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t>IROP</w:t>
            </w:r>
          </w:p>
        </w:tc>
        <w:tc>
          <w:tcPr>
            <w:tcW w:w="1474" w:type="dxa"/>
          </w:tcPr>
          <w:p w:rsidR="000C0B4C" w:rsidRPr="00EF2F90" w:rsidRDefault="000C0B4C" w:rsidP="00C91FCD">
            <w:pPr>
              <w:spacing w:before="120" w:after="0" w:line="240" w:lineRule="auto"/>
              <w:ind w:left="34"/>
              <w:jc w:val="left"/>
              <w:rPr>
                <w:rFonts w:ascii="Calibri" w:hAnsi="Calibri" w:cs="Arial"/>
                <w:sz w:val="18"/>
                <w:szCs w:val="18"/>
              </w:rPr>
            </w:pPr>
            <w:r w:rsidRPr="00EF2F90">
              <w:rPr>
                <w:rFonts w:ascii="Calibri" w:hAnsi="Calibri" w:cs="Arial"/>
                <w:sz w:val="18"/>
                <w:szCs w:val="18"/>
              </w:rPr>
              <w:t>Prob</w:t>
            </w:r>
            <w:r w:rsidR="006D496C">
              <w:rPr>
                <w:rFonts w:ascii="Calibri" w:hAnsi="Calibri" w:cs="Arial"/>
                <w:sz w:val="18"/>
                <w:szCs w:val="18"/>
              </w:rPr>
              <w:t>ě</w:t>
            </w:r>
            <w:r w:rsidRPr="00EF2F90">
              <w:rPr>
                <w:rFonts w:ascii="Calibri" w:hAnsi="Calibri" w:cs="Arial"/>
                <w:sz w:val="18"/>
                <w:szCs w:val="18"/>
              </w:rPr>
              <w:t>h</w:t>
            </w:r>
            <w:r w:rsidR="006D496C">
              <w:rPr>
                <w:rFonts w:ascii="Calibri" w:hAnsi="Calibri" w:cs="Arial"/>
                <w:sz w:val="18"/>
                <w:szCs w:val="18"/>
              </w:rPr>
              <w:t>la</w:t>
            </w:r>
            <w:r w:rsidRPr="00EF2F90">
              <w:rPr>
                <w:rFonts w:ascii="Calibri" w:hAnsi="Calibri" w:cs="Arial"/>
                <w:sz w:val="18"/>
                <w:szCs w:val="18"/>
              </w:rPr>
              <w:t xml:space="preserve"> evaluace využití </w:t>
            </w:r>
            <w:r w:rsidR="00986EE0" w:rsidRPr="00EF2F90">
              <w:rPr>
                <w:rFonts w:ascii="Calibri" w:hAnsi="Calibri" w:cs="Arial"/>
                <w:sz w:val="18"/>
                <w:szCs w:val="18"/>
              </w:rPr>
              <w:t>IFN</w:t>
            </w:r>
            <w:r w:rsidRPr="00EF2F90">
              <w:rPr>
                <w:rFonts w:ascii="Calibri" w:hAnsi="Calibri" w:cs="Arial"/>
                <w:sz w:val="18"/>
                <w:szCs w:val="18"/>
              </w:rPr>
              <w:t xml:space="preserve"> Jessica v IOP </w:t>
            </w:r>
            <w:r w:rsidR="00580130">
              <w:rPr>
                <w:rFonts w:ascii="Calibri" w:hAnsi="Calibri" w:cs="Arial"/>
                <w:sz w:val="18"/>
                <w:szCs w:val="18"/>
              </w:rPr>
              <w:t>(</w:t>
            </w:r>
            <w:r w:rsidRPr="00EF2F90">
              <w:rPr>
                <w:rFonts w:ascii="Calibri" w:hAnsi="Calibri" w:cs="Arial"/>
                <w:sz w:val="18"/>
                <w:szCs w:val="18"/>
              </w:rPr>
              <w:t xml:space="preserve">jeden z klíčových vstupů </w:t>
            </w:r>
            <w:r w:rsidR="00580130">
              <w:rPr>
                <w:rFonts w:ascii="Calibri" w:hAnsi="Calibri" w:cs="Arial"/>
                <w:sz w:val="18"/>
                <w:szCs w:val="18"/>
              </w:rPr>
              <w:t xml:space="preserve">do </w:t>
            </w:r>
            <w:r w:rsidR="00E87264" w:rsidRPr="00EF2F90">
              <w:rPr>
                <w:rFonts w:ascii="Calibri" w:hAnsi="Calibri" w:cs="Arial"/>
                <w:sz w:val="18"/>
                <w:szCs w:val="18"/>
              </w:rPr>
              <w:t>ex-ante</w:t>
            </w:r>
            <w:r w:rsidRPr="00EF2F90">
              <w:rPr>
                <w:rFonts w:ascii="Calibri" w:hAnsi="Calibri" w:cs="Arial"/>
                <w:sz w:val="18"/>
                <w:szCs w:val="18"/>
              </w:rPr>
              <w:t xml:space="preserve"> analýzy</w:t>
            </w:r>
            <w:r w:rsidR="00580130">
              <w:rPr>
                <w:rFonts w:ascii="Calibri" w:hAnsi="Calibri" w:cs="Arial"/>
                <w:sz w:val="18"/>
                <w:szCs w:val="18"/>
              </w:rPr>
              <w:t>)</w:t>
            </w:r>
          </w:p>
          <w:p w:rsidR="000C0B4C" w:rsidRPr="00FD4171" w:rsidRDefault="006D496C" w:rsidP="009129B7">
            <w:pPr>
              <w:spacing w:before="120" w:after="0" w:line="240" w:lineRule="auto"/>
              <w:ind w:left="34"/>
              <w:jc w:val="left"/>
              <w:rPr>
                <w:rFonts w:ascii="Calibri" w:hAnsi="Calibri" w:cs="Arial"/>
                <w:sz w:val="18"/>
                <w:szCs w:val="18"/>
              </w:rPr>
            </w:pPr>
            <w:r>
              <w:rPr>
                <w:rFonts w:ascii="Calibri" w:hAnsi="Calibri" w:cs="Arial"/>
                <w:sz w:val="18"/>
                <w:szCs w:val="18"/>
              </w:rPr>
              <w:t>Probíhá</w:t>
            </w:r>
            <w:r w:rsidRPr="00EF2F90">
              <w:rPr>
                <w:rFonts w:ascii="Calibri" w:hAnsi="Calibri" w:cs="Arial"/>
                <w:sz w:val="18"/>
                <w:szCs w:val="18"/>
              </w:rPr>
              <w:t xml:space="preserve"> </w:t>
            </w:r>
            <w:r w:rsidR="00E87264" w:rsidRPr="00EF2F90">
              <w:rPr>
                <w:rFonts w:ascii="Calibri" w:hAnsi="Calibri" w:cs="Arial"/>
                <w:sz w:val="18"/>
                <w:szCs w:val="18"/>
              </w:rPr>
              <w:t>ex</w:t>
            </w:r>
            <w:r w:rsidR="00E87264" w:rsidRPr="00EF2F90">
              <w:rPr>
                <w:rFonts w:ascii="Calibri" w:hAnsi="Calibri" w:cs="Arial"/>
                <w:sz w:val="18"/>
                <w:szCs w:val="18"/>
              </w:rPr>
              <w:noBreakHyphen/>
              <w:t>ante</w:t>
            </w:r>
            <w:r w:rsidR="000C0B4C" w:rsidRPr="00EF2F90">
              <w:rPr>
                <w:rFonts w:ascii="Calibri" w:hAnsi="Calibri" w:cs="Arial"/>
                <w:sz w:val="18"/>
                <w:szCs w:val="18"/>
              </w:rPr>
              <w:t xml:space="preserve"> analýz</w:t>
            </w:r>
            <w:r>
              <w:rPr>
                <w:rFonts w:ascii="Calibri" w:hAnsi="Calibri" w:cs="Arial"/>
                <w:sz w:val="18"/>
                <w:szCs w:val="18"/>
              </w:rPr>
              <w:t>a</w:t>
            </w:r>
            <w:r w:rsidR="000C0B4C" w:rsidRPr="00EF2F90">
              <w:rPr>
                <w:rFonts w:ascii="Calibri" w:hAnsi="Calibri" w:cs="Arial"/>
                <w:sz w:val="18"/>
                <w:szCs w:val="18"/>
              </w:rPr>
              <w:t xml:space="preserve"> </w:t>
            </w:r>
            <w:r w:rsidR="00986EE0" w:rsidRPr="00EF2F90">
              <w:rPr>
                <w:rFonts w:ascii="Calibri" w:hAnsi="Calibri" w:cs="Arial"/>
                <w:sz w:val="18"/>
                <w:szCs w:val="18"/>
              </w:rPr>
              <w:t>IFN</w:t>
            </w:r>
            <w:r w:rsidR="000C0B4C" w:rsidRPr="00EF2F90">
              <w:rPr>
                <w:rFonts w:ascii="Calibri" w:hAnsi="Calibri" w:cs="Arial"/>
                <w:sz w:val="18"/>
                <w:szCs w:val="18"/>
              </w:rPr>
              <w:t xml:space="preserve">, </w:t>
            </w:r>
            <w:r>
              <w:rPr>
                <w:rFonts w:ascii="Calibri" w:hAnsi="Calibri" w:cs="Arial"/>
                <w:sz w:val="18"/>
                <w:szCs w:val="18"/>
              </w:rPr>
              <w:t>externí</w:t>
            </w:r>
            <w:r w:rsidR="00580130">
              <w:rPr>
                <w:rFonts w:ascii="Calibri" w:hAnsi="Calibri" w:cs="Arial"/>
                <w:sz w:val="18"/>
                <w:szCs w:val="18"/>
              </w:rPr>
              <w:t>m</w:t>
            </w:r>
            <w:r>
              <w:rPr>
                <w:rFonts w:ascii="Calibri" w:hAnsi="Calibri" w:cs="Arial"/>
                <w:sz w:val="18"/>
                <w:szCs w:val="18"/>
              </w:rPr>
              <w:t xml:space="preserve"> </w:t>
            </w:r>
            <w:r w:rsidR="000C0B4C" w:rsidRPr="00EF2F90">
              <w:rPr>
                <w:rFonts w:ascii="Calibri" w:hAnsi="Calibri" w:cs="Arial"/>
                <w:sz w:val="18"/>
                <w:szCs w:val="18"/>
              </w:rPr>
              <w:t>zpracov</w:t>
            </w:r>
            <w:r w:rsidR="00580130">
              <w:rPr>
                <w:rFonts w:ascii="Calibri" w:hAnsi="Calibri" w:cs="Arial"/>
                <w:sz w:val="18"/>
                <w:szCs w:val="18"/>
              </w:rPr>
              <w:t xml:space="preserve">atelem </w:t>
            </w:r>
            <w:r>
              <w:rPr>
                <w:rFonts w:ascii="Calibri" w:hAnsi="Calibri" w:cs="Arial"/>
                <w:sz w:val="18"/>
                <w:szCs w:val="18"/>
              </w:rPr>
              <w:t>Deloitte na</w:t>
            </w:r>
            <w:r w:rsidR="009129B7">
              <w:rPr>
                <w:rFonts w:ascii="Calibri" w:hAnsi="Calibri" w:cs="Arial"/>
                <w:sz w:val="18"/>
                <w:szCs w:val="18"/>
              </w:rPr>
              <w:t> </w:t>
            </w:r>
            <w:r>
              <w:rPr>
                <w:rFonts w:ascii="Calibri" w:hAnsi="Calibri" w:cs="Arial"/>
                <w:sz w:val="18"/>
                <w:szCs w:val="18"/>
              </w:rPr>
              <w:t>základě VZMR</w:t>
            </w:r>
            <w:r w:rsidR="00580130">
              <w:rPr>
                <w:rFonts w:ascii="Calibri" w:hAnsi="Calibri" w:cs="Arial"/>
                <w:sz w:val="18"/>
                <w:szCs w:val="18"/>
              </w:rPr>
              <w:t>, final report do února 2015</w:t>
            </w:r>
          </w:p>
        </w:tc>
        <w:tc>
          <w:tcPr>
            <w:tcW w:w="1474" w:type="dxa"/>
          </w:tcPr>
          <w:p w:rsidR="000C0B4C" w:rsidRPr="00FD4171" w:rsidRDefault="000C0B4C" w:rsidP="009129B7">
            <w:pPr>
              <w:spacing w:before="120" w:after="0" w:line="240" w:lineRule="auto"/>
              <w:ind w:left="33"/>
              <w:jc w:val="left"/>
              <w:rPr>
                <w:rFonts w:ascii="Calibri" w:hAnsi="Calibri" w:cs="Arial"/>
                <w:sz w:val="18"/>
                <w:szCs w:val="18"/>
              </w:rPr>
            </w:pPr>
            <w:r w:rsidRPr="00FD4171">
              <w:rPr>
                <w:rFonts w:ascii="Calibri" w:hAnsi="Calibri" w:cs="Arial"/>
                <w:sz w:val="18"/>
                <w:szCs w:val="18"/>
              </w:rPr>
              <w:t>Dosud nerozhodnuto o</w:t>
            </w:r>
            <w:r w:rsidR="009129B7">
              <w:rPr>
                <w:rFonts w:ascii="Calibri" w:hAnsi="Calibri" w:cs="Arial"/>
                <w:sz w:val="18"/>
                <w:szCs w:val="18"/>
              </w:rPr>
              <w:t> </w:t>
            </w:r>
            <w:r w:rsidRPr="00FD4171">
              <w:rPr>
                <w:rFonts w:ascii="Calibri" w:hAnsi="Calibri" w:cs="Arial"/>
                <w:sz w:val="18"/>
                <w:szCs w:val="18"/>
              </w:rPr>
              <w:t>zapojení FF</w:t>
            </w:r>
            <w:r w:rsidR="006D496C">
              <w:rPr>
                <w:rFonts w:ascii="Calibri" w:hAnsi="Calibri" w:cs="Arial"/>
                <w:sz w:val="18"/>
                <w:szCs w:val="18"/>
              </w:rPr>
              <w:t xml:space="preserve">, relevance začlenění IFN </w:t>
            </w:r>
            <w:r w:rsidR="00095AF5">
              <w:rPr>
                <w:rFonts w:ascii="Calibri" w:hAnsi="Calibri" w:cs="Arial"/>
                <w:sz w:val="18"/>
                <w:szCs w:val="18"/>
              </w:rPr>
              <w:t>do</w:t>
            </w:r>
            <w:r w:rsidR="009129B7">
              <w:rPr>
                <w:rFonts w:ascii="Calibri" w:hAnsi="Calibri" w:cs="Arial"/>
                <w:sz w:val="18"/>
                <w:szCs w:val="18"/>
              </w:rPr>
              <w:t> </w:t>
            </w:r>
            <w:r w:rsidR="00095AF5">
              <w:rPr>
                <w:rFonts w:ascii="Calibri" w:hAnsi="Calibri" w:cs="Arial"/>
                <w:sz w:val="18"/>
                <w:szCs w:val="18"/>
              </w:rPr>
              <w:t>národního</w:t>
            </w:r>
            <w:r w:rsidR="006D496C">
              <w:rPr>
                <w:rFonts w:ascii="Calibri" w:hAnsi="Calibri" w:cs="Arial"/>
                <w:sz w:val="18"/>
                <w:szCs w:val="18"/>
              </w:rPr>
              <w:t xml:space="preserve"> </w:t>
            </w:r>
            <w:r w:rsidR="00095AF5">
              <w:rPr>
                <w:rFonts w:ascii="Calibri" w:hAnsi="Calibri" w:cs="Arial"/>
                <w:sz w:val="18"/>
                <w:szCs w:val="18"/>
              </w:rPr>
              <w:t>H</w:t>
            </w:r>
            <w:r w:rsidR="006D496C">
              <w:rPr>
                <w:rFonts w:ascii="Calibri" w:hAnsi="Calibri" w:cs="Arial"/>
                <w:sz w:val="18"/>
                <w:szCs w:val="18"/>
              </w:rPr>
              <w:t xml:space="preserve">F součástí </w:t>
            </w:r>
            <w:r w:rsidR="00095AF5">
              <w:rPr>
                <w:rFonts w:ascii="Calibri" w:hAnsi="Calibri" w:cs="Arial"/>
                <w:sz w:val="18"/>
                <w:szCs w:val="18"/>
              </w:rPr>
              <w:t xml:space="preserve">probíhající </w:t>
            </w:r>
            <w:r w:rsidR="006D496C">
              <w:rPr>
                <w:rFonts w:ascii="Calibri" w:hAnsi="Calibri" w:cs="Arial"/>
                <w:sz w:val="18"/>
                <w:szCs w:val="18"/>
              </w:rPr>
              <w:t>ex-ante analýzy</w:t>
            </w:r>
            <w:r w:rsidRPr="00FD4171">
              <w:rPr>
                <w:rFonts w:ascii="Calibri" w:hAnsi="Calibri" w:cs="Arial"/>
                <w:sz w:val="18"/>
                <w:szCs w:val="18"/>
              </w:rPr>
              <w:t>;</w:t>
            </w:r>
          </w:p>
        </w:tc>
        <w:tc>
          <w:tcPr>
            <w:tcW w:w="1474" w:type="dxa"/>
          </w:tcPr>
          <w:p w:rsidR="006D496C" w:rsidRDefault="006D496C">
            <w:pPr>
              <w:spacing w:before="120" w:after="0" w:line="240" w:lineRule="auto"/>
              <w:ind w:left="34"/>
              <w:jc w:val="left"/>
              <w:rPr>
                <w:rFonts w:ascii="Calibri" w:hAnsi="Calibri" w:cs="Arial"/>
                <w:sz w:val="18"/>
                <w:szCs w:val="18"/>
              </w:rPr>
            </w:pPr>
            <w:r>
              <w:rPr>
                <w:rFonts w:ascii="Calibri" w:hAnsi="Calibri" w:cs="Arial"/>
                <w:sz w:val="18"/>
                <w:szCs w:val="18"/>
              </w:rPr>
              <w:t>SC</w:t>
            </w:r>
            <w:r w:rsidRPr="006D496C">
              <w:rPr>
                <w:rFonts w:ascii="Calibri" w:hAnsi="Calibri" w:cs="Arial"/>
                <w:sz w:val="18"/>
                <w:szCs w:val="18"/>
              </w:rPr>
              <w:t xml:space="preserve"> 2.1</w:t>
            </w:r>
            <w:r>
              <w:rPr>
                <w:rFonts w:ascii="Calibri" w:hAnsi="Calibri" w:cs="Arial"/>
                <w:sz w:val="18"/>
                <w:szCs w:val="18"/>
              </w:rPr>
              <w:t xml:space="preserve"> </w:t>
            </w:r>
            <w:r w:rsidRPr="006D496C">
              <w:rPr>
                <w:rFonts w:ascii="Calibri" w:hAnsi="Calibri" w:cs="Arial"/>
                <w:sz w:val="18"/>
                <w:szCs w:val="18"/>
              </w:rPr>
              <w:t xml:space="preserve">Zvýšení kvality a dostupnosti služeb </w:t>
            </w:r>
            <w:r>
              <w:rPr>
                <w:rFonts w:ascii="Calibri" w:hAnsi="Calibri" w:cs="Arial"/>
                <w:sz w:val="18"/>
                <w:szCs w:val="18"/>
              </w:rPr>
              <w:t>(</w:t>
            </w:r>
            <w:r w:rsidRPr="006D496C">
              <w:rPr>
                <w:rFonts w:ascii="Calibri" w:hAnsi="Calibri" w:cs="Arial"/>
                <w:sz w:val="18"/>
                <w:szCs w:val="18"/>
              </w:rPr>
              <w:t>sociální inkluz</w:t>
            </w:r>
            <w:r>
              <w:rPr>
                <w:rFonts w:ascii="Calibri" w:hAnsi="Calibri" w:cs="Arial"/>
                <w:sz w:val="18"/>
                <w:szCs w:val="18"/>
              </w:rPr>
              <w:t>e)</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SC 2.5 Snížení energetické náročnosti (bydlení)</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Zvýhodněný úvěr.</w:t>
            </w:r>
          </w:p>
        </w:tc>
        <w:tc>
          <w:tcPr>
            <w:tcW w:w="1475" w:type="dxa"/>
          </w:tcPr>
          <w:p w:rsidR="000C0B4C" w:rsidRPr="00FD4171" w:rsidRDefault="000C0B4C">
            <w:pPr>
              <w:spacing w:before="120" w:after="0" w:line="240" w:lineRule="auto"/>
              <w:ind w:left="33"/>
              <w:jc w:val="left"/>
              <w:rPr>
                <w:rFonts w:ascii="Calibri" w:hAnsi="Calibri" w:cs="Arial"/>
                <w:sz w:val="18"/>
                <w:szCs w:val="18"/>
              </w:rPr>
            </w:pPr>
            <w:r w:rsidRPr="00FD4171">
              <w:rPr>
                <w:rFonts w:ascii="Calibri" w:hAnsi="Calibri" w:cs="Arial"/>
                <w:sz w:val="18"/>
                <w:szCs w:val="18"/>
              </w:rPr>
              <w:t>Není stanoven v PD</w:t>
            </w:r>
          </w:p>
          <w:p w:rsidR="000C0B4C" w:rsidRPr="00FD4171" w:rsidRDefault="000C0B4C" w:rsidP="009129B7">
            <w:pPr>
              <w:spacing w:before="120" w:after="0" w:line="240" w:lineRule="auto"/>
              <w:ind w:left="33"/>
              <w:jc w:val="left"/>
              <w:rPr>
                <w:rFonts w:ascii="Calibri" w:hAnsi="Calibri" w:cs="Arial"/>
                <w:sz w:val="18"/>
                <w:szCs w:val="18"/>
              </w:rPr>
            </w:pPr>
            <w:r w:rsidRPr="00FD4171">
              <w:rPr>
                <w:rFonts w:ascii="Calibri" w:hAnsi="Calibri" w:cs="Arial"/>
                <w:sz w:val="18"/>
                <w:szCs w:val="18"/>
              </w:rPr>
              <w:t>Předpokládaná alokace cca 78</w:t>
            </w:r>
            <w:r w:rsidR="009129B7">
              <w:rPr>
                <w:rFonts w:ascii="Calibri" w:hAnsi="Calibri" w:cs="Arial"/>
                <w:sz w:val="18"/>
                <w:szCs w:val="18"/>
              </w:rPr>
              <w:t> </w:t>
            </w:r>
            <w:r w:rsidR="000D59AC" w:rsidRPr="000D59AC">
              <w:rPr>
                <w:rFonts w:ascii="Calibri" w:hAnsi="Calibri" w:cs="Arial"/>
                <w:sz w:val="18"/>
                <w:szCs w:val="18"/>
              </w:rPr>
              <w:t xml:space="preserve">mil. </w:t>
            </w:r>
            <w:r w:rsidRPr="00FD4171">
              <w:rPr>
                <w:rFonts w:ascii="Calibri" w:hAnsi="Calibri" w:cs="Arial"/>
                <w:sz w:val="18"/>
                <w:szCs w:val="18"/>
              </w:rPr>
              <w:t>EUR</w:t>
            </w:r>
            <w:r w:rsidR="00AA08FF" w:rsidRPr="00FD4171">
              <w:rPr>
                <w:rFonts w:ascii="Calibri" w:hAnsi="Calibri" w:cs="Arial"/>
                <w:sz w:val="18"/>
                <w:szCs w:val="18"/>
              </w:rPr>
              <w:t xml:space="preserve"> </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t>OP PIK</w:t>
            </w:r>
          </w:p>
        </w:tc>
        <w:tc>
          <w:tcPr>
            <w:tcW w:w="1474" w:type="dxa"/>
          </w:tcPr>
          <w:p w:rsidR="000C0B4C" w:rsidRPr="00FD4171" w:rsidRDefault="006B1653" w:rsidP="009129B7">
            <w:pPr>
              <w:spacing w:before="120" w:after="0" w:line="240" w:lineRule="auto"/>
              <w:ind w:left="34"/>
              <w:jc w:val="left"/>
              <w:rPr>
                <w:rFonts w:ascii="Calibri" w:hAnsi="Calibri" w:cs="Arial"/>
                <w:sz w:val="18"/>
                <w:szCs w:val="18"/>
              </w:rPr>
            </w:pPr>
            <w:r w:rsidRPr="00FD4171">
              <w:rPr>
                <w:rFonts w:ascii="Calibri" w:hAnsi="Calibri" w:cs="Arial"/>
                <w:sz w:val="18"/>
                <w:szCs w:val="18"/>
              </w:rPr>
              <w:t>Sdílené provádění ŘO a</w:t>
            </w:r>
            <w:r w:rsidR="009129B7">
              <w:rPr>
                <w:rFonts w:ascii="Calibri" w:hAnsi="Calibri" w:cs="Arial"/>
                <w:sz w:val="18"/>
                <w:szCs w:val="18"/>
              </w:rPr>
              <w:t> </w:t>
            </w:r>
            <w:r w:rsidRPr="00FD4171">
              <w:rPr>
                <w:rFonts w:ascii="Calibri" w:hAnsi="Calibri" w:cs="Arial"/>
                <w:sz w:val="18"/>
                <w:szCs w:val="18"/>
              </w:rPr>
              <w:t>dodavatel vybraný ve</w:t>
            </w:r>
            <w:r w:rsidR="009129B7">
              <w:rPr>
                <w:rFonts w:ascii="Calibri" w:hAnsi="Calibri" w:cs="Arial"/>
                <w:sz w:val="18"/>
                <w:szCs w:val="18"/>
              </w:rPr>
              <w:t> </w:t>
            </w:r>
            <w:r w:rsidRPr="00FD4171">
              <w:rPr>
                <w:rFonts w:ascii="Calibri" w:hAnsi="Calibri" w:cs="Arial"/>
                <w:sz w:val="18"/>
                <w:szCs w:val="18"/>
              </w:rPr>
              <w:t xml:space="preserve">veřejném </w:t>
            </w:r>
            <w:r w:rsidR="006924C9" w:rsidRPr="00FD4171">
              <w:rPr>
                <w:rFonts w:ascii="Calibri" w:hAnsi="Calibri" w:cs="Arial"/>
                <w:sz w:val="18"/>
                <w:szCs w:val="18"/>
              </w:rPr>
              <w:t>výběrovém</w:t>
            </w:r>
            <w:r w:rsidRPr="00FD4171">
              <w:rPr>
                <w:rFonts w:ascii="Calibri" w:hAnsi="Calibri" w:cs="Arial"/>
                <w:sz w:val="18"/>
                <w:szCs w:val="18"/>
              </w:rPr>
              <w:t xml:space="preserve"> řízení, předpokládaný harmonogram: zadání studie listopad 2014, final report únor 2015</w:t>
            </w:r>
          </w:p>
        </w:tc>
        <w:tc>
          <w:tcPr>
            <w:tcW w:w="1474" w:type="dxa"/>
          </w:tcPr>
          <w:p w:rsidR="000C0B4C" w:rsidRPr="00FD4171" w:rsidRDefault="00DB7A35" w:rsidP="009129B7">
            <w:pPr>
              <w:spacing w:before="120" w:after="0" w:line="240" w:lineRule="auto"/>
              <w:ind w:left="33"/>
              <w:jc w:val="left"/>
              <w:rPr>
                <w:rFonts w:ascii="Calibri" w:hAnsi="Calibri" w:cs="Arial"/>
                <w:sz w:val="18"/>
                <w:szCs w:val="18"/>
              </w:rPr>
            </w:pPr>
            <w:r>
              <w:rPr>
                <w:rFonts w:ascii="Calibri" w:hAnsi="Calibri" w:cs="Arial"/>
                <w:sz w:val="18"/>
                <w:szCs w:val="18"/>
              </w:rPr>
              <w:t>Z</w:t>
            </w:r>
            <w:r w:rsidR="00092DCA" w:rsidRPr="00092DCA">
              <w:rPr>
                <w:rFonts w:ascii="Calibri" w:hAnsi="Calibri" w:cs="Arial"/>
                <w:sz w:val="18"/>
                <w:szCs w:val="18"/>
              </w:rPr>
              <w:t>važován FF na národní úrovni pro záruční a</w:t>
            </w:r>
            <w:r w:rsidR="009129B7">
              <w:rPr>
                <w:rFonts w:ascii="Calibri" w:hAnsi="Calibri" w:cs="Arial"/>
                <w:sz w:val="18"/>
                <w:szCs w:val="18"/>
              </w:rPr>
              <w:t> </w:t>
            </w:r>
            <w:r w:rsidR="00092DCA" w:rsidRPr="00092DCA">
              <w:rPr>
                <w:rFonts w:ascii="Calibri" w:hAnsi="Calibri" w:cs="Arial"/>
                <w:sz w:val="18"/>
                <w:szCs w:val="18"/>
              </w:rPr>
              <w:t>úvěrové IFN (správcem FF by</w:t>
            </w:r>
            <w:r w:rsidR="009129B7">
              <w:rPr>
                <w:rFonts w:ascii="Calibri" w:hAnsi="Calibri" w:cs="Arial"/>
                <w:sz w:val="18"/>
                <w:szCs w:val="18"/>
              </w:rPr>
              <w:t> </w:t>
            </w:r>
            <w:r w:rsidR="00092DCA" w:rsidRPr="00092DCA">
              <w:rPr>
                <w:rFonts w:ascii="Calibri" w:hAnsi="Calibri" w:cs="Arial"/>
                <w:sz w:val="18"/>
                <w:szCs w:val="18"/>
              </w:rPr>
              <w:t>byla ČMZRB), pro IFN rizikového kapitálu zvažován investiční fond (samosprávný ve formě SICAV nebo se správcem dle ZVZ)“.</w:t>
            </w:r>
          </w:p>
        </w:tc>
        <w:tc>
          <w:tcPr>
            <w:tcW w:w="1474" w:type="dxa"/>
          </w:tcPr>
          <w:p w:rsidR="000C0B4C" w:rsidRPr="00FD4171" w:rsidRDefault="000C0B4C" w:rsidP="005144FD">
            <w:pPr>
              <w:spacing w:before="120" w:after="0" w:line="240" w:lineRule="auto"/>
              <w:ind w:left="34"/>
              <w:jc w:val="left"/>
              <w:rPr>
                <w:rFonts w:ascii="Calibri" w:hAnsi="Calibri" w:cs="Arial"/>
                <w:sz w:val="18"/>
                <w:szCs w:val="18"/>
              </w:rPr>
            </w:pPr>
            <w:r w:rsidRPr="00FD4171">
              <w:rPr>
                <w:rFonts w:ascii="Calibri" w:hAnsi="Calibri" w:cs="Arial"/>
                <w:sz w:val="18"/>
                <w:szCs w:val="18"/>
              </w:rPr>
              <w:t>SC 1.1 Zvýšení inovační výkonnosti podniků</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SC 2.1 Podpora nových podnikatelských záměrů </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SC 2.3 Využitelná infrastruktura pro podnikání</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SC 3.2 Energetická účinnost </w:t>
            </w:r>
            <w:r w:rsidRPr="00FD4171">
              <w:rPr>
                <w:rFonts w:ascii="Calibri" w:hAnsi="Calibri" w:cs="Arial"/>
                <w:sz w:val="18"/>
                <w:szCs w:val="18"/>
              </w:rPr>
              <w:lastRenderedPageBreak/>
              <w:t xml:space="preserve">podnikatelského sektoru </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SC 3.5 Účinnost soustav zásobování teplem</w:t>
            </w:r>
          </w:p>
        </w:tc>
        <w:tc>
          <w:tcPr>
            <w:tcW w:w="1474" w:type="dxa"/>
          </w:tcPr>
          <w:p w:rsidR="000C0B4C" w:rsidRPr="00FD4171" w:rsidRDefault="000C0B4C">
            <w:pPr>
              <w:pStyle w:val="Odstavecseseznamem"/>
              <w:spacing w:before="120" w:after="0" w:line="240" w:lineRule="auto"/>
              <w:ind w:left="34"/>
              <w:jc w:val="left"/>
              <w:rPr>
                <w:rFonts w:ascii="Calibri" w:hAnsi="Calibri" w:cs="Arial"/>
                <w:sz w:val="18"/>
                <w:szCs w:val="18"/>
              </w:rPr>
            </w:pPr>
            <w:r w:rsidRPr="00FD4171">
              <w:rPr>
                <w:rFonts w:ascii="Calibri" w:hAnsi="Calibri" w:cs="Arial"/>
                <w:sz w:val="18"/>
                <w:szCs w:val="18"/>
              </w:rPr>
              <w:lastRenderedPageBreak/>
              <w:t xml:space="preserve">Úvěr, úvěr kombinovaný s nenávratnou částí podpory, záruka, rizikový kapitál. </w:t>
            </w:r>
          </w:p>
        </w:tc>
        <w:tc>
          <w:tcPr>
            <w:tcW w:w="1475" w:type="dxa"/>
          </w:tcPr>
          <w:p w:rsidR="000C0B4C" w:rsidRPr="00FD4171" w:rsidRDefault="006924C9" w:rsidP="009129B7">
            <w:pPr>
              <w:spacing w:before="120" w:after="0" w:line="240" w:lineRule="auto"/>
              <w:ind w:left="33"/>
              <w:jc w:val="left"/>
              <w:rPr>
                <w:rFonts w:ascii="Calibri" w:hAnsi="Calibri" w:cs="Arial"/>
                <w:sz w:val="18"/>
                <w:szCs w:val="18"/>
              </w:rPr>
            </w:pPr>
            <w:r w:rsidRPr="00FD4171">
              <w:rPr>
                <w:rFonts w:ascii="Calibri" w:hAnsi="Calibri" w:cs="Arial"/>
                <w:sz w:val="18"/>
                <w:szCs w:val="18"/>
              </w:rPr>
              <w:t>Předpokládaná alokace přes všechny SC cca</w:t>
            </w:r>
            <w:r w:rsidR="009129B7">
              <w:rPr>
                <w:rFonts w:ascii="Calibri" w:hAnsi="Calibri" w:cs="Arial"/>
                <w:sz w:val="18"/>
                <w:szCs w:val="18"/>
              </w:rPr>
              <w:t> </w:t>
            </w:r>
            <w:r w:rsidRPr="00FD4171">
              <w:rPr>
                <w:rFonts w:ascii="Calibri" w:hAnsi="Calibri" w:cs="Arial"/>
                <w:sz w:val="18"/>
                <w:szCs w:val="18"/>
              </w:rPr>
              <w:t xml:space="preserve">430 </w:t>
            </w:r>
            <w:r w:rsidR="000D59AC" w:rsidRPr="000D59AC">
              <w:rPr>
                <w:rFonts w:ascii="Calibri" w:hAnsi="Calibri" w:cs="Arial"/>
                <w:sz w:val="18"/>
                <w:szCs w:val="18"/>
              </w:rPr>
              <w:t xml:space="preserve">mil. </w:t>
            </w:r>
            <w:r w:rsidRPr="00FD4171">
              <w:rPr>
                <w:rFonts w:ascii="Calibri" w:hAnsi="Calibri" w:cs="Arial"/>
                <w:sz w:val="18"/>
                <w:szCs w:val="18"/>
              </w:rPr>
              <w:t>EUR (10 % alokace OP)</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lastRenderedPageBreak/>
              <w:t>OP PPR</w:t>
            </w:r>
          </w:p>
        </w:tc>
        <w:tc>
          <w:tcPr>
            <w:tcW w:w="1474" w:type="dxa"/>
          </w:tcPr>
          <w:p w:rsidR="000C0B4C" w:rsidRPr="00EF2F90" w:rsidRDefault="00DB7A35" w:rsidP="009129B7">
            <w:pPr>
              <w:spacing w:before="120" w:after="0" w:line="240" w:lineRule="auto"/>
              <w:ind w:left="34"/>
              <w:jc w:val="left"/>
              <w:rPr>
                <w:rFonts w:ascii="Calibri" w:hAnsi="Calibri" w:cs="Arial"/>
                <w:sz w:val="18"/>
                <w:szCs w:val="18"/>
              </w:rPr>
            </w:pPr>
            <w:r>
              <w:rPr>
                <w:rFonts w:ascii="Calibri" w:hAnsi="Calibri" w:cs="Arial"/>
                <w:sz w:val="18"/>
                <w:szCs w:val="18"/>
              </w:rPr>
              <w:t>Z</w:t>
            </w:r>
            <w:r w:rsidR="000C0B4C" w:rsidRPr="00EF2F90">
              <w:rPr>
                <w:rFonts w:ascii="Calibri" w:hAnsi="Calibri" w:cs="Arial"/>
                <w:sz w:val="18"/>
                <w:szCs w:val="18"/>
              </w:rPr>
              <w:t>hotovitele</w:t>
            </w:r>
            <w:r>
              <w:rPr>
                <w:rFonts w:ascii="Calibri" w:hAnsi="Calibri" w:cs="Arial"/>
                <w:sz w:val="18"/>
                <w:szCs w:val="18"/>
              </w:rPr>
              <w:t>m</w:t>
            </w:r>
            <w:r w:rsidR="000C0B4C" w:rsidRPr="00EF2F90">
              <w:rPr>
                <w:rFonts w:ascii="Calibri" w:hAnsi="Calibri" w:cs="Arial"/>
                <w:sz w:val="18"/>
                <w:szCs w:val="18"/>
              </w:rPr>
              <w:t xml:space="preserve"> </w:t>
            </w:r>
            <w:r w:rsidR="00E87264" w:rsidRPr="00EF2F90">
              <w:rPr>
                <w:rFonts w:ascii="Calibri" w:hAnsi="Calibri" w:cs="Arial"/>
                <w:sz w:val="18"/>
                <w:szCs w:val="18"/>
              </w:rPr>
              <w:t>ex-ante</w:t>
            </w:r>
            <w:r w:rsidR="000C0B4C" w:rsidRPr="00EF2F90">
              <w:rPr>
                <w:rFonts w:ascii="Calibri" w:hAnsi="Calibri" w:cs="Arial"/>
                <w:sz w:val="18"/>
                <w:szCs w:val="18"/>
              </w:rPr>
              <w:t xml:space="preserve"> analýzy </w:t>
            </w:r>
            <w:r w:rsidR="00986EE0" w:rsidRPr="00EF2F90">
              <w:rPr>
                <w:rFonts w:ascii="Calibri" w:hAnsi="Calibri" w:cs="Arial"/>
                <w:sz w:val="18"/>
                <w:szCs w:val="18"/>
              </w:rPr>
              <w:t>IFN</w:t>
            </w:r>
            <w:r w:rsidR="000C0B4C" w:rsidRPr="00EF2F90">
              <w:rPr>
                <w:rFonts w:ascii="Calibri" w:hAnsi="Calibri" w:cs="Arial"/>
                <w:sz w:val="18"/>
                <w:szCs w:val="18"/>
              </w:rPr>
              <w:t xml:space="preserve"> vybrán Deloitte</w:t>
            </w:r>
            <w:r>
              <w:rPr>
                <w:rFonts w:ascii="Calibri" w:hAnsi="Calibri" w:cs="Arial"/>
                <w:sz w:val="18"/>
                <w:szCs w:val="18"/>
              </w:rPr>
              <w:t xml:space="preserve"> v rámci VZMR.</w:t>
            </w:r>
            <w:r w:rsidR="000C0B4C" w:rsidRPr="00EF2F90">
              <w:rPr>
                <w:rFonts w:ascii="Calibri" w:hAnsi="Calibri" w:cs="Arial"/>
                <w:sz w:val="18"/>
                <w:szCs w:val="18"/>
              </w:rPr>
              <w:t xml:space="preserve"> </w:t>
            </w:r>
            <w:r>
              <w:rPr>
                <w:rFonts w:ascii="Calibri" w:hAnsi="Calibri" w:cs="Arial"/>
                <w:sz w:val="18"/>
                <w:szCs w:val="18"/>
              </w:rPr>
              <w:t>Dodán finální výstup ex-ante analýzy, ŘO vyčkává s ohledem na</w:t>
            </w:r>
            <w:r w:rsidR="009129B7">
              <w:rPr>
                <w:rFonts w:ascii="Calibri" w:hAnsi="Calibri" w:cs="Arial"/>
                <w:sz w:val="18"/>
                <w:szCs w:val="18"/>
              </w:rPr>
              <w:t> </w:t>
            </w:r>
            <w:r>
              <w:rPr>
                <w:rFonts w:ascii="Calibri" w:hAnsi="Calibri" w:cs="Arial"/>
                <w:sz w:val="18"/>
                <w:szCs w:val="18"/>
              </w:rPr>
              <w:t>připravované národní implementační řešení IFN</w:t>
            </w:r>
          </w:p>
        </w:tc>
        <w:tc>
          <w:tcPr>
            <w:tcW w:w="1474" w:type="dxa"/>
          </w:tcPr>
          <w:p w:rsidR="000C0B4C" w:rsidRPr="00EF2F90" w:rsidRDefault="000C0B4C" w:rsidP="005144FD">
            <w:pPr>
              <w:spacing w:before="120" w:after="0" w:line="240" w:lineRule="auto"/>
              <w:ind w:left="33"/>
              <w:jc w:val="left"/>
              <w:rPr>
                <w:rFonts w:ascii="Calibri" w:hAnsi="Calibri" w:cs="Arial"/>
                <w:sz w:val="18"/>
                <w:szCs w:val="18"/>
              </w:rPr>
            </w:pPr>
            <w:r w:rsidRPr="00EF2F90">
              <w:rPr>
                <w:rFonts w:ascii="Calibri" w:hAnsi="Calibri" w:cs="Arial"/>
                <w:sz w:val="18"/>
                <w:szCs w:val="18"/>
              </w:rPr>
              <w:t>ŘO se v otázce implementačního uspořádání a</w:t>
            </w:r>
            <w:r w:rsidR="009129B7">
              <w:rPr>
                <w:rFonts w:ascii="Calibri" w:hAnsi="Calibri" w:cs="Arial"/>
                <w:sz w:val="18"/>
                <w:szCs w:val="18"/>
              </w:rPr>
              <w:t> </w:t>
            </w:r>
            <w:r w:rsidRPr="00EF2F90">
              <w:rPr>
                <w:rFonts w:ascii="Calibri" w:hAnsi="Calibri" w:cs="Arial"/>
                <w:sz w:val="18"/>
                <w:szCs w:val="18"/>
              </w:rPr>
              <w:t>případného zapojení FF spolehne na</w:t>
            </w:r>
            <w:r w:rsidR="009129B7">
              <w:rPr>
                <w:rFonts w:ascii="Calibri" w:hAnsi="Calibri" w:cs="Arial"/>
                <w:sz w:val="18"/>
                <w:szCs w:val="18"/>
              </w:rPr>
              <w:t> </w:t>
            </w:r>
            <w:r w:rsidRPr="00EF2F90">
              <w:rPr>
                <w:rFonts w:ascii="Calibri" w:hAnsi="Calibri" w:cs="Arial"/>
                <w:sz w:val="18"/>
                <w:szCs w:val="18"/>
              </w:rPr>
              <w:t xml:space="preserve">výstupy/doporučení </w:t>
            </w:r>
            <w:r w:rsidR="00E87264" w:rsidRPr="00EF2F90">
              <w:rPr>
                <w:rFonts w:ascii="Calibri" w:hAnsi="Calibri" w:cs="Arial"/>
                <w:sz w:val="18"/>
                <w:szCs w:val="18"/>
              </w:rPr>
              <w:t>ex</w:t>
            </w:r>
            <w:r w:rsidR="00E87264" w:rsidRPr="00EF2F90">
              <w:rPr>
                <w:rFonts w:ascii="Calibri" w:hAnsi="Calibri" w:cs="Arial"/>
                <w:sz w:val="18"/>
                <w:szCs w:val="18"/>
              </w:rPr>
              <w:noBreakHyphen/>
              <w:t>ante</w:t>
            </w:r>
            <w:r w:rsidRPr="00EF2F90">
              <w:rPr>
                <w:rFonts w:ascii="Calibri" w:hAnsi="Calibri" w:cs="Arial"/>
                <w:sz w:val="18"/>
                <w:szCs w:val="18"/>
              </w:rPr>
              <w:t xml:space="preserve"> analýzy</w:t>
            </w:r>
            <w:r w:rsidR="00024DA8">
              <w:rPr>
                <w:rFonts w:ascii="Calibri" w:hAnsi="Calibri" w:cs="Arial"/>
                <w:sz w:val="18"/>
                <w:szCs w:val="18"/>
              </w:rPr>
              <w:t>, p</w:t>
            </w:r>
            <w:r w:rsidR="00DB7A35">
              <w:rPr>
                <w:rFonts w:ascii="Calibri" w:hAnsi="Calibri" w:cs="Arial"/>
                <w:sz w:val="18"/>
                <w:szCs w:val="18"/>
              </w:rPr>
              <w:t>robíhající analýza posuzuje relevanci začlenění IFN do</w:t>
            </w:r>
            <w:r w:rsidR="009129B7">
              <w:rPr>
                <w:rFonts w:ascii="Calibri" w:hAnsi="Calibri" w:cs="Arial"/>
                <w:sz w:val="18"/>
                <w:szCs w:val="18"/>
              </w:rPr>
              <w:t> </w:t>
            </w:r>
            <w:r w:rsidR="00DB7A35">
              <w:rPr>
                <w:rFonts w:ascii="Calibri" w:hAnsi="Calibri" w:cs="Arial"/>
                <w:sz w:val="18"/>
                <w:szCs w:val="18"/>
              </w:rPr>
              <w:t>národního HF.</w:t>
            </w:r>
          </w:p>
          <w:p w:rsidR="000C0B4C" w:rsidRPr="00EF2F90" w:rsidRDefault="000C0B4C">
            <w:pPr>
              <w:spacing w:before="120" w:after="0" w:line="240" w:lineRule="auto"/>
              <w:ind w:left="33"/>
              <w:jc w:val="left"/>
              <w:rPr>
                <w:rFonts w:ascii="Calibri" w:hAnsi="Calibri" w:cs="Arial"/>
                <w:sz w:val="18"/>
                <w:szCs w:val="18"/>
              </w:rPr>
            </w:pPr>
            <w:r w:rsidRPr="00EF2F90">
              <w:rPr>
                <w:rFonts w:ascii="Calibri" w:hAnsi="Calibri" w:cs="Arial"/>
                <w:sz w:val="18"/>
                <w:szCs w:val="18"/>
              </w:rPr>
              <w:t xml:space="preserve">ŘO plánuje </w:t>
            </w:r>
            <w:r w:rsidR="00986EE0" w:rsidRPr="00EF2F90">
              <w:rPr>
                <w:rFonts w:ascii="Calibri" w:hAnsi="Calibri" w:cs="Arial"/>
                <w:sz w:val="18"/>
                <w:szCs w:val="18"/>
              </w:rPr>
              <w:t>IFN</w:t>
            </w:r>
            <w:r w:rsidRPr="00EF2F90">
              <w:rPr>
                <w:rFonts w:ascii="Calibri" w:hAnsi="Calibri" w:cs="Arial"/>
                <w:sz w:val="18"/>
                <w:szCs w:val="18"/>
              </w:rPr>
              <w:t xml:space="preserve"> na regionální úrovni</w:t>
            </w:r>
          </w:p>
        </w:tc>
        <w:tc>
          <w:tcPr>
            <w:tcW w:w="1474" w:type="dxa"/>
          </w:tcPr>
          <w:p w:rsidR="000C0B4C" w:rsidRPr="00EF2F90" w:rsidRDefault="000C0B4C">
            <w:pPr>
              <w:spacing w:before="120" w:after="0" w:line="240" w:lineRule="auto"/>
              <w:ind w:left="34"/>
              <w:jc w:val="left"/>
              <w:rPr>
                <w:rFonts w:ascii="Calibri" w:hAnsi="Calibri" w:cs="Arial"/>
                <w:sz w:val="18"/>
                <w:szCs w:val="18"/>
              </w:rPr>
            </w:pPr>
            <w:r w:rsidRPr="00EF2F90">
              <w:rPr>
                <w:rFonts w:ascii="Calibri" w:hAnsi="Calibri" w:cs="Arial"/>
                <w:sz w:val="18"/>
                <w:szCs w:val="18"/>
              </w:rPr>
              <w:t>SC 1.2 Vznik a</w:t>
            </w:r>
            <w:r w:rsidR="009129B7">
              <w:rPr>
                <w:rFonts w:ascii="Calibri" w:hAnsi="Calibri" w:cs="Arial"/>
                <w:sz w:val="18"/>
                <w:szCs w:val="18"/>
              </w:rPr>
              <w:t> </w:t>
            </w:r>
            <w:r w:rsidRPr="00EF2F90">
              <w:rPr>
                <w:rFonts w:ascii="Calibri" w:hAnsi="Calibri" w:cs="Arial"/>
                <w:sz w:val="18"/>
                <w:szCs w:val="18"/>
              </w:rPr>
              <w:t>rozvoj znalostně intenzivních firem</w:t>
            </w:r>
          </w:p>
          <w:p w:rsidR="000C0B4C" w:rsidRPr="00EF2F90" w:rsidRDefault="000C0B4C">
            <w:pPr>
              <w:spacing w:before="120" w:after="0" w:line="240" w:lineRule="auto"/>
              <w:ind w:left="34"/>
              <w:jc w:val="left"/>
              <w:rPr>
                <w:rFonts w:ascii="Calibri" w:hAnsi="Calibri" w:cs="Arial"/>
                <w:sz w:val="18"/>
                <w:szCs w:val="18"/>
              </w:rPr>
            </w:pPr>
            <w:r w:rsidRPr="00EF2F90">
              <w:rPr>
                <w:rFonts w:ascii="Calibri" w:hAnsi="Calibri" w:cs="Arial"/>
                <w:sz w:val="18"/>
                <w:szCs w:val="18"/>
              </w:rPr>
              <w:t>SC 2.1 Energetické úspory (městské objekty)</w:t>
            </w:r>
          </w:p>
        </w:tc>
        <w:tc>
          <w:tcPr>
            <w:tcW w:w="1474" w:type="dxa"/>
          </w:tcPr>
          <w:p w:rsidR="000C0B4C" w:rsidRPr="00EF2F90" w:rsidRDefault="000C0B4C">
            <w:pPr>
              <w:spacing w:before="120" w:after="0" w:line="240" w:lineRule="auto"/>
              <w:ind w:left="34"/>
              <w:jc w:val="left"/>
              <w:rPr>
                <w:rFonts w:ascii="Calibri" w:hAnsi="Calibri" w:cs="Arial"/>
                <w:sz w:val="18"/>
                <w:szCs w:val="18"/>
              </w:rPr>
            </w:pPr>
            <w:r w:rsidRPr="00EF2F90">
              <w:rPr>
                <w:rFonts w:ascii="Calibri" w:hAnsi="Calibri" w:cs="Arial"/>
                <w:sz w:val="18"/>
                <w:szCs w:val="18"/>
              </w:rPr>
              <w:t>Úvěr, záruka, rizikový kapitál, případně kombinace s nenávratnou částí podpory</w:t>
            </w:r>
          </w:p>
        </w:tc>
        <w:tc>
          <w:tcPr>
            <w:tcW w:w="1475" w:type="dxa"/>
          </w:tcPr>
          <w:p w:rsidR="000C0B4C" w:rsidRPr="00EF2F90" w:rsidRDefault="000C0B4C">
            <w:pPr>
              <w:spacing w:before="120" w:after="0" w:line="240" w:lineRule="auto"/>
              <w:ind w:left="33"/>
              <w:jc w:val="left"/>
              <w:rPr>
                <w:rFonts w:ascii="Calibri" w:hAnsi="Calibri" w:cs="Arial"/>
                <w:sz w:val="18"/>
                <w:szCs w:val="18"/>
              </w:rPr>
            </w:pPr>
            <w:r w:rsidRPr="00EF2F90">
              <w:rPr>
                <w:rFonts w:ascii="Calibri" w:hAnsi="Calibri" w:cs="Arial"/>
                <w:sz w:val="18"/>
                <w:szCs w:val="18"/>
              </w:rPr>
              <w:t>5-20</w:t>
            </w:r>
            <w:r w:rsidR="00C567D3">
              <w:rPr>
                <w:rFonts w:ascii="Calibri" w:hAnsi="Calibri" w:cs="Arial"/>
                <w:sz w:val="18"/>
                <w:szCs w:val="18"/>
              </w:rPr>
              <w:t xml:space="preserve"> </w:t>
            </w:r>
            <w:r w:rsidRPr="00EF2F90">
              <w:rPr>
                <w:rFonts w:ascii="Calibri" w:hAnsi="Calibri" w:cs="Arial"/>
                <w:sz w:val="18"/>
                <w:szCs w:val="18"/>
              </w:rPr>
              <w:t>% alokace programu dle</w:t>
            </w:r>
            <w:r w:rsidR="009129B7">
              <w:rPr>
                <w:rFonts w:ascii="Calibri" w:hAnsi="Calibri" w:cs="Arial"/>
                <w:sz w:val="18"/>
                <w:szCs w:val="18"/>
              </w:rPr>
              <w:t> </w:t>
            </w:r>
            <w:r w:rsidRPr="00EF2F90">
              <w:rPr>
                <w:rFonts w:ascii="Calibri" w:hAnsi="Calibri" w:cs="Arial"/>
                <w:sz w:val="18"/>
                <w:szCs w:val="18"/>
              </w:rPr>
              <w:t xml:space="preserve">závěrů </w:t>
            </w:r>
            <w:r w:rsidR="00E87264" w:rsidRPr="00EF2F90">
              <w:rPr>
                <w:rFonts w:ascii="Calibri" w:hAnsi="Calibri" w:cs="Arial"/>
                <w:sz w:val="18"/>
                <w:szCs w:val="18"/>
              </w:rPr>
              <w:t>ex</w:t>
            </w:r>
            <w:r w:rsidR="00E87264" w:rsidRPr="00EF2F90">
              <w:rPr>
                <w:rFonts w:ascii="Calibri" w:hAnsi="Calibri" w:cs="Arial"/>
                <w:sz w:val="18"/>
                <w:szCs w:val="18"/>
              </w:rPr>
              <w:noBreakHyphen/>
              <w:t>ante</w:t>
            </w:r>
            <w:r w:rsidRPr="00EF2F90">
              <w:rPr>
                <w:rFonts w:ascii="Calibri" w:hAnsi="Calibri" w:cs="Arial"/>
                <w:sz w:val="18"/>
                <w:szCs w:val="18"/>
              </w:rPr>
              <w:t xml:space="preserve"> analýzy</w:t>
            </w:r>
          </w:p>
          <w:p w:rsidR="000C0B4C" w:rsidRPr="00EF2F90" w:rsidRDefault="000C0B4C">
            <w:pPr>
              <w:spacing w:before="120" w:after="0" w:line="240" w:lineRule="auto"/>
              <w:ind w:left="33"/>
              <w:jc w:val="left"/>
              <w:rPr>
                <w:rFonts w:ascii="Calibri" w:hAnsi="Calibri" w:cs="Arial"/>
                <w:sz w:val="18"/>
                <w:szCs w:val="18"/>
              </w:rPr>
            </w:pPr>
            <w:r w:rsidRPr="00EF2F90">
              <w:rPr>
                <w:rFonts w:ascii="Calibri" w:hAnsi="Calibri" w:cs="Arial"/>
                <w:sz w:val="18"/>
                <w:szCs w:val="18"/>
              </w:rPr>
              <w:t xml:space="preserve">Předpokládaná alokace (pro SC 1.2) 20 </w:t>
            </w:r>
            <w:r w:rsidR="000D59AC" w:rsidRPr="000D59AC">
              <w:rPr>
                <w:rFonts w:ascii="Calibri" w:hAnsi="Calibri" w:cs="Arial"/>
                <w:sz w:val="18"/>
                <w:szCs w:val="18"/>
              </w:rPr>
              <w:t xml:space="preserve">mil. </w:t>
            </w:r>
            <w:r w:rsidRPr="00EF2F90">
              <w:rPr>
                <w:rFonts w:ascii="Calibri" w:hAnsi="Calibri" w:cs="Arial"/>
                <w:sz w:val="18"/>
                <w:szCs w:val="18"/>
              </w:rPr>
              <w:t>EUR</w:t>
            </w:r>
          </w:p>
        </w:tc>
      </w:tr>
      <w:tr w:rsidR="00346684" w:rsidRPr="00FD4171" w:rsidTr="00636988">
        <w:tc>
          <w:tcPr>
            <w:tcW w:w="1276" w:type="dxa"/>
            <w:shd w:val="clear" w:color="auto" w:fill="95B3D7"/>
          </w:tcPr>
          <w:p w:rsidR="00346684" w:rsidRPr="00FD4171" w:rsidRDefault="00346684" w:rsidP="00FD4171">
            <w:pPr>
              <w:spacing w:before="120" w:after="0" w:line="240" w:lineRule="auto"/>
              <w:ind w:left="0"/>
              <w:rPr>
                <w:rFonts w:ascii="Calibri" w:hAnsi="Calibri" w:cs="Arial"/>
                <w:b/>
                <w:i/>
              </w:rPr>
            </w:pPr>
            <w:r w:rsidRPr="00FD4171">
              <w:rPr>
                <w:rFonts w:ascii="Calibri" w:hAnsi="Calibri" w:cs="Arial"/>
                <w:b/>
                <w:i/>
              </w:rPr>
              <w:t>OP ŽP</w:t>
            </w:r>
          </w:p>
        </w:tc>
        <w:tc>
          <w:tcPr>
            <w:tcW w:w="1474" w:type="dxa"/>
            <w:shd w:val="clear" w:color="auto" w:fill="auto"/>
          </w:tcPr>
          <w:p w:rsidR="00346684" w:rsidRPr="00EF2F90" w:rsidRDefault="00580130" w:rsidP="009129B7">
            <w:pPr>
              <w:spacing w:before="120" w:after="0" w:line="240" w:lineRule="auto"/>
              <w:ind w:left="34"/>
              <w:jc w:val="left"/>
              <w:rPr>
                <w:rFonts w:ascii="Calibri" w:hAnsi="Calibri" w:cs="Arial"/>
                <w:sz w:val="18"/>
                <w:szCs w:val="18"/>
              </w:rPr>
            </w:pPr>
            <w:r w:rsidRPr="00580130">
              <w:rPr>
                <w:rFonts w:ascii="Calibri" w:hAnsi="Calibri" w:cs="Arial"/>
                <w:sz w:val="18"/>
                <w:szCs w:val="18"/>
              </w:rPr>
              <w:t xml:space="preserve">Zpracování </w:t>
            </w:r>
            <w:r>
              <w:rPr>
                <w:rFonts w:ascii="Calibri" w:hAnsi="Calibri" w:cs="Arial"/>
                <w:sz w:val="18"/>
                <w:szCs w:val="18"/>
              </w:rPr>
              <w:t>ex</w:t>
            </w:r>
            <w:r w:rsidR="00071D24">
              <w:rPr>
                <w:rFonts w:ascii="Calibri" w:hAnsi="Calibri" w:cs="Arial"/>
                <w:sz w:val="18"/>
                <w:szCs w:val="18"/>
              </w:rPr>
              <w:t>-</w:t>
            </w:r>
            <w:r w:rsidR="00346684" w:rsidRPr="00A91469">
              <w:rPr>
                <w:rFonts w:ascii="Calibri" w:hAnsi="Calibri" w:cs="Arial"/>
                <w:sz w:val="18"/>
                <w:szCs w:val="18"/>
              </w:rPr>
              <w:t xml:space="preserve">ante </w:t>
            </w:r>
            <w:r>
              <w:rPr>
                <w:rFonts w:ascii="Calibri" w:hAnsi="Calibri" w:cs="Arial"/>
                <w:sz w:val="18"/>
                <w:szCs w:val="18"/>
              </w:rPr>
              <w:t xml:space="preserve">analýzy </w:t>
            </w:r>
            <w:r w:rsidRPr="00580130">
              <w:rPr>
                <w:rFonts w:ascii="Calibri" w:hAnsi="Calibri" w:cs="Arial"/>
                <w:sz w:val="18"/>
                <w:szCs w:val="18"/>
              </w:rPr>
              <w:t>v rámci uzavřené rámcové smlouvy s</w:t>
            </w:r>
            <w:r w:rsidR="009129B7">
              <w:rPr>
                <w:rFonts w:ascii="Calibri" w:hAnsi="Calibri" w:cs="Arial"/>
                <w:sz w:val="18"/>
                <w:szCs w:val="18"/>
              </w:rPr>
              <w:t> </w:t>
            </w:r>
            <w:r w:rsidRPr="00580130">
              <w:rPr>
                <w:rFonts w:ascii="Calibri" w:hAnsi="Calibri" w:cs="Arial"/>
                <w:sz w:val="18"/>
                <w:szCs w:val="18"/>
              </w:rPr>
              <w:t>Deloitte, vlastní úvodní vstup (souhrn již zpracovaných materiálů) předán Deloitte</w:t>
            </w:r>
            <w:r w:rsidR="00024DA8">
              <w:rPr>
                <w:rFonts w:ascii="Calibri" w:hAnsi="Calibri" w:cs="Arial"/>
                <w:sz w:val="18"/>
                <w:szCs w:val="18"/>
              </w:rPr>
              <w:t>, final report v únoru 2015</w:t>
            </w:r>
            <w:r w:rsidR="009129B7">
              <w:rPr>
                <w:rFonts w:ascii="Calibri" w:hAnsi="Calibri" w:cs="Arial"/>
                <w:sz w:val="18"/>
                <w:szCs w:val="18"/>
              </w:rPr>
              <w:t xml:space="preserve"> </w:t>
            </w:r>
            <w:r w:rsidR="00346684" w:rsidRPr="00A91469">
              <w:rPr>
                <w:rFonts w:ascii="Calibri" w:hAnsi="Calibri" w:cs="Arial"/>
                <w:sz w:val="18"/>
                <w:szCs w:val="18"/>
              </w:rPr>
              <w:t>analýza, která podrobně zkoumá PO1, PO2, PO3 a PO5. Předpokládaný termín finálního výstupu je 13. 2. 2015.</w:t>
            </w:r>
          </w:p>
        </w:tc>
        <w:tc>
          <w:tcPr>
            <w:tcW w:w="1474" w:type="dxa"/>
            <w:shd w:val="clear" w:color="auto" w:fill="auto"/>
          </w:tcPr>
          <w:p w:rsidR="000C0B4C" w:rsidRDefault="000C0B4C" w:rsidP="005144FD">
            <w:pPr>
              <w:spacing w:before="240" w:after="0" w:line="240" w:lineRule="auto"/>
              <w:ind w:left="33"/>
              <w:jc w:val="left"/>
              <w:rPr>
                <w:rFonts w:ascii="Calibri" w:hAnsi="Calibri" w:cs="Arial"/>
                <w:sz w:val="18"/>
                <w:szCs w:val="18"/>
              </w:rPr>
            </w:pPr>
            <w:r w:rsidRPr="00EF2F90">
              <w:rPr>
                <w:rFonts w:ascii="Calibri" w:hAnsi="Calibri" w:cs="Arial"/>
                <w:sz w:val="18"/>
                <w:szCs w:val="18"/>
              </w:rPr>
              <w:t xml:space="preserve">Uvažovány </w:t>
            </w:r>
            <w:r w:rsidR="00986EE0" w:rsidRPr="00EF2F90">
              <w:rPr>
                <w:rFonts w:ascii="Calibri" w:hAnsi="Calibri" w:cs="Arial"/>
                <w:sz w:val="18"/>
                <w:szCs w:val="18"/>
              </w:rPr>
              <w:t>IFN</w:t>
            </w:r>
            <w:r w:rsidRPr="00EF2F90">
              <w:rPr>
                <w:rFonts w:ascii="Calibri" w:hAnsi="Calibri" w:cs="Arial"/>
                <w:sz w:val="18"/>
                <w:szCs w:val="18"/>
              </w:rPr>
              <w:t xml:space="preserve"> bez FF</w:t>
            </w:r>
          </w:p>
          <w:p w:rsidR="00DB07EE" w:rsidRPr="00EF2F90" w:rsidRDefault="00DB07EE">
            <w:pPr>
              <w:spacing w:before="240" w:after="0" w:line="240" w:lineRule="auto"/>
              <w:ind w:left="33"/>
              <w:jc w:val="left"/>
              <w:rPr>
                <w:rFonts w:ascii="Calibri" w:hAnsi="Calibri" w:cs="Arial"/>
                <w:sz w:val="18"/>
                <w:szCs w:val="18"/>
              </w:rPr>
            </w:pPr>
            <w:r>
              <w:rPr>
                <w:rFonts w:ascii="Calibri" w:hAnsi="Calibri" w:cs="Arial"/>
                <w:sz w:val="18"/>
                <w:szCs w:val="18"/>
              </w:rPr>
              <w:t>Relevance začlenění IFN do národního HF součástí probíhající ex-ante analýzy</w:t>
            </w:r>
          </w:p>
          <w:p w:rsidR="00346684" w:rsidRPr="00EF2F90" w:rsidRDefault="00346684">
            <w:pPr>
              <w:spacing w:before="240" w:after="0" w:line="240" w:lineRule="auto"/>
              <w:ind w:left="33"/>
              <w:jc w:val="left"/>
              <w:rPr>
                <w:rFonts w:ascii="Calibri" w:hAnsi="Calibri" w:cs="Arial"/>
                <w:sz w:val="18"/>
                <w:szCs w:val="18"/>
              </w:rPr>
            </w:pPr>
            <w:r w:rsidRPr="00A91469">
              <w:rPr>
                <w:rFonts w:ascii="Calibri" w:hAnsi="Calibri" w:cs="Arial"/>
                <w:sz w:val="18"/>
                <w:szCs w:val="18"/>
              </w:rPr>
              <w:t>Doposud nerozhodnuto o zapojení FF. IFN uvažovány na národní, případně regionální úrovni. Rozhodnutí bude učiněno na základě Ex-ante analýzy a národním implementačním uspořádání.</w:t>
            </w:r>
          </w:p>
        </w:tc>
        <w:tc>
          <w:tcPr>
            <w:tcW w:w="1474" w:type="dxa"/>
            <w:shd w:val="clear" w:color="auto" w:fill="auto"/>
          </w:tcPr>
          <w:p w:rsidR="00346684" w:rsidRPr="00EF2F90" w:rsidRDefault="00346684">
            <w:pPr>
              <w:spacing w:before="240" w:after="0" w:line="240" w:lineRule="auto"/>
              <w:ind w:left="34"/>
              <w:jc w:val="left"/>
              <w:rPr>
                <w:rFonts w:ascii="Calibri" w:hAnsi="Calibri" w:cs="Arial"/>
                <w:sz w:val="18"/>
                <w:szCs w:val="18"/>
              </w:rPr>
            </w:pPr>
            <w:r w:rsidRPr="00EF2F90">
              <w:rPr>
                <w:rFonts w:ascii="Calibri" w:hAnsi="Calibri" w:cs="Arial"/>
                <w:sz w:val="18"/>
                <w:szCs w:val="18"/>
              </w:rPr>
              <w:t>Nejpravděpodobněj</w:t>
            </w:r>
            <w:r w:rsidR="00A24D0F">
              <w:rPr>
                <w:rFonts w:ascii="Calibri" w:hAnsi="Calibri" w:cs="Arial"/>
                <w:sz w:val="18"/>
                <w:szCs w:val="18"/>
              </w:rPr>
              <w:t xml:space="preserve">i </w:t>
            </w:r>
            <w:r w:rsidRPr="00EF2F90">
              <w:rPr>
                <w:rFonts w:ascii="Calibri" w:hAnsi="Calibri" w:cs="Arial"/>
                <w:sz w:val="18"/>
                <w:szCs w:val="18"/>
              </w:rPr>
              <w:t>v rámci SC 5.1 energetická náročnost (veřejné budovy), případně v PO1-3</w:t>
            </w:r>
            <w:r w:rsidR="00A24D0F">
              <w:rPr>
                <w:rFonts w:ascii="Calibri" w:hAnsi="Calibri" w:cs="Arial"/>
                <w:sz w:val="18"/>
                <w:szCs w:val="18"/>
              </w:rPr>
              <w:t xml:space="preserve"> (</w:t>
            </w:r>
            <w:r w:rsidRPr="00EF2F90">
              <w:rPr>
                <w:rFonts w:ascii="Calibri" w:hAnsi="Calibri" w:cs="Arial"/>
                <w:sz w:val="18"/>
                <w:szCs w:val="18"/>
              </w:rPr>
              <w:t>bude upřesněno na základě závěrů ex-ante analýzy</w:t>
            </w:r>
            <w:r w:rsidR="00A24D0F">
              <w:rPr>
                <w:rFonts w:ascii="Calibri" w:hAnsi="Calibri" w:cs="Arial"/>
                <w:sz w:val="18"/>
                <w:szCs w:val="18"/>
              </w:rPr>
              <w:t>)</w:t>
            </w:r>
          </w:p>
        </w:tc>
        <w:tc>
          <w:tcPr>
            <w:tcW w:w="1474" w:type="dxa"/>
            <w:shd w:val="clear" w:color="auto" w:fill="auto"/>
          </w:tcPr>
          <w:p w:rsidR="00346684" w:rsidRPr="00EF2F90" w:rsidRDefault="00346684">
            <w:pPr>
              <w:spacing w:before="120" w:after="0" w:line="240" w:lineRule="auto"/>
              <w:ind w:left="34"/>
              <w:jc w:val="left"/>
              <w:rPr>
                <w:rFonts w:ascii="Calibri" w:hAnsi="Calibri" w:cs="Arial"/>
                <w:sz w:val="18"/>
                <w:szCs w:val="18"/>
              </w:rPr>
            </w:pPr>
            <w:r w:rsidRPr="00A91469">
              <w:rPr>
                <w:rFonts w:ascii="Calibri" w:hAnsi="Calibri" w:cs="Arial"/>
                <w:sz w:val="18"/>
                <w:szCs w:val="18"/>
              </w:rPr>
              <w:t>Bude rozhodnuto na základě Ex-ante analýzy.</w:t>
            </w:r>
          </w:p>
        </w:tc>
        <w:tc>
          <w:tcPr>
            <w:tcW w:w="1475" w:type="dxa"/>
            <w:shd w:val="clear" w:color="auto" w:fill="auto"/>
          </w:tcPr>
          <w:p w:rsidR="00346684" w:rsidRPr="00EF2F90" w:rsidRDefault="00346684">
            <w:pPr>
              <w:spacing w:before="120" w:after="0" w:line="240" w:lineRule="auto"/>
              <w:ind w:left="33"/>
              <w:jc w:val="left"/>
              <w:rPr>
                <w:rFonts w:ascii="Calibri" w:hAnsi="Calibri" w:cs="Arial"/>
                <w:sz w:val="18"/>
                <w:szCs w:val="18"/>
              </w:rPr>
            </w:pPr>
            <w:r w:rsidRPr="00A91469">
              <w:rPr>
                <w:rFonts w:ascii="Calibri" w:hAnsi="Calibri" w:cs="Arial"/>
                <w:sz w:val="18"/>
                <w:szCs w:val="18"/>
              </w:rPr>
              <w:t>Bude rozhodnuto na základě Ex-ante analýzy</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t>OP D</w:t>
            </w:r>
          </w:p>
        </w:tc>
        <w:tc>
          <w:tcPr>
            <w:tcW w:w="1474" w:type="dxa"/>
          </w:tcPr>
          <w:p w:rsidR="000C0B4C" w:rsidRPr="00FD4171" w:rsidRDefault="000C0B4C" w:rsidP="00C91FCD">
            <w:pPr>
              <w:spacing w:before="120" w:after="0" w:line="240" w:lineRule="auto"/>
              <w:ind w:left="34"/>
              <w:jc w:val="left"/>
              <w:rPr>
                <w:rFonts w:ascii="Calibri" w:hAnsi="Calibri" w:cs="Arial"/>
                <w:sz w:val="18"/>
                <w:szCs w:val="18"/>
              </w:rPr>
            </w:pPr>
            <w:r w:rsidRPr="00EF2F90">
              <w:rPr>
                <w:rFonts w:ascii="Calibri" w:hAnsi="Calibri" w:cs="Arial"/>
                <w:sz w:val="18"/>
                <w:szCs w:val="18"/>
              </w:rPr>
              <w:t xml:space="preserve">Částečné užití </w:t>
            </w:r>
            <w:r w:rsidR="00986EE0" w:rsidRPr="00EF2F90">
              <w:rPr>
                <w:rFonts w:ascii="Calibri" w:hAnsi="Calibri" w:cs="Arial"/>
                <w:sz w:val="18"/>
                <w:szCs w:val="18"/>
              </w:rPr>
              <w:t>IFN</w:t>
            </w:r>
            <w:r w:rsidRPr="00EF2F90">
              <w:rPr>
                <w:rFonts w:ascii="Calibri" w:hAnsi="Calibri" w:cs="Arial"/>
                <w:sz w:val="18"/>
                <w:szCs w:val="18"/>
              </w:rPr>
              <w:t xml:space="preserve"> v daných SC pouze zvažováno a nebylo dosud předmětem </w:t>
            </w:r>
            <w:r w:rsidR="00E87264" w:rsidRPr="00EF2F90">
              <w:rPr>
                <w:rFonts w:ascii="Calibri" w:hAnsi="Calibri" w:cs="Arial"/>
                <w:sz w:val="18"/>
                <w:szCs w:val="18"/>
              </w:rPr>
              <w:t>ex-ante</w:t>
            </w:r>
            <w:r w:rsidRPr="00EF2F90">
              <w:rPr>
                <w:rFonts w:ascii="Calibri" w:hAnsi="Calibri" w:cs="Arial"/>
                <w:sz w:val="18"/>
                <w:szCs w:val="18"/>
              </w:rPr>
              <w:t xml:space="preserve"> analýzy</w:t>
            </w:r>
          </w:p>
        </w:tc>
        <w:tc>
          <w:tcPr>
            <w:tcW w:w="1474" w:type="dxa"/>
          </w:tcPr>
          <w:p w:rsidR="000C0B4C" w:rsidRPr="00FD4171" w:rsidRDefault="000C0B4C" w:rsidP="005144FD">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V PD zvažováno využití </w:t>
            </w:r>
            <w:r w:rsidR="00986EE0">
              <w:rPr>
                <w:rFonts w:ascii="Calibri" w:hAnsi="Calibri" w:cs="Arial"/>
                <w:sz w:val="18"/>
                <w:szCs w:val="18"/>
              </w:rPr>
              <w:t>IFN</w:t>
            </w:r>
            <w:r w:rsidRPr="00FD4171">
              <w:rPr>
                <w:rFonts w:ascii="Calibri" w:hAnsi="Calibri" w:cs="Arial"/>
                <w:sz w:val="18"/>
                <w:szCs w:val="18"/>
              </w:rPr>
              <w:t xml:space="preserve"> v oblastech</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 SC 2.1 Výstavba, obnova a modernizace dopravní infrastruktury (propojení </w:t>
            </w:r>
            <w:r w:rsidRPr="00FD4171">
              <w:rPr>
                <w:rFonts w:ascii="Calibri" w:hAnsi="Calibri" w:cs="Arial"/>
                <w:sz w:val="18"/>
                <w:szCs w:val="18"/>
              </w:rPr>
              <w:lastRenderedPageBreak/>
              <w:t>center a regionů, bezpečnost silniční dopravy)</w:t>
            </w:r>
          </w:p>
          <w:p w:rsidR="000C0B4C" w:rsidRPr="00FD4171" w:rsidRDefault="000C0B4C" w:rsidP="009129B7">
            <w:pPr>
              <w:spacing w:before="120" w:after="0" w:line="240" w:lineRule="auto"/>
              <w:ind w:left="34"/>
              <w:jc w:val="left"/>
              <w:rPr>
                <w:rFonts w:ascii="Calibri" w:hAnsi="Calibri" w:cs="Arial"/>
                <w:sz w:val="18"/>
                <w:szCs w:val="18"/>
              </w:rPr>
            </w:pPr>
            <w:r w:rsidRPr="00FD4171">
              <w:rPr>
                <w:rFonts w:ascii="Calibri" w:hAnsi="Calibri" w:cs="Arial"/>
                <w:sz w:val="18"/>
                <w:szCs w:val="18"/>
              </w:rPr>
              <w:t>- SC 3.1 Výstavba, obnova a</w:t>
            </w:r>
            <w:r w:rsidR="009129B7">
              <w:rPr>
                <w:rFonts w:ascii="Calibri" w:hAnsi="Calibri" w:cs="Arial"/>
                <w:sz w:val="18"/>
                <w:szCs w:val="18"/>
              </w:rPr>
              <w:t> </w:t>
            </w:r>
            <w:r w:rsidRPr="00FD4171">
              <w:rPr>
                <w:rFonts w:ascii="Calibri" w:hAnsi="Calibri" w:cs="Arial"/>
                <w:sz w:val="18"/>
                <w:szCs w:val="18"/>
              </w:rPr>
              <w:t>modernizace dopravní infrastruktury (dostupnost regionů, bezpečnost dopravy a</w:t>
            </w:r>
            <w:r w:rsidR="009129B7">
              <w:rPr>
                <w:rFonts w:ascii="Calibri" w:hAnsi="Calibri" w:cs="Arial"/>
                <w:sz w:val="18"/>
                <w:szCs w:val="18"/>
              </w:rPr>
              <w:t> </w:t>
            </w:r>
            <w:r w:rsidRPr="00FD4171">
              <w:rPr>
                <w:rFonts w:ascii="Calibri" w:hAnsi="Calibri" w:cs="Arial"/>
                <w:sz w:val="18"/>
                <w:szCs w:val="18"/>
              </w:rPr>
              <w:t>snížení dopadů na veřejné zdraví)</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lastRenderedPageBreak/>
              <w:t>N/A</w:t>
            </w:r>
          </w:p>
        </w:tc>
        <w:tc>
          <w:tcPr>
            <w:tcW w:w="1475" w:type="dxa"/>
          </w:tcPr>
          <w:p w:rsidR="000C0B4C" w:rsidRPr="00FD4171" w:rsidRDefault="000C0B4C">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lastRenderedPageBreak/>
              <w:t>OP Z</w:t>
            </w:r>
          </w:p>
        </w:tc>
        <w:tc>
          <w:tcPr>
            <w:tcW w:w="1474" w:type="dxa"/>
          </w:tcPr>
          <w:p w:rsidR="000C0B4C" w:rsidRPr="00FD4171" w:rsidRDefault="000C0B4C" w:rsidP="009129B7">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Možnost využití </w:t>
            </w:r>
            <w:r w:rsidR="00986EE0">
              <w:rPr>
                <w:rFonts w:ascii="Calibri" w:hAnsi="Calibri" w:cs="Arial"/>
                <w:sz w:val="18"/>
                <w:szCs w:val="18"/>
              </w:rPr>
              <w:t>IFN</w:t>
            </w:r>
            <w:r w:rsidRPr="00FD4171">
              <w:rPr>
                <w:rFonts w:ascii="Calibri" w:hAnsi="Calibri" w:cs="Arial"/>
                <w:sz w:val="18"/>
                <w:szCs w:val="18"/>
              </w:rPr>
              <w:t xml:space="preserve"> uvedena v PD, ale realizace se</w:t>
            </w:r>
            <w:r w:rsidR="009129B7">
              <w:rPr>
                <w:rFonts w:ascii="Calibri" w:hAnsi="Calibri" w:cs="Arial"/>
                <w:sz w:val="18"/>
                <w:szCs w:val="18"/>
              </w:rPr>
              <w:t> </w:t>
            </w:r>
            <w:r w:rsidRPr="00FD4171">
              <w:rPr>
                <w:rFonts w:ascii="Calibri" w:hAnsi="Calibri" w:cs="Arial"/>
                <w:sz w:val="18"/>
                <w:szCs w:val="18"/>
              </w:rPr>
              <w:t>zatím nepředpokládá</w:t>
            </w:r>
          </w:p>
        </w:tc>
        <w:tc>
          <w:tcPr>
            <w:tcW w:w="1474" w:type="dxa"/>
          </w:tcPr>
          <w:p w:rsidR="000C0B4C" w:rsidRPr="00FD4171" w:rsidRDefault="000C0B4C" w:rsidP="005144FD">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V PD zvažováno využití </w:t>
            </w:r>
            <w:r w:rsidR="00986EE0">
              <w:rPr>
                <w:rFonts w:ascii="Calibri" w:hAnsi="Calibri" w:cs="Arial"/>
                <w:sz w:val="18"/>
                <w:szCs w:val="18"/>
              </w:rPr>
              <w:t>IFN</w:t>
            </w:r>
            <w:r w:rsidRPr="00FD4171">
              <w:rPr>
                <w:rFonts w:ascii="Calibri" w:hAnsi="Calibri" w:cs="Arial"/>
                <w:sz w:val="18"/>
                <w:szCs w:val="18"/>
              </w:rPr>
              <w:t xml:space="preserve"> v oblastech</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IP 1.1 Zahájení samostatné výdělečné činnosti</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IP 1.3 Další vzdělávání v</w:t>
            </w:r>
            <w:r w:rsidR="009129B7">
              <w:rPr>
                <w:rFonts w:ascii="Calibri" w:hAnsi="Calibri" w:cs="Arial"/>
                <w:sz w:val="18"/>
                <w:szCs w:val="18"/>
              </w:rPr>
              <w:t> </w:t>
            </w:r>
            <w:r w:rsidRPr="00FD4171">
              <w:rPr>
                <w:rFonts w:ascii="Calibri" w:hAnsi="Calibri" w:cs="Arial"/>
                <w:sz w:val="18"/>
                <w:szCs w:val="18"/>
              </w:rPr>
              <w:t>podnicích</w:t>
            </w:r>
          </w:p>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IP 2.1 Sociální podnikání</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N/A</w:t>
            </w:r>
          </w:p>
        </w:tc>
        <w:tc>
          <w:tcPr>
            <w:tcW w:w="1475" w:type="dxa"/>
          </w:tcPr>
          <w:p w:rsidR="000C0B4C" w:rsidRPr="00FD4171" w:rsidRDefault="000C0B4C">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r>
      <w:tr w:rsidR="000C0B4C" w:rsidRPr="00FD4171" w:rsidTr="00636988">
        <w:tc>
          <w:tcPr>
            <w:tcW w:w="1276" w:type="dxa"/>
            <w:shd w:val="clear" w:color="auto" w:fill="95B3D7"/>
          </w:tcPr>
          <w:p w:rsidR="000C0B4C" w:rsidRPr="00FD4171" w:rsidRDefault="000C0B4C" w:rsidP="00FD4171">
            <w:pPr>
              <w:spacing w:before="120" w:after="0" w:line="240" w:lineRule="auto"/>
              <w:ind w:left="0"/>
              <w:rPr>
                <w:rFonts w:ascii="Calibri" w:hAnsi="Calibri" w:cs="Arial"/>
                <w:b/>
                <w:i/>
              </w:rPr>
            </w:pPr>
            <w:r w:rsidRPr="00FD4171">
              <w:rPr>
                <w:rFonts w:ascii="Calibri" w:hAnsi="Calibri" w:cs="Arial"/>
                <w:b/>
                <w:i/>
              </w:rPr>
              <w:t>OP VVV</w:t>
            </w:r>
          </w:p>
        </w:tc>
        <w:tc>
          <w:tcPr>
            <w:tcW w:w="1474" w:type="dxa"/>
          </w:tcPr>
          <w:p w:rsidR="000C0B4C" w:rsidRPr="00FD4171" w:rsidRDefault="000C0B4C" w:rsidP="00C91FCD">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Možnost využití </w:t>
            </w:r>
            <w:r w:rsidR="00986EE0">
              <w:rPr>
                <w:rFonts w:ascii="Calibri" w:hAnsi="Calibri" w:cs="Arial"/>
                <w:sz w:val="18"/>
                <w:szCs w:val="18"/>
              </w:rPr>
              <w:t>IFN</w:t>
            </w:r>
            <w:r w:rsidRPr="00FD4171">
              <w:rPr>
                <w:rFonts w:ascii="Calibri" w:hAnsi="Calibri" w:cs="Arial"/>
                <w:sz w:val="18"/>
                <w:szCs w:val="18"/>
              </w:rPr>
              <w:t xml:space="preserve"> obecně uvedena v PD, dle ŘO spíše jako pilotní ověření jiného než klasického dotačního způsobu podpory v dané oblasti; využití </w:t>
            </w:r>
            <w:r w:rsidR="00986EE0">
              <w:rPr>
                <w:rFonts w:ascii="Calibri" w:hAnsi="Calibri" w:cs="Arial"/>
                <w:sz w:val="18"/>
                <w:szCs w:val="18"/>
              </w:rPr>
              <w:t>IFN</w:t>
            </w:r>
            <w:r w:rsidRPr="00FD4171">
              <w:rPr>
                <w:rFonts w:ascii="Calibri" w:hAnsi="Calibri" w:cs="Arial"/>
                <w:sz w:val="18"/>
                <w:szCs w:val="18"/>
              </w:rPr>
              <w:t xml:space="preserve"> ve smyslu obecného nařízení se nepředpokládá </w:t>
            </w:r>
          </w:p>
        </w:tc>
        <w:tc>
          <w:tcPr>
            <w:tcW w:w="1474" w:type="dxa"/>
          </w:tcPr>
          <w:p w:rsidR="000C0B4C" w:rsidRPr="00FD4171" w:rsidRDefault="000C0B4C" w:rsidP="005144FD">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 xml:space="preserve">Z PD: v PO 1 „Posilování kapacit pro kvalitní výzkum“ existuje omezený prostor pro využití </w:t>
            </w:r>
            <w:r w:rsidR="00986EE0">
              <w:rPr>
                <w:rFonts w:ascii="Calibri" w:hAnsi="Calibri" w:cs="Arial"/>
                <w:sz w:val="18"/>
                <w:szCs w:val="18"/>
              </w:rPr>
              <w:t>IFN</w:t>
            </w:r>
            <w:r w:rsidRPr="00FD4171">
              <w:rPr>
                <w:rFonts w:ascii="Calibri" w:hAnsi="Calibri" w:cs="Arial"/>
                <w:sz w:val="18"/>
                <w:szCs w:val="18"/>
              </w:rPr>
              <w:t xml:space="preserve">. V současné době nejsou konkrétní typy </w:t>
            </w:r>
            <w:r w:rsidR="00986EE0">
              <w:rPr>
                <w:rFonts w:ascii="Calibri" w:hAnsi="Calibri" w:cs="Arial"/>
                <w:sz w:val="18"/>
                <w:szCs w:val="18"/>
              </w:rPr>
              <w:t>IFN</w:t>
            </w:r>
            <w:r w:rsidRPr="00FD4171">
              <w:rPr>
                <w:rFonts w:ascii="Calibri" w:hAnsi="Calibri" w:cs="Arial"/>
                <w:sz w:val="18"/>
                <w:szCs w:val="18"/>
              </w:rPr>
              <w:t xml:space="preserve"> plánovány, nicméně u vybraných intervencí směřujících k naplnění SC 2 „Zvýšit přínosy výzkumu pro společnost“ lze v odůvodněných případech využití </w:t>
            </w:r>
            <w:r w:rsidR="00986EE0">
              <w:rPr>
                <w:rFonts w:ascii="Calibri" w:hAnsi="Calibri" w:cs="Arial"/>
                <w:sz w:val="18"/>
                <w:szCs w:val="18"/>
              </w:rPr>
              <w:t>IFN</w:t>
            </w:r>
            <w:r w:rsidRPr="00FD4171">
              <w:rPr>
                <w:rFonts w:ascii="Calibri" w:hAnsi="Calibri" w:cs="Arial"/>
                <w:sz w:val="18"/>
                <w:szCs w:val="18"/>
              </w:rPr>
              <w:t xml:space="preserve"> pilotně ověřit.</w:t>
            </w:r>
          </w:p>
        </w:tc>
        <w:tc>
          <w:tcPr>
            <w:tcW w:w="1474" w:type="dxa"/>
          </w:tcPr>
          <w:p w:rsidR="000C0B4C" w:rsidRPr="00FD4171" w:rsidRDefault="000C0B4C">
            <w:pPr>
              <w:spacing w:before="120" w:after="0" w:line="240" w:lineRule="auto"/>
              <w:ind w:left="34"/>
              <w:jc w:val="left"/>
              <w:rPr>
                <w:rFonts w:ascii="Calibri" w:hAnsi="Calibri" w:cs="Arial"/>
                <w:sz w:val="18"/>
                <w:szCs w:val="18"/>
              </w:rPr>
            </w:pPr>
            <w:r w:rsidRPr="00FD4171">
              <w:rPr>
                <w:rFonts w:ascii="Calibri" w:hAnsi="Calibri" w:cs="Arial"/>
                <w:sz w:val="18"/>
                <w:szCs w:val="18"/>
              </w:rPr>
              <w:t>N/A</w:t>
            </w:r>
          </w:p>
        </w:tc>
        <w:tc>
          <w:tcPr>
            <w:tcW w:w="1475" w:type="dxa"/>
          </w:tcPr>
          <w:p w:rsidR="000C0B4C" w:rsidRPr="00FD4171" w:rsidRDefault="000C0B4C">
            <w:pPr>
              <w:spacing w:before="120" w:after="0" w:line="240" w:lineRule="auto"/>
              <w:ind w:left="33"/>
              <w:jc w:val="left"/>
              <w:rPr>
                <w:rFonts w:ascii="Calibri" w:hAnsi="Calibri" w:cs="Arial"/>
                <w:sz w:val="18"/>
                <w:szCs w:val="18"/>
              </w:rPr>
            </w:pPr>
            <w:r w:rsidRPr="00FD4171">
              <w:rPr>
                <w:rFonts w:ascii="Calibri" w:hAnsi="Calibri" w:cs="Arial"/>
                <w:sz w:val="18"/>
                <w:szCs w:val="18"/>
              </w:rPr>
              <w:t>N/A</w:t>
            </w:r>
          </w:p>
        </w:tc>
      </w:tr>
    </w:tbl>
    <w:p w:rsidR="000C0B4C" w:rsidRPr="008135EB" w:rsidRDefault="000C0B4C" w:rsidP="000C0B4C">
      <w:pPr>
        <w:spacing w:before="240"/>
        <w:rPr>
          <w:b/>
          <w:sz w:val="24"/>
        </w:rPr>
      </w:pPr>
      <w:r w:rsidRPr="008135EB">
        <w:t xml:space="preserve">Při přípravě programů bylo zvažováno využití </w:t>
      </w:r>
      <w:r w:rsidR="00986EE0">
        <w:t>IFN</w:t>
      </w:r>
      <w:r w:rsidRPr="008135EB">
        <w:t xml:space="preserve"> také v rámci PRV, ŘO nicméně od tohoto záměru nakonec ustoupil, a to vzhledem k dostatečné nabídce komerčních produktů, které </w:t>
      </w:r>
      <w:r w:rsidR="00FC7CD5" w:rsidRPr="008135EB">
        <w:t>se</w:t>
      </w:r>
      <w:r w:rsidR="00FC7CD5">
        <w:t> </w:t>
      </w:r>
      <w:r w:rsidRPr="008135EB">
        <w:t xml:space="preserve">zaměřují na financování zemědělských investic. Vzhledem k nízké úrovni úrokových sazeb </w:t>
      </w:r>
      <w:r w:rsidR="00FC7CD5" w:rsidRPr="008135EB">
        <w:t>je</w:t>
      </w:r>
      <w:r w:rsidR="00FC7CD5">
        <w:t> </w:t>
      </w:r>
      <w:r w:rsidR="00FC7CD5" w:rsidRPr="008135EB">
        <w:t>na</w:t>
      </w:r>
      <w:r w:rsidR="00FC7CD5">
        <w:t> </w:t>
      </w:r>
      <w:r w:rsidRPr="008135EB">
        <w:t>bankovním trhu silná konkurence a nabídka je tak postupně bohatší a podmínky financování stále výhodnější. Zemědělství je bankami považováno za spolehlivý a poměrně stabilní sektor.</w:t>
      </w:r>
    </w:p>
    <w:p w:rsidR="000C0B4C" w:rsidRPr="00933A92" w:rsidRDefault="00306754" w:rsidP="007862C1">
      <w:pPr>
        <w:pStyle w:val="Nadpis2"/>
        <w:numPr>
          <w:ilvl w:val="0"/>
          <w:numId w:val="0"/>
        </w:numPr>
      </w:pPr>
      <w:bookmarkStart w:id="104" w:name="_Toc410115493"/>
      <w:r>
        <w:lastRenderedPageBreak/>
        <w:t xml:space="preserve">Příloha </w:t>
      </w:r>
      <w:r w:rsidR="00435883">
        <w:t>3</w:t>
      </w:r>
      <w:r w:rsidR="00435883">
        <w:tab/>
      </w:r>
      <w:r w:rsidR="000C0B4C" w:rsidRPr="00933A92">
        <w:t>Popis současného stavu regulace finančních institucí v EU (banky, alternativní investiční fondy)</w:t>
      </w:r>
      <w:bookmarkEnd w:id="104"/>
    </w:p>
    <w:p w:rsidR="000C0B4C" w:rsidRPr="00021F68" w:rsidRDefault="000C0B4C" w:rsidP="00021F68">
      <w:pPr>
        <w:rPr>
          <w:b/>
          <w:color w:val="548DD4"/>
        </w:rPr>
      </w:pPr>
      <w:r w:rsidRPr="00021F68">
        <w:rPr>
          <w:b/>
          <w:color w:val="548DD4"/>
        </w:rPr>
        <w:t>Regulace bank</w:t>
      </w:r>
    </w:p>
    <w:p w:rsidR="000C0B4C" w:rsidRPr="00933A92" w:rsidRDefault="000C0B4C" w:rsidP="000C0B4C">
      <w:r w:rsidRPr="00933A92">
        <w:t>Banky musí při své činnosti dodržovat tzv. obezřetnostní pravidla, která jsou obsažena v zákoně č. 21/1992 Sb., o bankách, ve znění pozdějších předpisů (dále jen „zákon o bankách“), který implementuje směrnici o kapitálových požadavcích, tzv. CRDIV</w:t>
      </w:r>
      <w:r w:rsidRPr="00933A92">
        <w:rPr>
          <w:vertAlign w:val="superscript"/>
        </w:rPr>
        <w:footnoteReference w:id="161"/>
      </w:r>
      <w:r w:rsidRPr="00933A92">
        <w:t xml:space="preserve"> (dále jen „směrnice CRDIV“), v nařízení o kapitálových požadavcích, tzv. CRR</w:t>
      </w:r>
      <w:r w:rsidRPr="00933A92">
        <w:rPr>
          <w:vertAlign w:val="superscript"/>
        </w:rPr>
        <w:footnoteReference w:id="162"/>
      </w:r>
      <w:r w:rsidRPr="00933A92">
        <w:t xml:space="preserve"> (dále jen „nařízení CRR“) </w:t>
      </w:r>
      <w:r w:rsidR="008846C4" w:rsidRPr="00933A92">
        <w:t>a</w:t>
      </w:r>
      <w:r w:rsidR="008846C4">
        <w:t> </w:t>
      </w:r>
      <w:r w:rsidR="008846C4" w:rsidRPr="00933A92">
        <w:t>ve</w:t>
      </w:r>
      <w:r w:rsidR="008846C4">
        <w:t> </w:t>
      </w:r>
      <w:r w:rsidRPr="00933A92">
        <w:t xml:space="preserve">vyhlášce České národní banky č. 163/2014 Sb., </w:t>
      </w:r>
      <w:r w:rsidRPr="00933A92">
        <w:rPr>
          <w:bCs/>
          <w:lang w:eastAsia="cs-CZ"/>
        </w:rPr>
        <w:t xml:space="preserve">o výkonu činnosti bank, spořitelních </w:t>
      </w:r>
      <w:r w:rsidR="008846C4" w:rsidRPr="00933A92">
        <w:rPr>
          <w:bCs/>
          <w:lang w:eastAsia="cs-CZ"/>
        </w:rPr>
        <w:t>a</w:t>
      </w:r>
      <w:r w:rsidR="008846C4">
        <w:rPr>
          <w:bCs/>
          <w:lang w:eastAsia="cs-CZ"/>
        </w:rPr>
        <w:t> </w:t>
      </w:r>
      <w:r w:rsidRPr="00933A92">
        <w:rPr>
          <w:bCs/>
          <w:lang w:eastAsia="cs-CZ"/>
        </w:rPr>
        <w:t>úvěrních družstev a obchodníků s cennými papíry.</w:t>
      </w:r>
    </w:p>
    <w:p w:rsidR="00AA08FF" w:rsidRDefault="000C0B4C" w:rsidP="000C0B4C">
      <w:r w:rsidRPr="00933A92">
        <w:t xml:space="preserve">Směrnice CRDIV, implementovaná v zákoně o bankách, a nařízení CRR jsou základními právními akty Evropské unie upravujícími podnikání úvěrových institucí (tj. bank a spořitelních </w:t>
      </w:r>
      <w:r w:rsidR="00FC7CD5" w:rsidRPr="00933A92">
        <w:t>a</w:t>
      </w:r>
      <w:r w:rsidR="00FC7CD5">
        <w:t> </w:t>
      </w:r>
      <w:r w:rsidRPr="00933A92">
        <w:t>úvěrních družstev – družstevních záložen). Upravují také pravidla obezřetného podnikání, která se vztahují kromě úvěrových institucí i na určené obchodníky s cennými papíry</w:t>
      </w:r>
      <w:r w:rsidR="00AA08FF">
        <w:t>.</w:t>
      </w:r>
    </w:p>
    <w:p w:rsidR="000C0B4C" w:rsidRPr="000C0B4C" w:rsidRDefault="000C0B4C" w:rsidP="000C0B4C">
      <w:pPr>
        <w:rPr>
          <w:b/>
        </w:rPr>
      </w:pPr>
      <w:r w:rsidRPr="000C0B4C">
        <w:rPr>
          <w:b/>
        </w:rPr>
        <w:t xml:space="preserve">Definice banky </w:t>
      </w:r>
    </w:p>
    <w:p w:rsidR="000C0B4C" w:rsidRPr="00933A92" w:rsidRDefault="000C0B4C" w:rsidP="000C0B4C">
      <w:r w:rsidRPr="00933A92">
        <w:t>§ 1 odst. 1 zákona o bankách</w:t>
      </w:r>
      <w:r>
        <w:t xml:space="preserve"> </w:t>
      </w:r>
      <w:r w:rsidRPr="00933A92">
        <w:t>akciové společnosti se sídlem v České republice, které</w:t>
      </w:r>
    </w:p>
    <w:p w:rsidR="000C0B4C" w:rsidRPr="00933A92" w:rsidRDefault="000C0B4C" w:rsidP="000C0B4C">
      <w:r w:rsidRPr="00933A92">
        <w:t>a) přijímají vklady od veřejnosti a</w:t>
      </w:r>
    </w:p>
    <w:p w:rsidR="000C0B4C" w:rsidRPr="00933A92" w:rsidRDefault="000C0B4C" w:rsidP="000C0B4C">
      <w:r w:rsidRPr="00933A92">
        <w:t>b) poskytují úvěry,</w:t>
      </w:r>
    </w:p>
    <w:p w:rsidR="000C0B4C" w:rsidRPr="00933A92" w:rsidRDefault="000C0B4C" w:rsidP="000C0B4C">
      <w:r w:rsidRPr="00933A92">
        <w:t>a které k výkonu činností podle písmen a) a b) mají bankovní licenci</w:t>
      </w:r>
      <w:r>
        <w:t>.</w:t>
      </w:r>
    </w:p>
    <w:p w:rsidR="000C0B4C" w:rsidRPr="00933A92" w:rsidRDefault="000C0B4C" w:rsidP="000C0B4C">
      <w:r>
        <w:t>B</w:t>
      </w:r>
      <w:r w:rsidRPr="00933A92">
        <w:t>anka může mít vedle formy akciové společnosti také formu evropské akciové společnosti (Societas Europea), v souladu s čl. 10 nařízení Evropské komise č. 2157/2001, o statutu evropské společnosti, podle něhož se k evropské společnosti v každém členském státě přistupuje tak, jako by se jednalo o akciovou společnost založenou podle práva členského státu, ve kterém má sídlo</w:t>
      </w:r>
      <w:r>
        <w:t>.</w:t>
      </w:r>
    </w:p>
    <w:p w:rsidR="000C0B4C" w:rsidRPr="000C0B4C" w:rsidRDefault="000C0B4C" w:rsidP="000C0B4C">
      <w:pPr>
        <w:rPr>
          <w:b/>
        </w:rPr>
      </w:pPr>
      <w:r w:rsidRPr="000C0B4C">
        <w:rPr>
          <w:b/>
        </w:rPr>
        <w:t>Bankovní licence</w:t>
      </w:r>
    </w:p>
    <w:p w:rsidR="000C0B4C" w:rsidRPr="00933A92" w:rsidRDefault="000C0B4C" w:rsidP="000C0B4C">
      <w:pPr>
        <w:pStyle w:val="Odstavecseseznamem"/>
        <w:numPr>
          <w:ilvl w:val="0"/>
          <w:numId w:val="3"/>
        </w:numPr>
      </w:pPr>
      <w:r>
        <w:t>Z</w:t>
      </w:r>
      <w:r w:rsidRPr="00933A92">
        <w:t>ákladním předpokladem pro existenci banky je bankovní licence, která bance umožňuje poskytovat bankovní služby a vymezuje rozsah aktivit, které je oprávněna vykonávat</w:t>
      </w:r>
      <w:r>
        <w:t>.</w:t>
      </w:r>
    </w:p>
    <w:p w:rsidR="000C0B4C" w:rsidRPr="00933A92" w:rsidRDefault="00277172" w:rsidP="000C0B4C">
      <w:pPr>
        <w:pStyle w:val="Odstavecseseznamem"/>
        <w:numPr>
          <w:ilvl w:val="0"/>
          <w:numId w:val="3"/>
        </w:numPr>
      </w:pPr>
      <w:r>
        <w:t xml:space="preserve">O </w:t>
      </w:r>
      <w:r w:rsidR="000C0B4C" w:rsidRPr="00933A92">
        <w:t>udělení licence rozhoduje Česká národní banka</w:t>
      </w:r>
      <w:r w:rsidR="000C0B4C">
        <w:t>.</w:t>
      </w:r>
    </w:p>
    <w:p w:rsidR="000C0B4C" w:rsidRPr="00933A92" w:rsidRDefault="000C0B4C" w:rsidP="000C0B4C">
      <w:pPr>
        <w:pStyle w:val="Odstavecseseznamem"/>
        <w:numPr>
          <w:ilvl w:val="0"/>
          <w:numId w:val="3"/>
        </w:numPr>
      </w:pPr>
      <w:r>
        <w:t>P</w:t>
      </w:r>
      <w:r w:rsidRPr="00933A92">
        <w:t>ožadavky, jejichž splnění je podmínkou udělení licence, stanoví § 4 odst. 5 zákona o bankách; vedle nich je nutné, aby banka splňovala požadavek na minimální výši základního kapitálu 500 mil. Kč</w:t>
      </w:r>
      <w:r>
        <w:t>.</w:t>
      </w:r>
    </w:p>
    <w:p w:rsidR="000C0B4C" w:rsidRPr="000C0B4C" w:rsidRDefault="000C0B4C" w:rsidP="000C0B4C">
      <w:pPr>
        <w:rPr>
          <w:b/>
        </w:rPr>
      </w:pPr>
      <w:r w:rsidRPr="000C0B4C">
        <w:rPr>
          <w:b/>
        </w:rPr>
        <w:t>Činnosti banky</w:t>
      </w:r>
    </w:p>
    <w:p w:rsidR="000C0B4C" w:rsidRPr="00933A92" w:rsidRDefault="000C0B4C" w:rsidP="003942C6">
      <w:pPr>
        <w:pStyle w:val="Odstavecseseznamem"/>
        <w:numPr>
          <w:ilvl w:val="0"/>
          <w:numId w:val="18"/>
        </w:numPr>
      </w:pPr>
      <w:r>
        <w:t>P</w:t>
      </w:r>
      <w:r w:rsidRPr="00933A92">
        <w:t>řijímání vkladů od veřejnosti a poskytování úvěrů se považují za hlavní činnosti banky, nevykonávání těchto činností po dobu 6 měsíců může vést k odnětí licence banky (§</w:t>
      </w:r>
      <w:r w:rsidR="009129B7">
        <w:t> </w:t>
      </w:r>
      <w:r w:rsidRPr="00933A92">
        <w:t>34</w:t>
      </w:r>
      <w:r w:rsidR="009129B7">
        <w:t> </w:t>
      </w:r>
      <w:r w:rsidRPr="00933A92">
        <w:t>odst. 2 písm. a) zákona o bankách)</w:t>
      </w:r>
      <w:r>
        <w:t>.</w:t>
      </w:r>
    </w:p>
    <w:p w:rsidR="000C0B4C" w:rsidRPr="00933A92" w:rsidRDefault="000C0B4C" w:rsidP="003942C6">
      <w:pPr>
        <w:pStyle w:val="Odstavecseseznamem"/>
        <w:numPr>
          <w:ilvl w:val="0"/>
          <w:numId w:val="18"/>
        </w:numPr>
      </w:pPr>
      <w:r>
        <w:t>V</w:t>
      </w:r>
      <w:r w:rsidRPr="00933A92">
        <w:t>edle přijímání vkladů a poskytování úvěrů může banka vykonávat další činnosti, má-li je povoleny v</w:t>
      </w:r>
      <w:r>
        <w:t> </w:t>
      </w:r>
      <w:r w:rsidRPr="00933A92">
        <w:t>licenci</w:t>
      </w:r>
      <w:r>
        <w:t>.</w:t>
      </w:r>
    </w:p>
    <w:p w:rsidR="000C0B4C" w:rsidRPr="000C0B4C" w:rsidRDefault="000C0B4C" w:rsidP="000C0B4C">
      <w:pPr>
        <w:rPr>
          <w:b/>
        </w:rPr>
      </w:pPr>
      <w:r w:rsidRPr="000C0B4C">
        <w:rPr>
          <w:b/>
        </w:rPr>
        <w:t>Jednotlivé činnosti banky se vztahem k finančním nástrojům</w:t>
      </w:r>
    </w:p>
    <w:p w:rsidR="000C0B4C" w:rsidRPr="00933A92" w:rsidRDefault="000C0B4C" w:rsidP="000C0B4C">
      <w:pPr>
        <w:pStyle w:val="Odstavecseseznamem"/>
        <w:numPr>
          <w:ilvl w:val="0"/>
          <w:numId w:val="3"/>
        </w:numPr>
      </w:pPr>
      <w:r w:rsidRPr="00933A92">
        <w:lastRenderedPageBreak/>
        <w:t>poskytování úvěrů; pro účely zákona o bankách se úvěrem rozumí v jakékoli formě dočasně poskytnuté peněžní prostředky</w:t>
      </w:r>
    </w:p>
    <w:p w:rsidR="000C0B4C" w:rsidRPr="00933A92" w:rsidRDefault="000C0B4C" w:rsidP="000C0B4C">
      <w:pPr>
        <w:pStyle w:val="Odstavecseseznamem"/>
        <w:numPr>
          <w:ilvl w:val="0"/>
          <w:numId w:val="3"/>
        </w:numPr>
      </w:pPr>
      <w:r w:rsidRPr="00933A92">
        <w:t>investování do cenných papírů na vlastní účet</w:t>
      </w:r>
    </w:p>
    <w:p w:rsidR="000C0B4C" w:rsidRPr="00933A92" w:rsidRDefault="000C0B4C" w:rsidP="000C0B4C">
      <w:pPr>
        <w:pStyle w:val="Odstavecseseznamem"/>
        <w:numPr>
          <w:ilvl w:val="0"/>
          <w:numId w:val="3"/>
        </w:numPr>
      </w:pPr>
      <w:r w:rsidRPr="00933A92">
        <w:t>poskytování záruk</w:t>
      </w:r>
    </w:p>
    <w:p w:rsidR="000C0B4C" w:rsidRPr="00933A92" w:rsidRDefault="000C0B4C" w:rsidP="000C0B4C">
      <w:pPr>
        <w:pStyle w:val="Odstavecseseznamem"/>
        <w:numPr>
          <w:ilvl w:val="0"/>
          <w:numId w:val="3"/>
        </w:numPr>
      </w:pPr>
      <w:r w:rsidRPr="00933A92">
        <w:t>otvírání akreditivů</w:t>
      </w:r>
    </w:p>
    <w:p w:rsidR="000C0B4C" w:rsidRPr="00933A92" w:rsidRDefault="000C0B4C" w:rsidP="000C0B4C">
      <w:pPr>
        <w:pStyle w:val="Odstavecseseznamem"/>
        <w:numPr>
          <w:ilvl w:val="0"/>
          <w:numId w:val="3"/>
        </w:numPr>
      </w:pPr>
      <w:r w:rsidRPr="00933A92">
        <w:t>poskytování investičních služeb; investiční služby jsou vymezeny v § 4</w:t>
      </w:r>
      <w:r w:rsidR="008846C4">
        <w:t>,</w:t>
      </w:r>
      <w:r w:rsidRPr="00933A92">
        <w:t xml:space="preserve"> zákona o podnikání na kapitálovém trhu</w:t>
      </w:r>
    </w:p>
    <w:p w:rsidR="000C0B4C" w:rsidRPr="00933A92" w:rsidRDefault="000C0B4C" w:rsidP="000C0B4C">
      <w:pPr>
        <w:pStyle w:val="Odstavecseseznamem"/>
        <w:numPr>
          <w:ilvl w:val="0"/>
          <w:numId w:val="3"/>
        </w:numPr>
      </w:pPr>
      <w:r w:rsidRPr="00933A92">
        <w:t>finanční makléřství</w:t>
      </w:r>
    </w:p>
    <w:p w:rsidR="000C0B4C" w:rsidRPr="00933A92" w:rsidRDefault="000C0B4C" w:rsidP="000C0B4C">
      <w:pPr>
        <w:pStyle w:val="Odstavecseseznamem"/>
        <w:numPr>
          <w:ilvl w:val="0"/>
          <w:numId w:val="3"/>
        </w:numPr>
      </w:pPr>
      <w:r w:rsidRPr="00933A92">
        <w:t>přímo související činnosti</w:t>
      </w:r>
    </w:p>
    <w:p w:rsidR="000C0B4C" w:rsidRPr="000C0B4C" w:rsidRDefault="000C0B4C" w:rsidP="000C0B4C">
      <w:pPr>
        <w:rPr>
          <w:b/>
        </w:rPr>
      </w:pPr>
      <w:r w:rsidRPr="000C0B4C">
        <w:rPr>
          <w:b/>
        </w:rPr>
        <w:t>Omezení účasti banky v jiných právnických osobách</w:t>
      </w:r>
    </w:p>
    <w:p w:rsidR="000C0B4C" w:rsidRPr="000C0B4C" w:rsidRDefault="000C0B4C" w:rsidP="003942C6">
      <w:pPr>
        <w:pStyle w:val="Odstavecseseznamem"/>
        <w:numPr>
          <w:ilvl w:val="0"/>
          <w:numId w:val="16"/>
        </w:numPr>
      </w:pPr>
      <w:r w:rsidRPr="000C0B4C">
        <w:t>§ 17 zákona o bankách</w:t>
      </w:r>
    </w:p>
    <w:p w:rsidR="000C0B4C" w:rsidRPr="000C0B4C" w:rsidRDefault="000C0B4C" w:rsidP="003942C6">
      <w:pPr>
        <w:pStyle w:val="Odstavecseseznamem"/>
        <w:numPr>
          <w:ilvl w:val="0"/>
          <w:numId w:val="16"/>
        </w:numPr>
      </w:pPr>
      <w:r w:rsidRPr="000C0B4C">
        <w:t>zákon podmiňuje možnost banky získat přímý nebo nepřímý podíl na jiné právnické osobě obecnými požadavky uvedenými v § 17 odst. 1</w:t>
      </w:r>
    </w:p>
    <w:p w:rsidR="000C0B4C" w:rsidRPr="000C0B4C" w:rsidRDefault="000C0B4C" w:rsidP="003942C6">
      <w:pPr>
        <w:pStyle w:val="Odstavecseseznamem"/>
        <w:numPr>
          <w:ilvl w:val="0"/>
          <w:numId w:val="16"/>
        </w:numPr>
      </w:pPr>
      <w:r w:rsidRPr="000C0B4C">
        <w:t>nepřímým podílem se rozumí podíl držený prostřednictvím osoby nebo osob, které jsou ovládány</w:t>
      </w:r>
    </w:p>
    <w:p w:rsidR="000C0B4C" w:rsidRPr="000C0B4C" w:rsidRDefault="000C0B4C" w:rsidP="003942C6">
      <w:pPr>
        <w:pStyle w:val="Odstavecseseznamem"/>
        <w:numPr>
          <w:ilvl w:val="0"/>
          <w:numId w:val="16"/>
        </w:numPr>
      </w:pPr>
      <w:r w:rsidRPr="000C0B4C">
        <w:t>banka může nabýt podíl v jiné právnické osobě, založit jinou právnickou osobu nebo se podílet na jejím založení, pokud</w:t>
      </w:r>
    </w:p>
    <w:p w:rsidR="000C0B4C" w:rsidRPr="000C0B4C" w:rsidRDefault="000C0B4C" w:rsidP="003942C6">
      <w:pPr>
        <w:pStyle w:val="Odstavecseseznamem"/>
        <w:numPr>
          <w:ilvl w:val="0"/>
          <w:numId w:val="20"/>
        </w:numPr>
      </w:pPr>
      <w:r w:rsidRPr="000C0B4C">
        <w:t>se nestane společníkem s neomezeným ručením,</w:t>
      </w:r>
    </w:p>
    <w:p w:rsidR="000C0B4C" w:rsidRPr="000C0B4C" w:rsidRDefault="000C0B4C" w:rsidP="003942C6">
      <w:pPr>
        <w:pStyle w:val="Odstavecseseznamem"/>
        <w:numPr>
          <w:ilvl w:val="0"/>
          <w:numId w:val="20"/>
        </w:numPr>
      </w:pPr>
      <w:r w:rsidRPr="000C0B4C">
        <w:t xml:space="preserve">nejde o osobu, která má na této bance kvalifikovanou účast, ledaže jde </w:t>
      </w:r>
      <w:r w:rsidR="00FC7CD5" w:rsidRPr="000C0B4C">
        <w:t>o</w:t>
      </w:r>
      <w:r w:rsidR="00FC7CD5">
        <w:t> </w:t>
      </w:r>
      <w:r w:rsidRPr="000C0B4C">
        <w:t>účastnické cenné papíry této osoby držené krátkodobě za účelem obchodování a banka dodrží pravidla pro nabývání, financování a posuzování aktiv stanovená Českou národní bankou podle § 14 odst. 1 písm. c),</w:t>
      </w:r>
    </w:p>
    <w:p w:rsidR="000C0B4C" w:rsidRPr="000C0B4C" w:rsidRDefault="000C0B4C" w:rsidP="003942C6">
      <w:pPr>
        <w:pStyle w:val="Odstavecseseznamem"/>
        <w:numPr>
          <w:ilvl w:val="0"/>
          <w:numId w:val="20"/>
        </w:numPr>
      </w:pPr>
      <w:r w:rsidRPr="000C0B4C">
        <w:t>nejsou právní nebo jiné překážky pro poskytování informací touto osobou bance a pro poskytování těchto informací bankou pro účely dohledu nad činností banky a je zachována průhlednost konsolidačního celku, jehož členem je banka, a úzké propojení v rámci konsolidačního celku nebrání výkonu dohledu nad činností banky, nebo</w:t>
      </w:r>
    </w:p>
    <w:p w:rsidR="000C0B4C" w:rsidRPr="000C0B4C" w:rsidRDefault="000C0B4C" w:rsidP="003942C6">
      <w:pPr>
        <w:pStyle w:val="Odstavecseseznamem"/>
        <w:numPr>
          <w:ilvl w:val="0"/>
          <w:numId w:val="20"/>
        </w:numPr>
      </w:pPr>
      <w:r w:rsidRPr="000C0B4C">
        <w:t>investice je v souladu s celkovou strategií banky a banka řídí rizika s touto investicí spojená zejména z hlediska případných závazků banky z toho plynoucích</w:t>
      </w:r>
    </w:p>
    <w:p w:rsidR="000C0B4C" w:rsidRPr="000C0B4C" w:rsidRDefault="000C0B4C" w:rsidP="003942C6">
      <w:pPr>
        <w:pStyle w:val="Odstavecseseznamem"/>
        <w:numPr>
          <w:ilvl w:val="0"/>
          <w:numId w:val="17"/>
        </w:numPr>
      </w:pPr>
      <w:r w:rsidRPr="000C0B4C">
        <w:t>kvalifikovanou účast banky v osobě, která není bankou, zahraniční bankou, finanční institucí nebo podnikem pomocných služeb, upravuje od 1.</w:t>
      </w:r>
      <w:r w:rsidR="008846C4">
        <w:t xml:space="preserve"> </w:t>
      </w:r>
      <w:r w:rsidR="00EF2F90">
        <w:t>1.</w:t>
      </w:r>
      <w:r w:rsidR="008846C4">
        <w:t xml:space="preserve"> </w:t>
      </w:r>
      <w:r w:rsidR="00EF2F90">
        <w:t>2</w:t>
      </w:r>
      <w:r w:rsidRPr="000C0B4C">
        <w:t>014 nařízení CRR jako přímo použitelný předpis EU</w:t>
      </w:r>
    </w:p>
    <w:p w:rsidR="000C0B4C" w:rsidRPr="000C0B4C" w:rsidRDefault="000C0B4C" w:rsidP="003942C6">
      <w:pPr>
        <w:pStyle w:val="Odstavecseseznamem"/>
        <w:numPr>
          <w:ilvl w:val="0"/>
          <w:numId w:val="17"/>
        </w:numPr>
      </w:pPr>
      <w:r w:rsidRPr="000C0B4C">
        <w:t>nařízení CRR stanoví limit celkové výše kvalifikovaných účastí banky na těchto osobách v zásadě ve výši 60</w:t>
      </w:r>
      <w:r w:rsidR="00C567D3">
        <w:t xml:space="preserve"> </w:t>
      </w:r>
      <w:r w:rsidRPr="000C0B4C">
        <w:t>% kapitálu banky</w:t>
      </w:r>
    </w:p>
    <w:p w:rsidR="000C0B4C" w:rsidRPr="00933A92" w:rsidRDefault="000C0B4C" w:rsidP="000C0B4C">
      <w:r w:rsidRPr="00933A92">
        <w:t>Na základě zákona o bankách a nařízení CRR jsou banky zejména povinny dodržovat</w:t>
      </w:r>
    </w:p>
    <w:p w:rsidR="000C0B4C" w:rsidRPr="00933A92" w:rsidRDefault="000C0B4C" w:rsidP="003942C6">
      <w:pPr>
        <w:pStyle w:val="Odstavecseseznamem"/>
        <w:numPr>
          <w:ilvl w:val="0"/>
          <w:numId w:val="19"/>
        </w:numPr>
      </w:pPr>
      <w:r w:rsidRPr="00933A92">
        <w:t xml:space="preserve">kapitálové poměry, tj. držet stanovený objem regulatorního kapitálu a kapitálových rezerv ve vztahu k aktivům banky při zohlednění rizikovosti jejích aktiv, </w:t>
      </w:r>
    </w:p>
    <w:p w:rsidR="000C0B4C" w:rsidRPr="00933A92" w:rsidRDefault="000C0B4C" w:rsidP="003942C6">
      <w:pPr>
        <w:pStyle w:val="Odstavecseseznamem"/>
        <w:numPr>
          <w:ilvl w:val="0"/>
          <w:numId w:val="19"/>
        </w:numPr>
      </w:pPr>
      <w:r w:rsidRPr="00933A92">
        <w:t>ukazatel pákového poměru, porovnávající regulatorní kapitál a aktiva banky bez zohlednění jejich rizikovosti,</w:t>
      </w:r>
    </w:p>
    <w:p w:rsidR="000C0B4C" w:rsidRPr="00933A92" w:rsidRDefault="000C0B4C" w:rsidP="003942C6">
      <w:pPr>
        <w:pStyle w:val="Odstavecseseznamem"/>
        <w:numPr>
          <w:ilvl w:val="0"/>
          <w:numId w:val="19"/>
        </w:numPr>
      </w:pPr>
      <w:r w:rsidRPr="00933A92">
        <w:t>standardy likvidity - požadavek na krytí likvidity, tj</w:t>
      </w:r>
      <w:r w:rsidR="00EF2F90">
        <w:t>. držet stanovený objem likvid</w:t>
      </w:r>
      <w:r w:rsidRPr="00933A92">
        <w:t xml:space="preserve">ních aktiv, a požadavek na stabilní financování, tj. financovat aktiva, např. úvěry, především ze stabilních zdrojů, </w:t>
      </w:r>
    </w:p>
    <w:p w:rsidR="00AA08FF" w:rsidRDefault="000C0B4C" w:rsidP="003942C6">
      <w:pPr>
        <w:pStyle w:val="Odstavecseseznamem"/>
        <w:numPr>
          <w:ilvl w:val="0"/>
          <w:numId w:val="19"/>
        </w:numPr>
      </w:pPr>
      <w:r w:rsidRPr="00933A92">
        <w:t>limity na velké expozice (např. držené akcie, úvěry poskytnuté danému subjektu) založené na regulatorním kapitálu banky</w:t>
      </w:r>
      <w:r w:rsidR="00AA08FF">
        <w:t>.</w:t>
      </w:r>
    </w:p>
    <w:p w:rsidR="00AA08FF" w:rsidRDefault="000C0B4C" w:rsidP="000C0B4C">
      <w:r w:rsidRPr="00933A92">
        <w:lastRenderedPageBreak/>
        <w:t>Pokud jde např. o limity na velké expozice, banka nesmí mít expozice vůči jednotlivým klientům či ekonomicky spjaté skupině klientů překračující 25</w:t>
      </w:r>
      <w:r w:rsidR="00C567D3">
        <w:t xml:space="preserve"> </w:t>
      </w:r>
      <w:r w:rsidRPr="00933A92">
        <w:t xml:space="preserve">% svého regulatorního kapitálu (jde-li </w:t>
      </w:r>
      <w:r w:rsidR="00FC7CD5" w:rsidRPr="00933A92">
        <w:t>o</w:t>
      </w:r>
      <w:r w:rsidR="00FC7CD5">
        <w:t> </w:t>
      </w:r>
      <w:r w:rsidRPr="00933A92">
        <w:t>nefinanční instituce). Pokud je však subjekt finanční institucí, musí být dodržen stanovený limit 25</w:t>
      </w:r>
      <w:r w:rsidR="00C567D3">
        <w:t xml:space="preserve"> </w:t>
      </w:r>
      <w:r w:rsidRPr="00933A92">
        <w:t>% regulatorního kapitálu nebo hodnota expozice nesmí překročit 150 mil. EUR s tím, že expozice vůči danému subjektu však může být maximálně 100</w:t>
      </w:r>
      <w:r w:rsidR="00C567D3">
        <w:t xml:space="preserve"> </w:t>
      </w:r>
      <w:r w:rsidRPr="00933A92">
        <w:t>% regulatorního kapitálu</w:t>
      </w:r>
      <w:r w:rsidR="00AA08FF">
        <w:t>.</w:t>
      </w:r>
    </w:p>
    <w:p w:rsidR="000C0B4C" w:rsidRPr="000C0B4C" w:rsidRDefault="000C0B4C" w:rsidP="000C0B4C">
      <w:pPr>
        <w:rPr>
          <w:b/>
        </w:rPr>
      </w:pPr>
      <w:r w:rsidRPr="000C0B4C">
        <w:rPr>
          <w:b/>
        </w:rPr>
        <w:t xml:space="preserve">Seznam nejrelevantnějších právních předpisů </w:t>
      </w:r>
    </w:p>
    <w:p w:rsidR="000C0B4C" w:rsidRPr="000C0B4C" w:rsidRDefault="006C5EA3" w:rsidP="003942C6">
      <w:pPr>
        <w:pStyle w:val="Odstavecseseznamem"/>
        <w:numPr>
          <w:ilvl w:val="0"/>
          <w:numId w:val="24"/>
        </w:numPr>
      </w:pPr>
      <w:hyperlink r:id="rId55" w:tgtFrame="_self" w:history="1">
        <w:r w:rsidR="000C0B4C" w:rsidRPr="000C0B4C">
          <w:t>zákon č. 21/1992 Sb.</w:t>
        </w:r>
      </w:hyperlink>
      <w:r w:rsidR="000C0B4C" w:rsidRPr="000C0B4C">
        <w:t xml:space="preserve"> , o bankách ve znění pozdějších předpisů</w:t>
      </w:r>
    </w:p>
    <w:p w:rsidR="000C0B4C" w:rsidRPr="000C0B4C" w:rsidRDefault="000C0B4C" w:rsidP="003942C6">
      <w:pPr>
        <w:pStyle w:val="Odstavecseseznamem"/>
        <w:numPr>
          <w:ilvl w:val="0"/>
          <w:numId w:val="24"/>
        </w:numPr>
      </w:pPr>
      <w:r w:rsidRPr="000C0B4C">
        <w:t xml:space="preserve">vyhláška České národní banky č. 163/2014 Sb., </w:t>
      </w:r>
      <w:r w:rsidRPr="000C0B4C">
        <w:rPr>
          <w:bCs/>
          <w:lang w:eastAsia="cs-CZ"/>
        </w:rPr>
        <w:t>o výkonu činnosti bank, spořitelních a úvěrních družstev a obchodníků s cennými papíry</w:t>
      </w:r>
    </w:p>
    <w:p w:rsidR="000C0B4C" w:rsidRPr="000C0B4C" w:rsidRDefault="000C0B4C" w:rsidP="003942C6">
      <w:pPr>
        <w:pStyle w:val="Odstavecseseznamem"/>
        <w:numPr>
          <w:ilvl w:val="0"/>
          <w:numId w:val="24"/>
        </w:numPr>
      </w:pPr>
      <w:r w:rsidRPr="000C0B4C">
        <w:t>Směrnice Evropského parlamentu a Rady 2013/36/EU ze dne 26. června 2013 o přístupu k činnosti úvěrových institucí a o obezřetnostním dohledu nad úvěrovými institucemi a investičními podniky, o změně směrnice 2002/87/ES a zrušení směrnic 2006/48/ES a 2006/49/ES</w:t>
      </w:r>
    </w:p>
    <w:p w:rsidR="000C0B4C" w:rsidRPr="000C0B4C" w:rsidRDefault="000C0B4C" w:rsidP="003942C6">
      <w:pPr>
        <w:pStyle w:val="Odstavecseseznamem"/>
        <w:numPr>
          <w:ilvl w:val="0"/>
          <w:numId w:val="24"/>
        </w:numPr>
      </w:pPr>
      <w:r w:rsidRPr="000C0B4C">
        <w:t>Nařízení Evropského parlamentu a Rady (EU) č. 575/2013 ze dne 26. června 2013 o obezřetnostních požadavcích na úvěrové instituce a investiční podniky a o změně nařízení (EU) č. 648/2012</w:t>
      </w:r>
    </w:p>
    <w:p w:rsidR="000C0B4C" w:rsidRPr="00021F68" w:rsidRDefault="000C0B4C" w:rsidP="00021F68">
      <w:pPr>
        <w:spacing w:before="240"/>
        <w:rPr>
          <w:b/>
          <w:color w:val="548DD4"/>
        </w:rPr>
      </w:pPr>
      <w:r w:rsidRPr="00021F68">
        <w:rPr>
          <w:b/>
          <w:color w:val="548DD4"/>
        </w:rPr>
        <w:t>Regulace investičních fondů</w:t>
      </w:r>
    </w:p>
    <w:p w:rsidR="000C0B4C" w:rsidRPr="000C0B4C" w:rsidRDefault="000C0B4C" w:rsidP="000C0B4C">
      <w:pPr>
        <w:rPr>
          <w:b/>
        </w:rPr>
      </w:pPr>
      <w:r w:rsidRPr="000C0B4C">
        <w:rPr>
          <w:b/>
        </w:rPr>
        <w:t>Investiční fondy obecně</w:t>
      </w:r>
    </w:p>
    <w:p w:rsidR="000C0B4C" w:rsidRPr="00933A92" w:rsidRDefault="000C0B4C" w:rsidP="000C0B4C">
      <w:r w:rsidRPr="00933A92">
        <w:t>Investičním fondem dle české právní úpravy je entita se sídlem v České republice, která je oprávněna shromažďovat peněžní prostředky nebo penězi ocenitelné věci (např. akcie, nemovitosti, umělecká díla) od investorů a provádět společné investování tohoto majetku na základě určené investiční strategie ve prospěch investorů a spravovat tento majetek. Stěžejní úpravu investičních fondů představuje zákon č. 240/2013 Sb., o investičních společnostech a investičních fondech („ZISIF“).</w:t>
      </w:r>
    </w:p>
    <w:p w:rsidR="000C0B4C" w:rsidRPr="00933A92" w:rsidRDefault="000C0B4C" w:rsidP="000C0B4C">
      <w:r w:rsidRPr="00933A92">
        <w:t>Zákon rozlišuje fondy kolektivního investování („FKI“) a fondy kvalifikovaných investorů („FKVI“). FKI se vyznačují shromažďováním peněžních prostředků od veřejnosti, zatímco FKVI shromažďují peněžní prostředky a penězi ocenitelné věci od více kvalifikovaných investorů. Podmínka mnohosti kvalifikovaných investorů u FKVI nemusí být splněna, je-li investorem stát, mezinárodní finanční organizace nebo právnická osoba podřízená ústřednímu orgánu státní správy, případně pokud jde o kvalifikovaného investora investujícího peněžní prostředky (nebo penězi ocenitelné věci) ve prospěch jiných kvalifikovaných investorů, s nimiž je pro účely této investice ve smluvním vztahu.</w:t>
      </w:r>
    </w:p>
    <w:p w:rsidR="000C0B4C" w:rsidRPr="00933A92" w:rsidRDefault="000C0B4C" w:rsidP="000C0B4C">
      <w:r w:rsidRPr="00933A92">
        <w:t>Kvalifikovaní investoři jsou vymezeni v ZISIF, typicky mezi ně patří profesionální investor (např. banka, obchodník s cennými papíry, pojišťovna, penzijní společnost, stát či Česká národní banka), právnická osoba podřízená ústřednímu orgánu státní správy nebo osoba (včetně fyzické), která do fondu investuje alespoň částku 125 000 EUR.</w:t>
      </w:r>
    </w:p>
    <w:p w:rsidR="000C0B4C" w:rsidRPr="000C0B4C" w:rsidRDefault="000C0B4C" w:rsidP="000C0B4C">
      <w:pPr>
        <w:rPr>
          <w:b/>
        </w:rPr>
      </w:pPr>
      <w:r w:rsidRPr="000C0B4C">
        <w:rPr>
          <w:b/>
        </w:rPr>
        <w:t>Diversifikace investičních fondů</w:t>
      </w:r>
    </w:p>
    <w:p w:rsidR="000C0B4C" w:rsidRPr="00933A92" w:rsidRDefault="000C0B4C" w:rsidP="000C0B4C">
      <w:r w:rsidRPr="00933A92">
        <w:t>Investiční fondy se dělí podle několika kritérií. Základní členění je na FKI a FKVI (viz výše). Dalším rozčleněním je třídění podle právní formy, podle kterého se jedná o následující investiční fondy:</w:t>
      </w:r>
    </w:p>
    <w:p w:rsidR="000C0B4C" w:rsidRPr="00933A92" w:rsidRDefault="000C0B4C" w:rsidP="003942C6">
      <w:pPr>
        <w:pStyle w:val="Odstavecseseznamem"/>
        <w:numPr>
          <w:ilvl w:val="0"/>
          <w:numId w:val="21"/>
        </w:numPr>
      </w:pPr>
      <w:r w:rsidRPr="00933A92">
        <w:t>fondy bez právní osobnosti</w:t>
      </w:r>
    </w:p>
    <w:p w:rsidR="000C0B4C" w:rsidRPr="00933A92" w:rsidRDefault="000C0B4C" w:rsidP="003942C6">
      <w:pPr>
        <w:pStyle w:val="Odstavecseseznamem"/>
        <w:numPr>
          <w:ilvl w:val="0"/>
          <w:numId w:val="22"/>
        </w:numPr>
        <w:ind w:left="1560"/>
      </w:pPr>
      <w:r w:rsidRPr="00933A92">
        <w:t>podílové fondy</w:t>
      </w:r>
    </w:p>
    <w:p w:rsidR="000C0B4C" w:rsidRPr="00933A92" w:rsidRDefault="000C0B4C" w:rsidP="003942C6">
      <w:pPr>
        <w:pStyle w:val="Odstavecseseznamem"/>
        <w:numPr>
          <w:ilvl w:val="0"/>
          <w:numId w:val="22"/>
        </w:numPr>
        <w:ind w:left="1560"/>
      </w:pPr>
      <w:r w:rsidRPr="00933A92">
        <w:t>otevřené podílové fondy</w:t>
      </w:r>
    </w:p>
    <w:p w:rsidR="000C0B4C" w:rsidRPr="00933A92" w:rsidRDefault="000C0B4C" w:rsidP="003942C6">
      <w:pPr>
        <w:pStyle w:val="Odstavecseseznamem"/>
        <w:numPr>
          <w:ilvl w:val="0"/>
          <w:numId w:val="22"/>
        </w:numPr>
        <w:ind w:left="1560"/>
      </w:pPr>
      <w:r w:rsidRPr="00933A92">
        <w:lastRenderedPageBreak/>
        <w:t>uzavřené podílové fondy (pouze FKVI a speciální fondy)</w:t>
      </w:r>
    </w:p>
    <w:p w:rsidR="000C0B4C" w:rsidRPr="00933A92" w:rsidRDefault="000C0B4C" w:rsidP="003942C6">
      <w:pPr>
        <w:pStyle w:val="Odstavecseseznamem"/>
        <w:numPr>
          <w:ilvl w:val="0"/>
          <w:numId w:val="22"/>
        </w:numPr>
        <w:ind w:left="1560"/>
      </w:pPr>
      <w:r w:rsidRPr="00933A92">
        <w:t>svěřen</w:t>
      </w:r>
      <w:r w:rsidR="00A938B0">
        <w:t>ec</w:t>
      </w:r>
      <w:r w:rsidRPr="00933A92">
        <w:t>ké fondy (pouze FKVI)</w:t>
      </w:r>
    </w:p>
    <w:p w:rsidR="000C0B4C" w:rsidRPr="00933A92" w:rsidRDefault="000C0B4C" w:rsidP="003942C6">
      <w:pPr>
        <w:pStyle w:val="Odstavecseseznamem"/>
        <w:numPr>
          <w:ilvl w:val="0"/>
          <w:numId w:val="21"/>
        </w:numPr>
      </w:pPr>
      <w:r w:rsidRPr="00933A92">
        <w:t>fondy s právní osobností</w:t>
      </w:r>
    </w:p>
    <w:p w:rsidR="000C0B4C" w:rsidRPr="00933A92" w:rsidRDefault="000C0B4C" w:rsidP="003942C6">
      <w:pPr>
        <w:pStyle w:val="Odstavecseseznamem"/>
        <w:numPr>
          <w:ilvl w:val="0"/>
          <w:numId w:val="23"/>
        </w:numPr>
        <w:ind w:left="1560"/>
      </w:pPr>
      <w:r w:rsidRPr="00933A92">
        <w:t>„standardní“ akciová společnost (pouze FKVI a speciální fondy)</w:t>
      </w:r>
    </w:p>
    <w:p w:rsidR="000C0B4C" w:rsidRPr="00933A92" w:rsidRDefault="000C0B4C" w:rsidP="003942C6">
      <w:pPr>
        <w:pStyle w:val="Odstavecseseznamem"/>
        <w:numPr>
          <w:ilvl w:val="0"/>
          <w:numId w:val="23"/>
        </w:numPr>
        <w:ind w:left="1560"/>
      </w:pPr>
      <w:r w:rsidRPr="00933A92">
        <w:t>SICAV – akciová společnost s proměnným základním kapitálem</w:t>
      </w:r>
    </w:p>
    <w:p w:rsidR="000C0B4C" w:rsidRPr="00933A92" w:rsidRDefault="000C0B4C" w:rsidP="003942C6">
      <w:pPr>
        <w:pStyle w:val="Odstavecseseznamem"/>
        <w:numPr>
          <w:ilvl w:val="0"/>
          <w:numId w:val="23"/>
        </w:numPr>
        <w:ind w:left="1560"/>
      </w:pPr>
      <w:r w:rsidRPr="00933A92">
        <w:t>komanditní společnost (pouze FKVI)</w:t>
      </w:r>
    </w:p>
    <w:p w:rsidR="000C0B4C" w:rsidRPr="00933A92" w:rsidRDefault="000C0B4C" w:rsidP="003942C6">
      <w:pPr>
        <w:pStyle w:val="Odstavecseseznamem"/>
        <w:numPr>
          <w:ilvl w:val="0"/>
          <w:numId w:val="23"/>
        </w:numPr>
        <w:ind w:left="1560"/>
      </w:pPr>
      <w:r w:rsidRPr="00933A92">
        <w:t>společnost s ručením omezeným (pouze FKVI)</w:t>
      </w:r>
    </w:p>
    <w:p w:rsidR="000C0B4C" w:rsidRPr="00933A92" w:rsidRDefault="000C0B4C" w:rsidP="003942C6">
      <w:pPr>
        <w:pStyle w:val="Odstavecseseznamem"/>
        <w:numPr>
          <w:ilvl w:val="0"/>
          <w:numId w:val="23"/>
        </w:numPr>
        <w:ind w:left="1560"/>
      </w:pPr>
      <w:r w:rsidRPr="00933A92">
        <w:t>evropská společnost (pouze FKVI)</w:t>
      </w:r>
    </w:p>
    <w:p w:rsidR="000C0B4C" w:rsidRPr="00933A92" w:rsidRDefault="000C0B4C" w:rsidP="003942C6">
      <w:pPr>
        <w:pStyle w:val="Odstavecseseznamem"/>
        <w:numPr>
          <w:ilvl w:val="0"/>
          <w:numId w:val="23"/>
        </w:numPr>
        <w:ind w:left="1560"/>
      </w:pPr>
      <w:r w:rsidRPr="00933A92">
        <w:t>družstvo (pouze FKVI)</w:t>
      </w:r>
    </w:p>
    <w:p w:rsidR="000C0B4C" w:rsidRPr="00933A92" w:rsidRDefault="000C0B4C" w:rsidP="000C0B4C">
      <w:r w:rsidRPr="00933A92">
        <w:t>Dále lze rozlišovat otevřené a uzavřené formy. V případě otevřených forem má investor okamžité právo na odkoupení jeho investice investičním fondem na účet tohoto fondu. Jedinými představiteli otevřených forem jsou otevřený podílový fond a SICAV, ostatní právní formy mají uzavřenou formu.</w:t>
      </w:r>
    </w:p>
    <w:p w:rsidR="000C0B4C" w:rsidRPr="00933A92" w:rsidRDefault="000C0B4C" w:rsidP="000C0B4C">
      <w:r w:rsidRPr="00933A92">
        <w:t>Dalším členícím kritériem je „samosprávnost“ fondu. Fondy nesamosprávné obhospodařuje (viz dále) jiná právnická osoba, samosprávné investiční fondy se obhospodařují sami. Samosprávný fond musí mít vždy právní osobnost, zatímco fond s právní osobností může být i nesamosprávný.</w:t>
      </w:r>
    </w:p>
    <w:p w:rsidR="000C0B4C" w:rsidRPr="000C0B4C" w:rsidRDefault="000C0B4C" w:rsidP="000C0B4C">
      <w:pPr>
        <w:rPr>
          <w:b/>
        </w:rPr>
      </w:pPr>
      <w:r w:rsidRPr="000C0B4C">
        <w:rPr>
          <w:b/>
        </w:rPr>
        <w:t>Diversifikace investičních fondů dle aktiv, do nichž investují, a investičních limitů</w:t>
      </w:r>
    </w:p>
    <w:p w:rsidR="000C0B4C" w:rsidRPr="00933A92" w:rsidRDefault="000C0B4C" w:rsidP="000C0B4C">
      <w:r w:rsidRPr="00933A92">
        <w:t>Významným typem rozčlenění fondů je dělení dle aktiv, do kterých fondy investují. V obecné rovině upravuje tyto otázky ZISIF, podrobněji pak nařízení vlády č. 243/2013 Sb., o investování investičních fondů a o technikách k jejich obhospodařování.</w:t>
      </w:r>
    </w:p>
    <w:p w:rsidR="000C0B4C" w:rsidRPr="00933A92" w:rsidRDefault="000C0B4C" w:rsidP="000C0B4C">
      <w:r w:rsidRPr="00933A92">
        <w:t>Fondy peněžního trhu mohou investovat jen do vysoce likvidních aktiv (nástrojů peněžního trhu, vkladů u bank a jiných fondů peněžního trhu) a mohou mít pouze otevřenou formu (viz výše). Určitým podtypem jsou krátkodobé fondy peněžního trhu, na něž jsou kladeny ještě přísnější požadavky než na fondy peněžního trhu.</w:t>
      </w:r>
    </w:p>
    <w:p w:rsidR="000C0B4C" w:rsidRPr="00933A92" w:rsidRDefault="000C0B4C" w:rsidP="000C0B4C">
      <w:r w:rsidRPr="00933A92">
        <w:t>Dalším typem jsou fondy nemovitostí, které jsou speciálními fondy. Tyto mohou investovat do nemovitostí nebo účastí v nemovitostních společnostech. Pro tento typ investičních fondů je přípustná pouze otevřená forma (viz výše). Do nemovitostí mohou investovat také FKVI, které však podléhají do jisté míry odlišným pravidlům než fondy nemovitostí.</w:t>
      </w:r>
    </w:p>
    <w:p w:rsidR="000C0B4C" w:rsidRPr="00933A92" w:rsidRDefault="000C0B4C" w:rsidP="000C0B4C">
      <w:r w:rsidRPr="00933A92">
        <w:t>Standardní fondy mohou investovat pouze do investičních cenných papírů, nástrojů peněžního trhu nebo cenných papírů vydávaných jiným FKI, finančních derivátů a pohledávek na výplatu peněžních prostředků z účtů. Za účelem rozložení rizika jsou k výše uvedeným aktivům nastaveny určité limity, např. nelze investovat více než 5</w:t>
      </w:r>
      <w:r w:rsidR="00C567D3">
        <w:t xml:space="preserve"> </w:t>
      </w:r>
      <w:r w:rsidRPr="00933A92">
        <w:t xml:space="preserve">% hodnoty majetku fondu </w:t>
      </w:r>
      <w:r w:rsidR="00FC7CD5" w:rsidRPr="00933A92">
        <w:t>do</w:t>
      </w:r>
      <w:r w:rsidR="00FC7CD5">
        <w:t> </w:t>
      </w:r>
      <w:r w:rsidRPr="00933A92">
        <w:t>investičních cenných papírů a nástrojů peněžního trhu vydaných jedním emitentem. Standardní fondy nemohou vydávat dluhopisy (ani podobné cenné papíry) ani opční listy. Majetek fondu nelze použít k poskytnutí úvěru nebo zápůjčky, na účet fondu lze přijmout úvěr nebo zápůjčku pouze za omezených podmínek (např. krátká splatnost, součet hodnoty všech úvěrů max. 10 % majetku fondu). Majetek standardního fondu také nelze použít k poskytnutí daru, k zajištění dluhu jiné osoby nebo k úhradě dluhu jiné osoby.</w:t>
      </w:r>
    </w:p>
    <w:p w:rsidR="00AA08FF" w:rsidRDefault="000C0B4C" w:rsidP="000C0B4C">
      <w:r w:rsidRPr="00933A92">
        <w:t>Speciální fondy (které nejsou nemovitostním fondem) mohou investovat do stejných aktiv jako standardní fondy (viz výše), dále pak do komodit a komoditních derivátů. Rovněž u speciálních fondů jsou pro účely rozložení rizika stanoveny limity k výše uvedeným aktivům, tyto jsou však méně přísné než u standardních fondů (např. v případě investičních cenných papírů a nástrojů peněžního trhu vydaných jedním emitentem do nich nelze investovat více než 20</w:t>
      </w:r>
      <w:r w:rsidR="00C567D3">
        <w:t xml:space="preserve"> </w:t>
      </w:r>
      <w:r w:rsidRPr="00933A92">
        <w:t xml:space="preserve">% hodnoty majetku fondu). Speciální fondy nemohou vydávat dluhopisy (či obdobné cenné papíry) ani </w:t>
      </w:r>
      <w:r w:rsidRPr="00933A92">
        <w:lastRenderedPageBreak/>
        <w:t>opční listy. Majetek fondu nelze použít k poskytnutí úvěru nebo zápůjčky, na účet fondu lze přijmout úvěr nebo zápůjčku pouze za omezených podmínek, které jsou opět méně restriktivní než u standardních fondů. Majetek fondu nelze použít k poskytnutí daru, k zajištění dluhu jiné osoby nebo k úhradě dluhu jiné osoby</w:t>
      </w:r>
      <w:r w:rsidR="00AA08FF">
        <w:t>.</w:t>
      </w:r>
    </w:p>
    <w:p w:rsidR="00AA08FF" w:rsidRDefault="000C0B4C" w:rsidP="000C0B4C">
      <w:r w:rsidRPr="00933A92">
        <w:t>FKVI mohou investovat do libovolného aktiva, které ale musí být druhově uvedeno ve statutu fondu a mají stanoveny limity pro účely rozložení rizika. Hlavním limitem je nemožnost investovat více než 35</w:t>
      </w:r>
      <w:r w:rsidR="00C567D3">
        <w:t xml:space="preserve"> </w:t>
      </w:r>
      <w:r w:rsidRPr="00933A92">
        <w:t xml:space="preserve">% hodnoty majetku FKVI do jednoho druhu aktiva od jedné osoby, např. do účasti v téže právnické osobě či do dluhopisů vydaných týmž emitentem nebo pohledávek </w:t>
      </w:r>
      <w:r w:rsidR="00FC7CD5" w:rsidRPr="00933A92">
        <w:t>za</w:t>
      </w:r>
      <w:r w:rsidR="00FC7CD5">
        <w:t> </w:t>
      </w:r>
      <w:r w:rsidRPr="00933A92">
        <w:t xml:space="preserve">týmž dlužníkem. Tento limit však neplatí pro cenné papíry vydané nebo zaručené jiným státem či Evropskou unií, pohledávky na výplatu peněžních prostředků z účtů u českých či zahraničních bank, dále se neuplatní u fondů, které mají jistý poměr počtu investorů a minimální velikost fondového kapitálu (např. 100 mil. EUR u fondu se dvěma investory či naopak </w:t>
      </w:r>
      <w:r w:rsidR="00FC7CD5" w:rsidRPr="00933A92">
        <w:t>10</w:t>
      </w:r>
      <w:r w:rsidR="00FC7CD5">
        <w:t> </w:t>
      </w:r>
      <w:r w:rsidRPr="00933A92">
        <w:t>mil</w:t>
      </w:r>
      <w:r w:rsidR="00FC7CD5" w:rsidRPr="00933A92">
        <w:t>.</w:t>
      </w:r>
      <w:r w:rsidR="00FC7CD5">
        <w:t> </w:t>
      </w:r>
      <w:r w:rsidRPr="00933A92">
        <w:t xml:space="preserve">EUR u fondu, který má nejméně 36 investorů). Výše uvedené limity se též nevztahují </w:t>
      </w:r>
      <w:r w:rsidR="00FC7CD5" w:rsidRPr="00933A92">
        <w:t>na</w:t>
      </w:r>
      <w:r w:rsidR="00FC7CD5">
        <w:t> </w:t>
      </w:r>
      <w:r w:rsidRPr="00933A92">
        <w:t>fond, jehož investorem je stát, mezinárodní finanční organizace nebo právnická osoba podřízená ústřednímu orgánu státní správy. Limity se neaplikují do 12 měsíců ode dne vzniku fondu. FKVI mohou vydávat dluhopisy, majetek fondu lze použít k poskytnutí úvěru nebo zápůjčky, na účet fondu lze přijmout úvěr nebo zápůjčku</w:t>
      </w:r>
      <w:r w:rsidR="00AA08FF">
        <w:t>.</w:t>
      </w:r>
    </w:p>
    <w:p w:rsidR="000C0B4C" w:rsidRPr="00933A92" w:rsidRDefault="000C0B4C" w:rsidP="000C0B4C">
      <w:r w:rsidRPr="00933A92">
        <w:t>Evropský fond rizikového kapitálu („EuVECA“) musí investovat alespoň 70</w:t>
      </w:r>
      <w:r w:rsidR="00C567D3">
        <w:t xml:space="preserve"> </w:t>
      </w:r>
      <w:r w:rsidRPr="00933A92">
        <w:t xml:space="preserve">% svého majetku </w:t>
      </w:r>
      <w:r w:rsidR="00FC7CD5" w:rsidRPr="00933A92">
        <w:t>do</w:t>
      </w:r>
      <w:r w:rsidR="00FC7CD5">
        <w:t> </w:t>
      </w:r>
      <w:r w:rsidRPr="00933A92">
        <w:t xml:space="preserve">tzv. kvalifikovaných investic. Mezi tyto patří kapitálové nebo podobné nástroje vydané malými </w:t>
      </w:r>
      <w:r w:rsidR="00FC7CD5" w:rsidRPr="00933A92">
        <w:t>a</w:t>
      </w:r>
      <w:r w:rsidR="00FC7CD5">
        <w:t> </w:t>
      </w:r>
      <w:r w:rsidRPr="00933A92">
        <w:t xml:space="preserve">středními podniky, podíly na jiných EuVECA, dluhové nástroje vydané SME či úvěry, které fond poskytl SME, či jakékoli jiné podíly na SME. SME jsou definovány jako nekotované společnosti, které zaměstnávají méně než 250 zaměstnanců a jejich roční obrat nepřekračuje </w:t>
      </w:r>
      <w:r w:rsidR="00FC7CD5" w:rsidRPr="00933A92">
        <w:t>13</w:t>
      </w:r>
      <w:r w:rsidR="00FC7CD5">
        <w:t> </w:t>
      </w:r>
      <w:r w:rsidRPr="00933A92">
        <w:t>mil. EUR. EuVECA mají dále řadu odlišností oproti FKVI, a to i co se vymezení kvalifikovaných investorů či investičních limitů týče. V praxi zatím fondy EuVECA nejsou zakládány, v srpnu 2014 je jich v EU registrováno méně než dvacet.</w:t>
      </w:r>
    </w:p>
    <w:p w:rsidR="000C0B4C" w:rsidRPr="00933A92" w:rsidRDefault="000C0B4C" w:rsidP="000C0B4C">
      <w:r w:rsidRPr="00933A92">
        <w:t>Evropský fond sociálního podnikání („EuSEF“) musí investovat alespoň 70</w:t>
      </w:r>
      <w:r w:rsidR="00C567D3">
        <w:t xml:space="preserve"> </w:t>
      </w:r>
      <w:r w:rsidRPr="00933A92">
        <w:t>% svého majetku do tzv. kvalifikovaných investic, mezi něž patří stejné investice jako u EuVECA, avšak s tím rozdílem, že v tomto případě nejsou objektem SME, nýbrž sociálními podniky. Jako sociální podniky jsou definovány takové podniky, které mají jako hlavní cíl pozitivní sociální dopad, používají zisky k dosažení svého hlavního cíle, mají zavedeny postupy rozdělování zisku a jsou odpovědně a transparentně řízeny. Jinak pro ně platí to, co pro EuVECA, včetně přetrvávající nízké popularity, neboť v srpnu 2014 byl v celé EU registrován pouze jeden</w:t>
      </w:r>
      <w:r w:rsidR="003F0A5F">
        <w:t xml:space="preserve"> EuSEF</w:t>
      </w:r>
      <w:r w:rsidRPr="00933A92">
        <w:t>.</w:t>
      </w:r>
    </w:p>
    <w:p w:rsidR="000C0B4C" w:rsidRPr="000C0B4C" w:rsidRDefault="000C0B4C" w:rsidP="000C0B4C">
      <w:pPr>
        <w:rPr>
          <w:b/>
        </w:rPr>
      </w:pPr>
      <w:r w:rsidRPr="000C0B4C">
        <w:rPr>
          <w:b/>
        </w:rPr>
        <w:t>Informační a oznamovací povinnosti fondu</w:t>
      </w:r>
    </w:p>
    <w:p w:rsidR="000C0B4C" w:rsidRPr="00933A92" w:rsidRDefault="000C0B4C" w:rsidP="000C0B4C">
      <w:r w:rsidRPr="00933A92">
        <w:t>Každý fond musí mít statut, který vydává a aktualizuje jeho obhospodařovatel. Statut obsahuje informace o investičním zaměření fondu (investiční strategie), výši poplatků, obhospodařovatel</w:t>
      </w:r>
      <w:r w:rsidR="002276E1">
        <w:t>e</w:t>
      </w:r>
      <w:r w:rsidRPr="00933A92">
        <w:t xml:space="preserve"> a depozitář</w:t>
      </w:r>
      <w:r w:rsidR="002276E1">
        <w:t>e</w:t>
      </w:r>
      <w:r w:rsidRPr="00933A92">
        <w:t xml:space="preserve"> fondu apod. Statut FKI (a každá jeho změna) se uveřejňuje na internetových stránkách fondu. V případě FKVI takováto povinnost stanovena není. Při registraci fondu </w:t>
      </w:r>
      <w:r w:rsidR="00FC7CD5" w:rsidRPr="00933A92">
        <w:t>se</w:t>
      </w:r>
      <w:r w:rsidR="00FC7CD5">
        <w:t> </w:t>
      </w:r>
      <w:r w:rsidRPr="00933A92">
        <w:t>statut poskytuje též ČNB, jež kontroluje jeho náležitosti. Ke změně statutu standardního fondu se pak vyžaduje její předchozí souhlas.</w:t>
      </w:r>
    </w:p>
    <w:p w:rsidR="000C0B4C" w:rsidRPr="00933A92" w:rsidRDefault="000C0B4C" w:rsidP="000C0B4C">
      <w:r w:rsidRPr="00933A92">
        <w:t>FKI mají i další informační povinnosti vůči svým investorům, mezi které patří např. sdělení klíčových informací, výroční či pololetní zprávy. Informační povinnosti FKVI jsou řádově nižší. Všechny investiční fondy mají rozsáhlé oznamovací povinnosti vůči ČNB.</w:t>
      </w:r>
    </w:p>
    <w:p w:rsidR="000C0B4C" w:rsidRPr="000C0B4C" w:rsidRDefault="000C0B4C" w:rsidP="00021F68">
      <w:pPr>
        <w:keepNext/>
        <w:rPr>
          <w:b/>
        </w:rPr>
      </w:pPr>
      <w:r w:rsidRPr="000C0B4C">
        <w:rPr>
          <w:b/>
        </w:rPr>
        <w:t>Obhospodařovatel</w:t>
      </w:r>
    </w:p>
    <w:p w:rsidR="000C0B4C" w:rsidRPr="00933A92" w:rsidRDefault="000C0B4C" w:rsidP="000C0B4C">
      <w:r w:rsidRPr="00933A92">
        <w:t>Obhospodařovatel provádí obhospodařování investičního fondu. Obhospodařováním je správa majetku tohoto fondu, včetně investování na účet fondu, a řízení rizik spojených</w:t>
      </w:r>
      <w:r w:rsidRPr="00933A92">
        <w:br/>
      </w:r>
      <w:r w:rsidRPr="00933A92">
        <w:lastRenderedPageBreak/>
        <w:t>s investováním. Obhospodařovatel je regulován a dohlížen ČNB, ke své činnosti potřebuje speciální povolení ČNB. Obhospodařovatelem je typicky investiční společnost či případně sám samosprávný investiční fond.</w:t>
      </w:r>
    </w:p>
    <w:p w:rsidR="000C0B4C" w:rsidRPr="00933A92" w:rsidRDefault="000C0B4C" w:rsidP="000C0B4C">
      <w:r w:rsidRPr="00933A92">
        <w:t>Přesažení rozhodného limitu nastává, jakmile hodnota majetku všech investičních fondů spravovaných obhospodařovatelem překročí částku odpovídající 100 mil. EUR (v jistých případech 500 mil. EUR). Pro přesažení rozhodného limitu je třeba dalšího speciálního oprávnění a dodržování dalších podmínek nad rámec podmínek pro obhospodařovatele, který není oprávněný přesáhnout rozhodný limit. Obhospodařovatel oprávněný přesáhnout rozhodný limit ho však nemusí nutně přesahovat. Pouze obhospodařovatel oprávněný přesáhnout rozhodný limit však může obhospodařovat speciální fondy.</w:t>
      </w:r>
    </w:p>
    <w:p w:rsidR="000C0B4C" w:rsidRPr="00933A92" w:rsidRDefault="000C0B4C" w:rsidP="000C0B4C">
      <w:r w:rsidRPr="00933A92">
        <w:t xml:space="preserve">Předpokládá se také existence obhospodařovatele oprávněného obhospodařovat pouze EuSEF </w:t>
      </w:r>
      <w:r w:rsidR="00FC7CD5" w:rsidRPr="00933A92">
        <w:t>a</w:t>
      </w:r>
      <w:r w:rsidR="00FC7CD5">
        <w:t> </w:t>
      </w:r>
      <w:r w:rsidRPr="00933A92">
        <w:t>EuVECA, jehož právní úprava by vycházela spíše z příslušných evropských nařízení než ze ZISIF. Žádný takovýto subjekt však zatím v celé EU neexistuje. Mírnější režim, založený na požadavcích pro takového obhospodařovatele se použije na obhospodařovatele neoprávněného přesáhnout rozhodný limit, který bude moci obhospodařovat pouze FKVI.</w:t>
      </w:r>
    </w:p>
    <w:p w:rsidR="000C0B4C" w:rsidRPr="000C0B4C" w:rsidRDefault="000C0B4C" w:rsidP="000C0B4C">
      <w:pPr>
        <w:rPr>
          <w:b/>
        </w:rPr>
      </w:pPr>
      <w:r w:rsidRPr="000C0B4C">
        <w:rPr>
          <w:b/>
        </w:rPr>
        <w:t>Investiční společnost</w:t>
      </w:r>
    </w:p>
    <w:p w:rsidR="00AA08FF" w:rsidRDefault="000C0B4C" w:rsidP="000C0B4C">
      <w:r w:rsidRPr="00933A92">
        <w:t>Investiční společnost je obhospodařovatelem nesamosprávných investičních fondů, může být také administrátorem investičních fondů. Mezi její další činnosti může patřit portfolio management, poskytování investičního poradenství, provádění úschovy a správy investičních nástrojů nebo přijímání a předávání pokynů k prodeji cenných papírů. Investiční společnost oprávněná obhospodařovat standardní fondy má některé z výše uvedených činností omezeny</w:t>
      </w:r>
      <w:r w:rsidR="00AA08FF">
        <w:t>.</w:t>
      </w:r>
    </w:p>
    <w:p w:rsidR="000C0B4C" w:rsidRPr="000C0B4C" w:rsidRDefault="000C0B4C" w:rsidP="000C0B4C">
      <w:pPr>
        <w:rPr>
          <w:b/>
        </w:rPr>
      </w:pPr>
      <w:r w:rsidRPr="000C0B4C">
        <w:rPr>
          <w:b/>
        </w:rPr>
        <w:t>Administrátor a hlavní administrátor</w:t>
      </w:r>
    </w:p>
    <w:p w:rsidR="000C0B4C" w:rsidRPr="00933A92" w:rsidRDefault="000C0B4C" w:rsidP="000C0B4C">
      <w:r w:rsidRPr="00933A92">
        <w:t>Administrátor provádí administraci investičního fondu. Administrací se rozumí zejména úkony jako vedení účetnictví, zajišťování právních služeb, vyřizování stížností a reklamací investorů, informování investorů, oznamování ČNB či vedení evidence o vydávání a odkupování cenných papírů vydávaných tímto fondem.</w:t>
      </w:r>
    </w:p>
    <w:p w:rsidR="00AA08FF" w:rsidRDefault="000C0B4C" w:rsidP="000C0B4C">
      <w:r w:rsidRPr="00933A92">
        <w:t xml:space="preserve">Administraci typicky zajištuje obhospodařovatel fondu (je-li k tomu oprávněn), ten může provádět administraci fondu, který obhospodařuje (nikoliv fondu jiného obhospodařovatele). </w:t>
      </w:r>
      <w:r w:rsidR="00FC7CD5" w:rsidRPr="00933A92">
        <w:t>Je</w:t>
      </w:r>
      <w:r w:rsidR="00FC7CD5">
        <w:t> </w:t>
      </w:r>
      <w:r w:rsidRPr="00933A92">
        <w:t>však umožněn vznik hlavního administrátora. Takový subjekt by se specializoval pouze na</w:t>
      </w:r>
      <w:r w:rsidR="009129B7">
        <w:t> </w:t>
      </w:r>
      <w:r w:rsidRPr="00933A92">
        <w:t>administraci fondů, nebyl by oprávněn obhospodařovat fondy. Hlavní administrátor v České republice dosud neexistuje</w:t>
      </w:r>
      <w:r w:rsidR="00AA08FF">
        <w:t>.</w:t>
      </w:r>
    </w:p>
    <w:p w:rsidR="000C0B4C" w:rsidRPr="000C0B4C" w:rsidRDefault="000C0B4C" w:rsidP="000C0B4C">
      <w:pPr>
        <w:rPr>
          <w:b/>
        </w:rPr>
      </w:pPr>
      <w:r w:rsidRPr="000C0B4C">
        <w:rPr>
          <w:b/>
        </w:rPr>
        <w:t>Depozitář</w:t>
      </w:r>
    </w:p>
    <w:p w:rsidR="000C0B4C" w:rsidRPr="00933A92" w:rsidRDefault="000C0B4C" w:rsidP="000C0B4C">
      <w:r w:rsidRPr="00933A92">
        <w:t>Depozitář má v opatrování majetek fondu (umožňuje-li to jeho povaha), zřizuje a vede peněžní účty fondu, zaznamenává pohyby na nich a eviduje majetek fondu (pokud jeho povaha neumožňuje mít ho v opatrování). Depozitářem FKI může být pouze banka či obchodník s cennými papíry. Depozitářem FKVI mohou být i další osoby dle evropské úpravy. V České republice funguje pět depozitářů a všichni jsou bankami.</w:t>
      </w:r>
    </w:p>
    <w:p w:rsidR="000C0B4C" w:rsidRPr="00933A92" w:rsidRDefault="000C0B4C" w:rsidP="000C0B4C">
      <w:r w:rsidRPr="00933A92">
        <w:t>Subjekty působící v oblasti investičních fondů znázorňuje následující schéma</w:t>
      </w:r>
      <w:r w:rsidRPr="00933A92">
        <w:rPr>
          <w:rStyle w:val="Znakapoznpodarou"/>
          <w:sz w:val="20"/>
          <w:szCs w:val="20"/>
        </w:rPr>
        <w:footnoteReference w:id="163"/>
      </w:r>
      <w:r w:rsidRPr="00933A92">
        <w:t>:</w:t>
      </w:r>
    </w:p>
    <w:p w:rsidR="007B290F" w:rsidRDefault="007B290F" w:rsidP="004C1734">
      <w:pPr>
        <w:pStyle w:val="Titulek"/>
      </w:pPr>
      <w:r>
        <w:lastRenderedPageBreak/>
        <w:t xml:space="preserve">Schéma </w:t>
      </w:r>
      <w:fldSimple w:instr=" SEQ Schéma \* ARABIC ">
        <w:r w:rsidR="006C5EA3">
          <w:rPr>
            <w:noProof/>
          </w:rPr>
          <w:t>32</w:t>
        </w:r>
      </w:fldSimple>
      <w:r>
        <w:t xml:space="preserve">: Subjekty </w:t>
      </w:r>
      <w:r w:rsidR="002C6A1C">
        <w:t xml:space="preserve">působící </w:t>
      </w:r>
      <w:r>
        <w:t>v oblasti investičních fondů</w:t>
      </w:r>
    </w:p>
    <w:p w:rsidR="000438CB" w:rsidRDefault="0055330E">
      <w:pPr>
        <w:widowControl w:val="0"/>
        <w:spacing w:before="120" w:line="264" w:lineRule="auto"/>
        <w:rPr>
          <w:b/>
        </w:rPr>
      </w:pPr>
      <w:r>
        <w:rPr>
          <w:noProof/>
          <w:sz w:val="20"/>
          <w:szCs w:val="20"/>
          <w:lang w:eastAsia="cs-CZ"/>
        </w:rPr>
        <w:drawing>
          <wp:inline distT="0" distB="0" distL="0" distR="0" wp14:anchorId="1A18C619" wp14:editId="43746880">
            <wp:extent cx="5581650" cy="3784600"/>
            <wp:effectExtent l="19050" t="0" r="0" b="0"/>
            <wp:docPr id="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6"/>
                    <a:srcRect/>
                    <a:stretch>
                      <a:fillRect/>
                    </a:stretch>
                  </pic:blipFill>
                  <pic:spPr bwMode="auto">
                    <a:xfrm>
                      <a:off x="0" y="0"/>
                      <a:ext cx="5581650" cy="3784600"/>
                    </a:xfrm>
                    <a:prstGeom prst="rect">
                      <a:avLst/>
                    </a:prstGeom>
                    <a:noFill/>
                    <a:ln w="9525">
                      <a:noFill/>
                      <a:miter lim="800000"/>
                      <a:headEnd/>
                      <a:tailEnd/>
                    </a:ln>
                  </pic:spPr>
                </pic:pic>
              </a:graphicData>
            </a:graphic>
          </wp:inline>
        </w:drawing>
      </w:r>
    </w:p>
    <w:p w:rsidR="000C0B4C" w:rsidRPr="000C0B4C" w:rsidRDefault="000C0B4C" w:rsidP="000C0B4C">
      <w:pPr>
        <w:keepNext/>
        <w:rPr>
          <w:b/>
        </w:rPr>
      </w:pPr>
      <w:r w:rsidRPr="000C0B4C">
        <w:rPr>
          <w:b/>
        </w:rPr>
        <w:t xml:space="preserve">Seznam nejrelevantnějších právních předpisů </w:t>
      </w:r>
    </w:p>
    <w:p w:rsidR="000C0B4C" w:rsidRPr="00021F68" w:rsidRDefault="006C5EA3" w:rsidP="003942C6">
      <w:pPr>
        <w:pStyle w:val="Odstavecseseznamem"/>
        <w:numPr>
          <w:ilvl w:val="0"/>
          <w:numId w:val="25"/>
        </w:numPr>
        <w:rPr>
          <w:sz w:val="20"/>
          <w:szCs w:val="20"/>
        </w:rPr>
      </w:pPr>
      <w:hyperlink r:id="rId57" w:tgtFrame="_self" w:history="1">
        <w:r w:rsidR="000C0B4C" w:rsidRPr="00021F68">
          <w:rPr>
            <w:sz w:val="20"/>
            <w:szCs w:val="20"/>
          </w:rPr>
          <w:t>zákon č. 240/2013 Sb.</w:t>
        </w:r>
      </w:hyperlink>
      <w:r w:rsidR="000C0B4C" w:rsidRPr="00021F68">
        <w:rPr>
          <w:sz w:val="20"/>
          <w:szCs w:val="20"/>
        </w:rPr>
        <w:t xml:space="preserve"> , o investičních společnostech a investičních fondech </w:t>
      </w:r>
    </w:p>
    <w:p w:rsidR="000C0B4C" w:rsidRPr="00021F68" w:rsidRDefault="006C5EA3" w:rsidP="003942C6">
      <w:pPr>
        <w:pStyle w:val="Odstavecseseznamem"/>
        <w:numPr>
          <w:ilvl w:val="0"/>
          <w:numId w:val="25"/>
        </w:numPr>
        <w:rPr>
          <w:sz w:val="20"/>
          <w:szCs w:val="20"/>
        </w:rPr>
      </w:pPr>
      <w:hyperlink r:id="rId58" w:history="1">
        <w:r w:rsidR="000C0B4C" w:rsidRPr="00021F68">
          <w:rPr>
            <w:sz w:val="20"/>
            <w:szCs w:val="20"/>
          </w:rPr>
          <w:t>zákon č. 15/1998 Sb.</w:t>
        </w:r>
      </w:hyperlink>
      <w:r w:rsidR="000C0B4C" w:rsidRPr="00021F68">
        <w:rPr>
          <w:sz w:val="20"/>
          <w:szCs w:val="20"/>
        </w:rPr>
        <w:t xml:space="preserve"> , o dohledu v oblasti kapitálového trhu, ve znění pozdějších předpisů</w:t>
      </w:r>
    </w:p>
    <w:p w:rsidR="000C0B4C" w:rsidRPr="00021F68" w:rsidRDefault="000C0B4C" w:rsidP="003942C6">
      <w:pPr>
        <w:pStyle w:val="Odstavecseseznamem"/>
        <w:numPr>
          <w:ilvl w:val="0"/>
          <w:numId w:val="25"/>
        </w:numPr>
        <w:rPr>
          <w:sz w:val="20"/>
          <w:szCs w:val="20"/>
        </w:rPr>
      </w:pPr>
      <w:r w:rsidRPr="00021F68">
        <w:rPr>
          <w:sz w:val="20"/>
          <w:szCs w:val="20"/>
        </w:rPr>
        <w:t>zákon č. 256/2004 Sb., o podnikání na kapitálovém trhu, ve znění pozdějších předpisů</w:t>
      </w:r>
    </w:p>
    <w:p w:rsidR="000C0B4C" w:rsidRPr="00021F68" w:rsidRDefault="006C5EA3" w:rsidP="003942C6">
      <w:pPr>
        <w:pStyle w:val="Odstavecseseznamem"/>
        <w:numPr>
          <w:ilvl w:val="0"/>
          <w:numId w:val="25"/>
        </w:numPr>
        <w:rPr>
          <w:sz w:val="20"/>
          <w:szCs w:val="20"/>
        </w:rPr>
      </w:pPr>
      <w:hyperlink r:id="rId59" w:tgtFrame="_self" w:history="1">
        <w:r w:rsidR="000C0B4C" w:rsidRPr="00021F68">
          <w:rPr>
            <w:sz w:val="20"/>
            <w:szCs w:val="20"/>
          </w:rPr>
          <w:t xml:space="preserve">nařízení Evropského parlamentu a Rady (EU) č. 345/2013 </w:t>
        </w:r>
      </w:hyperlink>
      <w:r w:rsidR="000C0B4C" w:rsidRPr="00021F68">
        <w:rPr>
          <w:sz w:val="20"/>
          <w:szCs w:val="20"/>
        </w:rPr>
        <w:t>o evropských fondech rizikového kapitálu</w:t>
      </w:r>
    </w:p>
    <w:p w:rsidR="000C0B4C" w:rsidRPr="00021F68" w:rsidRDefault="006C5EA3" w:rsidP="003942C6">
      <w:pPr>
        <w:pStyle w:val="Odstavecseseznamem"/>
        <w:numPr>
          <w:ilvl w:val="0"/>
          <w:numId w:val="25"/>
        </w:numPr>
        <w:rPr>
          <w:sz w:val="20"/>
          <w:szCs w:val="20"/>
        </w:rPr>
      </w:pPr>
      <w:hyperlink r:id="rId60" w:tgtFrame="_self" w:history="1">
        <w:r w:rsidR="000C0B4C" w:rsidRPr="00021F68">
          <w:rPr>
            <w:sz w:val="20"/>
            <w:szCs w:val="20"/>
          </w:rPr>
          <w:t xml:space="preserve">nařízení Evropského parlamentu a Rady (EU) č. 346/2013 </w:t>
        </w:r>
      </w:hyperlink>
      <w:r w:rsidR="000C0B4C" w:rsidRPr="00021F68">
        <w:rPr>
          <w:sz w:val="20"/>
          <w:szCs w:val="20"/>
        </w:rPr>
        <w:t>o evropských fondech sociálního podnikání</w:t>
      </w:r>
    </w:p>
    <w:p w:rsidR="000C0B4C" w:rsidRPr="00021F68" w:rsidRDefault="000C0B4C" w:rsidP="003942C6">
      <w:pPr>
        <w:pStyle w:val="Odstavecseseznamem"/>
        <w:numPr>
          <w:ilvl w:val="0"/>
          <w:numId w:val="25"/>
        </w:numPr>
        <w:rPr>
          <w:sz w:val="20"/>
          <w:szCs w:val="20"/>
        </w:rPr>
      </w:pPr>
      <w:r w:rsidRPr="00021F68">
        <w:rPr>
          <w:sz w:val="20"/>
          <w:szCs w:val="20"/>
        </w:rPr>
        <w:t>nařízení vlády č. 243/2013 Sb., o investování investičních fondů a o technikách k jejich obhospodařování, ve znění pozdějších předpisů</w:t>
      </w:r>
    </w:p>
    <w:p w:rsidR="000C0B4C" w:rsidRPr="00021F68" w:rsidRDefault="000C0B4C" w:rsidP="003942C6">
      <w:pPr>
        <w:pStyle w:val="Odstavecseseznamem"/>
        <w:numPr>
          <w:ilvl w:val="0"/>
          <w:numId w:val="25"/>
        </w:numPr>
        <w:rPr>
          <w:sz w:val="20"/>
          <w:szCs w:val="20"/>
        </w:rPr>
      </w:pPr>
      <w:r w:rsidRPr="00021F68">
        <w:rPr>
          <w:sz w:val="20"/>
          <w:szCs w:val="20"/>
        </w:rPr>
        <w:t xml:space="preserve">vyhláška č. 244/2013 Sb., o bližší úpravě některých pravidel zákona o investičních společnostech a investičních fondech a odůvodnění </w:t>
      </w:r>
    </w:p>
    <w:p w:rsidR="000C0B4C" w:rsidRPr="00021F68" w:rsidRDefault="000C0B4C" w:rsidP="003942C6">
      <w:pPr>
        <w:pStyle w:val="Odstavecseseznamem"/>
        <w:numPr>
          <w:ilvl w:val="0"/>
          <w:numId w:val="25"/>
        </w:numPr>
        <w:rPr>
          <w:sz w:val="20"/>
          <w:szCs w:val="20"/>
        </w:rPr>
      </w:pPr>
      <w:r w:rsidRPr="00021F68">
        <w:rPr>
          <w:sz w:val="20"/>
          <w:szCs w:val="20"/>
        </w:rPr>
        <w:t xml:space="preserve">vyhláška č. 247/2013 Sb., o žádostech podle zákona o investičních společnostech a investičních fondech </w:t>
      </w:r>
    </w:p>
    <w:p w:rsidR="000C0B4C" w:rsidRPr="00021F68" w:rsidRDefault="000C0B4C" w:rsidP="003942C6">
      <w:pPr>
        <w:pStyle w:val="Odstavecseseznamem"/>
        <w:numPr>
          <w:ilvl w:val="0"/>
          <w:numId w:val="25"/>
        </w:numPr>
        <w:rPr>
          <w:sz w:val="20"/>
          <w:szCs w:val="20"/>
        </w:rPr>
      </w:pPr>
      <w:r w:rsidRPr="00021F68">
        <w:rPr>
          <w:sz w:val="20"/>
          <w:szCs w:val="20"/>
        </w:rPr>
        <w:t xml:space="preserve">vyhláška č. 249/2013 Sb., o oznamování údajů obhospodařovatelem a administrátorem investičního fondu a zahraničního investičního fondu České národní bance </w:t>
      </w:r>
    </w:p>
    <w:p w:rsidR="000C0B4C" w:rsidRPr="00021F68" w:rsidRDefault="000C0B4C" w:rsidP="003942C6">
      <w:pPr>
        <w:pStyle w:val="Odstavecseseznamem"/>
        <w:numPr>
          <w:ilvl w:val="0"/>
          <w:numId w:val="25"/>
        </w:numPr>
        <w:rPr>
          <w:sz w:val="20"/>
          <w:szCs w:val="20"/>
        </w:rPr>
      </w:pPr>
      <w:r w:rsidRPr="00021F68">
        <w:rPr>
          <w:sz w:val="20"/>
          <w:szCs w:val="20"/>
        </w:rPr>
        <w:t>směrnice Evropského parlamentu a Rady 2009/65/ES ze dne 13. července 2009 o koordinaci právních a správních předpisů týkajících se subjektů kolektivního investování do převoditelných cenných papírů (SKIPCP), ve znění směrnice Evropského parlamentu a Rady 2010/78/EU</w:t>
      </w:r>
    </w:p>
    <w:p w:rsidR="000C0B4C" w:rsidRPr="00021F68" w:rsidRDefault="000C0B4C" w:rsidP="003942C6">
      <w:pPr>
        <w:pStyle w:val="Odstavecseseznamem"/>
        <w:numPr>
          <w:ilvl w:val="0"/>
          <w:numId w:val="25"/>
        </w:numPr>
        <w:rPr>
          <w:sz w:val="20"/>
          <w:szCs w:val="20"/>
        </w:rPr>
      </w:pPr>
      <w:r w:rsidRPr="00021F68">
        <w:rPr>
          <w:sz w:val="20"/>
          <w:szCs w:val="20"/>
        </w:rPr>
        <w:t>směrnice Evropského parlamentu a Rady 2011/61/EU ze dne 8. června 2011 o správcích alternativních investičních fondů a o změně směrnic 2003/41/ES a 2009/65/ES a nařízení (ES) č</w:t>
      </w:r>
      <w:r w:rsidR="00FC7CD5" w:rsidRPr="00021F68">
        <w:rPr>
          <w:sz w:val="20"/>
          <w:szCs w:val="20"/>
        </w:rPr>
        <w:t>.</w:t>
      </w:r>
      <w:r w:rsidR="00FC7CD5">
        <w:rPr>
          <w:sz w:val="20"/>
          <w:szCs w:val="20"/>
        </w:rPr>
        <w:t> </w:t>
      </w:r>
      <w:r w:rsidRPr="00021F68">
        <w:rPr>
          <w:sz w:val="20"/>
          <w:szCs w:val="20"/>
        </w:rPr>
        <w:t xml:space="preserve">1060/2009 a (EU) č. 1095/2010 </w:t>
      </w:r>
    </w:p>
    <w:p w:rsidR="000C0B4C" w:rsidRPr="00021F68" w:rsidRDefault="000C0B4C">
      <w:pPr>
        <w:rPr>
          <w:sz w:val="20"/>
          <w:szCs w:val="20"/>
        </w:rPr>
      </w:pPr>
      <w:r w:rsidRPr="00021F68">
        <w:rPr>
          <w:sz w:val="20"/>
          <w:szCs w:val="20"/>
        </w:rPr>
        <w:br w:type="page"/>
      </w:r>
    </w:p>
    <w:p w:rsidR="000C0B4C" w:rsidRPr="00F44818" w:rsidRDefault="00435883" w:rsidP="007862C1">
      <w:pPr>
        <w:pStyle w:val="Nadpis2"/>
        <w:numPr>
          <w:ilvl w:val="0"/>
          <w:numId w:val="0"/>
        </w:numPr>
      </w:pPr>
      <w:bookmarkStart w:id="105" w:name="_Toc410115494"/>
      <w:r>
        <w:lastRenderedPageBreak/>
        <w:t>Příloha 4</w:t>
      </w:r>
      <w:r>
        <w:tab/>
      </w:r>
      <w:r w:rsidR="000C0B4C" w:rsidRPr="00F44818">
        <w:t>Prioritní oblasti zaměření intervencí ze strany finančních nástrojů</w:t>
      </w:r>
      <w:bookmarkEnd w:id="105"/>
    </w:p>
    <w:p w:rsidR="00AA08FF" w:rsidRDefault="000C0B4C" w:rsidP="000C0B4C">
      <w:r>
        <w:t xml:space="preserve">Oblasti intervencí ze strany </w:t>
      </w:r>
      <w:r w:rsidR="00420428">
        <w:t>IFN</w:t>
      </w:r>
      <w:r>
        <w:t xml:space="preserve"> by měly být logickým průnikem mezi prioritami stanovenými v Dohodě o partnerství, jakožto závazným dokumentem pro intervence z ESIF</w:t>
      </w:r>
      <w:r w:rsidR="00AA08FF">
        <w:t xml:space="preserve"> </w:t>
      </w:r>
      <w:r>
        <w:t xml:space="preserve">a tudíž i pro oblasti </w:t>
      </w:r>
      <w:r w:rsidR="00420428">
        <w:t>IFN</w:t>
      </w:r>
      <w:r>
        <w:t xml:space="preserve"> a mezi prioritami české vlády. Na základě tohoto průniku a stavu finančního zajištění definovaných potřeb je pak možné stanovit doporučené prioritní oblasti, kde intervence formou </w:t>
      </w:r>
      <w:r w:rsidR="00420428">
        <w:t>IFN</w:t>
      </w:r>
      <w:r>
        <w:t xml:space="preserve"> mohou přinést ekonomice ČR maximální benefit</w:t>
      </w:r>
      <w:r w:rsidR="00AA08FF">
        <w:t>.</w:t>
      </w:r>
    </w:p>
    <w:p w:rsidR="000C0B4C" w:rsidRDefault="000C0B4C" w:rsidP="000C0B4C">
      <w:r>
        <w:t>Mělo by se jednat o oblasti, které splňují následující kritéria:</w:t>
      </w:r>
    </w:p>
    <w:p w:rsidR="000C0B4C" w:rsidRDefault="000C0B4C" w:rsidP="004F3C2F">
      <w:pPr>
        <w:pStyle w:val="Odstavecseseznamem"/>
        <w:numPr>
          <w:ilvl w:val="0"/>
          <w:numId w:val="28"/>
        </w:numPr>
        <w:spacing w:after="200"/>
      </w:pPr>
      <w:r>
        <w:t>kde dochází k nedostatečnému přísunu soukromých či veřejných zdrojů</w:t>
      </w:r>
    </w:p>
    <w:p w:rsidR="000C0B4C" w:rsidRDefault="000C0B4C" w:rsidP="004F3C2F">
      <w:pPr>
        <w:pStyle w:val="Odstavecseseznamem"/>
        <w:numPr>
          <w:ilvl w:val="0"/>
          <w:numId w:val="28"/>
        </w:numPr>
        <w:spacing w:after="200"/>
      </w:pPr>
      <w:r>
        <w:t>oblasti, které jsou ze strany bankovních institucí považovány za rizikové</w:t>
      </w:r>
    </w:p>
    <w:p w:rsidR="00AA08FF" w:rsidRDefault="000C0B4C" w:rsidP="004F3C2F">
      <w:pPr>
        <w:pStyle w:val="Odstavecseseznamem"/>
        <w:numPr>
          <w:ilvl w:val="0"/>
          <w:numId w:val="28"/>
        </w:numPr>
        <w:spacing w:after="200"/>
      </w:pPr>
      <w:r>
        <w:t xml:space="preserve">protože jde o návratnou finanční výpomoc, musí být u projektu zajištěna návratnost – </w:t>
      </w:r>
      <w:r w:rsidR="00FC7CD5">
        <w:t>i </w:t>
      </w:r>
      <w:r>
        <w:t>když nemusí jít vždy jenom o komerčně akceptovatelnou dobu – příjmy projektu musí existovat</w:t>
      </w:r>
    </w:p>
    <w:p w:rsidR="000C0B4C" w:rsidRDefault="000C0B4C" w:rsidP="004F3C2F">
      <w:pPr>
        <w:pStyle w:val="Odstavecseseznamem"/>
        <w:numPr>
          <w:ilvl w:val="0"/>
          <w:numId w:val="28"/>
        </w:numPr>
        <w:spacing w:after="200"/>
      </w:pPr>
      <w:r>
        <w:t>projekt by měl mít multiplikační efekt</w:t>
      </w:r>
    </w:p>
    <w:p w:rsidR="000C0B4C" w:rsidRDefault="000C0B4C" w:rsidP="004F3C2F">
      <w:pPr>
        <w:pStyle w:val="Odstavecseseznamem"/>
        <w:numPr>
          <w:ilvl w:val="0"/>
          <w:numId w:val="28"/>
        </w:numPr>
        <w:spacing w:after="200"/>
      </w:pPr>
      <w:r>
        <w:t>projekt by měl mít socio-ekomický přínos (ERR)</w:t>
      </w:r>
    </w:p>
    <w:p w:rsidR="00AE19B7" w:rsidRDefault="000C0B4C" w:rsidP="00B966DC">
      <w:r>
        <w:t>Zároveň by měla být zvolena forma, která nebude narušovat bankovní trh</w:t>
      </w:r>
      <w:r w:rsidR="00AE19B7">
        <w:t>.</w:t>
      </w:r>
    </w:p>
    <w:p w:rsidR="000C0B4C" w:rsidRDefault="000C0B4C">
      <w:r>
        <w:t>Kapitola Priority financování České republiky definuje následující hlavní priority pro financování v programovém období 2014</w:t>
      </w:r>
      <w:r w:rsidR="00AE19B7">
        <w:t xml:space="preserve"> </w:t>
      </w:r>
      <w:r>
        <w:t>-</w:t>
      </w:r>
      <w:r w:rsidR="00AE19B7">
        <w:t xml:space="preserve"> </w:t>
      </w:r>
      <w:r>
        <w:t>2020:</w:t>
      </w:r>
    </w:p>
    <w:p w:rsidR="000C0B4C" w:rsidRDefault="000C0B4C" w:rsidP="004F3C2F">
      <w:pPr>
        <w:pStyle w:val="Odstavecseseznamem"/>
        <w:numPr>
          <w:ilvl w:val="0"/>
          <w:numId w:val="26"/>
        </w:numPr>
        <w:spacing w:after="200"/>
      </w:pPr>
      <w:r>
        <w:t>Účinné a efektivní služby zaměstnanosti, které přispějí ke zvýšení zaměstnanosti zejména ohrožených skupin</w:t>
      </w:r>
      <w:r w:rsidR="00AE19B7">
        <w:t>.</w:t>
      </w:r>
    </w:p>
    <w:p w:rsidR="000C0B4C" w:rsidRDefault="000C0B4C" w:rsidP="004F3C2F">
      <w:pPr>
        <w:pStyle w:val="Odstavecseseznamem"/>
        <w:numPr>
          <w:ilvl w:val="0"/>
          <w:numId w:val="26"/>
        </w:numPr>
        <w:spacing w:after="200"/>
      </w:pPr>
      <w:r>
        <w:t>Kvalitní vzdělávací systém produkující kvalifikovanou a adaptabilní pracovní sílu.</w:t>
      </w:r>
    </w:p>
    <w:p w:rsidR="000C0B4C" w:rsidRDefault="000C0B4C" w:rsidP="004F3C2F">
      <w:pPr>
        <w:pStyle w:val="Odstavecseseznamem"/>
        <w:numPr>
          <w:ilvl w:val="0"/>
          <w:numId w:val="26"/>
        </w:numPr>
        <w:spacing w:after="200"/>
      </w:pPr>
      <w:r>
        <w:t>Výzkumný a inovační systém založený na kvalitním výzkumu propojeném s aplikační sférou a směřující ke komerčně využitelným výsledkům.</w:t>
      </w:r>
    </w:p>
    <w:p w:rsidR="000C0B4C" w:rsidRDefault="000C0B4C" w:rsidP="004F3C2F">
      <w:pPr>
        <w:pStyle w:val="Odstavecseseznamem"/>
        <w:numPr>
          <w:ilvl w:val="0"/>
          <w:numId w:val="26"/>
        </w:numPr>
        <w:spacing w:after="200"/>
      </w:pPr>
      <w:r>
        <w:t>Podniky využívající výsledků VaV, konkurenceschopné na globálním trhu a přispívající k nízkouhlíkovému hospodářství.</w:t>
      </w:r>
    </w:p>
    <w:p w:rsidR="00AA08FF" w:rsidRDefault="000C0B4C" w:rsidP="004F3C2F">
      <w:pPr>
        <w:pStyle w:val="Odstavecseseznamem"/>
        <w:numPr>
          <w:ilvl w:val="0"/>
          <w:numId w:val="26"/>
        </w:numPr>
        <w:spacing w:after="200"/>
      </w:pPr>
      <w:r>
        <w:t>Udržitelná infrastruktura umožňující konkurenceschopnost ekonomiky a odpovídající obslužnost území</w:t>
      </w:r>
      <w:r w:rsidR="00AA08FF">
        <w:t>.</w:t>
      </w:r>
    </w:p>
    <w:p w:rsidR="000C0B4C" w:rsidRDefault="000C0B4C" w:rsidP="004F3C2F">
      <w:pPr>
        <w:pStyle w:val="Odstavecseseznamem"/>
        <w:numPr>
          <w:ilvl w:val="0"/>
          <w:numId w:val="26"/>
        </w:numPr>
        <w:spacing w:after="200"/>
      </w:pPr>
      <w:r>
        <w:t>Transparentní a efektivní veřejná správa s nízkou mírou administrativní a regulační zátěže.</w:t>
      </w:r>
    </w:p>
    <w:p w:rsidR="000C0B4C" w:rsidRDefault="000C0B4C" w:rsidP="004F3C2F">
      <w:pPr>
        <w:pStyle w:val="Odstavecseseznamem"/>
        <w:numPr>
          <w:ilvl w:val="0"/>
          <w:numId w:val="26"/>
        </w:numPr>
        <w:spacing w:after="200"/>
      </w:pPr>
      <w:r>
        <w:t>Sociální systém začleňující sociálně vyloučené skupiny a působící preventivně proti chudobě.</w:t>
      </w:r>
    </w:p>
    <w:p w:rsidR="00AA08FF" w:rsidRDefault="000C0B4C" w:rsidP="004F3C2F">
      <w:pPr>
        <w:pStyle w:val="Odstavecseseznamem"/>
        <w:numPr>
          <w:ilvl w:val="0"/>
          <w:numId w:val="26"/>
        </w:numPr>
        <w:spacing w:after="200"/>
      </w:pPr>
      <w:r>
        <w:t>Ochrana životního prostředí a krajiny, přizpůsobení se změně klimatu a řešení rizik</w:t>
      </w:r>
      <w:r w:rsidR="00AA08FF">
        <w:t>.</w:t>
      </w:r>
    </w:p>
    <w:p w:rsidR="000C0B4C" w:rsidRDefault="000C0B4C" w:rsidP="00B966DC">
      <w:r>
        <w:t xml:space="preserve">Po detailním prozkoumání vybraných relevantních strategií a akčního plánu na podporu hospodářského růstu a zaměstnanosti ČR se jako oblasti vhodné pro financování ze strany </w:t>
      </w:r>
      <w:r w:rsidR="00420428">
        <w:t>IFN</w:t>
      </w:r>
      <w:r>
        <w:t xml:space="preserve"> jeví následující:</w:t>
      </w:r>
    </w:p>
    <w:p w:rsidR="000C0B4C" w:rsidRDefault="000C0B4C" w:rsidP="004F3C2F">
      <w:pPr>
        <w:pStyle w:val="Odstavecseseznamem"/>
        <w:numPr>
          <w:ilvl w:val="0"/>
          <w:numId w:val="27"/>
        </w:numPr>
        <w:spacing w:after="200"/>
        <w:ind w:left="1276" w:hanging="425"/>
      </w:pPr>
      <w:r>
        <w:t xml:space="preserve">Doprava </w:t>
      </w:r>
    </w:p>
    <w:p w:rsidR="000C0B4C" w:rsidRDefault="000C0B4C" w:rsidP="004F3C2F">
      <w:pPr>
        <w:pStyle w:val="Odstavecseseznamem"/>
        <w:numPr>
          <w:ilvl w:val="1"/>
          <w:numId w:val="27"/>
        </w:numPr>
        <w:spacing w:after="200"/>
        <w:ind w:left="1985" w:hanging="425"/>
      </w:pPr>
      <w:r>
        <w:t xml:space="preserve">Páteřní dopravní infrastruktura </w:t>
      </w:r>
    </w:p>
    <w:p w:rsidR="000C0B4C" w:rsidRDefault="000C0B4C" w:rsidP="004F3C2F">
      <w:pPr>
        <w:pStyle w:val="Odstavecseseznamem"/>
        <w:numPr>
          <w:ilvl w:val="1"/>
          <w:numId w:val="27"/>
        </w:numPr>
        <w:spacing w:after="200"/>
        <w:ind w:left="1985" w:hanging="425"/>
      </w:pPr>
      <w:r>
        <w:t>Multimodální nákladní terminály</w:t>
      </w:r>
    </w:p>
    <w:p w:rsidR="000C0B4C" w:rsidRDefault="000C0B4C" w:rsidP="004F3C2F">
      <w:pPr>
        <w:pStyle w:val="Odstavecseseznamem"/>
        <w:numPr>
          <w:ilvl w:val="0"/>
          <w:numId w:val="27"/>
        </w:numPr>
        <w:spacing w:after="200"/>
        <w:ind w:left="1276" w:hanging="425"/>
      </w:pPr>
      <w:r>
        <w:t>Energetika:</w:t>
      </w:r>
    </w:p>
    <w:p w:rsidR="000C0B4C" w:rsidRDefault="000C0B4C" w:rsidP="004F3C2F">
      <w:pPr>
        <w:pStyle w:val="Odstavecseseznamem"/>
        <w:numPr>
          <w:ilvl w:val="1"/>
          <w:numId w:val="27"/>
        </w:numPr>
        <w:spacing w:after="200"/>
        <w:ind w:left="1985" w:hanging="425"/>
      </w:pPr>
      <w:r>
        <w:t>Modernizace a zvýšení kapacity přenosových a distribučních soustav elektrické energie</w:t>
      </w:r>
    </w:p>
    <w:p w:rsidR="000C0B4C" w:rsidRDefault="000C0B4C" w:rsidP="004F3C2F">
      <w:pPr>
        <w:pStyle w:val="Odstavecseseznamem"/>
        <w:numPr>
          <w:ilvl w:val="1"/>
          <w:numId w:val="27"/>
        </w:numPr>
        <w:spacing w:after="200"/>
        <w:ind w:left="1985" w:hanging="425"/>
      </w:pPr>
      <w:r>
        <w:t>Snížení ztrát tepelné energie v rozvodných zařízeních a využití potenciálu kombinované výroby elektřiny a tepla</w:t>
      </w:r>
    </w:p>
    <w:p w:rsidR="000C0B4C" w:rsidRDefault="000C0B4C" w:rsidP="004F3C2F">
      <w:pPr>
        <w:pStyle w:val="Odstavecseseznamem"/>
        <w:numPr>
          <w:ilvl w:val="0"/>
          <w:numId w:val="27"/>
        </w:numPr>
        <w:spacing w:after="200"/>
        <w:ind w:left="1276" w:hanging="425"/>
      </w:pPr>
      <w:r>
        <w:t>Životní prostředí:</w:t>
      </w:r>
    </w:p>
    <w:p w:rsidR="000C0B4C" w:rsidRDefault="000C0B4C" w:rsidP="004F3C2F">
      <w:pPr>
        <w:pStyle w:val="Odstavecseseznamem"/>
        <w:numPr>
          <w:ilvl w:val="1"/>
          <w:numId w:val="27"/>
        </w:numPr>
        <w:spacing w:after="200"/>
        <w:ind w:left="1985" w:hanging="425"/>
      </w:pPr>
      <w:r>
        <w:t>Vodohospodářská infrastruktura</w:t>
      </w:r>
    </w:p>
    <w:p w:rsidR="000C0B4C" w:rsidRDefault="000C0B4C" w:rsidP="004F3C2F">
      <w:pPr>
        <w:pStyle w:val="Odstavecseseznamem"/>
        <w:numPr>
          <w:ilvl w:val="1"/>
          <w:numId w:val="27"/>
        </w:numPr>
        <w:spacing w:after="200"/>
        <w:ind w:left="1985" w:hanging="425"/>
      </w:pPr>
      <w:r>
        <w:lastRenderedPageBreak/>
        <w:t>odpady</w:t>
      </w:r>
    </w:p>
    <w:p w:rsidR="000C0B4C" w:rsidRDefault="000C0B4C" w:rsidP="004F3C2F">
      <w:pPr>
        <w:pStyle w:val="Odstavecseseznamem"/>
        <w:numPr>
          <w:ilvl w:val="0"/>
          <w:numId w:val="27"/>
        </w:numPr>
        <w:spacing w:after="200"/>
        <w:ind w:left="1276" w:hanging="425"/>
      </w:pPr>
      <w:r>
        <w:t xml:space="preserve">Sociální služby </w:t>
      </w:r>
    </w:p>
    <w:p w:rsidR="000C0B4C" w:rsidRDefault="000C0B4C" w:rsidP="004F3C2F">
      <w:pPr>
        <w:pStyle w:val="Odstavecseseznamem"/>
        <w:numPr>
          <w:ilvl w:val="1"/>
          <w:numId w:val="27"/>
        </w:numPr>
        <w:spacing w:after="200"/>
        <w:ind w:left="1985" w:hanging="425"/>
      </w:pPr>
      <w:r>
        <w:t xml:space="preserve">sociální bydlení pro všechny věkové kategorie (včetně důchodců) </w:t>
      </w:r>
    </w:p>
    <w:p w:rsidR="000C0B4C" w:rsidRDefault="000C0B4C" w:rsidP="004F3C2F">
      <w:pPr>
        <w:pStyle w:val="Odstavecseseznamem"/>
        <w:numPr>
          <w:ilvl w:val="0"/>
          <w:numId w:val="27"/>
        </w:numPr>
        <w:spacing w:after="200"/>
        <w:ind w:left="1276" w:hanging="425"/>
      </w:pPr>
      <w:r>
        <w:t xml:space="preserve">VaV </w:t>
      </w:r>
    </w:p>
    <w:p w:rsidR="000C0B4C" w:rsidRDefault="000C0B4C" w:rsidP="004F3C2F">
      <w:pPr>
        <w:pStyle w:val="Odstavecseseznamem"/>
        <w:numPr>
          <w:ilvl w:val="1"/>
          <w:numId w:val="27"/>
        </w:numPr>
        <w:spacing w:after="200"/>
        <w:ind w:left="1985" w:hanging="425"/>
      </w:pPr>
      <w:r>
        <w:t xml:space="preserve"> implementace výsledků VaV v podnicích/podpora výzkumu</w:t>
      </w:r>
    </w:p>
    <w:p w:rsidR="000C0B4C" w:rsidRDefault="000C0B4C" w:rsidP="004F3C2F">
      <w:pPr>
        <w:pStyle w:val="Odstavecseseznamem"/>
        <w:numPr>
          <w:ilvl w:val="1"/>
          <w:numId w:val="27"/>
        </w:numPr>
        <w:spacing w:after="200"/>
        <w:ind w:left="1985" w:hanging="425"/>
      </w:pPr>
      <w:r>
        <w:t>Technologické start-up</w:t>
      </w:r>
    </w:p>
    <w:p w:rsidR="000C0B4C" w:rsidRDefault="000C0B4C" w:rsidP="004F3C2F">
      <w:pPr>
        <w:pStyle w:val="Odstavecseseznamem"/>
        <w:numPr>
          <w:ilvl w:val="0"/>
          <w:numId w:val="27"/>
        </w:numPr>
        <w:spacing w:after="200"/>
        <w:ind w:left="1276" w:hanging="425"/>
      </w:pPr>
      <w:r>
        <w:t>Podnikání</w:t>
      </w:r>
    </w:p>
    <w:p w:rsidR="000C0B4C" w:rsidRDefault="000C0B4C" w:rsidP="004F3C2F">
      <w:pPr>
        <w:pStyle w:val="Odstavecseseznamem"/>
        <w:numPr>
          <w:ilvl w:val="1"/>
          <w:numId w:val="27"/>
        </w:numPr>
        <w:spacing w:after="200"/>
        <w:ind w:left="1985" w:hanging="425"/>
      </w:pPr>
      <w:r>
        <w:t xml:space="preserve">Snižování energetické a materiálové náročnosti podniků </w:t>
      </w:r>
    </w:p>
    <w:p w:rsidR="000C0B4C" w:rsidRDefault="000C0B4C" w:rsidP="004F3C2F">
      <w:pPr>
        <w:pStyle w:val="Odstavecseseznamem"/>
        <w:numPr>
          <w:ilvl w:val="1"/>
          <w:numId w:val="27"/>
        </w:numPr>
        <w:spacing w:after="200"/>
        <w:ind w:left="1985" w:hanging="425"/>
      </w:pPr>
      <w:r>
        <w:t>Cestovní ruch</w:t>
      </w:r>
    </w:p>
    <w:p w:rsidR="00AA08FF" w:rsidRDefault="000C0B4C" w:rsidP="00B966DC">
      <w:r>
        <w:t>Výše uvedené oblasti nejsou uvedeny dle priorit ani nejde o komplexní výčet všeho podporovatelného. Jde o výběr klíčových bodů jakožto průniku priorit definovaných Nařízením EP a Rady č.1303/2013 a národohospodářských priorit definovaných v relevantních strategiích</w:t>
      </w:r>
      <w:r w:rsidR="00AA08FF">
        <w:t>.</w:t>
      </w:r>
    </w:p>
    <w:p w:rsidR="00AA08FF" w:rsidRDefault="000C0B4C">
      <w:r>
        <w:t>Aby bylo možné definitivně konstatovat jejich relevanci, je nutné detailní posouzení z hlediska zajištění financování daných aktivit do budoucna (</w:t>
      </w:r>
      <w:r w:rsidR="007A6D0C">
        <w:t>tj.</w:t>
      </w:r>
      <w:r>
        <w:t xml:space="preserve"> identifikace nedostatku při zajištění realizace relevantní národohospodářské strategie), absorpční kapacity, legislativy a vhodnosti financování jinou formou, než dotacemi poskytovanými ze státního rozpočtu</w:t>
      </w:r>
      <w:r w:rsidR="00AA08FF">
        <w:t>.</w:t>
      </w:r>
    </w:p>
    <w:p w:rsidR="000C0B4C" w:rsidRDefault="000C0B4C">
      <w:r>
        <w:br w:type="page"/>
      </w:r>
    </w:p>
    <w:p w:rsidR="00287AF9" w:rsidRDefault="00435883" w:rsidP="007862C1">
      <w:pPr>
        <w:pStyle w:val="Nadpis2"/>
        <w:numPr>
          <w:ilvl w:val="0"/>
          <w:numId w:val="0"/>
        </w:numPr>
      </w:pPr>
      <w:bookmarkStart w:id="106" w:name="_Toc410115495"/>
      <w:r>
        <w:lastRenderedPageBreak/>
        <w:t>Příloha 5</w:t>
      </w:r>
      <w:r>
        <w:tab/>
      </w:r>
      <w:r w:rsidR="00287AF9">
        <w:t>Případové studie aplikované EK a EIB – příklady některých řešení</w:t>
      </w:r>
      <w:bookmarkEnd w:id="106"/>
    </w:p>
    <w:p w:rsidR="00287AF9" w:rsidRPr="00021F68" w:rsidRDefault="00287AF9" w:rsidP="00021F68">
      <w:pPr>
        <w:rPr>
          <w:b/>
          <w:color w:val="548DD4"/>
        </w:rPr>
      </w:pPr>
      <w:r w:rsidRPr="00021F68">
        <w:rPr>
          <w:b/>
          <w:color w:val="548DD4"/>
        </w:rPr>
        <w:t>Dopravní infrastruktura</w:t>
      </w:r>
    </w:p>
    <w:p w:rsidR="00287AF9" w:rsidRDefault="00287AF9" w:rsidP="00287AF9">
      <w:r>
        <w:t>Investice do dopravní infrastruktury</w:t>
      </w:r>
      <w:r w:rsidR="00BE262C">
        <w:t>,</w:t>
      </w:r>
      <w:r>
        <w:t xml:space="preserve"> a do infrastruktury vůbec</w:t>
      </w:r>
      <w:r w:rsidR="00BE262C">
        <w:t>,</w:t>
      </w:r>
      <w:r>
        <w:t xml:space="preserve"> mají mnoho pozitivních efektů. Jedná se o oblast s významným multiplikačním efektem investic do ekonomiky s dopadem </w:t>
      </w:r>
      <w:r w:rsidR="002C6A1C">
        <w:t>na </w:t>
      </w:r>
      <w:r>
        <w:t>podporu soukromých investic, růstu zaměstnanosti a také k růstu HDP.</w:t>
      </w:r>
      <w:r>
        <w:rPr>
          <w:rStyle w:val="Znakapoznpodarou"/>
        </w:rPr>
        <w:footnoteReference w:id="164"/>
      </w:r>
    </w:p>
    <w:p w:rsidR="00287AF9" w:rsidRDefault="00287AF9" w:rsidP="00287AF9">
      <w:r>
        <w:t>Vedle těchto pozitivních efektů samotné rozšíření dopravní infrastruktury přispívá k napojení ČR na okolní země a celý evropský transitní systém nebo může plnit klíčové role ve vnitrostátním systému (spojení Prahy s letištěm).</w:t>
      </w:r>
    </w:p>
    <w:p w:rsidR="00287AF9" w:rsidRDefault="00287AF9" w:rsidP="00287AF9">
      <w:pPr>
        <w:rPr>
          <w:b/>
        </w:rPr>
      </w:pPr>
      <w:r w:rsidRPr="00420B8F">
        <w:rPr>
          <w:b/>
        </w:rPr>
        <w:t>Opatření na úrovni EK</w:t>
      </w:r>
      <w:r>
        <w:rPr>
          <w:b/>
        </w:rPr>
        <w:t xml:space="preserve"> – projektové dluhopisy</w:t>
      </w:r>
      <w:r>
        <w:rPr>
          <w:rStyle w:val="Znakapoznpodarou"/>
          <w:b/>
        </w:rPr>
        <w:footnoteReference w:id="165"/>
      </w:r>
      <w:r w:rsidRPr="00420B8F">
        <w:rPr>
          <w:b/>
        </w:rPr>
        <w:t>:</w:t>
      </w:r>
    </w:p>
    <w:p w:rsidR="00AA08FF" w:rsidRDefault="00287AF9" w:rsidP="00287AF9">
      <w:r w:rsidRPr="00420B8F">
        <w:t xml:space="preserve">Iniciativa pro projektové dluhopisy je společnou iniciativou Evropské komise a EIB. </w:t>
      </w:r>
      <w:r>
        <w:t>Jejím</w:t>
      </w:r>
      <w:r w:rsidRPr="00420B8F">
        <w:t xml:space="preserve"> cílem je stimulovat financování z </w:t>
      </w:r>
      <w:r>
        <w:t>kapitálových trhů pro rozsáhlé projekty</w:t>
      </w:r>
      <w:r w:rsidRPr="00420B8F">
        <w:t xml:space="preserve"> infrastruktury v odvětvích dopravy (TEN-T), energetiky (TEN-E) a informačních a komunikačních technologií (ICT). Podle </w:t>
      </w:r>
      <w:r>
        <w:t>EK</w:t>
      </w:r>
      <w:r w:rsidRPr="00420B8F">
        <w:t xml:space="preserve">, je třeba </w:t>
      </w:r>
      <w:r w:rsidR="00D350EA">
        <w:t>investovat</w:t>
      </w:r>
      <w:r w:rsidR="00D350EA" w:rsidRPr="00420B8F">
        <w:t xml:space="preserve"> </w:t>
      </w:r>
      <w:r w:rsidRPr="00420B8F">
        <w:t>do infrastruktury v těchto odvětvích až 2 biliony EUR</w:t>
      </w:r>
      <w:r>
        <w:t>, aby byly splněny cíle</w:t>
      </w:r>
      <w:r w:rsidRPr="00420B8F">
        <w:t xml:space="preserve"> Evropské unie strategie Evropa 2020</w:t>
      </w:r>
      <w:r w:rsidR="00AA08FF">
        <w:t>.</w:t>
      </w:r>
    </w:p>
    <w:p w:rsidR="00287AF9" w:rsidRDefault="00287AF9" w:rsidP="00287AF9">
      <w:pPr>
        <w:spacing w:after="480"/>
      </w:pPr>
      <w:r w:rsidRPr="00420B8F">
        <w:t>Iniciativa pro projektové dluhopisy je navržen</w:t>
      </w:r>
      <w:r>
        <w:t>a</w:t>
      </w:r>
      <w:r w:rsidRPr="00420B8F">
        <w:t xml:space="preserve"> tak, aby způsobilé projekty v oblasti infrastruktury </w:t>
      </w:r>
      <w:r>
        <w:t xml:space="preserve">zapojovaly </w:t>
      </w:r>
      <w:r w:rsidRPr="00420B8F">
        <w:t>promotéry</w:t>
      </w:r>
      <w:r>
        <w:t xml:space="preserve"> (sponzory)</w:t>
      </w:r>
      <w:r w:rsidRPr="00420B8F">
        <w:t xml:space="preserve"> většinou </w:t>
      </w:r>
      <w:r>
        <w:t xml:space="preserve">z </w:t>
      </w:r>
      <w:r w:rsidRPr="00420B8F">
        <w:t>veřej</w:t>
      </w:r>
      <w:r>
        <w:t>ného a soukromého sektoru (PPP) a aby přilákaly</w:t>
      </w:r>
      <w:r w:rsidRPr="00420B8F">
        <w:t xml:space="preserve"> další soukromé </w:t>
      </w:r>
      <w:r>
        <w:t>investice</w:t>
      </w:r>
      <w:r w:rsidRPr="00420B8F">
        <w:t xml:space="preserve"> od institucionálních investorů, jako jsou pojišťovny a penzijní fondy.</w:t>
      </w:r>
    </w:p>
    <w:p w:rsidR="00834BB7" w:rsidRDefault="00834BB7" w:rsidP="00636988">
      <w:pPr>
        <w:pStyle w:val="schma"/>
      </w:pPr>
      <w:r>
        <w:t xml:space="preserve">Schéma </w:t>
      </w:r>
      <w:fldSimple w:instr=" SEQ Schéma \* ARABIC ">
        <w:r w:rsidR="006C5EA3">
          <w:rPr>
            <w:noProof/>
          </w:rPr>
          <w:t>33</w:t>
        </w:r>
      </w:fldSimple>
      <w:r>
        <w:t>: P</w:t>
      </w:r>
      <w:r w:rsidRPr="00834BB7">
        <w:t>rojektov</w:t>
      </w:r>
      <w:r>
        <w:t>ý</w:t>
      </w:r>
      <w:r w:rsidRPr="00834BB7">
        <w:t xml:space="preserve"> dluhopis snižujícího kreditní risk</w:t>
      </w:r>
    </w:p>
    <w:p w:rsidR="00287AF9" w:rsidRDefault="0055330E" w:rsidP="00287AF9">
      <w:pPr>
        <w:jc w:val="center"/>
      </w:pPr>
      <w:r>
        <w:rPr>
          <w:noProof/>
          <w:lang w:eastAsia="cs-CZ"/>
        </w:rPr>
        <w:drawing>
          <wp:inline distT="0" distB="0" distL="0" distR="0" wp14:anchorId="6EAB0621" wp14:editId="32171733">
            <wp:extent cx="4754880" cy="2703195"/>
            <wp:effectExtent l="19050" t="0" r="7620" b="0"/>
            <wp:docPr id="45"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61"/>
                    <a:srcRect/>
                    <a:stretch>
                      <a:fillRect/>
                    </a:stretch>
                  </pic:blipFill>
                  <pic:spPr bwMode="auto">
                    <a:xfrm>
                      <a:off x="0" y="0"/>
                      <a:ext cx="4754880" cy="2703195"/>
                    </a:xfrm>
                    <a:prstGeom prst="rect">
                      <a:avLst/>
                    </a:prstGeom>
                    <a:noFill/>
                    <a:ln w="9525">
                      <a:noFill/>
                      <a:miter lim="800000"/>
                      <a:headEnd/>
                      <a:tailEnd/>
                    </a:ln>
                  </pic:spPr>
                </pic:pic>
              </a:graphicData>
            </a:graphic>
          </wp:inline>
        </w:drawing>
      </w:r>
    </w:p>
    <w:p w:rsidR="000438CB" w:rsidRDefault="000438CB">
      <w:pPr>
        <w:jc w:val="left"/>
      </w:pPr>
    </w:p>
    <w:p w:rsidR="00287AF9" w:rsidRDefault="00287AF9" w:rsidP="00287AF9">
      <w:pPr>
        <w:spacing w:before="240"/>
      </w:pPr>
      <w:r>
        <w:t>Další informace o projektovém financování např. na webu EIB.</w:t>
      </w:r>
      <w:r>
        <w:rPr>
          <w:rStyle w:val="Znakapoznpodarou"/>
        </w:rPr>
        <w:footnoteReference w:id="166"/>
      </w:r>
    </w:p>
    <w:p w:rsidR="00287AF9" w:rsidRPr="00021F68" w:rsidRDefault="00287AF9" w:rsidP="00021F68">
      <w:pPr>
        <w:keepNext/>
        <w:rPr>
          <w:b/>
          <w:color w:val="548DD4"/>
        </w:rPr>
      </w:pPr>
      <w:r w:rsidRPr="00021F68">
        <w:rPr>
          <w:b/>
          <w:color w:val="548DD4"/>
        </w:rPr>
        <w:lastRenderedPageBreak/>
        <w:t>Energetické úspory</w:t>
      </w:r>
    </w:p>
    <w:p w:rsidR="00287AF9" w:rsidRDefault="00287AF9" w:rsidP="00287AF9">
      <w:pPr>
        <w:keepNext/>
        <w:keepLines/>
      </w:pPr>
      <w:r>
        <w:t>Energetické úspory, přechod na nízkouhlíkovou ekonomiku a snížení energetické náročnosti jsou jedním z hlavních cílů EK pro roky 2014 – 2020. Tato opatření v sobě zahrnují mnoho různých aktivit od snižování energetické náročnosti budov, využívání a vývoj nových technologií podporujících energetickou náročnost, chytré energetické sítě a systémy, dopravní mobilita atd.</w:t>
      </w:r>
    </w:p>
    <w:p w:rsidR="00287AF9" w:rsidRDefault="00287AF9" w:rsidP="00287AF9">
      <w:pPr>
        <w:keepNext/>
        <w:keepLines/>
      </w:pPr>
      <w:r>
        <w:t xml:space="preserve">Pro takto široce pojaté aktivity není jednoduché vytvářet finanční </w:t>
      </w:r>
      <w:r w:rsidR="00787752">
        <w:t>mechanizm</w:t>
      </w:r>
      <w:r>
        <w:t>y. Evropská komise a Evropská investiční banka iniciovaly a se svými partnery vytvořily investiční fondy pro</w:t>
      </w:r>
      <w:r w:rsidR="009129B7">
        <w:t> </w:t>
      </w:r>
      <w:r>
        <w:t>investice do</w:t>
      </w:r>
      <w:r w:rsidR="00AA08FF">
        <w:t xml:space="preserve"> </w:t>
      </w:r>
      <w:r>
        <w:t>energ</w:t>
      </w:r>
      <w:r w:rsidR="00001C90">
        <w:t>e</w:t>
      </w:r>
      <w:r>
        <w:t xml:space="preserve">tických úspor, </w:t>
      </w:r>
      <w:r w:rsidR="007A6D0C">
        <w:t>energetiky</w:t>
      </w:r>
      <w:r>
        <w:t xml:space="preserve"> a klimatu jako </w:t>
      </w:r>
      <w:r w:rsidRPr="00C6637E">
        <w:t>Global Energy Efficiency and</w:t>
      </w:r>
      <w:r w:rsidR="009129B7">
        <w:t> </w:t>
      </w:r>
      <w:r w:rsidRPr="00C6637E">
        <w:t>Renewable Energy Fund, European Energy Efficiency Fund</w:t>
      </w:r>
      <w:r w:rsidR="00AA08FF">
        <w:t xml:space="preserve"> </w:t>
      </w:r>
      <w:r w:rsidRPr="00C6637E">
        <w:t xml:space="preserve">a </w:t>
      </w:r>
      <w:r>
        <w:t>investiční vehikly</w:t>
      </w:r>
      <w:r w:rsidRPr="00C6637E">
        <w:t xml:space="preserve"> </w:t>
      </w:r>
      <w:r>
        <w:t>jako je</w:t>
      </w:r>
      <w:r w:rsidRPr="00C6637E">
        <w:t xml:space="preserve"> Marguerite Fund, the Crescent Clean Energy Fund, </w:t>
      </w:r>
      <w:r>
        <w:t xml:space="preserve">dále facility jako je </w:t>
      </w:r>
      <w:r w:rsidRPr="00C6637E">
        <w:t xml:space="preserve">Facility for Energy Sustainability </w:t>
      </w:r>
      <w:r>
        <w:t>a</w:t>
      </w:r>
      <w:r w:rsidRPr="00C6637E">
        <w:t xml:space="preserve"> Security of Supply </w:t>
      </w:r>
      <w:r>
        <w:t>a</w:t>
      </w:r>
      <w:r w:rsidRPr="00C6637E">
        <w:t xml:space="preserve"> Green Initiative </w:t>
      </w:r>
      <w:r>
        <w:t>a</w:t>
      </w:r>
      <w:r w:rsidRPr="00C6637E">
        <w:t xml:space="preserve"> Climate Awareness Bond.</w:t>
      </w:r>
      <w:r>
        <w:rPr>
          <w:rStyle w:val="Znakapoznpodarou"/>
        </w:rPr>
        <w:footnoteReference w:id="167"/>
      </w:r>
    </w:p>
    <w:p w:rsidR="00287AF9" w:rsidRDefault="00287AF9" w:rsidP="00287AF9">
      <w:pPr>
        <w:keepNext/>
        <w:keepLines/>
        <w:rPr>
          <w:b/>
        </w:rPr>
      </w:pPr>
      <w:r w:rsidRPr="00C6637E">
        <w:rPr>
          <w:b/>
        </w:rPr>
        <w:t>Opatření na úrovni EK</w:t>
      </w:r>
      <w:r>
        <w:rPr>
          <w:b/>
        </w:rPr>
        <w:t xml:space="preserve"> – strukturovaný investiční fond (European Energy Efficiency Fund</w:t>
      </w:r>
      <w:r>
        <w:rPr>
          <w:rStyle w:val="Znakapoznpodarou"/>
          <w:b/>
        </w:rPr>
        <w:footnoteReference w:id="168"/>
      </w:r>
      <w:r>
        <w:rPr>
          <w:b/>
        </w:rPr>
        <w:t xml:space="preserve"> nebo fond Green for Growth</w:t>
      </w:r>
      <w:r>
        <w:rPr>
          <w:rStyle w:val="Znakapoznpodarou"/>
          <w:b/>
        </w:rPr>
        <w:footnoteReference w:id="169"/>
      </w:r>
      <w:r>
        <w:rPr>
          <w:b/>
        </w:rPr>
        <w:t>):</w:t>
      </w:r>
    </w:p>
    <w:p w:rsidR="00287AF9" w:rsidRDefault="00287AF9" w:rsidP="00287AF9">
      <w:pPr>
        <w:keepNext/>
        <w:keepLines/>
        <w:spacing w:after="0"/>
        <w:rPr>
          <w:b/>
        </w:rPr>
      </w:pPr>
      <w:r>
        <w:rPr>
          <w:b/>
        </w:rPr>
        <w:t>European Energy Efficiency Fund</w:t>
      </w:r>
    </w:p>
    <w:p w:rsidR="00287AF9" w:rsidRDefault="00287AF9" w:rsidP="00287AF9">
      <w:r>
        <w:t>Investiční fond založený podle Lucemburského práva ve formě SICAV.</w:t>
      </w:r>
      <w:r w:rsidR="00AA08FF">
        <w:t xml:space="preserve"> </w:t>
      </w:r>
      <w:r>
        <w:t>Cílem fondu je zapojovat soukromý kapitál do investic v oblasti energetické účinnosti a napomáhat mobilizaci dalšího investičního kapitálu v této oblasti.</w:t>
      </w:r>
    </w:p>
    <w:p w:rsidR="00287AF9" w:rsidRDefault="00287AF9" w:rsidP="00287AF9">
      <w:pPr>
        <w:keepNext/>
        <w:keepLines/>
        <w:spacing w:after="0"/>
        <w:rPr>
          <w:b/>
        </w:rPr>
      </w:pPr>
      <w:r>
        <w:rPr>
          <w:b/>
        </w:rPr>
        <w:t>Green for Growth Fund</w:t>
      </w:r>
    </w:p>
    <w:p w:rsidR="00AA08FF" w:rsidRDefault="00287AF9" w:rsidP="00287AF9">
      <w:r w:rsidRPr="00EF2F90">
        <w:t xml:space="preserve">GGF je prvním specializovaným fondem pro podporu energetické účinnosti </w:t>
      </w:r>
      <w:r w:rsidR="00E87264" w:rsidRPr="00EF2F90">
        <w:t>(EE)</w:t>
      </w:r>
      <w:r w:rsidRPr="00EF2F90">
        <w:t xml:space="preserve"> a obnovitelných zdrojů energie </w:t>
      </w:r>
      <w:r w:rsidR="00E87264" w:rsidRPr="00EF2F90">
        <w:t>(RE)</w:t>
      </w:r>
      <w:r w:rsidRPr="00EF2F90">
        <w:t xml:space="preserve"> v jihovýchodní Evropě, včetně Turecka. Fond je iniciovaný Evropskou</w:t>
      </w:r>
      <w:r w:rsidRPr="0058697E">
        <w:t xml:space="preserve"> investiční bankou a </w:t>
      </w:r>
      <w:r>
        <w:t xml:space="preserve">německou </w:t>
      </w:r>
      <w:r w:rsidRPr="0058697E">
        <w:t xml:space="preserve">KfW Entwicklungsbank, GGF je inovativní partnerství veřejného a soukromého </w:t>
      </w:r>
      <w:r>
        <w:t xml:space="preserve">sektoru zaměřené </w:t>
      </w:r>
      <w:r w:rsidRPr="0058697E">
        <w:t>na snížení spotřeby energie a emisí CO2</w:t>
      </w:r>
      <w:r w:rsidR="00AA08FF">
        <w:t>.</w:t>
      </w:r>
    </w:p>
    <w:p w:rsidR="00287AF9" w:rsidRPr="00021F68" w:rsidRDefault="005144FD" w:rsidP="00636988">
      <w:pPr>
        <w:pStyle w:val="schma"/>
      </w:pPr>
      <w:bookmarkStart w:id="107" w:name="_Toc409446426"/>
      <w:r>
        <w:t xml:space="preserve">Schéma </w:t>
      </w:r>
      <w:fldSimple w:instr=" SEQ Schéma \* ARABIC ">
        <w:r w:rsidR="006C5EA3">
          <w:rPr>
            <w:noProof/>
          </w:rPr>
          <w:t>34</w:t>
        </w:r>
      </w:fldSimple>
      <w:r>
        <w:t xml:space="preserve">: </w:t>
      </w:r>
      <w:r w:rsidR="00287AF9" w:rsidRPr="00636988">
        <w:rPr>
          <w:rStyle w:val="GrafChar"/>
        </w:rPr>
        <w:t>EEEF</w:t>
      </w:r>
      <w:bookmarkEnd w:id="107"/>
    </w:p>
    <w:p w:rsidR="00287AF9" w:rsidRDefault="0055330E" w:rsidP="00287AF9">
      <w:pPr>
        <w:jc w:val="center"/>
      </w:pPr>
      <w:r>
        <w:rPr>
          <w:noProof/>
          <w:lang w:eastAsia="cs-CZ"/>
        </w:rPr>
        <w:drawing>
          <wp:inline distT="0" distB="0" distL="0" distR="0" wp14:anchorId="416C731F" wp14:editId="78893CDE">
            <wp:extent cx="4484370" cy="3188335"/>
            <wp:effectExtent l="19050" t="0" r="0" b="0"/>
            <wp:docPr id="46"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62"/>
                    <a:srcRect/>
                    <a:stretch>
                      <a:fillRect/>
                    </a:stretch>
                  </pic:blipFill>
                  <pic:spPr bwMode="auto">
                    <a:xfrm>
                      <a:off x="0" y="0"/>
                      <a:ext cx="4484370" cy="3188335"/>
                    </a:xfrm>
                    <a:prstGeom prst="rect">
                      <a:avLst/>
                    </a:prstGeom>
                    <a:noFill/>
                    <a:ln w="9525">
                      <a:noFill/>
                      <a:miter lim="800000"/>
                      <a:headEnd/>
                      <a:tailEnd/>
                    </a:ln>
                  </pic:spPr>
                </pic:pic>
              </a:graphicData>
            </a:graphic>
          </wp:inline>
        </w:drawing>
      </w:r>
    </w:p>
    <w:p w:rsidR="002521B2" w:rsidRDefault="002521B2">
      <w:r>
        <w:br w:type="page"/>
      </w:r>
    </w:p>
    <w:p w:rsidR="002521B2" w:rsidRDefault="00306754" w:rsidP="00EF2F90">
      <w:pPr>
        <w:pStyle w:val="Nadpis2"/>
        <w:numPr>
          <w:ilvl w:val="0"/>
          <w:numId w:val="0"/>
        </w:numPr>
        <w:ind w:left="1134" w:hanging="1134"/>
      </w:pPr>
      <w:bookmarkStart w:id="108" w:name="_Toc410115496"/>
      <w:r>
        <w:lastRenderedPageBreak/>
        <w:t xml:space="preserve">Příloha </w:t>
      </w:r>
      <w:r w:rsidR="007862C1">
        <w:t>6</w:t>
      </w:r>
      <w:r w:rsidR="00EF2F90">
        <w:tab/>
      </w:r>
      <w:r w:rsidR="002521B2">
        <w:t>Seznam podkladových materiálů ministerstev a řídících orgánů jako východisek pro analýzu</w:t>
      </w:r>
      <w:bookmarkEnd w:id="108"/>
    </w:p>
    <w:p w:rsidR="002521B2" w:rsidRDefault="002521B2" w:rsidP="003942C6">
      <w:pPr>
        <w:pStyle w:val="Odstavecseseznamem"/>
        <w:numPr>
          <w:ilvl w:val="0"/>
          <w:numId w:val="29"/>
        </w:numPr>
        <w:ind w:left="1281" w:hanging="357"/>
        <w:contextualSpacing w:val="0"/>
      </w:pPr>
      <w:r>
        <w:t xml:space="preserve">MPO </w:t>
      </w:r>
      <w:r>
        <w:tab/>
      </w:r>
      <w:r>
        <w:tab/>
        <w:t xml:space="preserve">Strategie zapojení Českomoravské záruční a rozvojové banky, a.s. </w:t>
      </w:r>
      <w:r w:rsidR="00FC7CD5">
        <w:t>do </w:t>
      </w:r>
      <w:r>
        <w:t>implementace Evropských strukturálních a investičních fondů [červenec 2014]</w:t>
      </w:r>
      <w:r w:rsidR="00B54C37">
        <w:t>.</w:t>
      </w:r>
    </w:p>
    <w:p w:rsidR="002521B2" w:rsidRDefault="002521B2" w:rsidP="003942C6">
      <w:pPr>
        <w:pStyle w:val="Odstavecseseznamem"/>
        <w:numPr>
          <w:ilvl w:val="0"/>
          <w:numId w:val="29"/>
        </w:numPr>
        <w:ind w:left="1281" w:hanging="357"/>
        <w:contextualSpacing w:val="0"/>
      </w:pPr>
      <w:r>
        <w:t>ČMZRB</w:t>
      </w:r>
      <w:r>
        <w:tab/>
        <w:t xml:space="preserve">Zásady rozvoje činnosti Českomoravské záruční a rozvojové banky, a. s. </w:t>
      </w:r>
      <w:r w:rsidR="00FC7CD5">
        <w:t>při </w:t>
      </w:r>
      <w:r>
        <w:t>správě finančních nástrojů využívajících prostředky strukturálních fondů v letech 2014 – 2020 [2014]</w:t>
      </w:r>
      <w:r w:rsidR="00B54C37">
        <w:t>.</w:t>
      </w:r>
    </w:p>
    <w:p w:rsidR="00666204" w:rsidRDefault="002521B2" w:rsidP="00636988">
      <w:pPr>
        <w:pStyle w:val="Odstavecseseznamem"/>
        <w:numPr>
          <w:ilvl w:val="0"/>
          <w:numId w:val="29"/>
        </w:numPr>
        <w:contextualSpacing w:val="0"/>
      </w:pPr>
      <w:r>
        <w:t>MMR</w:t>
      </w:r>
      <w:r>
        <w:tab/>
      </w:r>
      <w:r w:rsidR="00895FDE" w:rsidRPr="00895FDE">
        <w:t>Metodické doporučení pro implementaci finančních nástrojů v programovém období 2014 - 2020</w:t>
      </w:r>
      <w:r>
        <w:t xml:space="preserve"> [ří</w:t>
      </w:r>
      <w:r w:rsidR="00895FDE">
        <w:t>jen</w:t>
      </w:r>
      <w:r>
        <w:t xml:space="preserve"> 2014]</w:t>
      </w:r>
      <w:r w:rsidR="00B54C37">
        <w:t>.</w:t>
      </w:r>
    </w:p>
    <w:p w:rsidR="00F3126C" w:rsidRDefault="002521B2" w:rsidP="003942C6">
      <w:pPr>
        <w:pStyle w:val="Odstavecseseznamem"/>
        <w:numPr>
          <w:ilvl w:val="0"/>
          <w:numId w:val="29"/>
        </w:numPr>
        <w:ind w:left="1281" w:hanging="357"/>
        <w:contextualSpacing w:val="0"/>
      </w:pPr>
      <w:r>
        <w:t>MŽP</w:t>
      </w:r>
      <w:r>
        <w:tab/>
        <w:t>Zpracování analytických a dalších podpůrných podkladů pro zajištění úlohy Ministerstva životního prostředí v budoucím programovém období 2014</w:t>
      </w:r>
      <w:r w:rsidR="00253CDE">
        <w:t xml:space="preserve"> </w:t>
      </w:r>
      <w:r>
        <w:t>–</w:t>
      </w:r>
      <w:r w:rsidR="00253CDE">
        <w:t xml:space="preserve"> </w:t>
      </w:r>
      <w:r>
        <w:t>2020 – Deloitte [září 2014]</w:t>
      </w:r>
      <w:r w:rsidR="00B54C37">
        <w:t>.</w:t>
      </w:r>
    </w:p>
    <w:p w:rsidR="00F3126C" w:rsidRPr="006006B3" w:rsidRDefault="00F3126C" w:rsidP="00636988">
      <w:pPr>
        <w:spacing w:after="0" w:line="240" w:lineRule="auto"/>
        <w:ind w:left="0"/>
        <w:jc w:val="left"/>
      </w:pPr>
    </w:p>
    <w:sectPr w:rsidR="00F3126C" w:rsidRPr="006006B3" w:rsidSect="000C0B4C">
      <w:pgSz w:w="11906" w:h="16838"/>
      <w:pgMar w:top="1304" w:right="1418" w:bottom="1418"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6A2" w:rsidRDefault="00E966A2" w:rsidP="00D6286A">
      <w:r>
        <w:separator/>
      </w:r>
    </w:p>
  </w:endnote>
  <w:endnote w:type="continuationSeparator" w:id="0">
    <w:p w:rsidR="00E966A2" w:rsidRDefault="00E966A2" w:rsidP="00D6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5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g Sans Book">
    <w:altName w:val="Arial"/>
    <w:panose1 w:val="00000000000000000000"/>
    <w:charset w:val="EE"/>
    <w:family w:val="swiss"/>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A2" w:rsidRDefault="00E966A2">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A2" w:rsidRDefault="00E966A2">
    <w:pPr>
      <w:pStyle w:val="Zpat"/>
      <w:jc w:val="center"/>
    </w:pPr>
    <w:r>
      <w:fldChar w:fldCharType="begin"/>
    </w:r>
    <w:r>
      <w:instrText xml:space="preserve"> PAGE   \* MERGEFORMAT </w:instrText>
    </w:r>
    <w:r>
      <w:fldChar w:fldCharType="separate"/>
    </w:r>
    <w:r w:rsidR="006C5EA3">
      <w:rPr>
        <w:noProof/>
      </w:rPr>
      <w:t>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6A2" w:rsidRDefault="00E966A2" w:rsidP="00D6286A">
      <w:r>
        <w:separator/>
      </w:r>
    </w:p>
  </w:footnote>
  <w:footnote w:type="continuationSeparator" w:id="0">
    <w:p w:rsidR="00E966A2" w:rsidRDefault="00E966A2" w:rsidP="00D6286A">
      <w:r>
        <w:continuationSeparator/>
      </w:r>
    </w:p>
  </w:footnote>
  <w:footnote w:id="1">
    <w:p w:rsidR="00E966A2" w:rsidRDefault="00E966A2" w:rsidP="00301BFB">
      <w:pPr>
        <w:pStyle w:val="Textpoznpodarou"/>
      </w:pPr>
      <w:r>
        <w:rPr>
          <w:rStyle w:val="Znakapoznpodarou"/>
        </w:rPr>
        <w:footnoteRef/>
      </w:r>
      <w:r>
        <w:t xml:space="preserve"> </w:t>
      </w:r>
      <w:r>
        <w:tab/>
        <w:t>Tato posouzení je podle čl. 37 odst. 2 nařízení Evropského parlamentu a Rady (EU) č. 1303/2013 řídící orgán povinen provést před vložením prostředků operačního programu do finančního nástroje nebo Fondu fondů.</w:t>
      </w:r>
    </w:p>
  </w:footnote>
  <w:footnote w:id="2">
    <w:p w:rsidR="00E966A2" w:rsidRDefault="00E966A2" w:rsidP="00301BFB">
      <w:pPr>
        <w:pStyle w:val="Textpoznpodarou"/>
      </w:pPr>
      <w:r>
        <w:rPr>
          <w:rStyle w:val="Znakapoznpodarou"/>
        </w:rPr>
        <w:footnoteRef/>
      </w:r>
      <w:r>
        <w:t xml:space="preserve"> </w:t>
      </w:r>
      <w:r>
        <w:tab/>
      </w:r>
      <w:hyperlink r:id="rId1" w:history="1">
        <w:r w:rsidRPr="00C63DDA">
          <w:rPr>
            <w:rStyle w:val="Hypertextovodkaz"/>
          </w:rPr>
          <w:t>http://epp.eurostat.ec.europa.eu/statistics_explained/index.php/Structure_of_government_debt</w:t>
        </w:r>
      </w:hyperlink>
    </w:p>
  </w:footnote>
  <w:footnote w:id="3">
    <w:p w:rsidR="00E966A2" w:rsidRDefault="00E966A2" w:rsidP="00301BFB">
      <w:pPr>
        <w:pStyle w:val="Textpoznpodarou"/>
      </w:pPr>
      <w:r>
        <w:rPr>
          <w:rStyle w:val="Znakapoznpodarou"/>
        </w:rPr>
        <w:footnoteRef/>
      </w:r>
      <w:r>
        <w:t xml:space="preserve"> </w:t>
      </w:r>
      <w:r>
        <w:tab/>
      </w:r>
      <w:hyperlink r:id="rId2" w:history="1">
        <w:r w:rsidRPr="00C63DDA">
          <w:rPr>
            <w:rStyle w:val="Hypertextovodkaz"/>
          </w:rPr>
          <w:t>http://www.mfcr.cz/cs/verejny-sektor/prognozy/makroekonomicka-predikce/2014/makroekonomicka-predikce-leden-2014-16757</w:t>
        </w:r>
      </w:hyperlink>
    </w:p>
  </w:footnote>
  <w:footnote w:id="4">
    <w:p w:rsidR="00E966A2" w:rsidRDefault="00E966A2" w:rsidP="00301BFB">
      <w:pPr>
        <w:pStyle w:val="Textpoznpodarou"/>
      </w:pPr>
      <w:r>
        <w:rPr>
          <w:rStyle w:val="Znakapoznpodarou"/>
        </w:rPr>
        <w:footnoteRef/>
      </w:r>
      <w:r>
        <w:t xml:space="preserve"> </w:t>
      </w:r>
      <w:r>
        <w:tab/>
      </w:r>
      <w:hyperlink r:id="rId3" w:history="1">
        <w:r w:rsidRPr="00C63DDA">
          <w:rPr>
            <w:rStyle w:val="Hypertextovodkaz"/>
          </w:rPr>
          <w:t>http://www.mfcr.cz/cs/verejny-sektor/hospodareni/rizeni-statniho-dluhu/dluhova-statistika/struktura-a-vyvoj-statniho-dluhu</w:t>
        </w:r>
      </w:hyperlink>
    </w:p>
  </w:footnote>
  <w:footnote w:id="5">
    <w:p w:rsidR="00E966A2" w:rsidRDefault="00E966A2" w:rsidP="00301BFB">
      <w:pPr>
        <w:pStyle w:val="Textpoznpodarou"/>
      </w:pPr>
      <w:r>
        <w:rPr>
          <w:rStyle w:val="Znakapoznpodarou"/>
        </w:rPr>
        <w:footnoteRef/>
      </w:r>
      <w:r>
        <w:t xml:space="preserve"> </w:t>
      </w:r>
      <w:r>
        <w:tab/>
      </w:r>
      <w:hyperlink r:id="rId4" w:anchor="historie" w:history="1">
        <w:r w:rsidRPr="00C63DDA">
          <w:rPr>
            <w:rStyle w:val="Hypertextovodkaz"/>
          </w:rPr>
          <w:t>http://www.cnb.cz/cs/menova_politika/mp_nastroje/#historie</w:t>
        </w:r>
      </w:hyperlink>
    </w:p>
  </w:footnote>
  <w:footnote w:id="6">
    <w:p w:rsidR="00E966A2" w:rsidRDefault="00E966A2" w:rsidP="00301BFB">
      <w:pPr>
        <w:pStyle w:val="Textpoznpodarou"/>
      </w:pPr>
      <w:r>
        <w:rPr>
          <w:rStyle w:val="Znakapoznpodarou"/>
        </w:rPr>
        <w:footnoteRef/>
      </w:r>
      <w:r>
        <w:t xml:space="preserve"> </w:t>
      </w:r>
      <w:r>
        <w:tab/>
      </w:r>
      <w:hyperlink r:id="rId5" w:history="1">
        <w:r w:rsidRPr="00C63DDA">
          <w:rPr>
            <w:rStyle w:val="Hypertextovodkaz"/>
          </w:rPr>
          <w:t>http://www.economist.com/blogs/graphicdetail/2014/08/european-economy-guide</w:t>
        </w:r>
      </w:hyperlink>
    </w:p>
  </w:footnote>
  <w:footnote w:id="7">
    <w:p w:rsidR="00E966A2" w:rsidRDefault="00E966A2" w:rsidP="00301BFB">
      <w:pPr>
        <w:pStyle w:val="Textpoznpodarou"/>
      </w:pPr>
      <w:r>
        <w:rPr>
          <w:rStyle w:val="Znakapoznpodarou"/>
        </w:rPr>
        <w:footnoteRef/>
      </w:r>
      <w:r>
        <w:t xml:space="preserve"> </w:t>
      </w:r>
      <w:r>
        <w:tab/>
      </w:r>
      <w:hyperlink r:id="rId6" w:history="1">
        <w:r w:rsidRPr="00242ECB">
          <w:rPr>
            <w:rStyle w:val="Hypertextovodkaz"/>
          </w:rPr>
          <w:t>http://www.ft.com/intl/topics/themes/Europe_Quantitative_Easing</w:t>
        </w:r>
      </w:hyperlink>
      <w:r>
        <w:t xml:space="preserve"> </w:t>
      </w:r>
    </w:p>
  </w:footnote>
  <w:footnote w:id="8">
    <w:p w:rsidR="00E966A2" w:rsidRDefault="00E966A2" w:rsidP="00301BFB">
      <w:pPr>
        <w:pStyle w:val="Textpoznpodarou"/>
      </w:pPr>
      <w:r>
        <w:rPr>
          <w:rStyle w:val="Znakapoznpodarou"/>
        </w:rPr>
        <w:footnoteRef/>
      </w:r>
      <w:r>
        <w:t xml:space="preserve"> </w:t>
      </w:r>
      <w:r>
        <w:tab/>
      </w:r>
      <w:hyperlink r:id="rId7" w:history="1">
        <w:r w:rsidRPr="00242ECB">
          <w:rPr>
            <w:rStyle w:val="Hypertextovodkaz"/>
          </w:rPr>
          <w:t>http://www.ekathimerini.com/4dcgi/_w_articles_wsite2_1_14/07/2014_541363</w:t>
        </w:r>
      </w:hyperlink>
      <w:r>
        <w:t xml:space="preserve"> </w:t>
      </w:r>
    </w:p>
  </w:footnote>
  <w:footnote w:id="9">
    <w:p w:rsidR="00E966A2" w:rsidRDefault="00E966A2" w:rsidP="00301BFB">
      <w:pPr>
        <w:pStyle w:val="Textpoznpodarou"/>
      </w:pPr>
      <w:r>
        <w:rPr>
          <w:rStyle w:val="Znakapoznpodarou"/>
        </w:rPr>
        <w:footnoteRef/>
      </w:r>
      <w:r>
        <w:t xml:space="preserve"> </w:t>
      </w:r>
      <w:r>
        <w:tab/>
      </w:r>
      <w:hyperlink r:id="rId8" w:history="1">
        <w:r w:rsidRPr="00242ECB">
          <w:rPr>
            <w:rStyle w:val="Hypertextovodkaz"/>
          </w:rPr>
          <w:t>http://www.thetimes.co.uk/tto/business/economics/article4229666.ece</w:t>
        </w:r>
      </w:hyperlink>
      <w:r>
        <w:t xml:space="preserve"> </w:t>
      </w:r>
    </w:p>
  </w:footnote>
  <w:footnote w:id="10">
    <w:p w:rsidR="00E966A2" w:rsidRDefault="00E966A2" w:rsidP="00301BFB">
      <w:pPr>
        <w:pStyle w:val="Textpoznpodarou"/>
      </w:pPr>
      <w:r>
        <w:rPr>
          <w:rStyle w:val="Znakapoznpodarou"/>
        </w:rPr>
        <w:footnoteRef/>
      </w:r>
      <w:r>
        <w:t xml:space="preserve"> </w:t>
      </w:r>
      <w:r>
        <w:tab/>
      </w:r>
      <w:hyperlink r:id="rId9" w:history="1">
        <w:r w:rsidRPr="00242ECB">
          <w:rPr>
            <w:rStyle w:val="Hypertextovodkaz"/>
          </w:rPr>
          <w:t>http://www.imf.org/external/</w:t>
        </w:r>
      </w:hyperlink>
      <w:r>
        <w:t xml:space="preserve"> </w:t>
      </w:r>
    </w:p>
  </w:footnote>
  <w:footnote w:id="11">
    <w:p w:rsidR="00E966A2" w:rsidRDefault="00E966A2" w:rsidP="00301BFB">
      <w:pPr>
        <w:pStyle w:val="Textpoznpodarou"/>
      </w:pPr>
      <w:r>
        <w:rPr>
          <w:rStyle w:val="Znakapoznpodarou"/>
        </w:rPr>
        <w:footnoteRef/>
      </w:r>
      <w:r>
        <w:t xml:space="preserve"> </w:t>
      </w:r>
      <w:r>
        <w:tab/>
        <w:t>Více v kapitole 2.3 Situace v ČR.</w:t>
      </w:r>
    </w:p>
  </w:footnote>
  <w:footnote w:id="12">
    <w:p w:rsidR="00E966A2" w:rsidRPr="00EB61FE" w:rsidRDefault="00E966A2" w:rsidP="00301BFB">
      <w:pPr>
        <w:pStyle w:val="Textpoznpodarou"/>
      </w:pPr>
      <w:r>
        <w:rPr>
          <w:rStyle w:val="Znakapoznpodarou"/>
        </w:rPr>
        <w:footnoteRef/>
      </w:r>
      <w:r>
        <w:t xml:space="preserve"> </w:t>
      </w:r>
      <w:r>
        <w:tab/>
      </w:r>
      <w:hyperlink r:id="rId10" w:history="1">
        <w:r w:rsidRPr="00242ECB">
          <w:rPr>
            <w:rStyle w:val="Hypertextovodkaz"/>
            <w:sz w:val="16"/>
            <w:szCs w:val="16"/>
          </w:rPr>
          <w:t>http://europa.eu/rapid/press-release_IP-13-1096_en.htm</w:t>
        </w:r>
      </w:hyperlink>
      <w:r>
        <w:t xml:space="preserve"> </w:t>
      </w:r>
    </w:p>
  </w:footnote>
  <w:footnote w:id="13">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1" w:history="1">
        <w:r w:rsidRPr="00242ECB">
          <w:rPr>
            <w:rStyle w:val="Hypertextovodkaz"/>
            <w:sz w:val="16"/>
            <w:szCs w:val="16"/>
          </w:rPr>
          <w:t>http://ec.europa.eu/economy_finance/financial_operations/investment/innovative_financial_instruments/index_en.htm</w:t>
        </w:r>
      </w:hyperlink>
      <w:r>
        <w:t xml:space="preserve"> </w:t>
      </w:r>
    </w:p>
  </w:footnote>
  <w:footnote w:id="14">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2" w:history="1">
        <w:r w:rsidRPr="00242ECB">
          <w:rPr>
            <w:rStyle w:val="Hypertextovodkaz"/>
            <w:sz w:val="16"/>
            <w:szCs w:val="16"/>
          </w:rPr>
          <w:t>http://ec.europa.eu/enterprise/initiatives/cosme/index_en.htm</w:t>
        </w:r>
      </w:hyperlink>
      <w:r>
        <w:t xml:space="preserve"> </w:t>
      </w:r>
    </w:p>
  </w:footnote>
  <w:footnote w:id="15">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3" w:history="1">
        <w:r w:rsidRPr="00242ECB">
          <w:rPr>
            <w:rStyle w:val="Hypertextovodkaz"/>
            <w:sz w:val="16"/>
            <w:szCs w:val="16"/>
          </w:rPr>
          <w:t>http://ec.europa.eu/programmes/horizon2020/en/what-horizon-2020</w:t>
        </w:r>
      </w:hyperlink>
      <w:r>
        <w:t xml:space="preserve"> </w:t>
      </w:r>
    </w:p>
  </w:footnote>
  <w:footnote w:id="16">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4" w:history="1">
        <w:r w:rsidRPr="00242ECB">
          <w:rPr>
            <w:rStyle w:val="Hypertextovodkaz"/>
            <w:sz w:val="16"/>
            <w:szCs w:val="16"/>
          </w:rPr>
          <w:t>http://www.eib.org/products/project-bonds/</w:t>
        </w:r>
      </w:hyperlink>
      <w:r>
        <w:t xml:space="preserve"> </w:t>
      </w:r>
    </w:p>
  </w:footnote>
  <w:footnote w:id="17">
    <w:p w:rsidR="00E966A2" w:rsidRDefault="00E966A2" w:rsidP="00301BFB">
      <w:pPr>
        <w:pStyle w:val="Textpoznpodarou"/>
      </w:pPr>
      <w:r>
        <w:rPr>
          <w:rStyle w:val="Znakapoznpodarou"/>
        </w:rPr>
        <w:footnoteRef/>
      </w:r>
      <w:r>
        <w:t xml:space="preserve"> </w:t>
      </w:r>
      <w:r>
        <w:tab/>
      </w:r>
      <w:r w:rsidRPr="002521B2">
        <w:t>Další informace v příloze č.</w:t>
      </w:r>
      <w:r>
        <w:t xml:space="preserve"> </w:t>
      </w:r>
      <w:r w:rsidRPr="002521B2">
        <w:t>3</w:t>
      </w:r>
      <w:r>
        <w:t>.</w:t>
      </w:r>
    </w:p>
  </w:footnote>
  <w:footnote w:id="18">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5" w:history="1">
        <w:r w:rsidRPr="00242ECB">
          <w:rPr>
            <w:rStyle w:val="Hypertextovodkaz"/>
            <w:sz w:val="16"/>
            <w:szCs w:val="16"/>
          </w:rPr>
          <w:t>http://ec.europa.eu/internal_market/investment/alternative_investments/index_en.htm</w:t>
        </w:r>
      </w:hyperlink>
      <w:r>
        <w:t xml:space="preserve"> </w:t>
      </w:r>
    </w:p>
  </w:footnote>
  <w:footnote w:id="19">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6" w:history="1">
        <w:r w:rsidRPr="00242ECB">
          <w:rPr>
            <w:rStyle w:val="Hypertextovodkaz"/>
            <w:sz w:val="16"/>
            <w:szCs w:val="16"/>
          </w:rPr>
          <w:t>http://ec.europa.eu/internal_market/investment/venture_capital/index_en.htm</w:t>
        </w:r>
      </w:hyperlink>
      <w:r>
        <w:t xml:space="preserve"> </w:t>
      </w:r>
    </w:p>
  </w:footnote>
  <w:footnote w:id="20">
    <w:p w:rsidR="00E966A2" w:rsidRDefault="00E966A2" w:rsidP="00301BFB">
      <w:pPr>
        <w:pStyle w:val="Textpoznpodarou"/>
      </w:pPr>
      <w:r w:rsidRPr="00755E19">
        <w:rPr>
          <w:rStyle w:val="Znakapoznpodarou"/>
          <w:sz w:val="16"/>
          <w:szCs w:val="16"/>
        </w:rPr>
        <w:footnoteRef/>
      </w:r>
      <w:r w:rsidRPr="00755E19">
        <w:rPr>
          <w:rStyle w:val="Znakapoznpodarou"/>
          <w:sz w:val="16"/>
          <w:szCs w:val="16"/>
        </w:rPr>
        <w:t xml:space="preserve"> </w:t>
      </w:r>
      <w:r w:rsidRPr="00755E19">
        <w:rPr>
          <w:rStyle w:val="Znakapoznpodarou"/>
          <w:sz w:val="16"/>
          <w:szCs w:val="16"/>
        </w:rPr>
        <w:tab/>
      </w:r>
      <w:r w:rsidRPr="00755E19">
        <w:t xml:space="preserve">ČR je v této oblasti zcela na chvostu EU a tento typ investic není prakticky používán, pokud ano, pak tyto fondy nesídlí v ČR, ale na Kypru, v Lucembursku, Holandsku a podobně. Stát přitom investuje ročně 26 </w:t>
      </w:r>
      <w:r w:rsidRPr="000D59AC">
        <w:t xml:space="preserve">mld. </w:t>
      </w:r>
      <w:r w:rsidRPr="00984B83">
        <w:t>Kč</w:t>
      </w:r>
      <w:r>
        <w:t xml:space="preserve"> </w:t>
      </w:r>
      <w:r w:rsidRPr="00755E19">
        <w:t>do</w:t>
      </w:r>
      <w:r>
        <w:t> </w:t>
      </w:r>
      <w:r w:rsidRPr="00755E19">
        <w:t>základního výzkumu, ale přitom v ČR nevznikají masivně nové technologické firmy.</w:t>
      </w:r>
    </w:p>
  </w:footnote>
  <w:footnote w:id="21">
    <w:p w:rsidR="00E966A2" w:rsidRDefault="00E966A2" w:rsidP="00301BFB">
      <w:pPr>
        <w:pStyle w:val="Textpoznpodarou"/>
      </w:pPr>
      <w:r>
        <w:rPr>
          <w:rStyle w:val="Znakapoznpodarou"/>
        </w:rPr>
        <w:footnoteRef/>
      </w:r>
      <w:r>
        <w:t xml:space="preserve"> </w:t>
      </w:r>
      <w:r>
        <w:tab/>
      </w:r>
      <w:hyperlink r:id="rId17" w:history="1">
        <w:r w:rsidRPr="00BB2357">
          <w:rPr>
            <w:rStyle w:val="Hypertextovodkaz"/>
          </w:rPr>
          <w:t>http://ec.europa.eu/internal_market/investment/social_investment_funds/index_en.htm</w:t>
        </w:r>
      </w:hyperlink>
      <w:r>
        <w:t xml:space="preserve"> </w:t>
      </w:r>
    </w:p>
  </w:footnote>
  <w:footnote w:id="22">
    <w:p w:rsidR="00E966A2" w:rsidRPr="00EB61FE" w:rsidRDefault="00E966A2" w:rsidP="00301BFB">
      <w:pPr>
        <w:pStyle w:val="Textpoznpodarou"/>
      </w:pPr>
      <w:r w:rsidRPr="00EB61FE">
        <w:rPr>
          <w:rStyle w:val="Znakapoznpodarou"/>
          <w:sz w:val="16"/>
          <w:szCs w:val="16"/>
        </w:rPr>
        <w:footnoteRef/>
      </w:r>
      <w:r w:rsidRPr="00EB61FE">
        <w:t xml:space="preserve"> </w:t>
      </w:r>
      <w:r>
        <w:tab/>
      </w:r>
      <w:hyperlink r:id="rId18" w:history="1">
        <w:r w:rsidRPr="00242ECB">
          <w:rPr>
            <w:rStyle w:val="Hypertextovodkaz"/>
            <w:sz w:val="16"/>
            <w:szCs w:val="16"/>
          </w:rPr>
          <w:t>http://europa.eu/rapid/press-release_IP-13-605_en.htm</w:t>
        </w:r>
      </w:hyperlink>
      <w:r>
        <w:t xml:space="preserve"> </w:t>
      </w:r>
    </w:p>
  </w:footnote>
  <w:footnote w:id="23">
    <w:p w:rsidR="00E966A2" w:rsidRDefault="00E966A2" w:rsidP="00301BFB">
      <w:pPr>
        <w:pStyle w:val="Textpoznpodarou"/>
      </w:pPr>
      <w:r>
        <w:rPr>
          <w:rStyle w:val="Znakapoznpodarou"/>
        </w:rPr>
        <w:footnoteRef/>
      </w:r>
      <w:r>
        <w:t xml:space="preserve"> </w:t>
      </w:r>
      <w:r>
        <w:tab/>
      </w:r>
      <w:hyperlink r:id="rId19" w:history="1">
        <w:r w:rsidRPr="00242ECB">
          <w:rPr>
            <w:rStyle w:val="Hypertextovodkaz"/>
          </w:rPr>
          <w:t>http://www.mfcr.cz/assets/cs/media/Duvodova-zprava_2013_Duvodova-zprava-k-zakonu-240-2013.pdf</w:t>
        </w:r>
      </w:hyperlink>
      <w:r>
        <w:t xml:space="preserve"> </w:t>
      </w:r>
    </w:p>
  </w:footnote>
  <w:footnote w:id="24">
    <w:p w:rsidR="00E966A2" w:rsidRDefault="00E966A2" w:rsidP="00301BFB">
      <w:pPr>
        <w:pStyle w:val="Textpoznpodarou"/>
      </w:pPr>
      <w:r>
        <w:rPr>
          <w:rStyle w:val="Znakapoznpodarou"/>
        </w:rPr>
        <w:footnoteRef/>
      </w:r>
      <w:r>
        <w:t xml:space="preserve"> </w:t>
      </w:r>
      <w:r>
        <w:tab/>
        <w:t>Informace z jednání delegace MF ČR a Slovenského ministerstva financí dne. 19. 8. 2014 v Bratislavě.</w:t>
      </w:r>
    </w:p>
  </w:footnote>
  <w:footnote w:id="25">
    <w:p w:rsidR="00E966A2" w:rsidRDefault="00E966A2" w:rsidP="00301BFB">
      <w:pPr>
        <w:pStyle w:val="Textpoznpodarou"/>
      </w:pPr>
      <w:r>
        <w:rPr>
          <w:rStyle w:val="Znakapoznpodarou"/>
        </w:rPr>
        <w:footnoteRef/>
      </w:r>
      <w:r>
        <w:t xml:space="preserve"> </w:t>
      </w:r>
      <w:r>
        <w:tab/>
      </w:r>
      <w:r w:rsidRPr="0055330E">
        <w:t>Zvláštní ustanovení týkající se finančních nástrojů jsou stanovena v nařízení (EU) č 1303/2013 Evropského parlamentu a Rady ze dne 17. prosince 2013, o společných ustanoveních ohledně Evropského fondu pro regionální rozvoj, Evropského Sociálního fondu, Fondu soudržnosti, Evropského zemědělského fondu pro rozvoj venkova a</w:t>
      </w:r>
      <w:r>
        <w:t> </w:t>
      </w:r>
      <w:r w:rsidRPr="0055330E">
        <w:t>Evropského námořního a rybářského fondu.</w:t>
      </w:r>
    </w:p>
  </w:footnote>
  <w:footnote w:id="26">
    <w:p w:rsidR="00E966A2" w:rsidRPr="00E0501C" w:rsidRDefault="00E966A2" w:rsidP="00301BFB">
      <w:pPr>
        <w:pStyle w:val="Textpoznpodarou"/>
      </w:pPr>
      <w:r>
        <w:rPr>
          <w:rStyle w:val="Znakapoznpodarou"/>
        </w:rPr>
        <w:footnoteRef/>
      </w:r>
      <w:r w:rsidRPr="0055287C">
        <w:rPr>
          <w:rStyle w:val="Znakapoznpodarou"/>
        </w:rPr>
        <w:t xml:space="preserve"> </w:t>
      </w:r>
      <w:r w:rsidRPr="0055287C">
        <w:rPr>
          <w:rStyle w:val="Znakapoznpodarou"/>
        </w:rPr>
        <w:tab/>
      </w:r>
      <w:r w:rsidRPr="00E0501C">
        <w:t>COM(2011) 500 "A Budget for Europe 2020"</w:t>
      </w:r>
      <w:r>
        <w:t>.</w:t>
      </w:r>
    </w:p>
  </w:footnote>
  <w:footnote w:id="27">
    <w:p w:rsidR="00E966A2" w:rsidRPr="001A1BE8" w:rsidRDefault="00E966A2" w:rsidP="00301BFB">
      <w:pPr>
        <w:pStyle w:val="Textpoznpodarou"/>
        <w:rPr>
          <w:rStyle w:val="Znakapoznpodarou"/>
        </w:rPr>
      </w:pPr>
      <w:r>
        <w:rPr>
          <w:rStyle w:val="Znakapoznpodarou"/>
        </w:rPr>
        <w:footnoteRef/>
      </w:r>
      <w:r w:rsidRPr="001A1BE8">
        <w:rPr>
          <w:rStyle w:val="Znakapoznpodarou"/>
        </w:rPr>
        <w:t xml:space="preserve"> </w:t>
      </w:r>
      <w:r w:rsidRPr="001A1BE8">
        <w:rPr>
          <w:rStyle w:val="Znakapoznpodarou"/>
        </w:rPr>
        <w:tab/>
      </w:r>
      <w:r w:rsidRPr="00E0501C">
        <w:t>COM(2010) 700 "The EU Budget Review</w:t>
      </w:r>
      <w:r>
        <w:t>“.</w:t>
      </w:r>
    </w:p>
  </w:footnote>
  <w:footnote w:id="28">
    <w:p w:rsidR="00E966A2" w:rsidRDefault="00E966A2" w:rsidP="00301BFB">
      <w:pPr>
        <w:pStyle w:val="Textpoznpodarou"/>
      </w:pPr>
      <w:r>
        <w:rPr>
          <w:rStyle w:val="Znakapoznpodarou"/>
        </w:rPr>
        <w:footnoteRef/>
      </w:r>
      <w:r>
        <w:t xml:space="preserve"> </w:t>
      </w:r>
      <w:r>
        <w:tab/>
        <w:t>Článek 2 p) NAŘÍZENÍ (EU, EURATOM) č. 966/2012  EVROPSKÉHO PARLAMENTU A RADY ze dne 25. října 2012.</w:t>
      </w:r>
    </w:p>
  </w:footnote>
  <w:footnote w:id="29">
    <w:p w:rsidR="00E966A2" w:rsidRDefault="00E966A2" w:rsidP="00301BFB">
      <w:pPr>
        <w:pStyle w:val="Textpoznpodarou"/>
      </w:pPr>
      <w:r>
        <w:rPr>
          <w:rStyle w:val="Znakapoznpodarou"/>
        </w:rPr>
        <w:footnoteRef/>
      </w:r>
      <w:r>
        <w:t xml:space="preserve"> </w:t>
      </w:r>
      <w:r>
        <w:tab/>
        <w:t>Bod 52) NAŘÍZENÍ EU č. 966/2012  EVROPSKÉHO PARLAMENTU A RADY ze dne 25. října 2012.</w:t>
      </w:r>
    </w:p>
  </w:footnote>
  <w:footnote w:id="30">
    <w:p w:rsidR="00E966A2" w:rsidRDefault="00E966A2" w:rsidP="00301BFB">
      <w:pPr>
        <w:pStyle w:val="Textpoznpodarou"/>
      </w:pPr>
      <w:r>
        <w:rPr>
          <w:rStyle w:val="Znakapoznpodarou"/>
        </w:rPr>
        <w:footnoteRef/>
      </w:r>
      <w:r>
        <w:t xml:space="preserve"> </w:t>
      </w:r>
      <w:r>
        <w:tab/>
      </w:r>
      <w:hyperlink r:id="rId20" w:history="1">
        <w:r w:rsidRPr="00242ECB">
          <w:rPr>
            <w:rStyle w:val="Hypertextovodkaz"/>
          </w:rPr>
          <w:t>http://www.eib.org/epec/resources/epec-using-EU-funds-in-ppps-public.pdf</w:t>
        </w:r>
      </w:hyperlink>
      <w:r>
        <w:t xml:space="preserve"> </w:t>
      </w:r>
    </w:p>
  </w:footnote>
  <w:footnote w:id="31">
    <w:p w:rsidR="00E966A2" w:rsidRDefault="00E966A2" w:rsidP="00301BFB">
      <w:pPr>
        <w:pStyle w:val="Textpoznpodarou"/>
      </w:pPr>
      <w:r>
        <w:rPr>
          <w:rStyle w:val="Znakapoznpodarou"/>
        </w:rPr>
        <w:footnoteRef/>
      </w:r>
      <w:r>
        <w:t xml:space="preserve"> </w:t>
      </w:r>
      <w:r>
        <w:tab/>
        <w:t>Podrobnější popis v kapitole 6. Návrh řešení.</w:t>
      </w:r>
    </w:p>
  </w:footnote>
  <w:footnote w:id="32">
    <w:p w:rsidR="00E966A2" w:rsidRDefault="00E966A2" w:rsidP="00301BFB">
      <w:pPr>
        <w:pStyle w:val="Textpoznpodarou"/>
      </w:pPr>
      <w:r>
        <w:rPr>
          <w:rStyle w:val="Znakapoznpodarou"/>
        </w:rPr>
        <w:footnoteRef/>
      </w:r>
      <w:r>
        <w:t xml:space="preserve"> </w:t>
      </w:r>
      <w:r>
        <w:tab/>
        <w:t>Více v kapitole 4., 5. A 6. Tohoto materiálu.</w:t>
      </w:r>
    </w:p>
  </w:footnote>
  <w:footnote w:id="33">
    <w:p w:rsidR="00E966A2" w:rsidRDefault="00E966A2" w:rsidP="00301BFB">
      <w:pPr>
        <w:pStyle w:val="Textpoznpodarou"/>
      </w:pPr>
      <w:r>
        <w:rPr>
          <w:rStyle w:val="Znakapoznpodarou"/>
        </w:rPr>
        <w:footnoteRef/>
      </w:r>
      <w:r>
        <w:t xml:space="preserve"> </w:t>
      </w:r>
      <w:r>
        <w:tab/>
        <w:t>Podrobnější popis v kapitole 6. Návrh řešení.</w:t>
      </w:r>
    </w:p>
  </w:footnote>
  <w:footnote w:id="34">
    <w:p w:rsidR="00E966A2" w:rsidRDefault="00E966A2" w:rsidP="00301BFB">
      <w:pPr>
        <w:pStyle w:val="Textpoznpodarou"/>
      </w:pPr>
      <w:r>
        <w:rPr>
          <w:rStyle w:val="Znakapoznpodarou"/>
        </w:rPr>
        <w:footnoteRef/>
      </w:r>
      <w:r>
        <w:t xml:space="preserve"> </w:t>
      </w:r>
      <w:r>
        <w:tab/>
      </w:r>
      <w:r w:rsidRPr="002521B2">
        <w:t>Více v kapitole 2.3.4 tohoto materiálu</w:t>
      </w:r>
      <w:r>
        <w:t>.</w:t>
      </w:r>
    </w:p>
  </w:footnote>
  <w:footnote w:id="35">
    <w:p w:rsidR="00E966A2" w:rsidRDefault="00E966A2" w:rsidP="00301BFB">
      <w:pPr>
        <w:pStyle w:val="Textpoznpodarou"/>
      </w:pPr>
      <w:r>
        <w:rPr>
          <w:rStyle w:val="Znakapoznpodarou"/>
        </w:rPr>
        <w:footnoteRef/>
      </w:r>
      <w:r>
        <w:t xml:space="preserve"> </w:t>
      </w:r>
      <w:r>
        <w:tab/>
      </w:r>
      <w:hyperlink r:id="rId21" w:history="1">
        <w:r w:rsidRPr="00C63DDA">
          <w:rPr>
            <w:rStyle w:val="Hypertextovodkaz"/>
          </w:rPr>
          <w:t>http://eur-lex.europa.eu/legal-content/EN/TXT/?uri=CELEX:52013DC0150</w:t>
        </w:r>
      </w:hyperlink>
    </w:p>
  </w:footnote>
  <w:footnote w:id="36">
    <w:p w:rsidR="00E966A2" w:rsidRPr="00FB7FD8" w:rsidRDefault="00E966A2" w:rsidP="00301BFB">
      <w:pPr>
        <w:pStyle w:val="Textpoznpodarou"/>
      </w:pPr>
      <w:r w:rsidRPr="00FB7FD8">
        <w:rPr>
          <w:rStyle w:val="Znakapoznpodarou"/>
          <w:bCs/>
          <w:szCs w:val="24"/>
        </w:rPr>
        <w:footnoteRef/>
      </w:r>
      <w:r w:rsidRPr="00FB7FD8">
        <w:t xml:space="preserve"> </w:t>
      </w:r>
      <w:r w:rsidRPr="00FB7FD8">
        <w:tab/>
      </w:r>
      <w:hyperlink r:id="rId22" w:history="1">
        <w:r w:rsidRPr="00C63DDA">
          <w:rPr>
            <w:rStyle w:val="Hypertextovodkaz"/>
          </w:rPr>
          <w:t>http://ec.europa.eu/europe2020/index_cs.htm</w:t>
        </w:r>
      </w:hyperlink>
      <w:r w:rsidRPr="00FB7FD8">
        <w:t>.</w:t>
      </w:r>
    </w:p>
  </w:footnote>
  <w:footnote w:id="37">
    <w:p w:rsidR="00E966A2" w:rsidRPr="00FB7FD8" w:rsidRDefault="00E966A2" w:rsidP="00301BFB">
      <w:pPr>
        <w:pStyle w:val="Textpoznpodarou"/>
      </w:pPr>
      <w:r w:rsidRPr="00FB7FD8">
        <w:rPr>
          <w:rStyle w:val="Znakapoznpodarou"/>
          <w:bCs/>
          <w:szCs w:val="24"/>
        </w:rPr>
        <w:footnoteRef/>
      </w:r>
      <w:r w:rsidRPr="00FB7FD8">
        <w:t xml:space="preserve"> </w:t>
      </w:r>
      <w:r w:rsidRPr="00FB7FD8">
        <w:tab/>
      </w:r>
      <w:hyperlink r:id="rId23" w:history="1">
        <w:r w:rsidRPr="00C63DDA">
          <w:rPr>
            <w:rStyle w:val="Hypertextovodkaz"/>
          </w:rPr>
          <w:t>http://eur-lex.europa.eu/LexUriServ/LexUriServ.do?uri=COM:2012:0582:FIN:CS:PDF</w:t>
        </w:r>
      </w:hyperlink>
      <w:r w:rsidRPr="00FB7FD8">
        <w:t>.</w:t>
      </w:r>
      <w:r>
        <w:t xml:space="preserve"> </w:t>
      </w:r>
    </w:p>
  </w:footnote>
  <w:footnote w:id="38">
    <w:p w:rsidR="00E966A2" w:rsidRPr="00FB7FD8" w:rsidRDefault="00E966A2" w:rsidP="00301BFB">
      <w:pPr>
        <w:pStyle w:val="Textpoznpodarou"/>
      </w:pPr>
      <w:r w:rsidRPr="00FB7FD8">
        <w:rPr>
          <w:rStyle w:val="Znakapoznpodarou"/>
          <w:bCs/>
          <w:szCs w:val="24"/>
        </w:rPr>
        <w:footnoteRef/>
      </w:r>
      <w:r w:rsidRPr="00FB7FD8">
        <w:t xml:space="preserve"> </w:t>
      </w:r>
      <w:r w:rsidRPr="00FB7FD8">
        <w:tab/>
      </w:r>
      <w:hyperlink r:id="rId24" w:history="1">
        <w:r w:rsidRPr="00C63DDA">
          <w:rPr>
            <w:rStyle w:val="Hypertextovodkaz"/>
          </w:rPr>
          <w:t>http://eur-lex.europa.eu/LexUriServ/LexUriServ.do?uri=COM:2010:0546:FIN:CS:PDF</w:t>
        </w:r>
      </w:hyperlink>
      <w:r w:rsidRPr="00FB7FD8">
        <w:t>.</w:t>
      </w:r>
      <w:r>
        <w:t xml:space="preserve"> </w:t>
      </w:r>
    </w:p>
  </w:footnote>
  <w:footnote w:id="39">
    <w:p w:rsidR="00E966A2" w:rsidRPr="00FB7FD8" w:rsidRDefault="00E966A2" w:rsidP="00301BFB">
      <w:pPr>
        <w:pStyle w:val="Textpoznpodarou"/>
      </w:pPr>
      <w:r w:rsidRPr="00FB7FD8">
        <w:rPr>
          <w:rStyle w:val="Znakapoznpodarou"/>
          <w:bCs/>
          <w:szCs w:val="24"/>
        </w:rPr>
        <w:footnoteRef/>
      </w:r>
      <w:r w:rsidRPr="00FB7FD8">
        <w:t xml:space="preserve"> </w:t>
      </w:r>
      <w:r w:rsidRPr="00FB7FD8">
        <w:tab/>
      </w:r>
      <w:hyperlink r:id="rId25" w:history="1">
        <w:r w:rsidRPr="00C63DDA">
          <w:rPr>
            <w:rStyle w:val="Hypertextovodkaz"/>
          </w:rPr>
          <w:t>http://ec.europa.eu/bepa/pdf/cef_brochure.pdf</w:t>
        </w:r>
      </w:hyperlink>
      <w:r w:rsidRPr="00FB7FD8">
        <w:t>.</w:t>
      </w:r>
      <w:r>
        <w:t xml:space="preserve"> </w:t>
      </w:r>
    </w:p>
  </w:footnote>
  <w:footnote w:id="40">
    <w:p w:rsidR="00E966A2" w:rsidRDefault="00E966A2" w:rsidP="00301BFB">
      <w:pPr>
        <w:pStyle w:val="Textpoznpodarou"/>
      </w:pPr>
      <w:r w:rsidRPr="00FB7FD8">
        <w:rPr>
          <w:rStyle w:val="Znakapoznpodarou"/>
          <w:bCs/>
          <w:szCs w:val="24"/>
        </w:rPr>
        <w:footnoteRef/>
      </w:r>
      <w:r>
        <w:t xml:space="preserve"> </w:t>
      </w:r>
      <w:r>
        <w:tab/>
        <w:t xml:space="preserve">Sdělení Komise „Za sociální investice pro růst a soudržnost“ (COM(2013) 83) zdůrazňuje, že členské státy musí více využívat inovativní přístupy k financování v sociální oblasti, včetně využívání účasti soukromého sektoru. </w:t>
      </w:r>
    </w:p>
  </w:footnote>
  <w:footnote w:id="41">
    <w:p w:rsidR="00E966A2" w:rsidRDefault="00E966A2" w:rsidP="00301BFB">
      <w:pPr>
        <w:pStyle w:val="Textpoznpodarou"/>
      </w:pPr>
      <w:r>
        <w:rPr>
          <w:rStyle w:val="Znakapoznpodarou"/>
        </w:rPr>
        <w:footnoteRef/>
      </w:r>
      <w:r>
        <w:t xml:space="preserve"> </w:t>
      </w:r>
      <w:r>
        <w:tab/>
      </w:r>
      <w:hyperlink r:id="rId26" w:history="1">
        <w:r w:rsidRPr="00BB2357">
          <w:rPr>
            <w:rStyle w:val="Hypertextovodkaz"/>
          </w:rPr>
          <w:t>http://www.mfcr.cz/assets/cs/media/Duvodova-zprava_2013_Duvodova-zprava-k-zakonu-240-2013.pdf</w:t>
        </w:r>
      </w:hyperlink>
      <w:r>
        <w:t xml:space="preserve"> </w:t>
      </w:r>
    </w:p>
  </w:footnote>
  <w:footnote w:id="42">
    <w:p w:rsidR="00E966A2" w:rsidRDefault="00E966A2" w:rsidP="00301BFB">
      <w:pPr>
        <w:pStyle w:val="Textpoznpodarou"/>
      </w:pPr>
      <w:r>
        <w:rPr>
          <w:rStyle w:val="Znakapoznpodarou"/>
        </w:rPr>
        <w:footnoteRef/>
      </w:r>
      <w:r>
        <w:t xml:space="preserve"> </w:t>
      </w:r>
      <w:r>
        <w:tab/>
      </w:r>
      <w:hyperlink r:id="rId27" w:history="1">
        <w:r w:rsidRPr="00C63DDA">
          <w:rPr>
            <w:rStyle w:val="Hypertextovodkaz"/>
          </w:rPr>
          <w:t>http://ec.europa.eu/economy_finance/financial_operations/investment/europe_2020/documents/com2011_662_en.pdf</w:t>
        </w:r>
      </w:hyperlink>
      <w:r>
        <w:t xml:space="preserve"> </w:t>
      </w:r>
    </w:p>
  </w:footnote>
  <w:footnote w:id="43">
    <w:p w:rsidR="00E966A2" w:rsidRDefault="00E966A2" w:rsidP="00301BFB">
      <w:pPr>
        <w:pStyle w:val="Textpoznpodarou"/>
      </w:pPr>
      <w:r>
        <w:rPr>
          <w:rStyle w:val="Znakapoznpodarou"/>
        </w:rPr>
        <w:footnoteRef/>
      </w:r>
      <w:r>
        <w:t xml:space="preserve"> </w:t>
      </w:r>
      <w:r>
        <w:tab/>
      </w:r>
      <w:hyperlink r:id="rId28" w:history="1">
        <w:r w:rsidRPr="006A414A">
          <w:rPr>
            <w:rStyle w:val="Hypertextovodkaz"/>
          </w:rPr>
          <w:t>http://www.eib.org/attachments/efs/investment_and_investment_finance_in_europe_en.pdf</w:t>
        </w:r>
      </w:hyperlink>
      <w:r>
        <w:t xml:space="preserve"> </w:t>
      </w:r>
    </w:p>
  </w:footnote>
  <w:footnote w:id="44">
    <w:p w:rsidR="00E966A2" w:rsidRDefault="00E966A2" w:rsidP="00301BFB">
      <w:pPr>
        <w:pStyle w:val="Textpoznpodarou"/>
      </w:pPr>
      <w:r>
        <w:rPr>
          <w:rStyle w:val="Znakapoznpodarou"/>
        </w:rPr>
        <w:footnoteRef/>
      </w:r>
      <w:r>
        <w:t xml:space="preserve"> </w:t>
      </w:r>
      <w:r>
        <w:tab/>
      </w:r>
      <w:hyperlink r:id="rId29" w:history="1">
        <w:r w:rsidRPr="006A414A">
          <w:rPr>
            <w:rStyle w:val="Hypertextovodkaz"/>
          </w:rPr>
          <w:t>http://www.cnb.cz/cs/statistika/menova_bankovni_stat/bankovni_statistika/bank_stat_komentar.html</w:t>
        </w:r>
      </w:hyperlink>
      <w:r>
        <w:t xml:space="preserve"> </w:t>
      </w:r>
    </w:p>
  </w:footnote>
  <w:footnote w:id="45">
    <w:p w:rsidR="00E966A2" w:rsidRPr="005E31D9" w:rsidRDefault="00E966A2" w:rsidP="00301BFB">
      <w:pPr>
        <w:pStyle w:val="Textpoznpodarou"/>
        <w:rPr>
          <w:rStyle w:val="Hypertextovodkaz"/>
        </w:rPr>
      </w:pPr>
      <w:r>
        <w:rPr>
          <w:rStyle w:val="Znakapoznpodarou"/>
        </w:rPr>
        <w:footnoteRef/>
      </w:r>
      <w:r>
        <w:t xml:space="preserve">  </w:t>
      </w:r>
      <w:r>
        <w:tab/>
      </w:r>
      <w:hyperlink r:id="rId30" w:history="1">
        <w:r w:rsidRPr="006029BF">
          <w:rPr>
            <w:rStyle w:val="Hypertextovodkaz"/>
          </w:rPr>
          <w:t>https://www.cnb.cz/cs/dohled_financni_trh/souhrnne_informace_fin_trhy/zakladni_ukazatele_fin_trhu/banky/bs-ukazatele_tab04a.html</w:t>
        </w:r>
      </w:hyperlink>
      <w:r w:rsidRPr="005E31D9">
        <w:rPr>
          <w:rStyle w:val="Hypertextovodkaz"/>
        </w:rPr>
        <w:t xml:space="preserve"> </w:t>
      </w:r>
    </w:p>
  </w:footnote>
  <w:footnote w:id="46">
    <w:p w:rsidR="00E966A2" w:rsidRDefault="00E966A2" w:rsidP="00301BFB">
      <w:pPr>
        <w:pStyle w:val="Textpoznpodarou"/>
      </w:pPr>
      <w:r>
        <w:rPr>
          <w:rStyle w:val="Znakapoznpodarou"/>
        </w:rPr>
        <w:footnoteRef/>
      </w:r>
      <w:r>
        <w:t xml:space="preserve"> </w:t>
      </w:r>
      <w:r>
        <w:tab/>
        <w:t xml:space="preserve">Modelů PPP existuje celé množství. V ČR byl využíván především model založený na PPP ve formě poskytování koncesní smlouvy a to na základě </w:t>
      </w:r>
      <w:r w:rsidRPr="0003594C">
        <w:t>Zákon</w:t>
      </w:r>
      <w:r>
        <w:t>a</w:t>
      </w:r>
      <w:r w:rsidRPr="0003594C">
        <w:t xml:space="preserve"> o koncesních smlouvách a koncesním řízení (koncesní zákon)</w:t>
      </w:r>
      <w:r>
        <w:t xml:space="preserve"> 139/2006</w:t>
      </w:r>
    </w:p>
  </w:footnote>
  <w:footnote w:id="47">
    <w:p w:rsidR="00E966A2" w:rsidRDefault="00E966A2" w:rsidP="00301BFB">
      <w:pPr>
        <w:pStyle w:val="Textpoznpodarou"/>
      </w:pPr>
      <w:r>
        <w:rPr>
          <w:rStyle w:val="Znakapoznpodarou"/>
        </w:rPr>
        <w:footnoteRef/>
      </w:r>
      <w:r>
        <w:t xml:space="preserve"> </w:t>
      </w:r>
      <w:r>
        <w:tab/>
        <w:t>Dosavadní zkušenosti s PPP projekty, Diplomová práce, Kateřina Konečná, 2012.</w:t>
      </w:r>
    </w:p>
    <w:p w:rsidR="00E966A2" w:rsidRDefault="00E966A2" w:rsidP="00301BFB">
      <w:pPr>
        <w:pStyle w:val="Textpoznpodarou"/>
      </w:pPr>
      <w:r>
        <w:tab/>
      </w:r>
      <w:hyperlink r:id="rId31" w:history="1">
        <w:r w:rsidRPr="006029BF">
          <w:rPr>
            <w:rStyle w:val="Hypertextovodkaz"/>
          </w:rPr>
          <w:t>http://is.muni.cz/th/207146/esf_m/Konecna_DP.pdf</w:t>
        </w:r>
      </w:hyperlink>
      <w:r>
        <w:t xml:space="preserve"> </w:t>
      </w:r>
    </w:p>
  </w:footnote>
  <w:footnote w:id="48">
    <w:p w:rsidR="00E966A2" w:rsidRDefault="00E966A2" w:rsidP="00301BFB">
      <w:pPr>
        <w:pStyle w:val="Textpoznpodarou"/>
      </w:pPr>
      <w:r>
        <w:rPr>
          <w:rStyle w:val="Znakapoznpodarou"/>
        </w:rPr>
        <w:footnoteRef/>
      </w:r>
      <w:r>
        <w:t xml:space="preserve"> </w:t>
      </w:r>
      <w:r>
        <w:tab/>
        <w:t xml:space="preserve">Text z </w:t>
      </w:r>
      <w:r w:rsidRPr="0008297F">
        <w:t>COM(2011) 662 final</w:t>
      </w:r>
      <w:r>
        <w:t xml:space="preserve"> - </w:t>
      </w:r>
      <w:r w:rsidRPr="0008297F">
        <w:t>A framework for the next generation of innovative financial instruments - the EU equity and debt platforms</w:t>
      </w:r>
      <w:r>
        <w:t>.</w:t>
      </w:r>
    </w:p>
  </w:footnote>
  <w:footnote w:id="49">
    <w:p w:rsidR="00E966A2" w:rsidRDefault="00E966A2" w:rsidP="00301BFB">
      <w:pPr>
        <w:pStyle w:val="Textpoznpodarou"/>
      </w:pPr>
      <w:r>
        <w:rPr>
          <w:rStyle w:val="Znakapoznpodarou"/>
        </w:rPr>
        <w:footnoteRef/>
      </w:r>
      <w:r>
        <w:t xml:space="preserve"> </w:t>
      </w:r>
      <w:r>
        <w:tab/>
      </w:r>
      <w:hyperlink r:id="rId32" w:history="1">
        <w:r w:rsidRPr="00C63DDA">
          <w:rPr>
            <w:rStyle w:val="Hypertextovodkaz"/>
          </w:rPr>
          <w:t>http://ec.europa.eu/internal_market/smact/docs/single-market-act2_en.pdf</w:t>
        </w:r>
      </w:hyperlink>
      <w:r>
        <w:t xml:space="preserve"> </w:t>
      </w:r>
    </w:p>
  </w:footnote>
  <w:footnote w:id="50">
    <w:p w:rsidR="00E966A2" w:rsidRDefault="00E966A2" w:rsidP="00301BFB">
      <w:pPr>
        <w:pStyle w:val="Textpoznpodarou"/>
      </w:pPr>
      <w:r>
        <w:rPr>
          <w:rStyle w:val="Znakapoznpodarou"/>
        </w:rPr>
        <w:footnoteRef/>
      </w:r>
      <w:r>
        <w:t xml:space="preserve"> </w:t>
      </w:r>
      <w:r>
        <w:tab/>
      </w:r>
      <w:r w:rsidRPr="0008297F">
        <w:t>COM(2011) 662 final</w:t>
      </w:r>
      <w:r>
        <w:t xml:space="preserve"> - </w:t>
      </w:r>
      <w:r w:rsidRPr="0008297F">
        <w:t>A framework for the next generation of innovative financial instruments - the EU equity and debt platforms</w:t>
      </w:r>
      <w:r>
        <w:t>.</w:t>
      </w:r>
    </w:p>
  </w:footnote>
  <w:footnote w:id="51">
    <w:p w:rsidR="00E966A2" w:rsidRDefault="00E966A2" w:rsidP="00301BFB">
      <w:pPr>
        <w:pStyle w:val="Textpoznpodarou"/>
      </w:pPr>
      <w:r>
        <w:rPr>
          <w:rStyle w:val="Znakapoznpodarou"/>
        </w:rPr>
        <w:footnoteRef/>
      </w:r>
      <w:r>
        <w:t xml:space="preserve"> </w:t>
      </w:r>
      <w:r>
        <w:tab/>
      </w:r>
      <w:hyperlink r:id="rId33" w:history="1">
        <w:r w:rsidRPr="00C63DDA">
          <w:rPr>
            <w:rStyle w:val="Hypertextovodkaz"/>
          </w:rPr>
          <w:t>http://ec.europa.eu/regional_policy/sources/docoffic/official/communic/financial/financial_instruments_2012_en.pdf</w:t>
        </w:r>
      </w:hyperlink>
    </w:p>
  </w:footnote>
  <w:footnote w:id="52">
    <w:p w:rsidR="00E966A2" w:rsidRDefault="00E966A2" w:rsidP="00301BFB">
      <w:pPr>
        <w:pStyle w:val="Textpoznpodarou"/>
      </w:pPr>
      <w:r>
        <w:rPr>
          <w:rStyle w:val="Znakapoznpodarou"/>
        </w:rPr>
        <w:footnoteRef/>
      </w:r>
      <w:r>
        <w:t xml:space="preserve"> </w:t>
      </w:r>
      <w:r>
        <w:tab/>
        <w:t>Více v následujících kapitolách popisujících funkce IFN.</w:t>
      </w:r>
    </w:p>
  </w:footnote>
  <w:footnote w:id="53">
    <w:p w:rsidR="00E966A2" w:rsidRDefault="00E966A2" w:rsidP="00301BFB">
      <w:pPr>
        <w:pStyle w:val="Textpoznpodarou"/>
      </w:pPr>
      <w:r>
        <w:rPr>
          <w:rStyle w:val="Znakapoznpodarou"/>
        </w:rPr>
        <w:footnoteRef/>
      </w:r>
      <w:r>
        <w:t xml:space="preserve"> </w:t>
      </w:r>
      <w:r>
        <w:tab/>
        <w:t>Převzato z prezentace EIB (</w:t>
      </w:r>
      <w:r w:rsidRPr="005D536F">
        <w:t>Olivier Debande</w:t>
      </w:r>
      <w:r>
        <w:t>)</w:t>
      </w:r>
      <w:r w:rsidRPr="005D536F">
        <w:t xml:space="preserve"> </w:t>
      </w:r>
      <w:hyperlink r:id="rId34" w:history="1">
        <w:r w:rsidRPr="00242ECB">
          <w:rPr>
            <w:rStyle w:val="Hypertextovodkaz"/>
          </w:rPr>
          <w:t>http://apps.drachesoft.be/webfiles/opendays2012/1523.ppt</w:t>
        </w:r>
      </w:hyperlink>
      <w:r>
        <w:t xml:space="preserve"> </w:t>
      </w:r>
    </w:p>
  </w:footnote>
  <w:footnote w:id="54">
    <w:p w:rsidR="00E966A2" w:rsidRDefault="00E966A2" w:rsidP="00301BFB">
      <w:pPr>
        <w:pStyle w:val="Textpoznpodarou"/>
      </w:pPr>
      <w:r>
        <w:rPr>
          <w:rStyle w:val="Znakapoznpodarou"/>
        </w:rPr>
        <w:footnoteRef/>
      </w:r>
      <w:r>
        <w:t xml:space="preserve"> </w:t>
      </w:r>
      <w:r>
        <w:tab/>
        <w:t xml:space="preserve">A framework for the next generation of innovative financial instruments - the EU equity and debt platforms </w:t>
      </w:r>
      <w:r w:rsidRPr="004D3BAD">
        <w:t>COM(2011) 662 final</w:t>
      </w:r>
      <w:r>
        <w:t>.</w:t>
      </w:r>
    </w:p>
  </w:footnote>
  <w:footnote w:id="55">
    <w:p w:rsidR="00E966A2" w:rsidRDefault="00E966A2" w:rsidP="00301BFB">
      <w:pPr>
        <w:pStyle w:val="Textpoznpodarou"/>
      </w:pPr>
      <w:r>
        <w:rPr>
          <w:rStyle w:val="Znakapoznpodarou"/>
        </w:rPr>
        <w:footnoteRef/>
      </w:r>
      <w:r>
        <w:t xml:space="preserve"> </w:t>
      </w:r>
      <w:r>
        <w:tab/>
        <w:t>EK sleduje tímto opatřením, aby nedocházelo k převodu prostředků z IFN do státních rozpočtů. To znamená, že navrácené prostředky mohou být využívány obdobně, ale není možné je použít na krytí schodků státního rozpočtu. Po 8 letech je na členském státě jak se zbylými prostředky naloží.</w:t>
      </w:r>
    </w:p>
  </w:footnote>
  <w:footnote w:id="56">
    <w:p w:rsidR="00E966A2" w:rsidRDefault="00E966A2" w:rsidP="00301BFB">
      <w:pPr>
        <w:pStyle w:val="Textpoznpodarou"/>
      </w:pPr>
      <w:r>
        <w:rPr>
          <w:rStyle w:val="Znakapoznpodarou"/>
        </w:rPr>
        <w:footnoteRef/>
      </w:r>
      <w:r>
        <w:t xml:space="preserve"> </w:t>
      </w:r>
      <w:r>
        <w:tab/>
      </w:r>
      <w:hyperlink r:id="rId35" w:history="1">
        <w:r w:rsidRPr="00C63DDA">
          <w:rPr>
            <w:rStyle w:val="Hypertextovodkaz"/>
          </w:rPr>
          <w:t>http://bonds.about.com/od/advancedbonds/a/What-Are-Asset-Backed-Securities-Abs.htm</w:t>
        </w:r>
      </w:hyperlink>
      <w:r>
        <w:t xml:space="preserve">, </w:t>
      </w:r>
      <w:r>
        <w:br/>
      </w:r>
      <w:hyperlink r:id="rId36" w:history="1">
        <w:r w:rsidRPr="00057495">
          <w:rPr>
            <w:rStyle w:val="Hypertextovodkaz"/>
          </w:rPr>
          <w:t>https://www.czech-ba.cz/en/bankovni-pojmy?field_nazev_cz_value=&amp;title=&amp;page=14</w:t>
        </w:r>
      </w:hyperlink>
      <w:r>
        <w:t xml:space="preserve"> </w:t>
      </w:r>
    </w:p>
  </w:footnote>
  <w:footnote w:id="57">
    <w:p w:rsidR="00E966A2" w:rsidRDefault="00E966A2" w:rsidP="00301BFB">
      <w:pPr>
        <w:pStyle w:val="Textpoznpodarou"/>
      </w:pPr>
      <w:r>
        <w:rPr>
          <w:rStyle w:val="Znakapoznpodarou"/>
        </w:rPr>
        <w:footnoteRef/>
      </w:r>
      <w:r>
        <w:t xml:space="preserve"> </w:t>
      </w:r>
      <w:r>
        <w:tab/>
      </w:r>
      <w:hyperlink r:id="rId37" w:history="1">
        <w:r w:rsidRPr="00242ECB">
          <w:rPr>
            <w:rStyle w:val="Hypertextovodkaz"/>
          </w:rPr>
          <w:t>http://www.eib.org/infocentre/press/releases/all/2014/2014-177-abs-loan-for-smes-eib-participates-in-securitisation-deal-with-ikb-leasing.htm</w:t>
        </w:r>
      </w:hyperlink>
      <w:r>
        <w:t xml:space="preserve"> </w:t>
      </w:r>
    </w:p>
  </w:footnote>
  <w:footnote w:id="58">
    <w:p w:rsidR="00E966A2" w:rsidRDefault="00E966A2" w:rsidP="00301BFB">
      <w:pPr>
        <w:pStyle w:val="Textpoznpodarou"/>
      </w:pPr>
      <w:r>
        <w:rPr>
          <w:rStyle w:val="Znakapoznpodarou"/>
        </w:rPr>
        <w:footnoteRef/>
      </w:r>
      <w:r>
        <w:t xml:space="preserve"> </w:t>
      </w:r>
      <w:r>
        <w:tab/>
        <w:t xml:space="preserve">A framework for the next generation of innovative financial instruments - the EU equity and debt platforms </w:t>
      </w:r>
      <w:r w:rsidRPr="004D3BAD">
        <w:t>COM(2011) 662 final</w:t>
      </w:r>
      <w:r>
        <w:t>.</w:t>
      </w:r>
    </w:p>
  </w:footnote>
  <w:footnote w:id="59">
    <w:p w:rsidR="00E966A2" w:rsidRDefault="00E966A2" w:rsidP="00301BFB">
      <w:pPr>
        <w:pStyle w:val="Textpoznpodarou"/>
      </w:pPr>
      <w:r>
        <w:rPr>
          <w:rStyle w:val="Znakapoznpodarou"/>
        </w:rPr>
        <w:footnoteRef/>
      </w:r>
      <w:r>
        <w:t xml:space="preserve"> </w:t>
      </w:r>
      <w:r>
        <w:tab/>
      </w:r>
      <w:hyperlink r:id="rId38" w:history="1">
        <w:r w:rsidRPr="00242ECB">
          <w:rPr>
            <w:rStyle w:val="Hypertextovodkaz"/>
          </w:rPr>
          <w:t>http://www.unive.it/media/allegato/infoscari-pdf/2014/slideEnricoCanu.pdf</w:t>
        </w:r>
      </w:hyperlink>
      <w:r>
        <w:t xml:space="preserve"> </w:t>
      </w:r>
    </w:p>
  </w:footnote>
  <w:footnote w:id="60">
    <w:p w:rsidR="00E966A2" w:rsidRDefault="00E966A2" w:rsidP="00301BFB">
      <w:pPr>
        <w:pStyle w:val="Textpoznpodarou"/>
      </w:pPr>
      <w:r>
        <w:rPr>
          <w:rStyle w:val="Znakapoznpodarou"/>
        </w:rPr>
        <w:footnoteRef/>
      </w:r>
      <w:r>
        <w:t xml:space="preserve"> </w:t>
      </w:r>
      <w:r>
        <w:tab/>
      </w:r>
      <w:hyperlink r:id="rId39" w:history="1">
        <w:r w:rsidRPr="00C63DDA">
          <w:rPr>
            <w:rStyle w:val="Hypertextovodkaz"/>
          </w:rPr>
          <w:t>http://ec.europa.eu/regional_policy/information/evaluations/impact_evaluation_en.cfm</w:t>
        </w:r>
      </w:hyperlink>
    </w:p>
  </w:footnote>
  <w:footnote w:id="61">
    <w:p w:rsidR="00E966A2" w:rsidRDefault="00E966A2" w:rsidP="00301BFB">
      <w:pPr>
        <w:pStyle w:val="Textpoznpodarou"/>
      </w:pPr>
      <w:r>
        <w:rPr>
          <w:rStyle w:val="Znakapoznpodarou"/>
        </w:rPr>
        <w:footnoteRef/>
      </w:r>
      <w:r>
        <w:t xml:space="preserve"> </w:t>
      </w:r>
      <w:r>
        <w:tab/>
      </w:r>
      <w:hyperlink r:id="rId40" w:history="1">
        <w:r w:rsidRPr="00C63DDA">
          <w:rPr>
            <w:rStyle w:val="Hypertextovodkaz"/>
          </w:rPr>
          <w:t>http://ec.europa.eu/economy_finance/financial_operations/investment/europe_2020/index_en.htm</w:t>
        </w:r>
      </w:hyperlink>
    </w:p>
  </w:footnote>
  <w:footnote w:id="62">
    <w:p w:rsidR="00E966A2" w:rsidRDefault="00E966A2" w:rsidP="00301BFB">
      <w:pPr>
        <w:pStyle w:val="Textpoznpodarou"/>
      </w:pPr>
      <w:r>
        <w:rPr>
          <w:rStyle w:val="Znakapoznpodarou"/>
        </w:rPr>
        <w:footnoteRef/>
      </w:r>
      <w:r>
        <w:t xml:space="preserve"> </w:t>
      </w:r>
      <w:r>
        <w:tab/>
        <w:t xml:space="preserve">Například německá rozvojová banka KFW, která je často dávána za příklad úspěšné státem vlastněné finanční instituce podporující aktivně ekonomické aktivity - </w:t>
      </w:r>
      <w:hyperlink r:id="rId41" w:history="1">
        <w:r w:rsidRPr="00C63DDA">
          <w:rPr>
            <w:rStyle w:val="Hypertextovodkaz"/>
          </w:rPr>
          <w:t>https://www.kfw-entwicklungsbank.de/International-financing/KfW-Entwicklungsbank/</w:t>
        </w:r>
      </w:hyperlink>
      <w:r>
        <w:t xml:space="preserve"> </w:t>
      </w:r>
    </w:p>
  </w:footnote>
  <w:footnote w:id="63">
    <w:p w:rsidR="00E966A2" w:rsidRDefault="00E966A2" w:rsidP="00301BFB">
      <w:pPr>
        <w:pStyle w:val="Textpoznpodarou"/>
      </w:pPr>
      <w:r>
        <w:rPr>
          <w:rStyle w:val="Znakapoznpodarou"/>
        </w:rPr>
        <w:footnoteRef/>
      </w:r>
      <w:r>
        <w:t xml:space="preserve"> </w:t>
      </w:r>
      <w:r>
        <w:tab/>
      </w:r>
      <w:hyperlink r:id="rId42" w:history="1">
        <w:r w:rsidRPr="00C63DDA">
          <w:rPr>
            <w:rStyle w:val="Hypertextovodkaz"/>
          </w:rPr>
          <w:t>http://www.europarl.europa.eu/news/en/news-room/content/20140307IPR38110/html/Parliament-toughens-up-anti-money-laundering-rules</w:t>
        </w:r>
      </w:hyperlink>
      <w:r>
        <w:t xml:space="preserve"> </w:t>
      </w:r>
    </w:p>
  </w:footnote>
  <w:footnote w:id="64">
    <w:p w:rsidR="00E966A2" w:rsidRDefault="00E966A2" w:rsidP="00301BFB">
      <w:pPr>
        <w:pStyle w:val="Textpoznpodarou"/>
      </w:pPr>
      <w:r>
        <w:rPr>
          <w:rStyle w:val="Znakapoznpodarou"/>
        </w:rPr>
        <w:footnoteRef/>
      </w:r>
      <w:r>
        <w:t xml:space="preserve"> </w:t>
      </w:r>
      <w:r>
        <w:tab/>
        <w:t>Evropské regulace finančních trhů zahrnující směrnice MIFID, AIFMD, UCITS, AML a další.</w:t>
      </w:r>
    </w:p>
  </w:footnote>
  <w:footnote w:id="65">
    <w:p w:rsidR="00E966A2" w:rsidRDefault="00E966A2" w:rsidP="00301BFB">
      <w:pPr>
        <w:pStyle w:val="Textpoznpodarou"/>
      </w:pPr>
      <w:r>
        <w:rPr>
          <w:rStyle w:val="Znakapoznpodarou"/>
        </w:rPr>
        <w:footnoteRef/>
      </w:r>
      <w:r>
        <w:t xml:space="preserve"> </w:t>
      </w:r>
      <w:r>
        <w:tab/>
        <w:t>Zdroj Ministerstvo pro místní rozvoj.</w:t>
      </w:r>
    </w:p>
  </w:footnote>
  <w:footnote w:id="66">
    <w:p w:rsidR="00E966A2" w:rsidRDefault="00E966A2" w:rsidP="00301BFB">
      <w:pPr>
        <w:pStyle w:val="Textpoznpodarou"/>
      </w:pPr>
      <w:r>
        <w:rPr>
          <w:rStyle w:val="Znakapoznpodarou"/>
        </w:rPr>
        <w:footnoteRef/>
      </w:r>
      <w:r>
        <w:t xml:space="preserve"> </w:t>
      </w:r>
      <w:r>
        <w:tab/>
      </w:r>
      <w:hyperlink r:id="rId43" w:history="1">
        <w:r w:rsidRPr="006A414A">
          <w:rPr>
            <w:rStyle w:val="Hypertextovodkaz"/>
          </w:rPr>
          <w:t>http://www.strukturalni-fondy.cz/getmedia/8db7b709-bce3-4fa8-b0c8-437f1610a10c/CMZ_2014_IIQ_elektronicka.pdf</w:t>
        </w:r>
      </w:hyperlink>
      <w:r>
        <w:t xml:space="preserve"> </w:t>
      </w:r>
    </w:p>
  </w:footnote>
  <w:footnote w:id="67">
    <w:p w:rsidR="00E966A2" w:rsidRDefault="00E966A2" w:rsidP="00301BFB">
      <w:pPr>
        <w:pStyle w:val="Textpoznpodarou"/>
      </w:pPr>
      <w:r>
        <w:rPr>
          <w:rStyle w:val="Znakapoznpodarou"/>
        </w:rPr>
        <w:footnoteRef/>
      </w:r>
      <w:r>
        <w:t xml:space="preserve"> </w:t>
      </w:r>
      <w:r>
        <w:tab/>
        <w:t>EK zde kopíruje běžné efektivní investiční principy a chová se jako zodpovědný investor. Nedává smysl vložit do IFN celou sumu prostředků ihned a nechat je na bankovních účtech. I EK se financuje dluhopisy a musí platit cenu za jejich vydání – kupón. V praxi se tento mechanizmus nazývá Capital Call.</w:t>
      </w:r>
    </w:p>
  </w:footnote>
  <w:footnote w:id="68">
    <w:p w:rsidR="00E966A2" w:rsidRDefault="00E966A2" w:rsidP="00301BFB">
      <w:pPr>
        <w:pStyle w:val="Textpoznpodarou"/>
      </w:pPr>
      <w:r>
        <w:rPr>
          <w:rStyle w:val="Znakapoznpodarou"/>
        </w:rPr>
        <w:footnoteRef/>
      </w:r>
      <w:r>
        <w:t xml:space="preserve"> </w:t>
      </w:r>
      <w:r>
        <w:tab/>
        <w:t>Stát nemá v IFN zapojeny své prostředky (pokud je nedoplní z národních zdrojů) a tak je nejhorším scénářem, že se prostředky z EU zdrojů nenavrátí. Pokud, ale zároveň iniciují další investice v násobcích hodnot spolufinancování jako je tomu v případě poskytnutí dotace, pak je důležitým právě efekt celkových investic. V případě poskytnutí dotace také ČR již znovu nemůže prostředky použít, a proto na ně lze pohlížet jako na prostředky již vyčerpané.</w:t>
      </w:r>
    </w:p>
  </w:footnote>
  <w:footnote w:id="69">
    <w:p w:rsidR="00E966A2" w:rsidRDefault="00E966A2" w:rsidP="00301BFB">
      <w:pPr>
        <w:pStyle w:val="Textpoznpodarou"/>
      </w:pPr>
      <w:r>
        <w:rPr>
          <w:rStyle w:val="Znakapoznpodarou"/>
        </w:rPr>
        <w:footnoteRef/>
      </w:r>
      <w:r>
        <w:t xml:space="preserve"> </w:t>
      </w:r>
      <w:r>
        <w:tab/>
        <w:t xml:space="preserve">Riziko plynoucí z poskytnutí jednoho úvěru či jedné kapitálové investice je násobně vyšší, než riziko celého portfolia dluhových případů. </w:t>
      </w:r>
    </w:p>
  </w:footnote>
  <w:footnote w:id="70">
    <w:p w:rsidR="00E966A2" w:rsidRDefault="00E966A2">
      <w:pPr>
        <w:pStyle w:val="Textpoznpodarou"/>
      </w:pPr>
      <w:r>
        <w:rPr>
          <w:rStyle w:val="Znakapoznpodarou"/>
        </w:rPr>
        <w:footnoteRef/>
      </w:r>
      <w:r>
        <w:t xml:space="preserve"> </w:t>
      </w:r>
      <w:r>
        <w:tab/>
        <w:t>Problém se spoluvlastnictvím ČMZRB soukromých bank.</w:t>
      </w:r>
    </w:p>
  </w:footnote>
  <w:footnote w:id="71">
    <w:p w:rsidR="00E966A2" w:rsidRDefault="00E966A2" w:rsidP="00301BFB">
      <w:pPr>
        <w:pStyle w:val="Textpoznpodarou"/>
      </w:pPr>
      <w:r>
        <w:rPr>
          <w:rStyle w:val="Znakapoznpodarou"/>
        </w:rPr>
        <w:footnoteRef/>
      </w:r>
      <w:r>
        <w:t xml:space="preserve"> </w:t>
      </w:r>
      <w:r>
        <w:tab/>
      </w:r>
      <w:r w:rsidRPr="00544185">
        <w:t>Usnesení Evropského parlamentu ze dne 26. října 2012 o inovačních finančních nástrojích v souvislosti s víceletým finančním rámcem </w:t>
      </w:r>
      <w:hyperlink r:id="rId44" w:history="1">
        <w:r w:rsidRPr="00544185">
          <w:t>2012/2027(INI)</w:t>
        </w:r>
      </w:hyperlink>
      <w:r>
        <w:t>.</w:t>
      </w:r>
    </w:p>
    <w:p w:rsidR="00E966A2" w:rsidRDefault="00E966A2" w:rsidP="00301BFB">
      <w:pPr>
        <w:pStyle w:val="Textpoznpodarou"/>
      </w:pPr>
      <w:r>
        <w:tab/>
      </w:r>
      <w:hyperlink r:id="rId45" w:history="1">
        <w:r w:rsidRPr="00C63DDA">
          <w:rPr>
            <w:rStyle w:val="Hypertextovodkaz"/>
          </w:rPr>
          <w:t>http://www.europarl.europa.eu/sides/getDoc.do?pubRef=-//EP//TEXT+TA+P7-TA-2012-0404+0+DOC+XML+V0//CS</w:t>
        </w:r>
      </w:hyperlink>
    </w:p>
  </w:footnote>
  <w:footnote w:id="72">
    <w:p w:rsidR="00E966A2" w:rsidRDefault="00E966A2">
      <w:pPr>
        <w:pStyle w:val="Textpoznpodarou"/>
      </w:pPr>
      <w:r>
        <w:rPr>
          <w:rStyle w:val="Znakapoznpodarou"/>
        </w:rPr>
        <w:footnoteRef/>
      </w:r>
      <w:r>
        <w:t xml:space="preserve"> MMR M</w:t>
      </w:r>
      <w:r w:rsidRPr="00895FDE">
        <w:t>etodické doporučení pro implementaci finančních nástrojů v programovém období 2014 - 2020</w:t>
      </w:r>
      <w:r>
        <w:t xml:space="preserve"> [říjen 2014].</w:t>
      </w:r>
    </w:p>
  </w:footnote>
  <w:footnote w:id="73">
    <w:p w:rsidR="00E966A2" w:rsidRDefault="00E966A2">
      <w:pPr>
        <w:pStyle w:val="Textpoznpodarou"/>
      </w:pPr>
      <w:r>
        <w:rPr>
          <w:rStyle w:val="Znakapoznpodarou"/>
        </w:rPr>
        <w:footnoteRef/>
      </w:r>
      <w:r>
        <w:t xml:space="preserve"> MMR M</w:t>
      </w:r>
      <w:r w:rsidRPr="00895FDE">
        <w:t>etodické doporučení pro implementaci finančních nástrojů v programovém období 2014 - 2020</w:t>
      </w:r>
      <w:r>
        <w:t xml:space="preserve"> [říjen 2014].</w:t>
      </w:r>
    </w:p>
  </w:footnote>
  <w:footnote w:id="74">
    <w:p w:rsidR="00E966A2" w:rsidRDefault="00E966A2" w:rsidP="00301BFB">
      <w:pPr>
        <w:pStyle w:val="Textpoznpodarou"/>
      </w:pPr>
      <w:r>
        <w:rPr>
          <w:rStyle w:val="Znakapoznpodarou"/>
        </w:rPr>
        <w:footnoteRef/>
      </w:r>
      <w:r>
        <w:t xml:space="preserve"> </w:t>
      </w:r>
      <w:r>
        <w:tab/>
      </w:r>
      <w:hyperlink r:id="rId46" w:history="1">
        <w:r w:rsidRPr="00242ECB">
          <w:rPr>
            <w:rStyle w:val="Hypertextovodkaz"/>
          </w:rPr>
          <w:t>http://www.eib.org/products/esif/</w:t>
        </w:r>
      </w:hyperlink>
      <w:r>
        <w:t xml:space="preserve"> </w:t>
      </w:r>
    </w:p>
  </w:footnote>
  <w:footnote w:id="75">
    <w:p w:rsidR="00E966A2" w:rsidRDefault="00E966A2" w:rsidP="00301BFB">
      <w:pPr>
        <w:pStyle w:val="Textpoznpodarou"/>
      </w:pPr>
      <w:r>
        <w:rPr>
          <w:rStyle w:val="Znakapoznpodarou"/>
        </w:rPr>
        <w:footnoteRef/>
      </w:r>
      <w:r>
        <w:t xml:space="preserve"> </w:t>
      </w:r>
      <w:r>
        <w:tab/>
        <w:t>Vazba na strategii Evropa 2020, komplementární propojení s oblastí dotací, operačních programů a také IFN na evropské úrovni spravovanými EIB</w:t>
      </w:r>
    </w:p>
  </w:footnote>
  <w:footnote w:id="76">
    <w:p w:rsidR="00E966A2" w:rsidRPr="00D14106" w:rsidRDefault="00E966A2" w:rsidP="00301BFB">
      <w:pPr>
        <w:pStyle w:val="Textpoznpodarou"/>
      </w:pPr>
      <w:r w:rsidRPr="00EB61FE">
        <w:rPr>
          <w:rStyle w:val="Znakapoznpodarou"/>
          <w:sz w:val="16"/>
          <w:szCs w:val="16"/>
        </w:rPr>
        <w:footnoteRef/>
      </w:r>
      <w:r w:rsidRPr="00EB61FE">
        <w:rPr>
          <w:sz w:val="16"/>
          <w:szCs w:val="16"/>
        </w:rPr>
        <w:t xml:space="preserve"> </w:t>
      </w:r>
      <w:r>
        <w:rPr>
          <w:sz w:val="16"/>
          <w:szCs w:val="16"/>
        </w:rPr>
        <w:tab/>
      </w:r>
      <w:hyperlink r:id="rId47" w:history="1">
        <w:r w:rsidRPr="00242ECB">
          <w:rPr>
            <w:rStyle w:val="Hypertextovodkaz"/>
          </w:rPr>
          <w:t>http://ec.europa.eu/economy finance/financial_operations/investment/innovative_financial_instruments/index_en.htm</w:t>
        </w:r>
      </w:hyperlink>
      <w:r>
        <w:t xml:space="preserve"> </w:t>
      </w:r>
    </w:p>
  </w:footnote>
  <w:footnote w:id="77">
    <w:p w:rsidR="00E966A2" w:rsidRPr="00D14106" w:rsidRDefault="00E966A2" w:rsidP="00301BFB">
      <w:pPr>
        <w:pStyle w:val="Textpoznpodarou"/>
      </w:pPr>
      <w:r w:rsidRPr="00D14106">
        <w:rPr>
          <w:rStyle w:val="Znakapoznpodarou"/>
        </w:rPr>
        <w:footnoteRef/>
      </w:r>
      <w:r w:rsidRPr="00D14106">
        <w:t xml:space="preserve"> </w:t>
      </w:r>
      <w:r>
        <w:tab/>
      </w:r>
      <w:hyperlink r:id="rId48" w:history="1">
        <w:r w:rsidRPr="00C63DDA">
          <w:rPr>
            <w:rStyle w:val="Hypertextovodkaz"/>
          </w:rPr>
          <w:t>http://ec.europa.eu/enterprise/initiatives/cosme/index_en.htm</w:t>
        </w:r>
      </w:hyperlink>
      <w:r>
        <w:t xml:space="preserve"> </w:t>
      </w:r>
    </w:p>
  </w:footnote>
  <w:footnote w:id="78">
    <w:p w:rsidR="00E966A2" w:rsidRPr="00D14106" w:rsidRDefault="00E966A2" w:rsidP="00301BFB">
      <w:pPr>
        <w:pStyle w:val="Textpoznpodarou"/>
      </w:pPr>
      <w:r w:rsidRPr="00D14106">
        <w:rPr>
          <w:rStyle w:val="Znakapoznpodarou"/>
        </w:rPr>
        <w:footnoteRef/>
      </w:r>
      <w:r w:rsidRPr="00D14106">
        <w:t xml:space="preserve"> </w:t>
      </w:r>
      <w:r>
        <w:tab/>
      </w:r>
      <w:hyperlink r:id="rId49" w:history="1">
        <w:r w:rsidRPr="00C63DDA">
          <w:rPr>
            <w:rStyle w:val="Hypertextovodkaz"/>
          </w:rPr>
          <w:t>http://ec.europa.eu/programmes/horizon2020/en/what-horizon-2020</w:t>
        </w:r>
      </w:hyperlink>
      <w:r>
        <w:t xml:space="preserve"> </w:t>
      </w:r>
    </w:p>
  </w:footnote>
  <w:footnote w:id="79">
    <w:p w:rsidR="00E966A2" w:rsidRPr="00D14106" w:rsidRDefault="00E966A2" w:rsidP="00301BFB">
      <w:pPr>
        <w:pStyle w:val="Textpoznpodarou"/>
      </w:pPr>
      <w:r w:rsidRPr="00D14106">
        <w:rPr>
          <w:rStyle w:val="Znakapoznpodarou"/>
        </w:rPr>
        <w:footnoteRef/>
      </w:r>
      <w:r w:rsidRPr="00D14106">
        <w:t xml:space="preserve"> </w:t>
      </w:r>
      <w:r>
        <w:tab/>
      </w:r>
      <w:hyperlink r:id="rId50" w:history="1">
        <w:r w:rsidRPr="00C63DDA">
          <w:rPr>
            <w:rStyle w:val="Hypertextovodkaz"/>
          </w:rPr>
          <w:t>http://inea.ec.europa.eu/en/cef/cef.htm</w:t>
        </w:r>
      </w:hyperlink>
      <w:r>
        <w:t xml:space="preserve"> </w:t>
      </w:r>
    </w:p>
  </w:footnote>
  <w:footnote w:id="80">
    <w:p w:rsidR="00E966A2" w:rsidRPr="00D14106" w:rsidRDefault="00E966A2" w:rsidP="00301BFB">
      <w:pPr>
        <w:pStyle w:val="Textpoznpodarou"/>
      </w:pPr>
      <w:r w:rsidRPr="00D14106">
        <w:rPr>
          <w:rStyle w:val="Znakapoznpodarou"/>
        </w:rPr>
        <w:footnoteRef/>
      </w:r>
      <w:r w:rsidRPr="00D14106">
        <w:t xml:space="preserve"> </w:t>
      </w:r>
      <w:r>
        <w:tab/>
      </w:r>
      <w:hyperlink r:id="rId51" w:history="1">
        <w:r w:rsidRPr="00C63DDA">
          <w:rPr>
            <w:rStyle w:val="Hypertextovodkaz"/>
          </w:rPr>
          <w:t>http://www.eib.org/products/project-bonds/</w:t>
        </w:r>
      </w:hyperlink>
      <w:r>
        <w:t xml:space="preserve"> </w:t>
      </w:r>
    </w:p>
  </w:footnote>
  <w:footnote w:id="81">
    <w:p w:rsidR="00E966A2" w:rsidRDefault="00E966A2" w:rsidP="00301BFB">
      <w:pPr>
        <w:pStyle w:val="Textpoznpodarou"/>
      </w:pPr>
      <w:r>
        <w:rPr>
          <w:rStyle w:val="Znakapoznpodarou"/>
        </w:rPr>
        <w:footnoteRef/>
      </w:r>
      <w:r>
        <w:t xml:space="preserve"> </w:t>
      </w:r>
      <w:r>
        <w:tab/>
      </w:r>
      <w:hyperlink r:id="rId52" w:history="1">
        <w:r w:rsidRPr="00C63DDA">
          <w:rPr>
            <w:rStyle w:val="Hypertextovodkaz"/>
          </w:rPr>
          <w:t>http://ec.europa.eu/social/main.jsp?langId=en&amp;catId=89&amp;newsId=1093</w:t>
        </w:r>
      </w:hyperlink>
      <w:r>
        <w:t xml:space="preserve"> </w:t>
      </w:r>
    </w:p>
  </w:footnote>
  <w:footnote w:id="82">
    <w:p w:rsidR="00E966A2" w:rsidRDefault="00E966A2">
      <w:pPr>
        <w:pStyle w:val="Textpoznpodarou"/>
      </w:pPr>
      <w:r>
        <w:rPr>
          <w:rStyle w:val="Znakapoznpodarou"/>
        </w:rPr>
        <w:footnoteRef/>
      </w:r>
      <w:r>
        <w:t xml:space="preserve"> </w:t>
      </w:r>
      <w:r>
        <w:tab/>
        <w:t>MMR M</w:t>
      </w:r>
      <w:r w:rsidRPr="00895FDE">
        <w:t>etodické doporučení pro implementaci finančních nástrojů v programovém období 2014 - 2020</w:t>
      </w:r>
      <w:r>
        <w:t xml:space="preserve"> [říjen 2014].</w:t>
      </w:r>
    </w:p>
  </w:footnote>
  <w:footnote w:id="83">
    <w:p w:rsidR="00E966A2" w:rsidRDefault="00E966A2" w:rsidP="00301BFB">
      <w:pPr>
        <w:pStyle w:val="Textpoznpodarou"/>
      </w:pPr>
      <w:r>
        <w:rPr>
          <w:rStyle w:val="Znakapoznpodarou"/>
        </w:rPr>
        <w:footnoteRef/>
      </w:r>
      <w:r>
        <w:t xml:space="preserve"> </w:t>
      </w:r>
      <w:r>
        <w:tab/>
      </w:r>
      <w:r>
        <w:rPr>
          <w:rFonts w:eastAsia="Georgia"/>
        </w:rPr>
        <w:t>Č</w:t>
      </w:r>
      <w:r>
        <w:rPr>
          <w:rFonts w:eastAsia="Georgia"/>
          <w:spacing w:val="-1"/>
        </w:rPr>
        <w:t>l</w:t>
      </w:r>
      <w:r>
        <w:rPr>
          <w:rFonts w:eastAsia="Georgia"/>
        </w:rPr>
        <w:t>.</w:t>
      </w:r>
      <w:r>
        <w:rPr>
          <w:rFonts w:eastAsia="Georgia"/>
          <w:spacing w:val="-1"/>
        </w:rPr>
        <w:t xml:space="preserve"> 4</w:t>
      </w:r>
      <w:r>
        <w:rPr>
          <w:rFonts w:eastAsia="Georgia"/>
        </w:rPr>
        <w:t>0</w:t>
      </w:r>
      <w:r>
        <w:rPr>
          <w:rFonts w:eastAsia="Georgia"/>
          <w:spacing w:val="2"/>
        </w:rPr>
        <w:t xml:space="preserve"> </w:t>
      </w:r>
      <w:r>
        <w:rPr>
          <w:rFonts w:eastAsia="Georgia"/>
          <w:spacing w:val="-1"/>
        </w:rPr>
        <w:t>o</w:t>
      </w:r>
      <w:r>
        <w:rPr>
          <w:rFonts w:eastAsia="Georgia"/>
        </w:rPr>
        <w:t>d</w:t>
      </w:r>
      <w:r>
        <w:rPr>
          <w:rFonts w:eastAsia="Georgia"/>
          <w:spacing w:val="-1"/>
        </w:rPr>
        <w:t>s</w:t>
      </w:r>
      <w:r>
        <w:rPr>
          <w:rFonts w:eastAsia="Georgia"/>
          <w:spacing w:val="3"/>
        </w:rPr>
        <w:t>t</w:t>
      </w:r>
      <w:r>
        <w:rPr>
          <w:rFonts w:eastAsia="Georgia"/>
        </w:rPr>
        <w:t>.</w:t>
      </w:r>
      <w:r>
        <w:rPr>
          <w:rFonts w:eastAsia="Georgia"/>
          <w:spacing w:val="-1"/>
        </w:rPr>
        <w:t xml:space="preserve"> </w:t>
      </w:r>
      <w:r>
        <w:rPr>
          <w:rFonts w:eastAsia="Georgia"/>
        </w:rPr>
        <w:t>1</w:t>
      </w:r>
      <w:r>
        <w:rPr>
          <w:rFonts w:eastAsia="Georgia"/>
          <w:spacing w:val="-1"/>
        </w:rPr>
        <w:t xml:space="preserve"> </w:t>
      </w:r>
      <w:r>
        <w:rPr>
          <w:rFonts w:eastAsia="Georgia"/>
        </w:rPr>
        <w:t xml:space="preserve">a 2 </w:t>
      </w:r>
      <w:r>
        <w:rPr>
          <w:rFonts w:eastAsia="Georgia"/>
          <w:spacing w:val="-1"/>
        </w:rPr>
        <w:t>o</w:t>
      </w:r>
      <w:r>
        <w:rPr>
          <w:rFonts w:eastAsia="Georgia"/>
          <w:spacing w:val="2"/>
        </w:rPr>
        <w:t>b</w:t>
      </w:r>
      <w:r>
        <w:rPr>
          <w:rFonts w:eastAsia="Georgia"/>
          <w:spacing w:val="-1"/>
        </w:rPr>
        <w:t>e</w:t>
      </w:r>
      <w:r>
        <w:rPr>
          <w:rFonts w:eastAsia="Georgia"/>
        </w:rPr>
        <w:t>c</w:t>
      </w:r>
      <w:r>
        <w:rPr>
          <w:rFonts w:eastAsia="Georgia"/>
          <w:spacing w:val="-1"/>
        </w:rPr>
        <w:t>né</w:t>
      </w:r>
      <w:r>
        <w:rPr>
          <w:rFonts w:eastAsia="Georgia"/>
          <w:spacing w:val="1"/>
        </w:rPr>
        <w:t>h</w:t>
      </w:r>
      <w:r>
        <w:rPr>
          <w:rFonts w:eastAsia="Georgia"/>
        </w:rPr>
        <w:t>o</w:t>
      </w:r>
      <w:r>
        <w:rPr>
          <w:rFonts w:eastAsia="Georgia"/>
          <w:spacing w:val="1"/>
        </w:rPr>
        <w:t xml:space="preserve"> </w:t>
      </w:r>
      <w:r>
        <w:rPr>
          <w:rFonts w:eastAsia="Georgia"/>
          <w:spacing w:val="-1"/>
        </w:rPr>
        <w:t>n</w:t>
      </w:r>
      <w:r>
        <w:rPr>
          <w:rFonts w:eastAsia="Georgia"/>
        </w:rPr>
        <w:t>a</w:t>
      </w:r>
      <w:r>
        <w:rPr>
          <w:rFonts w:eastAsia="Georgia"/>
          <w:spacing w:val="1"/>
        </w:rPr>
        <w:t>ř</w:t>
      </w:r>
      <w:r>
        <w:rPr>
          <w:rFonts w:eastAsia="Georgia"/>
        </w:rPr>
        <w:t>í</w:t>
      </w:r>
      <w:r>
        <w:rPr>
          <w:rFonts w:eastAsia="Georgia"/>
          <w:spacing w:val="-1"/>
        </w:rPr>
        <w:t>zen</w:t>
      </w:r>
      <w:r>
        <w:rPr>
          <w:rFonts w:eastAsia="Georgia"/>
        </w:rPr>
        <w:t>í</w:t>
      </w:r>
    </w:p>
  </w:footnote>
  <w:footnote w:id="84">
    <w:p w:rsidR="00E966A2" w:rsidRPr="004E2E8C" w:rsidRDefault="00E966A2" w:rsidP="00301BFB">
      <w:pPr>
        <w:pStyle w:val="Textpoznpodarou"/>
      </w:pPr>
      <w:r>
        <w:rPr>
          <w:rStyle w:val="Znakapoznpodarou"/>
        </w:rPr>
        <w:footnoteRef/>
      </w:r>
      <w:r>
        <w:t xml:space="preserve"> </w:t>
      </w:r>
      <w:r>
        <w:tab/>
      </w:r>
      <w:r w:rsidRPr="004E2E8C">
        <w:rPr>
          <w:rFonts w:eastAsia="Georgia"/>
          <w:spacing w:val="1"/>
        </w:rPr>
        <w:t>Pr</w:t>
      </w:r>
      <w:r w:rsidRPr="004E2E8C">
        <w:rPr>
          <w:rFonts w:eastAsia="Georgia"/>
          <w:spacing w:val="-1"/>
        </w:rPr>
        <w:t>e</w:t>
      </w:r>
      <w:r w:rsidRPr="004E2E8C">
        <w:rPr>
          <w:rFonts w:eastAsia="Georgia"/>
        </w:rPr>
        <w:t>ambu</w:t>
      </w:r>
      <w:r w:rsidRPr="004E2E8C">
        <w:rPr>
          <w:rFonts w:eastAsia="Georgia"/>
          <w:spacing w:val="-1"/>
        </w:rPr>
        <w:t>l</w:t>
      </w:r>
      <w:r w:rsidRPr="004E2E8C">
        <w:rPr>
          <w:rFonts w:eastAsia="Georgia"/>
        </w:rPr>
        <w:t>e</w:t>
      </w:r>
      <w:r w:rsidRPr="004E2E8C">
        <w:rPr>
          <w:rFonts w:eastAsia="Georgia"/>
          <w:spacing w:val="-1"/>
        </w:rPr>
        <w:t xml:space="preserve"> o</w:t>
      </w:r>
      <w:r w:rsidRPr="004E2E8C">
        <w:rPr>
          <w:rFonts w:eastAsia="Georgia"/>
        </w:rPr>
        <w:t>b</w:t>
      </w:r>
      <w:r w:rsidRPr="004E2E8C">
        <w:rPr>
          <w:rFonts w:eastAsia="Georgia"/>
          <w:spacing w:val="-1"/>
        </w:rPr>
        <w:t>e</w:t>
      </w:r>
      <w:r w:rsidRPr="004E2E8C">
        <w:rPr>
          <w:rFonts w:eastAsia="Georgia"/>
          <w:spacing w:val="2"/>
        </w:rPr>
        <w:t>c</w:t>
      </w:r>
      <w:r w:rsidRPr="004E2E8C">
        <w:rPr>
          <w:rFonts w:eastAsia="Georgia"/>
          <w:spacing w:val="-1"/>
        </w:rPr>
        <w:t>né</w:t>
      </w:r>
      <w:r w:rsidRPr="004E2E8C">
        <w:rPr>
          <w:rFonts w:eastAsia="Georgia"/>
          <w:spacing w:val="1"/>
        </w:rPr>
        <w:t>h</w:t>
      </w:r>
      <w:r w:rsidRPr="004E2E8C">
        <w:rPr>
          <w:rFonts w:eastAsia="Georgia"/>
        </w:rPr>
        <w:t>o</w:t>
      </w:r>
      <w:r w:rsidRPr="004E2E8C">
        <w:rPr>
          <w:rFonts w:eastAsia="Georgia"/>
          <w:spacing w:val="-1"/>
        </w:rPr>
        <w:t xml:space="preserve"> n</w:t>
      </w:r>
      <w:r w:rsidRPr="004E2E8C">
        <w:rPr>
          <w:rFonts w:eastAsia="Georgia"/>
        </w:rPr>
        <w:t>a</w:t>
      </w:r>
      <w:r w:rsidRPr="004E2E8C">
        <w:rPr>
          <w:rFonts w:eastAsia="Georgia"/>
          <w:spacing w:val="1"/>
        </w:rPr>
        <w:t>ř</w:t>
      </w:r>
      <w:r w:rsidRPr="004E2E8C">
        <w:rPr>
          <w:rFonts w:eastAsia="Georgia"/>
        </w:rPr>
        <w:t>í</w:t>
      </w:r>
      <w:r w:rsidRPr="004E2E8C">
        <w:rPr>
          <w:rFonts w:eastAsia="Georgia"/>
          <w:spacing w:val="2"/>
        </w:rPr>
        <w:t>z</w:t>
      </w:r>
      <w:r w:rsidRPr="004E2E8C">
        <w:rPr>
          <w:rFonts w:eastAsia="Georgia"/>
          <w:spacing w:val="-1"/>
        </w:rPr>
        <w:t>en</w:t>
      </w:r>
      <w:r w:rsidRPr="004E2E8C">
        <w:rPr>
          <w:rFonts w:eastAsia="Georgia"/>
        </w:rPr>
        <w:t>í,</w:t>
      </w:r>
      <w:r w:rsidRPr="004E2E8C">
        <w:rPr>
          <w:rFonts w:eastAsia="Georgia"/>
          <w:spacing w:val="2"/>
        </w:rPr>
        <w:t xml:space="preserve"> </w:t>
      </w:r>
      <w:r w:rsidRPr="004E2E8C">
        <w:rPr>
          <w:rFonts w:eastAsia="Georgia"/>
        </w:rPr>
        <w:t>č</w:t>
      </w:r>
      <w:r w:rsidRPr="004E2E8C">
        <w:rPr>
          <w:rFonts w:eastAsia="Georgia"/>
          <w:spacing w:val="-1"/>
        </w:rPr>
        <w:t>l</w:t>
      </w:r>
      <w:r w:rsidRPr="004E2E8C">
        <w:rPr>
          <w:rFonts w:eastAsia="Georgia"/>
        </w:rPr>
        <w:t>.</w:t>
      </w:r>
      <w:r w:rsidRPr="004E2E8C">
        <w:rPr>
          <w:rFonts w:eastAsia="Georgia"/>
          <w:spacing w:val="-1"/>
        </w:rPr>
        <w:t xml:space="preserve"> 4</w:t>
      </w:r>
      <w:r w:rsidRPr="004E2E8C">
        <w:rPr>
          <w:rFonts w:eastAsia="Georgia"/>
          <w:spacing w:val="3"/>
        </w:rPr>
        <w:t>2</w:t>
      </w:r>
      <w:r w:rsidRPr="004E2E8C">
        <w:rPr>
          <w:rFonts w:eastAsia="Georgia"/>
        </w:rPr>
        <w:t>;</w:t>
      </w:r>
      <w:r w:rsidRPr="004E2E8C">
        <w:rPr>
          <w:rFonts w:eastAsia="Georgia"/>
          <w:spacing w:val="-1"/>
        </w:rPr>
        <w:t xml:space="preserve"> o</w:t>
      </w:r>
      <w:r w:rsidRPr="004E2E8C">
        <w:rPr>
          <w:rFonts w:eastAsia="Georgia"/>
        </w:rPr>
        <w:t>b</w:t>
      </w:r>
      <w:r w:rsidRPr="004E2E8C">
        <w:rPr>
          <w:rFonts w:eastAsia="Georgia"/>
          <w:spacing w:val="-1"/>
        </w:rPr>
        <w:t>e</w:t>
      </w:r>
      <w:r w:rsidRPr="004E2E8C">
        <w:rPr>
          <w:rFonts w:eastAsia="Georgia"/>
          <w:spacing w:val="2"/>
        </w:rPr>
        <w:t>c</w:t>
      </w:r>
      <w:r w:rsidRPr="004E2E8C">
        <w:rPr>
          <w:rFonts w:eastAsia="Georgia"/>
          <w:spacing w:val="-1"/>
        </w:rPr>
        <w:t>n</w:t>
      </w:r>
      <w:r w:rsidRPr="004E2E8C">
        <w:rPr>
          <w:rFonts w:eastAsia="Georgia"/>
        </w:rPr>
        <w:t>é</w:t>
      </w:r>
      <w:r w:rsidRPr="004E2E8C">
        <w:rPr>
          <w:rFonts w:eastAsia="Georgia"/>
          <w:spacing w:val="-1"/>
        </w:rPr>
        <w:t xml:space="preserve"> n</w:t>
      </w:r>
      <w:r w:rsidRPr="004E2E8C">
        <w:rPr>
          <w:rFonts w:eastAsia="Georgia"/>
        </w:rPr>
        <w:t>a</w:t>
      </w:r>
      <w:r w:rsidRPr="004E2E8C">
        <w:rPr>
          <w:rFonts w:eastAsia="Georgia"/>
          <w:spacing w:val="1"/>
        </w:rPr>
        <w:t>ř</w:t>
      </w:r>
      <w:r w:rsidRPr="004E2E8C">
        <w:rPr>
          <w:rFonts w:eastAsia="Georgia"/>
        </w:rPr>
        <w:t>í</w:t>
      </w:r>
      <w:r w:rsidRPr="004E2E8C">
        <w:rPr>
          <w:rFonts w:eastAsia="Georgia"/>
          <w:spacing w:val="2"/>
        </w:rPr>
        <w:t>z</w:t>
      </w:r>
      <w:r w:rsidRPr="004E2E8C">
        <w:rPr>
          <w:rFonts w:eastAsia="Georgia"/>
          <w:spacing w:val="-1"/>
        </w:rPr>
        <w:t>en</w:t>
      </w:r>
      <w:r w:rsidRPr="004E2E8C">
        <w:rPr>
          <w:rFonts w:eastAsia="Georgia"/>
        </w:rPr>
        <w:t>í,</w:t>
      </w:r>
      <w:r w:rsidRPr="004E2E8C">
        <w:rPr>
          <w:rFonts w:eastAsia="Georgia"/>
          <w:spacing w:val="-1"/>
        </w:rPr>
        <w:t xml:space="preserve"> </w:t>
      </w:r>
      <w:r w:rsidRPr="004E2E8C">
        <w:rPr>
          <w:rFonts w:eastAsia="Georgia"/>
          <w:spacing w:val="2"/>
        </w:rPr>
        <w:t>č</w:t>
      </w:r>
      <w:r w:rsidRPr="004E2E8C">
        <w:rPr>
          <w:rFonts w:eastAsia="Georgia"/>
          <w:spacing w:val="-1"/>
        </w:rPr>
        <w:t>l</w:t>
      </w:r>
      <w:r w:rsidRPr="004E2E8C">
        <w:rPr>
          <w:rFonts w:eastAsia="Georgia"/>
        </w:rPr>
        <w:t>.</w:t>
      </w:r>
      <w:r w:rsidRPr="004E2E8C">
        <w:rPr>
          <w:rFonts w:eastAsia="Georgia"/>
          <w:spacing w:val="-1"/>
        </w:rPr>
        <w:t xml:space="preserve"> 3</w:t>
      </w:r>
      <w:r w:rsidRPr="004E2E8C">
        <w:rPr>
          <w:rFonts w:eastAsia="Georgia"/>
        </w:rPr>
        <w:t>8</w:t>
      </w:r>
      <w:r w:rsidRPr="004E2E8C">
        <w:rPr>
          <w:rFonts w:eastAsia="Georgia"/>
          <w:spacing w:val="3"/>
        </w:rPr>
        <w:t xml:space="preserve"> </w:t>
      </w:r>
      <w:r w:rsidRPr="004E2E8C">
        <w:rPr>
          <w:rFonts w:eastAsia="Georgia"/>
          <w:spacing w:val="-1"/>
        </w:rPr>
        <w:t>o</w:t>
      </w:r>
      <w:r w:rsidRPr="004E2E8C">
        <w:rPr>
          <w:rFonts w:eastAsia="Georgia"/>
        </w:rPr>
        <w:t>d</w:t>
      </w:r>
      <w:r w:rsidRPr="004E2E8C">
        <w:rPr>
          <w:rFonts w:eastAsia="Georgia"/>
          <w:spacing w:val="-1"/>
        </w:rPr>
        <w:t>s</w:t>
      </w:r>
      <w:r w:rsidRPr="004E2E8C">
        <w:rPr>
          <w:rFonts w:eastAsia="Georgia"/>
        </w:rPr>
        <w:t>t.</w:t>
      </w:r>
      <w:r w:rsidRPr="004E2E8C">
        <w:rPr>
          <w:rFonts w:eastAsia="Georgia"/>
          <w:spacing w:val="-1"/>
        </w:rPr>
        <w:t xml:space="preserve"> </w:t>
      </w:r>
      <w:r w:rsidRPr="004E2E8C">
        <w:rPr>
          <w:rFonts w:eastAsia="Georgia"/>
          <w:spacing w:val="2"/>
        </w:rPr>
        <w:t>1</w:t>
      </w:r>
      <w:r w:rsidRPr="004E2E8C">
        <w:rPr>
          <w:rFonts w:eastAsia="Georgia"/>
        </w:rPr>
        <w:t>.</w:t>
      </w:r>
    </w:p>
  </w:footnote>
  <w:footnote w:id="85">
    <w:p w:rsidR="00E966A2" w:rsidRPr="004E2E8C" w:rsidRDefault="00E966A2" w:rsidP="005321DF">
      <w:pPr>
        <w:pStyle w:val="Textpoznpodarou"/>
        <w:rPr>
          <w:rFonts w:eastAsia="Georgia"/>
        </w:rPr>
      </w:pPr>
      <w:r w:rsidRPr="004E2E8C">
        <w:rPr>
          <w:rStyle w:val="Znakapoznpodarou"/>
        </w:rPr>
        <w:footnoteRef/>
      </w:r>
      <w:r w:rsidRPr="004E2E8C">
        <w:t xml:space="preserve"> </w:t>
      </w:r>
      <w:r>
        <w:tab/>
      </w:r>
      <w:hyperlink r:id="rId53" w:history="1">
        <w:r w:rsidRPr="00242ECB">
          <w:rPr>
            <w:rStyle w:val="Hypertextovodkaz"/>
            <w:rFonts w:eastAsia="Georgia"/>
            <w:spacing w:val="1"/>
          </w:rPr>
          <w:t>http://ec.europa.eu/regional policy/what/future/pdf/preparation/3 draft_standard_terms_conditions_financial_instruments_17072013.pdf</w:t>
        </w:r>
      </w:hyperlink>
      <w:r>
        <w:rPr>
          <w:rStyle w:val="Hypertextovodkaz"/>
          <w:rFonts w:eastAsia="Georgia"/>
          <w:spacing w:val="1"/>
        </w:rPr>
        <w:t xml:space="preserve">, </w:t>
      </w:r>
    </w:p>
  </w:footnote>
  <w:footnote w:id="86">
    <w:p w:rsidR="00E966A2" w:rsidRDefault="00E966A2">
      <w:pPr>
        <w:pStyle w:val="Textpoznpodarou"/>
      </w:pPr>
      <w:r>
        <w:rPr>
          <w:rStyle w:val="Znakapoznpodarou"/>
        </w:rPr>
        <w:footnoteRef/>
      </w:r>
      <w:r>
        <w:t xml:space="preserve"> </w:t>
      </w:r>
      <w:r>
        <w:tab/>
        <w:t>MMR M</w:t>
      </w:r>
      <w:r w:rsidRPr="00895FDE">
        <w:t>etodické doporučení pro implementaci finančních nástrojů v programovém období 2014 - 2020</w:t>
      </w:r>
      <w:r>
        <w:t xml:space="preserve"> [říjen 2014].</w:t>
      </w:r>
      <w:r w:rsidRPr="004E2E8C">
        <w:rPr>
          <w:rFonts w:eastAsia="Georgia"/>
        </w:rPr>
        <w:t xml:space="preserve">  </w:t>
      </w:r>
    </w:p>
  </w:footnote>
  <w:footnote w:id="87">
    <w:p w:rsidR="00E966A2" w:rsidRPr="004E2E8C" w:rsidRDefault="00E966A2" w:rsidP="00301BFB">
      <w:pPr>
        <w:pStyle w:val="Textpoznpodarou"/>
        <w:rPr>
          <w:rFonts w:eastAsia="Georgia"/>
        </w:rPr>
      </w:pPr>
      <w:r w:rsidRPr="004E2E8C">
        <w:rPr>
          <w:rStyle w:val="Znakapoznpodarou"/>
        </w:rPr>
        <w:footnoteRef/>
      </w:r>
      <w:r w:rsidRPr="004E2E8C">
        <w:t xml:space="preserve"> </w:t>
      </w:r>
      <w:r w:rsidRPr="004E2E8C">
        <w:tab/>
      </w:r>
      <w:r w:rsidRPr="004E2E8C">
        <w:rPr>
          <w:rFonts w:eastAsia="Georgia"/>
        </w:rPr>
        <w:t>Financial instruments in ESIF programmes 2014-2020: A short reference guide for Managing Authorities, čl. 7.2</w:t>
      </w:r>
      <w:r>
        <w:rPr>
          <w:rFonts w:eastAsia="Georgia"/>
        </w:rPr>
        <w:t>.</w:t>
      </w:r>
    </w:p>
  </w:footnote>
  <w:footnote w:id="88">
    <w:p w:rsidR="00E966A2" w:rsidRDefault="00E966A2" w:rsidP="00301BFB">
      <w:pPr>
        <w:pStyle w:val="Textpoznpodarou"/>
      </w:pPr>
      <w:r w:rsidRPr="004E2E8C">
        <w:rPr>
          <w:rStyle w:val="Znakapoznpodarou"/>
        </w:rPr>
        <w:footnoteRef/>
      </w:r>
      <w:r w:rsidRPr="004E2E8C">
        <w:t xml:space="preserve"> </w:t>
      </w:r>
      <w:r>
        <w:tab/>
      </w:r>
      <w:hyperlink r:id="rId54" w:history="1">
        <w:r w:rsidRPr="00242ECB">
          <w:rPr>
            <w:rStyle w:val="Hypertextovodkaz"/>
          </w:rPr>
          <w:t>http://ec.europa.eu/regional policy/what/future/pdf/preparation/3_draft_standard_terms_conditions_financial_instruments_17072013.pdf</w:t>
        </w:r>
      </w:hyperlink>
      <w:r>
        <w:t xml:space="preserve"> </w:t>
      </w:r>
    </w:p>
  </w:footnote>
  <w:footnote w:id="89">
    <w:p w:rsidR="00E966A2" w:rsidRDefault="00E966A2" w:rsidP="00301BFB">
      <w:pPr>
        <w:pStyle w:val="Textpoznpodarou"/>
      </w:pPr>
      <w:r>
        <w:rPr>
          <w:rStyle w:val="Znakapoznpodarou"/>
        </w:rPr>
        <w:footnoteRef/>
      </w:r>
      <w:r>
        <w:t xml:space="preserve"> </w:t>
      </w:r>
      <w:r>
        <w:tab/>
        <w:t>Podpora de minimis je veřejná podpora malého rozsahu. Pokud se čerpání podpory řídí pravidlem de minimis, je to ve vyhlášení příslušného programu vždy uvedeno. Podpory poskytnuté v tomto režimu se z jednotlivých programů kumulují. Za poslední 3 roky nesmí celková podpora poskytnutá v režimu de minimis jednomu subjektu přesáhnout hranici 200 tis. EUR.</w:t>
      </w:r>
    </w:p>
  </w:footnote>
  <w:footnote w:id="90">
    <w:p w:rsidR="00E966A2" w:rsidRDefault="00E966A2">
      <w:pPr>
        <w:pStyle w:val="Textpoznpodarou"/>
      </w:pPr>
      <w:r>
        <w:rPr>
          <w:rStyle w:val="Znakapoznpodarou"/>
        </w:rPr>
        <w:footnoteRef/>
      </w:r>
      <w:r>
        <w:t xml:space="preserve"> </w:t>
      </w:r>
      <w:r>
        <w:tab/>
        <w:t>Viz také MMR M</w:t>
      </w:r>
      <w:r w:rsidRPr="00895FDE">
        <w:t>etodické doporučení pro implementaci finančních nástrojů v programovém období 2014 - 2020</w:t>
      </w:r>
      <w:r>
        <w:t xml:space="preserve"> [říjen 2014].</w:t>
      </w:r>
    </w:p>
  </w:footnote>
  <w:footnote w:id="91">
    <w:p w:rsidR="00E966A2" w:rsidRDefault="00E966A2" w:rsidP="00301BFB">
      <w:pPr>
        <w:pStyle w:val="Textpoznpodarou"/>
      </w:pPr>
      <w:r>
        <w:rPr>
          <w:rStyle w:val="Znakapoznpodarou"/>
        </w:rPr>
        <w:footnoteRef/>
      </w:r>
      <w:r>
        <w:t xml:space="preserve"> </w:t>
      </w:r>
      <w:r>
        <w:tab/>
        <w:t>Pojem Private equity je používán pro široké spektrum investic většinou kapitálového charakteru (akciové podíly, podřízené úvěry apod.) do obchodních společností, které nejsou veřejně obchodovatelné nebo do projektových společností realizujících specifické projekty (infrastruktura, energetika atd.). Zdrojem jsou soukromí i veřejní investoři a to jak institucionální (podniky, pojišťovny, penzijní fondy) tak i soukromé osoby.</w:t>
      </w:r>
    </w:p>
  </w:footnote>
  <w:footnote w:id="92">
    <w:p w:rsidR="00E966A2" w:rsidRDefault="00E966A2" w:rsidP="00301BFB">
      <w:pPr>
        <w:pStyle w:val="Textpoznpodarou"/>
      </w:pPr>
      <w:r>
        <w:rPr>
          <w:rStyle w:val="Znakapoznpodarou"/>
        </w:rPr>
        <w:footnoteRef/>
      </w:r>
      <w:r>
        <w:t xml:space="preserve"> </w:t>
      </w:r>
      <w:r>
        <w:tab/>
        <w:t>Podřízený dluh ze strany vlastníka firmy je sice formálně dluhovým nástrojem, ale podřízený dluh má charakteristiku tzv. nezajištěného dluhu a proto je financujícími bankami v případě realizace projektového financování považován za zdroj vlastního kapitálu. Banka má totiž vždy jistotu, že její pohledávky z poskytnutých úvěrů budou hrazeny před splátkou podřízeného dluhu. To je stejný princip jako kdyby zakladatel firmy vložil prostředky přímo do základního jmění, ale podřízený dluh mu poskytuje větší flexibilitu při nakládání s finančními zdroji.</w:t>
      </w:r>
    </w:p>
  </w:footnote>
  <w:footnote w:id="93">
    <w:p w:rsidR="00E966A2" w:rsidRDefault="00E966A2" w:rsidP="00301BFB">
      <w:pPr>
        <w:pStyle w:val="Textpoznpodarou"/>
      </w:pPr>
      <w:r>
        <w:rPr>
          <w:rStyle w:val="Znakapoznpodarou"/>
        </w:rPr>
        <w:footnoteRef/>
      </w:r>
      <w:r>
        <w:t xml:space="preserve"> </w:t>
      </w:r>
      <w:r>
        <w:tab/>
        <w:t>Jako příklad lze uvést off-the-shelf finanční nástroj – Risk Sharing Facility nebo například strukturovaný produkt EIB – European Energy Eficient Fund EEEF.</w:t>
      </w:r>
    </w:p>
  </w:footnote>
  <w:footnote w:id="94">
    <w:p w:rsidR="00E966A2" w:rsidRDefault="00E966A2" w:rsidP="00301BFB">
      <w:pPr>
        <w:pStyle w:val="Textpoznpodarou"/>
      </w:pPr>
      <w:r>
        <w:rPr>
          <w:rStyle w:val="Znakapoznpodarou"/>
        </w:rPr>
        <w:footnoteRef/>
      </w:r>
      <w:r>
        <w:t xml:space="preserve"> </w:t>
      </w:r>
      <w:r>
        <w:tab/>
        <w:t xml:space="preserve">Tento mechanizmus je často používán např. Evropským investičním fondem – jako příklad lze uvést European Energy Efficiency Fund – </w:t>
      </w:r>
      <w:hyperlink r:id="rId55" w:history="1">
        <w:r w:rsidRPr="00C63DDA">
          <w:rPr>
            <w:rStyle w:val="Hypertextovodkaz"/>
          </w:rPr>
          <w:t>www.eeef.eu</w:t>
        </w:r>
      </w:hyperlink>
    </w:p>
  </w:footnote>
  <w:footnote w:id="95">
    <w:p w:rsidR="00E966A2" w:rsidRPr="0089495C" w:rsidRDefault="00E966A2" w:rsidP="00301BFB">
      <w:pPr>
        <w:pStyle w:val="Textpoznpodarou"/>
      </w:pPr>
      <w:r>
        <w:rPr>
          <w:rStyle w:val="Znakapoznpodarou"/>
        </w:rPr>
        <w:footnoteRef/>
      </w:r>
      <w:r>
        <w:t xml:space="preserve"> </w:t>
      </w:r>
      <w:r>
        <w:tab/>
      </w:r>
      <w:r w:rsidRPr="00287AF9">
        <w:t>Více například prezentace Slovenské vlády pro i</w:t>
      </w:r>
      <w:r>
        <w:t>mplementaci IFN – příloha č. 6</w:t>
      </w:r>
    </w:p>
  </w:footnote>
  <w:footnote w:id="96">
    <w:p w:rsidR="00E966A2" w:rsidRDefault="00E966A2" w:rsidP="00301BFB">
      <w:pPr>
        <w:pStyle w:val="Textpoznpodarou"/>
      </w:pPr>
      <w:r>
        <w:rPr>
          <w:rStyle w:val="Znakapoznpodarou"/>
        </w:rPr>
        <w:footnoteRef/>
      </w:r>
      <w:r>
        <w:t xml:space="preserve"> </w:t>
      </w:r>
      <w:r>
        <w:tab/>
        <w:t xml:space="preserve">Údaje v této kapitole jsou založeny na </w:t>
      </w:r>
      <w:bookmarkStart w:id="43" w:name="OLE_LINK21"/>
      <w:bookmarkStart w:id="44" w:name="OLE_LINK22"/>
      <w:r>
        <w:t xml:space="preserve">informacích Komise a souhrnné zprávy "Finanční inženýrství - nástroje používané členskými státy". Podrobnější údaje k dispozici Komise jsou založeny na dobrovolném podávání zpráv od řídících orgánů, což pokrylo více než 75% využití finančních nástrojů do konce roku 2010. Souhrnná zpráva byla předložena COCOF v říjnu 2011 po potvrzení jeho obsahu ze strany členských států, zpráva byla formálně předána zástupcům členských států COCOF v prosinci 2011 a do Evropského parlamentu a Účetního dvora v lednu 2012". </w:t>
      </w:r>
      <w:r>
        <w:br/>
      </w:r>
      <w:hyperlink r:id="rId56" w:history="1">
        <w:r w:rsidRPr="00C63DDA">
          <w:rPr>
            <w:rStyle w:val="Hypertextovodkaz"/>
          </w:rPr>
          <w:t>http://www.europarl.europa.eu/document/activities/cont/201212/20121219ATT58253/20121219ATT58253EN.pdf</w:t>
        </w:r>
      </w:hyperlink>
      <w:bookmarkEnd w:id="43"/>
      <w:bookmarkEnd w:id="44"/>
    </w:p>
  </w:footnote>
  <w:footnote w:id="97">
    <w:p w:rsidR="00E966A2" w:rsidRPr="00470413" w:rsidRDefault="00E966A2" w:rsidP="00301BFB">
      <w:pPr>
        <w:pStyle w:val="Textpoznpodarou"/>
      </w:pPr>
      <w:r w:rsidRPr="00470413">
        <w:rPr>
          <w:rStyle w:val="Znakapoznpodarou"/>
          <w:rFonts w:ascii="Calibri" w:hAnsi="Calibri" w:cs="Calibri"/>
        </w:rPr>
        <w:footnoteRef/>
      </w:r>
      <w:r w:rsidRPr="00470413">
        <w:t xml:space="preserve"> </w:t>
      </w:r>
      <w:r>
        <w:tab/>
      </w:r>
      <w:r w:rsidRPr="00470413">
        <w:t xml:space="preserve">V rámci energetické účinnosti jsou </w:t>
      </w:r>
      <w:r>
        <w:t>IFN</w:t>
      </w:r>
      <w:r w:rsidRPr="00470413">
        <w:t xml:space="preserve"> často implementovány v rámci inciativy JESSICA, a to pokud jsou zaměřeny na energetickou účinnost ve městech.</w:t>
      </w:r>
    </w:p>
  </w:footnote>
  <w:footnote w:id="98">
    <w:p w:rsidR="00E966A2" w:rsidRDefault="00E966A2" w:rsidP="00301BFB">
      <w:pPr>
        <w:pStyle w:val="Textpoznpodarou"/>
      </w:pPr>
      <w:r>
        <w:rPr>
          <w:rStyle w:val="Znakapoznpodarou"/>
        </w:rPr>
        <w:footnoteRef/>
      </w:r>
      <w:r>
        <w:t xml:space="preserve"> </w:t>
      </w:r>
      <w:r>
        <w:tab/>
      </w:r>
      <w:hyperlink r:id="rId57" w:history="1">
        <w:r w:rsidRPr="006A414A">
          <w:rPr>
            <w:rStyle w:val="Hypertextovodkaz"/>
          </w:rPr>
          <w:t>http://ec.europa.eu/regional_policy/thefunds/instruments/doc/summary_data_fei_2012.pdf</w:t>
        </w:r>
      </w:hyperlink>
      <w:r>
        <w:t xml:space="preserve"> </w:t>
      </w:r>
    </w:p>
  </w:footnote>
  <w:footnote w:id="99">
    <w:p w:rsidR="00E966A2" w:rsidRDefault="00E966A2" w:rsidP="00301BFB">
      <w:pPr>
        <w:pStyle w:val="Textpoznpodarou"/>
      </w:pPr>
      <w:r>
        <w:rPr>
          <w:rStyle w:val="Znakapoznpodarou"/>
        </w:rPr>
        <w:footnoteRef/>
      </w:r>
      <w:r>
        <w:t xml:space="preserve"> </w:t>
      </w:r>
      <w:r>
        <w:tab/>
      </w:r>
      <w:hyperlink r:id="rId58" w:history="1">
        <w:r w:rsidRPr="00242ECB">
          <w:rPr>
            <w:rStyle w:val="Hypertextovodkaz"/>
          </w:rPr>
          <w:t>http://ec.europa.eu/regional_policy/thefunds/instruments/doc/summary_data_fei_2012.pdf</w:t>
        </w:r>
      </w:hyperlink>
      <w:r>
        <w:t xml:space="preserve"> </w:t>
      </w:r>
    </w:p>
  </w:footnote>
  <w:footnote w:id="100">
    <w:p w:rsidR="00E966A2" w:rsidRDefault="00E966A2" w:rsidP="00301BFB">
      <w:pPr>
        <w:pStyle w:val="Textpoznpodarou"/>
      </w:pPr>
      <w:r>
        <w:rPr>
          <w:rStyle w:val="Znakapoznpodarou"/>
        </w:rPr>
        <w:footnoteRef/>
      </w:r>
      <w:r>
        <w:t xml:space="preserve"> </w:t>
      </w:r>
      <w:r>
        <w:tab/>
        <w:t>Komentář EK k dohodě o partnerství pro roky 2014-2020: Klíčovým úkolem pro českou ekonomiku do budoucna je mobilizovat investice a usnadnit přechod na růst založený na inovacích, vyšší přidané hodnotě, lidském kapitálu a energeticky účinnější ekonomice. Základní komponenty pro tento přechod zahrnují investice do kvalifikované a flexibilní pracovní síly a konkurenceschopných podniků, které mohou dosáhnout a překonat technologické hranice. V budoucnosti by to měly být určující faktory jako rozvoj institucionálního a regulačního rámce, flexibilita na trhu práce, kvalita a dostupnost infrastruktury, energie, kvalita a efektivita v oblasti vzdělávání a výzkumu. Dále bude třeba při zlepšování konkurenčního postavení české ekonomiky brát ohled na udržitelnost životního prostředí a sociální soudržnost.</w:t>
      </w:r>
    </w:p>
  </w:footnote>
  <w:footnote w:id="101">
    <w:p w:rsidR="00E966A2" w:rsidRDefault="00E966A2" w:rsidP="00301BFB">
      <w:pPr>
        <w:pStyle w:val="Textpoznpodarou"/>
      </w:pPr>
      <w:r>
        <w:rPr>
          <w:rStyle w:val="Znakapoznpodarou"/>
        </w:rPr>
        <w:footnoteRef/>
      </w:r>
      <w:r>
        <w:t xml:space="preserve"> </w:t>
      </w:r>
      <w:r>
        <w:tab/>
        <w:t xml:space="preserve">EK dokumentuje tuto zásadní prioritu ve strategii Evropa 2020. </w:t>
      </w:r>
      <w:hyperlink r:id="rId59" w:history="1">
        <w:r w:rsidRPr="00242ECB">
          <w:rPr>
            <w:rStyle w:val="Hypertextovodkaz"/>
          </w:rPr>
          <w:t>http://ec.europa.eu/europe2020/index_en.htm</w:t>
        </w:r>
      </w:hyperlink>
      <w:r>
        <w:t xml:space="preserve"> </w:t>
      </w:r>
    </w:p>
  </w:footnote>
  <w:footnote w:id="102">
    <w:p w:rsidR="00E966A2" w:rsidRDefault="00E966A2" w:rsidP="00301BFB">
      <w:pPr>
        <w:pStyle w:val="Textpoznpodarou"/>
      </w:pPr>
      <w:r>
        <w:rPr>
          <w:rStyle w:val="Znakapoznpodarou"/>
        </w:rPr>
        <w:footnoteRef/>
      </w:r>
      <w:r>
        <w:t xml:space="preserve"> </w:t>
      </w:r>
      <w:r>
        <w:tab/>
        <w:t>Tyto principy jsou obsaženy i v Národním programu reforem.</w:t>
      </w:r>
    </w:p>
  </w:footnote>
  <w:footnote w:id="103">
    <w:p w:rsidR="00E966A2" w:rsidRDefault="00E966A2" w:rsidP="00301BFB">
      <w:pPr>
        <w:pStyle w:val="Textpoznpodarou"/>
      </w:pPr>
      <w:r>
        <w:rPr>
          <w:rStyle w:val="Znakapoznpodarou"/>
        </w:rPr>
        <w:footnoteRef/>
      </w:r>
      <w:r>
        <w:t xml:space="preserve"> </w:t>
      </w:r>
      <w:r>
        <w:tab/>
      </w:r>
      <w:hyperlink r:id="rId60" w:history="1">
        <w:r w:rsidRPr="00C63DDA">
          <w:rPr>
            <w:rStyle w:val="Hypertextovodkaz"/>
          </w:rPr>
          <w:t>http://www.mfcr.cz/cs/soukromy-sektor/monitoring/vyvoj-financniho-trhu/2013/zprava-o-vyvoji-financniho-trhu-v-roce-2-17959</w:t>
        </w:r>
      </w:hyperlink>
      <w:r>
        <w:t xml:space="preserve"> </w:t>
      </w:r>
    </w:p>
  </w:footnote>
  <w:footnote w:id="104">
    <w:p w:rsidR="00E966A2" w:rsidRDefault="00E966A2" w:rsidP="00301BFB">
      <w:pPr>
        <w:pStyle w:val="Textpoznpodarou"/>
      </w:pPr>
      <w:r>
        <w:rPr>
          <w:rStyle w:val="Znakapoznpodarou"/>
        </w:rPr>
        <w:footnoteRef/>
      </w:r>
      <w:r>
        <w:t xml:space="preserve"> </w:t>
      </w:r>
      <w:r>
        <w:tab/>
      </w:r>
      <w:r w:rsidRPr="00210E03">
        <w:rPr>
          <w:rStyle w:val="Hypertextovodkaz"/>
        </w:rPr>
        <w:t>http://www.mfcr.cz/cs/soukromy-sektor/monitoring/vyvoj-financniho-trhu/2013/zprava-o-vyvoji-financniho-trhu-v-roce-2-17959</w:t>
      </w:r>
    </w:p>
  </w:footnote>
  <w:footnote w:id="105">
    <w:p w:rsidR="00E966A2" w:rsidRDefault="00E966A2" w:rsidP="00301BFB">
      <w:pPr>
        <w:pStyle w:val="Textpoznpodarou"/>
      </w:pPr>
      <w:r>
        <w:rPr>
          <w:rStyle w:val="Znakapoznpodarou"/>
        </w:rPr>
        <w:footnoteRef/>
      </w:r>
      <w:r>
        <w:t xml:space="preserve"> </w:t>
      </w:r>
      <w:r>
        <w:tab/>
        <w:t>EK již nechce podporovat výstavbu nových infrastruktur, ale chce, aby většina OP byla zaměřena na rozvoj již zainventovaných projektů. To se samozřejmě netýká dopravní infrastruktury a podobně. Jiný (měkčí) přístup je také při nasazení IFN. To je jasná preference EK.</w:t>
      </w:r>
    </w:p>
  </w:footnote>
  <w:footnote w:id="106">
    <w:p w:rsidR="00E966A2" w:rsidRDefault="00E966A2" w:rsidP="00301BFB">
      <w:pPr>
        <w:pStyle w:val="Textpoznpodarou"/>
      </w:pPr>
      <w:r>
        <w:rPr>
          <w:rStyle w:val="Znakapoznpodarou"/>
        </w:rPr>
        <w:footnoteRef/>
      </w:r>
      <w:r>
        <w:t xml:space="preserve"> </w:t>
      </w:r>
      <w:r>
        <w:tab/>
        <w:t>Bankovní sektor v ČR je sice v dobré kondici a disponuje dostatkem zdrojů (poměr klientských vkladů k poskytnutým klientským úvěrům přesahuje 100%), ovšem příjemci úvěrů – malé a střední podniky často představují pro banky příliš vysoké riziko a úvěr jim není poskytnut.</w:t>
      </w:r>
    </w:p>
  </w:footnote>
  <w:footnote w:id="107">
    <w:p w:rsidR="00E966A2" w:rsidRDefault="00E966A2" w:rsidP="00301BFB">
      <w:pPr>
        <w:pStyle w:val="Textpoznpodarou"/>
      </w:pPr>
      <w:r>
        <w:rPr>
          <w:rStyle w:val="Znakapoznpodarou"/>
        </w:rPr>
        <w:footnoteRef/>
      </w:r>
      <w:r>
        <w:t xml:space="preserve"> </w:t>
      </w:r>
      <w:r>
        <w:tab/>
      </w:r>
      <w:hyperlink r:id="rId61" w:history="1">
        <w:r w:rsidRPr="00C63DDA">
          <w:rPr>
            <w:rStyle w:val="Hypertextovodkaz"/>
          </w:rPr>
          <w:t>http://www.eba.europa.eu/regulation-and-policy/implementing-basel-iii-europe</w:t>
        </w:r>
      </w:hyperlink>
      <w:r>
        <w:rPr>
          <w:rStyle w:val="Hypertextovodkaz"/>
        </w:rPr>
        <w:tab/>
      </w:r>
    </w:p>
  </w:footnote>
  <w:footnote w:id="108">
    <w:p w:rsidR="00E966A2" w:rsidRDefault="00E966A2" w:rsidP="00301BFB">
      <w:pPr>
        <w:pStyle w:val="Textpoznpodarou"/>
      </w:pPr>
      <w:r>
        <w:rPr>
          <w:rStyle w:val="Znakapoznpodarou"/>
        </w:rPr>
        <w:footnoteRef/>
      </w:r>
      <w:r>
        <w:t xml:space="preserve"> </w:t>
      </w:r>
      <w:r>
        <w:tab/>
      </w:r>
      <w:hyperlink r:id="rId62" w:history="1">
        <w:r w:rsidRPr="00C63DDA">
          <w:rPr>
            <w:rStyle w:val="Hypertextovodkaz"/>
          </w:rPr>
          <w:t>http://www.oecd.org/industry/entrepreneurshipataglance.htm</w:t>
        </w:r>
      </w:hyperlink>
    </w:p>
  </w:footnote>
  <w:footnote w:id="109">
    <w:p w:rsidR="00E966A2" w:rsidRDefault="00E966A2" w:rsidP="00301BFB">
      <w:pPr>
        <w:pStyle w:val="Textpoznpodarou"/>
      </w:pPr>
      <w:r>
        <w:rPr>
          <w:rStyle w:val="Znakapoznpodarou"/>
        </w:rPr>
        <w:footnoteRef/>
      </w:r>
      <w:r>
        <w:t xml:space="preserve"> </w:t>
      </w:r>
      <w:r>
        <w:tab/>
        <w:t>Největšími příjemci jsou domácnosti s úvěry na bydlení a následně spotřebitelskými úvěry.</w:t>
      </w:r>
    </w:p>
  </w:footnote>
  <w:footnote w:id="110">
    <w:p w:rsidR="00E966A2" w:rsidRDefault="00E966A2" w:rsidP="00301BFB">
      <w:pPr>
        <w:pStyle w:val="Textpoznpodarou"/>
      </w:pPr>
      <w:r>
        <w:rPr>
          <w:rStyle w:val="Znakapoznpodarou"/>
        </w:rPr>
        <w:footnoteRef/>
      </w:r>
      <w:r>
        <w:t xml:space="preserve"> </w:t>
      </w:r>
      <w:r>
        <w:tab/>
        <w:t>Citace Aleš Michl.</w:t>
      </w:r>
    </w:p>
  </w:footnote>
  <w:footnote w:id="111">
    <w:p w:rsidR="00E966A2" w:rsidRDefault="00E966A2" w:rsidP="00301BFB">
      <w:pPr>
        <w:pStyle w:val="Textpoznpodarou"/>
      </w:pPr>
      <w:r>
        <w:rPr>
          <w:rStyle w:val="Znakapoznpodarou"/>
        </w:rPr>
        <w:footnoteRef/>
      </w:r>
      <w:r>
        <w:t xml:space="preserve"> </w:t>
      </w:r>
      <w:r>
        <w:tab/>
      </w:r>
      <w:hyperlink r:id="rId63" w:history="1">
        <w:r w:rsidRPr="00242ECB">
          <w:rPr>
            <w:rStyle w:val="Hypertextovodkaz"/>
          </w:rPr>
          <w:t>http://www.euractiv.cz/regionalni-rozvoj/clanek/cesko-je-v-cerpani-penez-z-evropskych-fondu-nejhorsi-v-eu-011539</w:t>
        </w:r>
      </w:hyperlink>
      <w:r>
        <w:t xml:space="preserve"> </w:t>
      </w:r>
    </w:p>
  </w:footnote>
  <w:footnote w:id="112">
    <w:p w:rsidR="00E966A2" w:rsidRDefault="00E966A2" w:rsidP="00301BFB">
      <w:pPr>
        <w:pStyle w:val="Textpoznpodarou"/>
      </w:pPr>
      <w:r>
        <w:rPr>
          <w:rStyle w:val="Znakapoznpodarou"/>
        </w:rPr>
        <w:footnoteRef/>
      </w:r>
      <w:r>
        <w:t xml:space="preserve"> </w:t>
      </w:r>
      <w:r>
        <w:tab/>
      </w:r>
      <w:hyperlink r:id="rId64" w:history="1">
        <w:r w:rsidRPr="00242ECB">
          <w:rPr>
            <w:rStyle w:val="Hypertextovodkaz"/>
          </w:rPr>
          <w:t>http://ec.europa.eu/regional_policy/sources/docoffic/2014/working/evaluation_plan_guidance_en.pdf</w:t>
        </w:r>
      </w:hyperlink>
      <w:r>
        <w:t xml:space="preserve"> </w:t>
      </w:r>
    </w:p>
  </w:footnote>
  <w:footnote w:id="113">
    <w:p w:rsidR="00E966A2" w:rsidRDefault="00E966A2" w:rsidP="00301BFB">
      <w:pPr>
        <w:pStyle w:val="Textpoznpodarou"/>
      </w:pPr>
      <w:r>
        <w:rPr>
          <w:rStyle w:val="Znakapoznpodarou"/>
        </w:rPr>
        <w:footnoteRef/>
      </w:r>
      <w:r>
        <w:t xml:space="preserve"> </w:t>
      </w:r>
      <w:r>
        <w:tab/>
      </w:r>
      <w:hyperlink r:id="rId65" w:history="1">
        <w:r w:rsidRPr="00242ECB">
          <w:rPr>
            <w:rStyle w:val="Hypertextovodkaz"/>
          </w:rPr>
          <w:t>http://ec.europa.eu/regional_policy/sources/docgener/guides/synergy/synergies_en.pdf</w:t>
        </w:r>
      </w:hyperlink>
      <w:r>
        <w:t xml:space="preserve"> </w:t>
      </w:r>
    </w:p>
  </w:footnote>
  <w:footnote w:id="114">
    <w:p w:rsidR="00E966A2" w:rsidRDefault="00E966A2" w:rsidP="00301BFB">
      <w:pPr>
        <w:pStyle w:val="Textpoznpodarou"/>
      </w:pPr>
      <w:r>
        <w:rPr>
          <w:rStyle w:val="Znakapoznpodarou"/>
        </w:rPr>
        <w:footnoteRef/>
      </w:r>
      <w:r>
        <w:t xml:space="preserve"> </w:t>
      </w:r>
      <w:r>
        <w:tab/>
      </w:r>
      <w:hyperlink r:id="rId66" w:history="1">
        <w:r w:rsidRPr="00242ECB">
          <w:rPr>
            <w:rStyle w:val="Hypertextovodkaz"/>
          </w:rPr>
          <w:t>http://ec.europa.eu/dgs/home-affairs/what-we-do/policies/organized-crime-and-human-trafficking/corruption/anti-corruption-report/docs/2014_acr_czech_republic_chapter_en.pdf</w:t>
        </w:r>
      </w:hyperlink>
      <w:r>
        <w:t xml:space="preserve"> </w:t>
      </w:r>
    </w:p>
  </w:footnote>
  <w:footnote w:id="115">
    <w:p w:rsidR="00E966A2" w:rsidRDefault="00E966A2" w:rsidP="00301BFB">
      <w:pPr>
        <w:pStyle w:val="Textpoznpodarou"/>
      </w:pPr>
      <w:r>
        <w:rPr>
          <w:rStyle w:val="Znakapoznpodarou"/>
        </w:rPr>
        <w:footnoteRef/>
      </w:r>
      <w:r>
        <w:t xml:space="preserve"> </w:t>
      </w:r>
      <w:r>
        <w:tab/>
        <w:t>Více v kapitole 2.3.1.1</w:t>
      </w:r>
    </w:p>
  </w:footnote>
  <w:footnote w:id="116">
    <w:p w:rsidR="00E966A2" w:rsidRDefault="00E966A2" w:rsidP="00301BFB">
      <w:pPr>
        <w:pStyle w:val="Textpoznpodarou"/>
      </w:pPr>
      <w:r>
        <w:rPr>
          <w:rStyle w:val="Znakapoznpodarou"/>
        </w:rPr>
        <w:footnoteRef/>
      </w:r>
      <w:r>
        <w:t xml:space="preserve"> </w:t>
      </w:r>
      <w:r>
        <w:tab/>
        <w:t>Statistiky ČNB.</w:t>
      </w:r>
    </w:p>
  </w:footnote>
  <w:footnote w:id="117">
    <w:p w:rsidR="00E966A2" w:rsidRDefault="00E966A2" w:rsidP="00301BFB">
      <w:pPr>
        <w:pStyle w:val="Textpoznpodarou"/>
      </w:pPr>
      <w:r>
        <w:rPr>
          <w:rStyle w:val="Znakapoznpodarou"/>
        </w:rPr>
        <w:footnoteRef/>
      </w:r>
      <w:r>
        <w:t xml:space="preserve"> </w:t>
      </w:r>
      <w:r>
        <w:tab/>
        <w:t>To se následně projevilo i v roce 2013, kdy kapitálové výdaje státu klesly na jednu z nejnižších úrovní v historii ČR, viz Graf 2 a 4.</w:t>
      </w:r>
    </w:p>
  </w:footnote>
  <w:footnote w:id="118">
    <w:p w:rsidR="00E966A2" w:rsidRDefault="00E966A2" w:rsidP="00301BFB">
      <w:pPr>
        <w:pStyle w:val="Textpoznpodarou"/>
      </w:pPr>
      <w:r>
        <w:rPr>
          <w:rStyle w:val="Znakapoznpodarou"/>
        </w:rPr>
        <w:footnoteRef/>
      </w:r>
      <w:r>
        <w:t xml:space="preserve"> </w:t>
      </w:r>
      <w:r>
        <w:tab/>
        <w:t xml:space="preserve">Například OECD Long Term Investment </w:t>
      </w:r>
      <w:hyperlink r:id="rId67" w:history="1">
        <w:r w:rsidRPr="00C63DDA">
          <w:rPr>
            <w:rStyle w:val="Hypertextovodkaz"/>
          </w:rPr>
          <w:t>http://www.oecd.org/finance/OECD-LTI-project.pdf</w:t>
        </w:r>
      </w:hyperlink>
      <w:r>
        <w:t xml:space="preserve"> </w:t>
      </w:r>
    </w:p>
  </w:footnote>
  <w:footnote w:id="119">
    <w:p w:rsidR="00E966A2" w:rsidRDefault="00E966A2" w:rsidP="00301BFB">
      <w:pPr>
        <w:pStyle w:val="Textpoznpodarou"/>
      </w:pPr>
      <w:r>
        <w:rPr>
          <w:rStyle w:val="Znakapoznpodarou"/>
        </w:rPr>
        <w:footnoteRef/>
      </w:r>
      <w:r>
        <w:t xml:space="preserve"> </w:t>
      </w:r>
      <w:r>
        <w:tab/>
      </w:r>
      <w:hyperlink r:id="rId68" w:history="1">
        <w:r w:rsidRPr="00C63DDA">
          <w:rPr>
            <w:rStyle w:val="Hypertextovodkaz"/>
          </w:rPr>
          <w:t>http://download.mpo.cz/get/32013/35445/388865/priloha001.pdf</w:t>
        </w:r>
      </w:hyperlink>
    </w:p>
  </w:footnote>
  <w:footnote w:id="120">
    <w:p w:rsidR="00E966A2" w:rsidRDefault="00E966A2" w:rsidP="00301BFB">
      <w:pPr>
        <w:pStyle w:val="Textpoznpodarou"/>
      </w:pPr>
      <w:r>
        <w:rPr>
          <w:rStyle w:val="Znakapoznpodarou"/>
        </w:rPr>
        <w:footnoteRef/>
      </w:r>
      <w:r>
        <w:t xml:space="preserve"> </w:t>
      </w:r>
      <w:r>
        <w:tab/>
      </w:r>
      <w:hyperlink r:id="rId69" w:history="1">
        <w:r w:rsidRPr="00C63DDA">
          <w:rPr>
            <w:rStyle w:val="Hypertextovodkaz"/>
          </w:rPr>
          <w:t>http://ec.europa.eu/internal_market/investment/alternative_investments/index_en.htm</w:t>
        </w:r>
      </w:hyperlink>
    </w:p>
  </w:footnote>
  <w:footnote w:id="121">
    <w:p w:rsidR="00E966A2" w:rsidRDefault="00E966A2" w:rsidP="00301BFB">
      <w:pPr>
        <w:pStyle w:val="Textpoznpodarou"/>
      </w:pPr>
      <w:r>
        <w:rPr>
          <w:rStyle w:val="Znakapoznpodarou"/>
        </w:rPr>
        <w:footnoteRef/>
      </w:r>
      <w:r>
        <w:t xml:space="preserve"> </w:t>
      </w:r>
      <w:r>
        <w:tab/>
      </w:r>
      <w:hyperlink r:id="rId70" w:history="1">
        <w:r w:rsidRPr="00C63DDA">
          <w:rPr>
            <w:rStyle w:val="Hypertextovodkaz"/>
          </w:rPr>
          <w:t>http://ec.europa.eu/internal_market/investment/venture_capital/index_en.htm</w:t>
        </w:r>
      </w:hyperlink>
    </w:p>
  </w:footnote>
  <w:footnote w:id="122">
    <w:p w:rsidR="00E966A2" w:rsidRDefault="00E966A2" w:rsidP="00301BFB">
      <w:pPr>
        <w:pStyle w:val="Textpoznpodarou"/>
      </w:pPr>
      <w:r>
        <w:rPr>
          <w:rStyle w:val="Znakapoznpodarou"/>
        </w:rPr>
        <w:footnoteRef/>
      </w:r>
      <w:r>
        <w:t xml:space="preserve"> </w:t>
      </w:r>
      <w:r>
        <w:tab/>
      </w:r>
      <w:hyperlink r:id="rId71" w:history="1">
        <w:r w:rsidRPr="00BB2357">
          <w:rPr>
            <w:rStyle w:val="Hypertextovodkaz"/>
          </w:rPr>
          <w:t>http://eur-lex.europa.eu/legal-content/EN/ALL/?uri=CELEX:32013R0346</w:t>
        </w:r>
      </w:hyperlink>
      <w:r>
        <w:t xml:space="preserve"> </w:t>
      </w:r>
    </w:p>
  </w:footnote>
  <w:footnote w:id="123">
    <w:p w:rsidR="00E966A2" w:rsidRDefault="00E966A2" w:rsidP="00301BFB">
      <w:pPr>
        <w:pStyle w:val="Textpoznpodarou"/>
      </w:pPr>
      <w:r>
        <w:rPr>
          <w:rStyle w:val="Znakapoznpodarou"/>
        </w:rPr>
        <w:footnoteRef/>
      </w:r>
      <w:r>
        <w:t xml:space="preserve"> </w:t>
      </w:r>
      <w:r>
        <w:tab/>
      </w:r>
      <w:hyperlink r:id="rId72" w:history="1">
        <w:r w:rsidRPr="00242ECB">
          <w:rPr>
            <w:rStyle w:val="Hypertextovodkaz"/>
          </w:rPr>
          <w:t>http://ec.europa.eu/internal_market/investment/long-term/index_en.htm</w:t>
        </w:r>
      </w:hyperlink>
      <w:r>
        <w:t xml:space="preserve"> </w:t>
      </w:r>
    </w:p>
  </w:footnote>
  <w:footnote w:id="124">
    <w:p w:rsidR="00E966A2" w:rsidRDefault="00E966A2" w:rsidP="00301BFB">
      <w:pPr>
        <w:pStyle w:val="Textpoznpodarou"/>
      </w:pPr>
      <w:r>
        <w:rPr>
          <w:rStyle w:val="Znakapoznpodarou"/>
        </w:rPr>
        <w:footnoteRef/>
      </w:r>
      <w:r>
        <w:t xml:space="preserve"> </w:t>
      </w:r>
      <w:r>
        <w:tab/>
      </w:r>
      <w:hyperlink r:id="rId73" w:history="1">
        <w:r w:rsidRPr="00242ECB">
          <w:rPr>
            <w:rStyle w:val="Hypertextovodkaz"/>
          </w:rPr>
          <w:t>www.eib.org</w:t>
        </w:r>
      </w:hyperlink>
      <w:r>
        <w:t xml:space="preserve"> </w:t>
      </w:r>
    </w:p>
  </w:footnote>
  <w:footnote w:id="125">
    <w:p w:rsidR="00E966A2" w:rsidRDefault="00E966A2" w:rsidP="00301BFB">
      <w:pPr>
        <w:pStyle w:val="Textpoznpodarou"/>
      </w:pPr>
      <w:r>
        <w:rPr>
          <w:rStyle w:val="Znakapoznpodarou"/>
        </w:rPr>
        <w:footnoteRef/>
      </w:r>
      <w:r>
        <w:t xml:space="preserve"> </w:t>
      </w:r>
      <w:r>
        <w:tab/>
        <w:t xml:space="preserve">Zákon o majetku státu </w:t>
      </w:r>
      <w:r w:rsidRPr="0089495C">
        <w:t>219/2000 Sb.</w:t>
      </w:r>
    </w:p>
  </w:footnote>
  <w:footnote w:id="126">
    <w:p w:rsidR="00E966A2" w:rsidRDefault="00E966A2" w:rsidP="00301BFB">
      <w:pPr>
        <w:pStyle w:val="Textpoznpodarou"/>
      </w:pPr>
      <w:r>
        <w:rPr>
          <w:rStyle w:val="Znakapoznpodarou"/>
        </w:rPr>
        <w:footnoteRef/>
      </w:r>
      <w:r>
        <w:t xml:space="preserve"> </w:t>
      </w:r>
      <w:r>
        <w:tab/>
      </w:r>
      <w:hyperlink r:id="rId74" w:history="1">
        <w:r w:rsidRPr="00057495">
          <w:rPr>
            <w:rStyle w:val="Hypertextovodkaz"/>
          </w:rPr>
          <w:t>http://www.mmr.cz/cs/Databaze-dokumentu?tag=Dohoda%20o%20partnerstv%C3%AD</w:t>
        </w:r>
      </w:hyperlink>
      <w:r>
        <w:t xml:space="preserve"> </w:t>
      </w:r>
    </w:p>
  </w:footnote>
  <w:footnote w:id="127">
    <w:p w:rsidR="00E966A2" w:rsidRDefault="00E966A2" w:rsidP="00301BFB">
      <w:pPr>
        <w:pStyle w:val="Textpoznpodarou"/>
      </w:pPr>
      <w:r>
        <w:rPr>
          <w:rStyle w:val="Znakapoznpodarou"/>
        </w:rPr>
        <w:footnoteRef/>
      </w:r>
      <w:r>
        <w:t xml:space="preserve"> </w:t>
      </w:r>
      <w:r>
        <w:tab/>
      </w:r>
      <w:r w:rsidRPr="00982103">
        <w:rPr>
          <w:rStyle w:val="hps"/>
        </w:rPr>
        <w:t>Návrh</w:t>
      </w:r>
      <w:r w:rsidRPr="00982103">
        <w:t xml:space="preserve"> </w:t>
      </w:r>
      <w:r>
        <w:rPr>
          <w:rStyle w:val="hps"/>
        </w:rPr>
        <w:t>EK</w:t>
      </w:r>
      <w:r w:rsidRPr="00982103">
        <w:t xml:space="preserve"> </w:t>
      </w:r>
      <w:r>
        <w:rPr>
          <w:rStyle w:val="hps"/>
        </w:rPr>
        <w:t>týkající se</w:t>
      </w:r>
      <w:r w:rsidRPr="00982103">
        <w:t xml:space="preserve"> </w:t>
      </w:r>
      <w:r>
        <w:t>víceletého finančního rámce</w:t>
      </w:r>
      <w:r w:rsidRPr="00982103">
        <w:t xml:space="preserve"> </w:t>
      </w:r>
      <w:r w:rsidRPr="00982103">
        <w:rPr>
          <w:rStyle w:val="hps"/>
        </w:rPr>
        <w:t>z 29.6.2011</w:t>
      </w:r>
      <w:r w:rsidRPr="00982103">
        <w:t xml:space="preserve"> </w:t>
      </w:r>
      <w:r>
        <w:rPr>
          <w:rStyle w:val="hps"/>
        </w:rPr>
        <w:t>C</w:t>
      </w:r>
      <w:r w:rsidRPr="00982103">
        <w:rPr>
          <w:rStyle w:val="hps"/>
        </w:rPr>
        <w:t>OM</w:t>
      </w:r>
      <w:r w:rsidRPr="00982103">
        <w:t xml:space="preserve"> </w:t>
      </w:r>
      <w:r w:rsidRPr="00982103">
        <w:rPr>
          <w:rStyle w:val="hps"/>
        </w:rPr>
        <w:t>(</w:t>
      </w:r>
      <w:r w:rsidRPr="00982103">
        <w:t xml:space="preserve">2011) </w:t>
      </w:r>
      <w:r w:rsidRPr="00982103">
        <w:rPr>
          <w:rStyle w:val="hps"/>
        </w:rPr>
        <w:t>398</w:t>
      </w:r>
      <w:r>
        <w:t>.</w:t>
      </w:r>
    </w:p>
  </w:footnote>
  <w:footnote w:id="128">
    <w:p w:rsidR="00E966A2" w:rsidRDefault="00E966A2" w:rsidP="00301BFB">
      <w:pPr>
        <w:pStyle w:val="Textpoznpodarou"/>
      </w:pPr>
      <w:r>
        <w:rPr>
          <w:rStyle w:val="Znakapoznpodarou"/>
        </w:rPr>
        <w:footnoteRef/>
      </w:r>
      <w:r>
        <w:t xml:space="preserve"> </w:t>
      </w:r>
      <w:r>
        <w:tab/>
        <w:t>Nařízení Evropského parlamentu</w:t>
      </w:r>
      <w:r w:rsidRPr="00C154AA">
        <w:t xml:space="preserve"> a Rady, </w:t>
      </w:r>
      <w:r>
        <w:t>kterým se ustanovují společná pravidla pro</w:t>
      </w:r>
      <w:r w:rsidRPr="00C154AA">
        <w:t xml:space="preserve"> </w:t>
      </w:r>
      <w:r>
        <w:t>Evropský fond regionálního rozvoje</w:t>
      </w:r>
      <w:r w:rsidRPr="00C154AA">
        <w:t xml:space="preserve">, </w:t>
      </w:r>
      <w:r>
        <w:t>Evropský sociální fond, Kohe</w:t>
      </w:r>
      <w:r w:rsidRPr="00C154AA">
        <w:t>zn</w:t>
      </w:r>
      <w:r>
        <w:t>í</w:t>
      </w:r>
      <w:r w:rsidRPr="00C154AA">
        <w:t xml:space="preserve"> fond, </w:t>
      </w:r>
      <w:r>
        <w:t>Evropský</w:t>
      </w:r>
      <w:r w:rsidRPr="00C154AA">
        <w:t xml:space="preserve"> </w:t>
      </w:r>
      <w:r>
        <w:t>zemědělský fond pro</w:t>
      </w:r>
      <w:r w:rsidRPr="00C154AA">
        <w:t xml:space="preserve"> rozvoj </w:t>
      </w:r>
      <w:r>
        <w:t>venkova</w:t>
      </w:r>
      <w:r w:rsidRPr="00C154AA">
        <w:t xml:space="preserve"> a </w:t>
      </w:r>
      <w:r>
        <w:t>Evropský námořní</w:t>
      </w:r>
      <w:r w:rsidRPr="00C154AA">
        <w:t xml:space="preserve"> a</w:t>
      </w:r>
      <w:r>
        <w:t> rybářský fond</w:t>
      </w:r>
      <w:r w:rsidRPr="00C154AA">
        <w:t xml:space="preserve"> […], a </w:t>
      </w:r>
      <w:r>
        <w:t>kterým se ustanovují</w:t>
      </w:r>
      <w:r w:rsidRPr="00C154AA">
        <w:t xml:space="preserve"> všeobecné </w:t>
      </w:r>
      <w:r>
        <w:t>ustanovení</w:t>
      </w:r>
      <w:r w:rsidRPr="00C154AA">
        <w:t xml:space="preserve"> o </w:t>
      </w:r>
      <w:r>
        <w:t>Evropském fondu regionálního rozvoje</w:t>
      </w:r>
      <w:r w:rsidRPr="00C154AA">
        <w:t xml:space="preserve">, </w:t>
      </w:r>
      <w:r>
        <w:t>Evropském sociálním fondu a Kohezní</w:t>
      </w:r>
      <w:r w:rsidRPr="00C154AA">
        <w:t>m fond</w:t>
      </w:r>
      <w:r>
        <w:t>ue, a kterým se</w:t>
      </w:r>
      <w:r w:rsidRPr="00C154AA">
        <w:t xml:space="preserve"> zrušuje </w:t>
      </w:r>
      <w:r>
        <w:t>nařízení Rady (ES) č. 1083/2006.</w:t>
      </w:r>
    </w:p>
  </w:footnote>
  <w:footnote w:id="129">
    <w:p w:rsidR="00E966A2" w:rsidRDefault="00E966A2" w:rsidP="00301BFB">
      <w:pPr>
        <w:pStyle w:val="Textpoznpodarou"/>
      </w:pPr>
      <w:r>
        <w:rPr>
          <w:rStyle w:val="Znakapoznpodarou"/>
        </w:rPr>
        <w:footnoteRef/>
      </w:r>
      <w:r>
        <w:t xml:space="preserve"> </w:t>
      </w:r>
      <w:r>
        <w:tab/>
        <w:t>EK plánuje zapojení IFN na úrovni 10 % z celkového objemu ESIF. V případě ČR by to tak při současném kursu Kč a EUR činilo cca. 65 mld. Kč.</w:t>
      </w:r>
    </w:p>
  </w:footnote>
  <w:footnote w:id="130">
    <w:p w:rsidR="00E966A2" w:rsidRDefault="00E966A2">
      <w:pPr>
        <w:pStyle w:val="Textpoznpodarou"/>
      </w:pPr>
      <w:r>
        <w:rPr>
          <w:rStyle w:val="Znakapoznpodarou"/>
        </w:rPr>
        <w:footnoteRef/>
      </w:r>
      <w:r>
        <w:t xml:space="preserve"> </w:t>
      </w:r>
      <w:r>
        <w:tab/>
        <w:t>Detailní posouzení dopadů na SR bude předmětem prováděcí studie navazující na tuto analýzu.</w:t>
      </w:r>
    </w:p>
  </w:footnote>
  <w:footnote w:id="131">
    <w:p w:rsidR="00E966A2" w:rsidRDefault="00E966A2" w:rsidP="00301BFB">
      <w:pPr>
        <w:pStyle w:val="Textpoznpodarou"/>
      </w:pPr>
      <w:r>
        <w:rPr>
          <w:rStyle w:val="Znakapoznpodarou"/>
        </w:rPr>
        <w:footnoteRef/>
      </w:r>
      <w:r>
        <w:t xml:space="preserve"> </w:t>
      </w:r>
      <w:r>
        <w:tab/>
        <w:t>Evropská nařízení připouští i možnost svěřit správu FF do rukou soukromé finanční instituce, ale vzhledem k tomu, že FF je v zásadě strategickým partnerem ŘO a státu a má plnit významnou roli naplňování státních a evropských politik rozvoje, je tato varianta spíše v teoretické rovině.</w:t>
      </w:r>
    </w:p>
  </w:footnote>
  <w:footnote w:id="132">
    <w:p w:rsidR="00E966A2" w:rsidRDefault="00E966A2" w:rsidP="00301BFB">
      <w:pPr>
        <w:pStyle w:val="Textpoznpodarou"/>
      </w:pPr>
      <w:r>
        <w:rPr>
          <w:rStyle w:val="Znakapoznpodarou"/>
        </w:rPr>
        <w:footnoteRef/>
      </w:r>
      <w:r>
        <w:t xml:space="preserve"> </w:t>
      </w:r>
      <w:r>
        <w:tab/>
      </w:r>
      <w:r w:rsidRPr="002521B2">
        <w:t xml:space="preserve">Podrobnější znázornění rolí ve schématu </w:t>
      </w:r>
      <w:r>
        <w:t>15.</w:t>
      </w:r>
    </w:p>
  </w:footnote>
  <w:footnote w:id="133">
    <w:p w:rsidR="00E966A2" w:rsidRDefault="00E966A2" w:rsidP="00301BFB">
      <w:pPr>
        <w:pStyle w:val="Textpoznpodarou"/>
      </w:pPr>
      <w:r>
        <w:rPr>
          <w:rStyle w:val="Znakapoznpodarou"/>
        </w:rPr>
        <w:footnoteRef/>
      </w:r>
      <w:r>
        <w:t xml:space="preserve"> </w:t>
      </w:r>
      <w:r>
        <w:tab/>
        <w:t>Více podrobností například: Financial instruments in ESIF programmes 2014-2020 A short reference guide for Managing Authorities.</w:t>
      </w:r>
    </w:p>
  </w:footnote>
  <w:footnote w:id="134">
    <w:p w:rsidR="00E966A2" w:rsidRDefault="00E966A2" w:rsidP="00301BFB">
      <w:pPr>
        <w:pStyle w:val="Textpoznpodarou"/>
      </w:pPr>
      <w:r>
        <w:rPr>
          <w:rStyle w:val="Znakapoznpodarou"/>
        </w:rPr>
        <w:footnoteRef/>
      </w:r>
      <w:r>
        <w:t xml:space="preserve"> </w:t>
      </w:r>
      <w:r>
        <w:tab/>
        <w:t>Českomoravská záruční a rozvojová banka plnila tuto roli pouze pro OP řízené MPO a to na podporu malého a středního podnikání.</w:t>
      </w:r>
    </w:p>
  </w:footnote>
  <w:footnote w:id="135">
    <w:p w:rsidR="00E966A2" w:rsidRDefault="00E966A2" w:rsidP="00301BFB">
      <w:pPr>
        <w:pStyle w:val="Textpoznpodarou"/>
      </w:pPr>
      <w:r>
        <w:rPr>
          <w:rStyle w:val="Znakapoznpodarou"/>
        </w:rPr>
        <w:footnoteRef/>
      </w:r>
      <w:r>
        <w:t xml:space="preserve"> </w:t>
      </w:r>
      <w:r>
        <w:tab/>
        <w:t>Tento postup je dnes pravděpodobně v rozporu se stávající legislativou, zvláště se zákonem o státní pokladně.</w:t>
      </w:r>
    </w:p>
  </w:footnote>
  <w:footnote w:id="136">
    <w:p w:rsidR="00E966A2" w:rsidRDefault="00E966A2" w:rsidP="00301BFB">
      <w:pPr>
        <w:pStyle w:val="Textpoznpodarou"/>
      </w:pPr>
      <w:r>
        <w:rPr>
          <w:rStyle w:val="Znakapoznpodarou"/>
        </w:rPr>
        <w:footnoteRef/>
      </w:r>
      <w:r>
        <w:t xml:space="preserve"> </w:t>
      </w:r>
      <w:r>
        <w:tab/>
      </w:r>
      <w:hyperlink r:id="rId75" w:history="1">
        <w:r w:rsidRPr="00BB2357">
          <w:rPr>
            <w:rStyle w:val="Hypertextovodkaz"/>
          </w:rPr>
          <w:t>http://eur-lex.europa.eu/legal-content/CS/TXT/?uri=CELEX%3A32013R1303</w:t>
        </w:r>
      </w:hyperlink>
      <w:r>
        <w:t xml:space="preserve"> </w:t>
      </w:r>
    </w:p>
  </w:footnote>
  <w:footnote w:id="137">
    <w:p w:rsidR="00E966A2" w:rsidRDefault="00E966A2" w:rsidP="00301BFB">
      <w:pPr>
        <w:pStyle w:val="Textpoznpodarou"/>
      </w:pPr>
      <w:r>
        <w:rPr>
          <w:rStyle w:val="Znakapoznpodarou"/>
        </w:rPr>
        <w:footnoteRef/>
      </w:r>
      <w:r>
        <w:t xml:space="preserve"> </w:t>
      </w:r>
      <w:r>
        <w:tab/>
        <w:t>Financial instruments in ESIF programmes 2014-2020 A short reference guide for Managing Authorities.</w:t>
      </w:r>
    </w:p>
  </w:footnote>
  <w:footnote w:id="138">
    <w:p w:rsidR="00E966A2" w:rsidRDefault="00E966A2" w:rsidP="00301BFB">
      <w:pPr>
        <w:pStyle w:val="Textpoznpodarou"/>
      </w:pPr>
      <w:r>
        <w:rPr>
          <w:rStyle w:val="Znakapoznpodarou"/>
        </w:rPr>
        <w:footnoteRef/>
      </w:r>
      <w:r>
        <w:t xml:space="preserve"> </w:t>
      </w:r>
      <w:r>
        <w:tab/>
        <w:t>Více v části legislativní a jiné bariéry.</w:t>
      </w:r>
    </w:p>
  </w:footnote>
  <w:footnote w:id="139">
    <w:p w:rsidR="00E966A2" w:rsidRDefault="00E966A2" w:rsidP="00610508">
      <w:pPr>
        <w:pStyle w:val="Textpoznpodarou"/>
      </w:pPr>
      <w:r>
        <w:rPr>
          <w:rStyle w:val="Znakapoznpodarou"/>
        </w:rPr>
        <w:footnoteRef/>
      </w:r>
      <w:r>
        <w:t xml:space="preserve"> </w:t>
      </w:r>
      <w:r>
        <w:tab/>
        <w:t xml:space="preserve">Jedná se především o zákon č. 218/2000 Sb., </w:t>
      </w:r>
      <w:r w:rsidRPr="00571AD8">
        <w:t>o rozpočtových pravidlech,</w:t>
      </w:r>
      <w:r>
        <w:t xml:space="preserve"> který upravuje nakládání s prostředky SR. </w:t>
      </w:r>
    </w:p>
  </w:footnote>
  <w:footnote w:id="140">
    <w:p w:rsidR="00E966A2" w:rsidRDefault="00E966A2" w:rsidP="00301BFB">
      <w:pPr>
        <w:pStyle w:val="Textpoznpodarou"/>
      </w:pPr>
      <w:r>
        <w:rPr>
          <w:rStyle w:val="Znakapoznpodarou"/>
        </w:rPr>
        <w:footnoteRef/>
      </w:r>
      <w:r>
        <w:t xml:space="preserve"> </w:t>
      </w:r>
      <w:r>
        <w:tab/>
        <w:t>Například dle směrnice o správcích alternativních fondů AIFMD, musí mít správce podobu licencovaného subjektu pro obhospodařování a správu alternativních investičních fondů a samotná investiční entita musí být investičním fondem podléhajícím regulatorním pravidlům evropské a české legislativy.</w:t>
      </w:r>
    </w:p>
  </w:footnote>
  <w:footnote w:id="141">
    <w:p w:rsidR="00E966A2" w:rsidRPr="00D7299F" w:rsidRDefault="00E966A2" w:rsidP="00301BFB">
      <w:pPr>
        <w:pStyle w:val="Textpoznpodarou"/>
      </w:pPr>
      <w:r>
        <w:rPr>
          <w:rStyle w:val="Znakapoznpodarou"/>
        </w:rPr>
        <w:footnoteRef/>
      </w:r>
      <w:r>
        <w:t xml:space="preserve"> </w:t>
      </w:r>
      <w:r>
        <w:tab/>
        <w:t xml:space="preserve">Například Německá rozvojová banka KFW nemá bankovní licenci, ale v zásadě se chová jako banka pod regulací. V praxi to ani jinak možné není, složitost finančních nástrojů a všechny navazující procesy vnitřního řízení musí být stejné </w:t>
      </w:r>
      <w:r w:rsidRPr="00D7299F">
        <w:t>jako u banky s licencí.</w:t>
      </w:r>
    </w:p>
  </w:footnote>
  <w:footnote w:id="142">
    <w:p w:rsidR="00E966A2" w:rsidRDefault="00E966A2" w:rsidP="00301BFB">
      <w:pPr>
        <w:pStyle w:val="Textpoznpodarou"/>
      </w:pPr>
      <w:r w:rsidRPr="00D7299F">
        <w:rPr>
          <w:rStyle w:val="Znakapoznpodarou"/>
        </w:rPr>
        <w:footnoteRef/>
      </w:r>
      <w:r w:rsidRPr="00D7299F">
        <w:t xml:space="preserve"> </w:t>
      </w:r>
      <w:r w:rsidRPr="00D7299F">
        <w:tab/>
        <w:t>Interní mat</w:t>
      </w:r>
      <w:r>
        <w:t>e</w:t>
      </w:r>
      <w:r w:rsidRPr="00D7299F">
        <w:t>riál ČMZRB, kter</w:t>
      </w:r>
      <w:r>
        <w:t xml:space="preserve">ý </w:t>
      </w:r>
      <w:r w:rsidRPr="00D7299F">
        <w:t xml:space="preserve">navrhuje, aby ČMZRB byla fondem fondů pro všechny řídící orgány </w:t>
      </w:r>
      <w:r>
        <w:t>a to n</w:t>
      </w:r>
      <w:r w:rsidRPr="00D7299F">
        <w:t>a základě smluvního vztahu s řídícími orgány</w:t>
      </w:r>
      <w:r>
        <w:t>.</w:t>
      </w:r>
      <w:r w:rsidRPr="00D7299F">
        <w:t xml:space="preserve"> </w:t>
      </w:r>
      <w:r>
        <w:t>M</w:t>
      </w:r>
      <w:r w:rsidRPr="00D7299F">
        <w:t>áme za to, že tato varianta je bez výběrového řízení nerealizovatelná</w:t>
      </w:r>
      <w:r>
        <w:t xml:space="preserve">. </w:t>
      </w:r>
      <w:r w:rsidRPr="00D7299F">
        <w:t>ČMZRB</w:t>
      </w:r>
      <w:r w:rsidDel="00F82B0A">
        <w:t xml:space="preserve"> </w:t>
      </w:r>
      <w:r>
        <w:t>je zřízena zákonem 47 o malém a středním podnikání a tudíž je zmocněná k podpoře malého středního podnikání a nikoliv k zapojení do dalších oblastí (infrastruktura, energetika, sociální problematika atd.). Funkčně tak sice vyhovuje, ale legislativní prostředí vyžaduje legislativní změny pro soulad s pravidly EU. Ideálně by měla být ČMZRB a její činnost upravena ve zvláštním zákoně.</w:t>
      </w:r>
    </w:p>
  </w:footnote>
  <w:footnote w:id="143">
    <w:p w:rsidR="00E966A2" w:rsidRDefault="00E966A2" w:rsidP="00301BFB">
      <w:pPr>
        <w:pStyle w:val="Textpoznpodarou"/>
      </w:pPr>
      <w:r>
        <w:rPr>
          <w:rStyle w:val="Znakapoznpodarou"/>
        </w:rPr>
        <w:footnoteRef/>
      </w:r>
      <w:r>
        <w:t xml:space="preserve"> </w:t>
      </w:r>
      <w:r>
        <w:tab/>
        <w:t>Viz. Varianta v kapitole 4.2.2.1.</w:t>
      </w:r>
    </w:p>
  </w:footnote>
  <w:footnote w:id="144">
    <w:p w:rsidR="00E966A2" w:rsidRDefault="00E966A2" w:rsidP="00301BFB">
      <w:pPr>
        <w:pStyle w:val="Textpoznpodarou"/>
      </w:pPr>
      <w:r>
        <w:rPr>
          <w:rStyle w:val="Znakapoznpodarou"/>
        </w:rPr>
        <w:footnoteRef/>
      </w:r>
      <w:r>
        <w:t xml:space="preserve"> </w:t>
      </w:r>
      <w:r>
        <w:tab/>
        <w:t>Například off-the-shelf IFN – Risk sharing facility.</w:t>
      </w:r>
    </w:p>
  </w:footnote>
  <w:footnote w:id="145">
    <w:p w:rsidR="00E966A2" w:rsidRDefault="00E966A2" w:rsidP="00301BFB">
      <w:pPr>
        <w:pStyle w:val="Textpoznpodarou"/>
      </w:pPr>
      <w:r>
        <w:rPr>
          <w:rStyle w:val="Znakapoznpodarou"/>
        </w:rPr>
        <w:footnoteRef/>
      </w:r>
      <w:r>
        <w:t xml:space="preserve"> </w:t>
      </w:r>
      <w:r>
        <w:tab/>
        <w:t xml:space="preserve">Například konstrukce European Energy Eficient Fund </w:t>
      </w:r>
      <w:hyperlink r:id="rId76" w:history="1">
        <w:r w:rsidRPr="00242ECB">
          <w:rPr>
            <w:rStyle w:val="Hypertextovodkaz"/>
          </w:rPr>
          <w:t>www.eeef.org</w:t>
        </w:r>
      </w:hyperlink>
      <w:r>
        <w:t xml:space="preserve"> v podobě strukturovaného produktu na principu first piece lost.</w:t>
      </w:r>
    </w:p>
  </w:footnote>
  <w:footnote w:id="146">
    <w:p w:rsidR="00E966A2" w:rsidRDefault="00E966A2" w:rsidP="00301BFB">
      <w:pPr>
        <w:pStyle w:val="Textpoznpodarou"/>
      </w:pPr>
      <w:r>
        <w:rPr>
          <w:rStyle w:val="Znakapoznpodarou"/>
        </w:rPr>
        <w:footnoteRef/>
      </w:r>
      <w:r>
        <w:t xml:space="preserve"> </w:t>
      </w:r>
      <w:r>
        <w:tab/>
        <w:t>IFN jsou jednou z mála možností jak podpořit evropskou ekonomiku a zapojit do investic pro růst jiné zdroje, než zdroje rozpočtové.</w:t>
      </w:r>
    </w:p>
  </w:footnote>
  <w:footnote w:id="147">
    <w:p w:rsidR="00E966A2" w:rsidRPr="00287AF9" w:rsidRDefault="00E966A2" w:rsidP="00301BFB">
      <w:pPr>
        <w:pStyle w:val="Textpoznpodarou"/>
      </w:pPr>
      <w:r w:rsidRPr="00287AF9">
        <w:rPr>
          <w:rStyle w:val="Znakapoznpodarou"/>
        </w:rPr>
        <w:footnoteRef/>
      </w:r>
      <w:r w:rsidRPr="00287AF9">
        <w:t xml:space="preserve"> </w:t>
      </w:r>
      <w:r w:rsidRPr="00287AF9">
        <w:tab/>
        <w:t>Příloha č. 3</w:t>
      </w:r>
      <w:r>
        <w:t xml:space="preserve"> </w:t>
      </w:r>
      <w:r w:rsidRPr="00287AF9">
        <w:t>– Legislativní rámec finančních institucí v</w:t>
      </w:r>
      <w:r>
        <w:t> </w:t>
      </w:r>
      <w:r w:rsidRPr="00287AF9">
        <w:t>ČR</w:t>
      </w:r>
      <w:r>
        <w:t>.</w:t>
      </w:r>
    </w:p>
  </w:footnote>
  <w:footnote w:id="148">
    <w:p w:rsidR="00E966A2" w:rsidRDefault="00E966A2" w:rsidP="00301BFB">
      <w:pPr>
        <w:pStyle w:val="Textpoznpodarou"/>
      </w:pPr>
      <w:r w:rsidRPr="00287AF9">
        <w:rPr>
          <w:rStyle w:val="Znakapoznpodarou"/>
        </w:rPr>
        <w:footnoteRef/>
      </w:r>
      <w:r w:rsidRPr="00287AF9">
        <w:t xml:space="preserve"> </w:t>
      </w:r>
      <w:r w:rsidRPr="00287AF9">
        <w:tab/>
        <w:t>Příloha č. 3 – Legislativní rámec finančních institucí v</w:t>
      </w:r>
      <w:r>
        <w:t> </w:t>
      </w:r>
      <w:r w:rsidRPr="00287AF9">
        <w:t>ČR</w:t>
      </w:r>
      <w:r>
        <w:t>.</w:t>
      </w:r>
    </w:p>
  </w:footnote>
  <w:footnote w:id="149">
    <w:p w:rsidR="00E966A2" w:rsidRDefault="00E966A2" w:rsidP="00301BFB">
      <w:pPr>
        <w:pStyle w:val="Textpoznpodarou"/>
      </w:pPr>
      <w:r>
        <w:rPr>
          <w:rStyle w:val="Znakapoznpodarou"/>
        </w:rPr>
        <w:footnoteRef/>
      </w:r>
      <w:r>
        <w:t xml:space="preserve"> </w:t>
      </w:r>
      <w:r>
        <w:tab/>
        <w:t>Více v příloze o regulaci finančních institucí v EU.</w:t>
      </w:r>
    </w:p>
  </w:footnote>
  <w:footnote w:id="150">
    <w:p w:rsidR="00E966A2" w:rsidRDefault="00E966A2" w:rsidP="00301BFB">
      <w:pPr>
        <w:pStyle w:val="Textpoznpodarou"/>
      </w:pPr>
      <w:r>
        <w:rPr>
          <w:rStyle w:val="Znakapoznpodarou"/>
        </w:rPr>
        <w:footnoteRef/>
      </w:r>
      <w:r>
        <w:t xml:space="preserve"> </w:t>
      </w:r>
      <w:r>
        <w:tab/>
        <w:t>EK postupně rozvádí směrnici AIFMD s ohledem na specifika některých aktiv, a tak již existuje směrnice pro fondy rizikového kapitálu či sociální fondy a nově se chytá již zmiňovaná směrnice o fondech dlouhodobého kapitálu – více v příloze o regulaci finančních institucí v EU.</w:t>
      </w:r>
    </w:p>
  </w:footnote>
  <w:footnote w:id="151">
    <w:p w:rsidR="00E966A2" w:rsidRDefault="00E966A2" w:rsidP="00301BFB">
      <w:pPr>
        <w:pStyle w:val="Textpoznpodarou"/>
      </w:pPr>
      <w:r>
        <w:rPr>
          <w:rStyle w:val="Znakapoznpodarou"/>
        </w:rPr>
        <w:footnoteRef/>
      </w:r>
      <w:r>
        <w:t xml:space="preserve"> </w:t>
      </w:r>
      <w:r>
        <w:tab/>
        <w:t>V zákoně o kolektivním investování uvedeny jako fondy kvalifikovaných investorů.</w:t>
      </w:r>
    </w:p>
  </w:footnote>
  <w:footnote w:id="152">
    <w:p w:rsidR="00E966A2" w:rsidRDefault="00E966A2" w:rsidP="00301BFB">
      <w:pPr>
        <w:pStyle w:val="Textpoznpodarou"/>
      </w:pPr>
      <w:r>
        <w:rPr>
          <w:rStyle w:val="Znakapoznpodarou"/>
        </w:rPr>
        <w:footnoteRef/>
      </w:r>
      <w:r>
        <w:t xml:space="preserve"> </w:t>
      </w:r>
      <w:r>
        <w:tab/>
        <w:t>např. European energy efciciency fund – EIF nebo návrhy EIB na tvorbu risk sharing facility prostřednictvím SICAV a další.</w:t>
      </w:r>
    </w:p>
  </w:footnote>
  <w:footnote w:id="153">
    <w:p w:rsidR="00E966A2" w:rsidRDefault="00E966A2" w:rsidP="00301BFB">
      <w:pPr>
        <w:pStyle w:val="Textpoznpodarou"/>
      </w:pPr>
      <w:r>
        <w:rPr>
          <w:rStyle w:val="Znakapoznpodarou"/>
        </w:rPr>
        <w:footnoteRef/>
      </w:r>
      <w:r>
        <w:t xml:space="preserve"> </w:t>
      </w:r>
      <w:r>
        <w:tab/>
        <w:t xml:space="preserve">Zmiňováno i v Zelené knize dlouhodobých investic v EU. </w:t>
      </w:r>
      <w:hyperlink r:id="rId77" w:history="1">
        <w:r w:rsidRPr="00242ECB">
          <w:rPr>
            <w:rStyle w:val="Hypertextovodkaz"/>
          </w:rPr>
          <w:t>http://ec.europa.eu/internal_market/finances/financing-growth/long-term/index_en.htm</w:t>
        </w:r>
      </w:hyperlink>
      <w:r>
        <w:t xml:space="preserve"> </w:t>
      </w:r>
    </w:p>
  </w:footnote>
  <w:footnote w:id="154">
    <w:p w:rsidR="00E966A2" w:rsidRPr="002521B2" w:rsidRDefault="00E966A2" w:rsidP="00301BFB">
      <w:pPr>
        <w:pStyle w:val="Textpoznpodarou"/>
      </w:pPr>
      <w:r>
        <w:rPr>
          <w:rStyle w:val="Znakapoznpodarou"/>
        </w:rPr>
        <w:footnoteRef/>
      </w:r>
      <w:r>
        <w:t xml:space="preserve"> </w:t>
      </w:r>
      <w:r>
        <w:tab/>
      </w:r>
      <w:r w:rsidRPr="002521B2">
        <w:t>Více v příloze č. 4</w:t>
      </w:r>
      <w:r>
        <w:t>.</w:t>
      </w:r>
    </w:p>
  </w:footnote>
  <w:footnote w:id="155">
    <w:p w:rsidR="00E966A2" w:rsidRDefault="00E966A2" w:rsidP="00301BFB">
      <w:pPr>
        <w:pStyle w:val="Textpoznpodarou"/>
      </w:pPr>
      <w:r>
        <w:rPr>
          <w:rStyle w:val="Znakapoznpodarou"/>
        </w:rPr>
        <w:footnoteRef/>
      </w:r>
      <w:r>
        <w:t xml:space="preserve"> </w:t>
      </w:r>
      <w:r>
        <w:tab/>
        <w:t>T</w:t>
      </w:r>
      <w:r w:rsidRPr="00B44127">
        <w:t xml:space="preserve">ato struktura </w:t>
      </w:r>
      <w:r>
        <w:t xml:space="preserve">dnes </w:t>
      </w:r>
      <w:r w:rsidRPr="00B44127">
        <w:t>naráží na aktuální legislativu v oblasti veřejných rozpočtů, zejména zákona o státní pokladně</w:t>
      </w:r>
      <w:r>
        <w:t>.</w:t>
      </w:r>
    </w:p>
  </w:footnote>
  <w:footnote w:id="156">
    <w:p w:rsidR="00E966A2" w:rsidRDefault="00E966A2">
      <w:pPr>
        <w:pStyle w:val="Textpoznpodarou"/>
      </w:pPr>
      <w:r>
        <w:rPr>
          <w:rStyle w:val="Znakapoznpodarou"/>
        </w:rPr>
        <w:footnoteRef/>
      </w:r>
      <w:r>
        <w:t xml:space="preserve"> MMR M</w:t>
      </w:r>
      <w:r w:rsidRPr="00895FDE">
        <w:t>etodické doporučení pro implementaci finančních nástrojů v programovém období 2014 - 2020</w:t>
      </w:r>
      <w:r>
        <w:t xml:space="preserve"> [říjen 2014].</w:t>
      </w:r>
    </w:p>
  </w:footnote>
  <w:footnote w:id="157">
    <w:p w:rsidR="00E966A2" w:rsidRDefault="00E966A2" w:rsidP="00301BFB">
      <w:pPr>
        <w:pStyle w:val="Textpoznpodarou"/>
      </w:pPr>
      <w:r>
        <w:rPr>
          <w:rStyle w:val="Znakapoznpodarou"/>
        </w:rPr>
        <w:footnoteRef/>
      </w:r>
      <w:r>
        <w:t xml:space="preserve"> </w:t>
      </w:r>
      <w:r>
        <w:tab/>
        <w:t xml:space="preserve">11.4.2014 Co takhle financovat českou infrastrukturu netradičně... - ceskapozice.lidovky.cz – Juraj Draxler. </w:t>
      </w:r>
      <w:hyperlink r:id="rId78" w:history="1">
        <w:r w:rsidRPr="00242ECB">
          <w:rPr>
            <w:rStyle w:val="Hypertextovodkaz"/>
          </w:rPr>
          <w:t>http://ceskapozice.lidovky.cz/tiskni.aspx?c=A140407_220200_pozice_139726</w:t>
        </w:r>
      </w:hyperlink>
      <w:r>
        <w:t xml:space="preserve"> </w:t>
      </w:r>
    </w:p>
  </w:footnote>
  <w:footnote w:id="158">
    <w:p w:rsidR="00E966A2" w:rsidRDefault="00E966A2" w:rsidP="00301BFB">
      <w:pPr>
        <w:pStyle w:val="Textpoznpodarou"/>
      </w:pPr>
      <w:r>
        <w:rPr>
          <w:rStyle w:val="Znakapoznpodarou"/>
        </w:rPr>
        <w:footnoteRef/>
      </w:r>
      <w:r>
        <w:t xml:space="preserve"> </w:t>
      </w:r>
      <w:r>
        <w:tab/>
        <w:t>MMR M</w:t>
      </w:r>
      <w:r w:rsidRPr="00895FDE">
        <w:t>etodické doporučení pro implementaci finančních nástrojů v programovém období 2014 - 2020</w:t>
      </w:r>
      <w:r>
        <w:t xml:space="preserve"> [říjen 2014].</w:t>
      </w:r>
      <w:r>
        <w:rPr>
          <w:rStyle w:val="Znakapoznpodarou"/>
        </w:rPr>
        <w:footnoteRef/>
      </w:r>
      <w:r>
        <w:t xml:space="preserve"> </w:t>
      </w:r>
      <w:r>
        <w:tab/>
      </w:r>
    </w:p>
  </w:footnote>
  <w:footnote w:id="159">
    <w:p w:rsidR="00E966A2" w:rsidRDefault="00E966A2" w:rsidP="00301BFB">
      <w:pPr>
        <w:pStyle w:val="Textpoznpodarou"/>
      </w:pPr>
      <w:r>
        <w:rPr>
          <w:rStyle w:val="Znakapoznpodarou"/>
        </w:rPr>
        <w:footnoteRef/>
      </w:r>
      <w:r>
        <w:t xml:space="preserve"> </w:t>
      </w:r>
      <w:r>
        <w:tab/>
      </w:r>
      <w:hyperlink r:id="rId79" w:history="1">
        <w:r w:rsidRPr="00242ECB">
          <w:rPr>
            <w:rStyle w:val="Hypertextovodkaz"/>
          </w:rPr>
          <w:t>https://lt.justice.gov.sk/Document/GovernmentResolutionProposal.aspx?instEID=-1&amp;matEID=6870&amp;docEID=342161&amp;docFormEID=12&amp;docTypeEID=3&amp;langEID=1&amp;tStamp=20131202180455127</w:t>
        </w:r>
      </w:hyperlink>
      <w:r>
        <w:t xml:space="preserve">. </w:t>
      </w:r>
    </w:p>
  </w:footnote>
  <w:footnote w:id="160">
    <w:p w:rsidR="00E966A2" w:rsidRDefault="00E966A2">
      <w:pPr>
        <w:pStyle w:val="Textpoznpodarou"/>
      </w:pPr>
      <w:r>
        <w:rPr>
          <w:rStyle w:val="Znakapoznpodarou"/>
        </w:rPr>
        <w:footnoteRef/>
      </w:r>
      <w:r>
        <w:t xml:space="preserve"> MMR M</w:t>
      </w:r>
      <w:r w:rsidRPr="00895FDE">
        <w:t>etodické doporučení pro implementaci finančních nástrojů v programovém období 2014 - 2020</w:t>
      </w:r>
      <w:r>
        <w:t xml:space="preserve"> [říjen 2014].</w:t>
      </w:r>
    </w:p>
  </w:footnote>
  <w:footnote w:id="161">
    <w:p w:rsidR="00E966A2" w:rsidRPr="00B54C37" w:rsidRDefault="00E966A2" w:rsidP="00301BFB">
      <w:pPr>
        <w:pStyle w:val="Textpoznpodarou"/>
      </w:pPr>
      <w:r w:rsidRPr="00933A92">
        <w:rPr>
          <w:rStyle w:val="Znakapoznpodarou"/>
          <w:rFonts w:ascii="Calibri" w:hAnsi="Calibri"/>
        </w:rPr>
        <w:footnoteRef/>
      </w:r>
      <w:r w:rsidRPr="00933A92">
        <w:t xml:space="preserve"> </w:t>
      </w:r>
      <w:r>
        <w:tab/>
      </w:r>
      <w:r w:rsidRPr="00933A92">
        <w:t xml:space="preserve">Směrnice Evropského parlamentu a Rady 2013/36/EU ze dne 26. června 2013 o přístupu k činnosti úvěrových institucí a o obezřetnostním dohledu nad úvěrovými institucemi a investičními podniky, o změně směrnice 2002/87/ES </w:t>
      </w:r>
      <w:r w:rsidRPr="00933A92">
        <w:rPr>
          <w:bCs/>
        </w:rPr>
        <w:t>a zrušení směrnic 2006/48/ES a 2006/49/ES</w:t>
      </w:r>
    </w:p>
  </w:footnote>
  <w:footnote w:id="162">
    <w:p w:rsidR="00E966A2" w:rsidRPr="00933A92" w:rsidRDefault="00E966A2" w:rsidP="00301BFB">
      <w:pPr>
        <w:pStyle w:val="Textpoznpodarou"/>
      </w:pPr>
      <w:r w:rsidRPr="00933A92">
        <w:rPr>
          <w:rStyle w:val="Znakapoznpodarou"/>
          <w:rFonts w:ascii="Calibri" w:hAnsi="Calibri"/>
        </w:rPr>
        <w:footnoteRef/>
      </w:r>
      <w:r w:rsidRPr="00933A92">
        <w:t xml:space="preserve"> </w:t>
      </w:r>
      <w:r>
        <w:tab/>
      </w:r>
      <w:r w:rsidRPr="00933A92">
        <w:t>Nařízení Evropského parlamentu a Rady (EU) č. 575/2013 ze dne 26. června 2013 o obezřetnostních požadavcích na</w:t>
      </w:r>
      <w:r>
        <w:t> </w:t>
      </w:r>
      <w:r w:rsidRPr="00933A92">
        <w:t>úvěrové instituce a investiční podniky a o změně nařízení (EU) č. 648/2012</w:t>
      </w:r>
    </w:p>
  </w:footnote>
  <w:footnote w:id="163">
    <w:p w:rsidR="00E966A2" w:rsidRPr="00933A92" w:rsidRDefault="00E966A2" w:rsidP="00301BFB">
      <w:pPr>
        <w:pStyle w:val="Textpoznpodarou"/>
      </w:pPr>
      <w:r w:rsidRPr="00933A92">
        <w:rPr>
          <w:rStyle w:val="Znakapoznpodarou"/>
          <w:rFonts w:ascii="Calibri" w:hAnsi="Calibri"/>
        </w:rPr>
        <w:footnoteRef/>
      </w:r>
      <w:r w:rsidRPr="00933A92">
        <w:t xml:space="preserve"> </w:t>
      </w:r>
      <w:r>
        <w:tab/>
      </w:r>
      <w:r w:rsidRPr="00933A92">
        <w:t>Zdroj: Ministerstvo financí České republiky.</w:t>
      </w:r>
    </w:p>
  </w:footnote>
  <w:footnote w:id="164">
    <w:p w:rsidR="00E966A2" w:rsidRDefault="00E966A2" w:rsidP="00301BFB">
      <w:pPr>
        <w:pStyle w:val="Textpoznpodarou"/>
      </w:pPr>
      <w:r>
        <w:rPr>
          <w:rStyle w:val="Znakapoznpodarou"/>
        </w:rPr>
        <w:footnoteRef/>
      </w:r>
      <w:r>
        <w:t xml:space="preserve"> </w:t>
      </w:r>
      <w:r>
        <w:tab/>
      </w:r>
      <w:hyperlink r:id="rId80" w:history="1">
        <w:r w:rsidRPr="00242ECB">
          <w:rPr>
            <w:rStyle w:val="Hypertextovodkaz"/>
          </w:rPr>
          <w:t>http://ec.europa.eu/internal_market/consultations/2013/long-term-financing/docs/contributions/registered-organisations/groupe-bpce-ann2_en.pdf</w:t>
        </w:r>
      </w:hyperlink>
      <w:r>
        <w:t xml:space="preserve"> </w:t>
      </w:r>
      <w:r>
        <w:br/>
      </w:r>
      <w:hyperlink r:id="rId81" w:history="1">
        <w:r w:rsidRPr="00242ECB">
          <w:rPr>
            <w:rStyle w:val="Hypertextovodkaz"/>
          </w:rPr>
          <w:t>http://infrastukturamorava.cz/download/studiezahradnik.pdf</w:t>
        </w:r>
      </w:hyperlink>
      <w:r>
        <w:t xml:space="preserve"> </w:t>
      </w:r>
    </w:p>
  </w:footnote>
  <w:footnote w:id="165">
    <w:p w:rsidR="00E966A2" w:rsidRDefault="00E966A2" w:rsidP="00301BFB">
      <w:pPr>
        <w:pStyle w:val="Textpoznpodarou"/>
      </w:pPr>
      <w:r>
        <w:rPr>
          <w:rStyle w:val="Znakapoznpodarou"/>
        </w:rPr>
        <w:footnoteRef/>
      </w:r>
      <w:r>
        <w:t xml:space="preserve"> </w:t>
      </w:r>
      <w:r>
        <w:tab/>
      </w:r>
      <w:hyperlink r:id="rId82" w:history="1">
        <w:r w:rsidRPr="00242ECB">
          <w:rPr>
            <w:rStyle w:val="Hypertextovodkaz"/>
          </w:rPr>
          <w:t>http://www.eib.org/products/project-bonds/index.htm</w:t>
        </w:r>
      </w:hyperlink>
      <w:r>
        <w:t xml:space="preserve"> </w:t>
      </w:r>
    </w:p>
  </w:footnote>
  <w:footnote w:id="166">
    <w:p w:rsidR="00E966A2" w:rsidRDefault="00E966A2" w:rsidP="00301BFB">
      <w:pPr>
        <w:pStyle w:val="Textpoznpodarou"/>
      </w:pPr>
      <w:r>
        <w:rPr>
          <w:rStyle w:val="Znakapoznpodarou"/>
        </w:rPr>
        <w:footnoteRef/>
      </w:r>
      <w:r>
        <w:t xml:space="preserve"> </w:t>
      </w:r>
      <w:r>
        <w:tab/>
      </w:r>
      <w:hyperlink r:id="rId83" w:history="1">
        <w:r w:rsidRPr="00242ECB">
          <w:rPr>
            <w:rStyle w:val="Hypertextovodkaz"/>
          </w:rPr>
          <w:t>http://www.eib.org/epec/g2g/annex/1-project-finance/</w:t>
        </w:r>
      </w:hyperlink>
      <w:r>
        <w:t xml:space="preserve"> </w:t>
      </w:r>
    </w:p>
  </w:footnote>
  <w:footnote w:id="167">
    <w:p w:rsidR="00E966A2" w:rsidRDefault="00E966A2" w:rsidP="00301BFB">
      <w:pPr>
        <w:pStyle w:val="Textpoznpodarou"/>
      </w:pPr>
      <w:r>
        <w:rPr>
          <w:rStyle w:val="Znakapoznpodarou"/>
        </w:rPr>
        <w:footnoteRef/>
      </w:r>
      <w:r>
        <w:t xml:space="preserve"> </w:t>
      </w:r>
      <w:r>
        <w:tab/>
      </w:r>
      <w:hyperlink r:id="rId84" w:history="1">
        <w:r w:rsidRPr="00242ECB">
          <w:rPr>
            <w:rStyle w:val="Hypertextovodkaz"/>
          </w:rPr>
          <w:t>http://www.eib.org/projects/priorities/energy/index.htm</w:t>
        </w:r>
      </w:hyperlink>
      <w:r>
        <w:t xml:space="preserve"> </w:t>
      </w:r>
    </w:p>
  </w:footnote>
  <w:footnote w:id="168">
    <w:p w:rsidR="00E966A2" w:rsidRDefault="00E966A2" w:rsidP="00301BFB">
      <w:pPr>
        <w:pStyle w:val="Textpoznpodarou"/>
      </w:pPr>
      <w:r>
        <w:rPr>
          <w:rStyle w:val="Znakapoznpodarou"/>
        </w:rPr>
        <w:footnoteRef/>
      </w:r>
      <w:r>
        <w:t xml:space="preserve"> </w:t>
      </w:r>
      <w:r>
        <w:tab/>
      </w:r>
      <w:hyperlink r:id="rId85" w:history="1">
        <w:r w:rsidRPr="00242ECB">
          <w:rPr>
            <w:rStyle w:val="Hypertextovodkaz"/>
          </w:rPr>
          <w:t>http://www.eeef.eu/</w:t>
        </w:r>
      </w:hyperlink>
      <w:r>
        <w:t xml:space="preserve"> </w:t>
      </w:r>
    </w:p>
  </w:footnote>
  <w:footnote w:id="169">
    <w:p w:rsidR="00E966A2" w:rsidRDefault="00E966A2" w:rsidP="00301BFB">
      <w:pPr>
        <w:pStyle w:val="Textpoznpodarou"/>
      </w:pPr>
      <w:r>
        <w:rPr>
          <w:rStyle w:val="Znakapoznpodarou"/>
        </w:rPr>
        <w:footnoteRef/>
      </w:r>
      <w:r>
        <w:t xml:space="preserve"> </w:t>
      </w:r>
      <w:r>
        <w:tab/>
      </w:r>
      <w:hyperlink r:id="rId86" w:history="1">
        <w:r w:rsidRPr="00242ECB">
          <w:rPr>
            <w:rStyle w:val="Hypertextovodkaz"/>
          </w:rPr>
          <w:t>http://www.ggf.lu/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A2" w:rsidRPr="00C45286" w:rsidRDefault="00E966A2" w:rsidP="00F53F75">
    <w:pPr>
      <w:tabs>
        <w:tab w:val="right" w:pos="9214"/>
      </w:tabs>
      <w:spacing w:after="200"/>
      <w:ind w:left="-567"/>
      <w:jc w:val="left"/>
      <w:rPr>
        <w:rFonts w:ascii="Calibri" w:eastAsia="Times New Roman" w:hAnsi="Calibri"/>
        <w:bCs/>
        <w:i/>
        <w:color w:val="17365D"/>
        <w:sz w:val="18"/>
        <w:szCs w:val="18"/>
      </w:rPr>
    </w:pPr>
    <w:r w:rsidRPr="00C45286">
      <w:rPr>
        <w:rFonts w:ascii="Calibri" w:eastAsia="Times New Roman" w:hAnsi="Calibri"/>
        <w:bCs/>
        <w:i/>
        <w:color w:val="17365D"/>
        <w:sz w:val="18"/>
        <w:szCs w:val="18"/>
      </w:rPr>
      <w:t xml:space="preserve">Analýza nastavení efektivní implementace </w:t>
    </w:r>
    <w:r>
      <w:rPr>
        <w:rFonts w:ascii="Calibri" w:eastAsia="Times New Roman" w:hAnsi="Calibri"/>
        <w:bCs/>
        <w:i/>
        <w:color w:val="17365D"/>
        <w:sz w:val="18"/>
        <w:szCs w:val="18"/>
      </w:rPr>
      <w:t xml:space="preserve">finančních nástrojů </w:t>
    </w:r>
    <w:r w:rsidRPr="00C45286">
      <w:rPr>
        <w:rFonts w:ascii="Calibri" w:eastAsia="Times New Roman" w:hAnsi="Calibri"/>
        <w:bCs/>
        <w:i/>
        <w:color w:val="17365D"/>
        <w:sz w:val="18"/>
        <w:szCs w:val="18"/>
      </w:rPr>
      <w:t>v České republice</w:t>
    </w:r>
    <w:r>
      <w:rPr>
        <w:rFonts w:ascii="Calibri" w:eastAsia="Times New Roman" w:hAnsi="Calibri"/>
        <w:bCs/>
        <w:i/>
        <w:color w:val="17365D"/>
        <w:sz w:val="18"/>
        <w:szCs w:val="18"/>
      </w:rPr>
      <w:t xml:space="preserve">- leden 2015 </w:t>
    </w:r>
    <w:r>
      <w:rPr>
        <w:rFonts w:ascii="Calibri" w:eastAsia="Times New Roman" w:hAnsi="Calibri"/>
        <w:bCs/>
        <w:i/>
        <w:color w:val="17365D"/>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E4A"/>
    <w:multiLevelType w:val="hybridMultilevel"/>
    <w:tmpl w:val="42307D16"/>
    <w:lvl w:ilvl="0" w:tplc="0405000F">
      <w:start w:val="1"/>
      <w:numFmt w:val="decimal"/>
      <w:lvlText w:val="%1."/>
      <w:lvlJc w:val="left"/>
      <w:pPr>
        <w:ind w:left="1287" w:hanging="360"/>
      </w:pPr>
    </w:lvl>
    <w:lvl w:ilvl="1" w:tplc="38AC9856">
      <w:start w:val="1"/>
      <w:numFmt w:val="lowerLetter"/>
      <w:lvlText w:val="%2)"/>
      <w:lvlJc w:val="left"/>
      <w:pPr>
        <w:ind w:left="2007" w:hanging="36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nsid w:val="038B24A7"/>
    <w:multiLevelType w:val="multilevel"/>
    <w:tmpl w:val="3378F3A4"/>
    <w:numStyleLink w:val="Styl1"/>
  </w:abstractNum>
  <w:abstractNum w:abstractNumId="2">
    <w:nsid w:val="064E141E"/>
    <w:multiLevelType w:val="hybridMultilevel"/>
    <w:tmpl w:val="0B4A82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07822F83"/>
    <w:multiLevelType w:val="hybridMultilevel"/>
    <w:tmpl w:val="E29E760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0A0B7742"/>
    <w:multiLevelType w:val="hybridMultilevel"/>
    <w:tmpl w:val="B4A4ACAE"/>
    <w:lvl w:ilvl="0" w:tplc="C058730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nsid w:val="0B1846F0"/>
    <w:multiLevelType w:val="hybridMultilevel"/>
    <w:tmpl w:val="48ECD268"/>
    <w:lvl w:ilvl="0" w:tplc="04050001">
      <w:start w:val="1"/>
      <w:numFmt w:val="bullet"/>
      <w:lvlText w:val=""/>
      <w:lvlJc w:val="left"/>
      <w:pPr>
        <w:ind w:left="1496" w:hanging="360"/>
      </w:pPr>
      <w:rPr>
        <w:rFonts w:ascii="Symbol" w:hAnsi="Symbol" w:hint="default"/>
      </w:rPr>
    </w:lvl>
    <w:lvl w:ilvl="1" w:tplc="04050019" w:tentative="1">
      <w:start w:val="1"/>
      <w:numFmt w:val="lowerLetter"/>
      <w:lvlText w:val="%2."/>
      <w:lvlJc w:val="left"/>
      <w:pPr>
        <w:ind w:left="2216" w:hanging="360"/>
      </w:pPr>
    </w:lvl>
    <w:lvl w:ilvl="2" w:tplc="0405001B" w:tentative="1">
      <w:start w:val="1"/>
      <w:numFmt w:val="lowerRoman"/>
      <w:lvlText w:val="%3."/>
      <w:lvlJc w:val="right"/>
      <w:pPr>
        <w:ind w:left="2936" w:hanging="180"/>
      </w:pPr>
    </w:lvl>
    <w:lvl w:ilvl="3" w:tplc="0405000F" w:tentative="1">
      <w:start w:val="1"/>
      <w:numFmt w:val="decimal"/>
      <w:lvlText w:val="%4."/>
      <w:lvlJc w:val="left"/>
      <w:pPr>
        <w:ind w:left="3656" w:hanging="360"/>
      </w:pPr>
    </w:lvl>
    <w:lvl w:ilvl="4" w:tplc="04050019" w:tentative="1">
      <w:start w:val="1"/>
      <w:numFmt w:val="lowerLetter"/>
      <w:lvlText w:val="%5."/>
      <w:lvlJc w:val="left"/>
      <w:pPr>
        <w:ind w:left="4376" w:hanging="360"/>
      </w:pPr>
    </w:lvl>
    <w:lvl w:ilvl="5" w:tplc="0405001B" w:tentative="1">
      <w:start w:val="1"/>
      <w:numFmt w:val="lowerRoman"/>
      <w:lvlText w:val="%6."/>
      <w:lvlJc w:val="right"/>
      <w:pPr>
        <w:ind w:left="5096" w:hanging="180"/>
      </w:pPr>
    </w:lvl>
    <w:lvl w:ilvl="6" w:tplc="0405000F" w:tentative="1">
      <w:start w:val="1"/>
      <w:numFmt w:val="decimal"/>
      <w:lvlText w:val="%7."/>
      <w:lvlJc w:val="left"/>
      <w:pPr>
        <w:ind w:left="5816" w:hanging="360"/>
      </w:pPr>
    </w:lvl>
    <w:lvl w:ilvl="7" w:tplc="04050019" w:tentative="1">
      <w:start w:val="1"/>
      <w:numFmt w:val="lowerLetter"/>
      <w:lvlText w:val="%8."/>
      <w:lvlJc w:val="left"/>
      <w:pPr>
        <w:ind w:left="6536" w:hanging="360"/>
      </w:pPr>
    </w:lvl>
    <w:lvl w:ilvl="8" w:tplc="0405001B" w:tentative="1">
      <w:start w:val="1"/>
      <w:numFmt w:val="lowerRoman"/>
      <w:lvlText w:val="%9."/>
      <w:lvlJc w:val="right"/>
      <w:pPr>
        <w:ind w:left="7256" w:hanging="180"/>
      </w:pPr>
    </w:lvl>
  </w:abstractNum>
  <w:abstractNum w:abstractNumId="6">
    <w:nsid w:val="0EBC7175"/>
    <w:multiLevelType w:val="hybridMultilevel"/>
    <w:tmpl w:val="AAB8C7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17F951C2"/>
    <w:multiLevelType w:val="hybridMultilevel"/>
    <w:tmpl w:val="06B217C2"/>
    <w:lvl w:ilvl="0" w:tplc="04050011">
      <w:start w:val="1"/>
      <w:numFmt w:val="decimal"/>
      <w:lvlText w:val="%1)"/>
      <w:lvlJc w:val="left"/>
      <w:pPr>
        <w:ind w:left="722" w:hanging="36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8">
    <w:nsid w:val="18EF4C1A"/>
    <w:multiLevelType w:val="hybridMultilevel"/>
    <w:tmpl w:val="485C71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CB5138B"/>
    <w:multiLevelType w:val="hybridMultilevel"/>
    <w:tmpl w:val="FEC2EA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209645A4"/>
    <w:multiLevelType w:val="hybridMultilevel"/>
    <w:tmpl w:val="A91ACAF0"/>
    <w:lvl w:ilvl="0" w:tplc="04050001">
      <w:start w:val="1"/>
      <w:numFmt w:val="bullet"/>
      <w:lvlText w:val=""/>
      <w:lvlJc w:val="left"/>
      <w:pPr>
        <w:ind w:left="1287" w:hanging="360"/>
      </w:pPr>
      <w:rPr>
        <w:rFonts w:ascii="Symbol" w:hAnsi="Symbol"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20BD35EF"/>
    <w:multiLevelType w:val="hybridMultilevel"/>
    <w:tmpl w:val="973C5AD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21016B33"/>
    <w:multiLevelType w:val="hybridMultilevel"/>
    <w:tmpl w:val="4BE032D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nsid w:val="247847E0"/>
    <w:multiLevelType w:val="hybridMultilevel"/>
    <w:tmpl w:val="6242F5F0"/>
    <w:lvl w:ilvl="0" w:tplc="04050005">
      <w:start w:val="1"/>
      <w:numFmt w:val="bullet"/>
      <w:lvlText w:val=""/>
      <w:lvlJc w:val="left"/>
      <w:pPr>
        <w:ind w:left="1495"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2262266"/>
    <w:multiLevelType w:val="hybridMultilevel"/>
    <w:tmpl w:val="D024A532"/>
    <w:lvl w:ilvl="0" w:tplc="0405000F">
      <w:start w:val="1"/>
      <w:numFmt w:val="decimal"/>
      <w:lvlText w:val="%1."/>
      <w:lvlJc w:val="left"/>
      <w:pPr>
        <w:ind w:left="1212" w:hanging="360"/>
      </w:pPr>
      <w:rPr>
        <w:rFonts w:hint="default"/>
      </w:r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15">
    <w:nsid w:val="3B1609DD"/>
    <w:multiLevelType w:val="hybridMultilevel"/>
    <w:tmpl w:val="452033A4"/>
    <w:lvl w:ilvl="0" w:tplc="04050019">
      <w:start w:val="1"/>
      <w:numFmt w:val="lowerLetter"/>
      <w:lvlText w:val="%1."/>
      <w:lvlJc w:val="left"/>
      <w:pPr>
        <w:ind w:left="255" w:hanging="360"/>
      </w:pPr>
    </w:lvl>
    <w:lvl w:ilvl="1" w:tplc="04050019" w:tentative="1">
      <w:start w:val="1"/>
      <w:numFmt w:val="lowerLetter"/>
      <w:lvlText w:val="%2."/>
      <w:lvlJc w:val="left"/>
      <w:pPr>
        <w:ind w:left="975" w:hanging="360"/>
      </w:pPr>
    </w:lvl>
    <w:lvl w:ilvl="2" w:tplc="0405001B" w:tentative="1">
      <w:start w:val="1"/>
      <w:numFmt w:val="lowerRoman"/>
      <w:lvlText w:val="%3."/>
      <w:lvlJc w:val="right"/>
      <w:pPr>
        <w:ind w:left="1695" w:hanging="180"/>
      </w:pPr>
    </w:lvl>
    <w:lvl w:ilvl="3" w:tplc="0405000F" w:tentative="1">
      <w:start w:val="1"/>
      <w:numFmt w:val="decimal"/>
      <w:lvlText w:val="%4."/>
      <w:lvlJc w:val="left"/>
      <w:pPr>
        <w:ind w:left="2415" w:hanging="360"/>
      </w:pPr>
    </w:lvl>
    <w:lvl w:ilvl="4" w:tplc="04050019" w:tentative="1">
      <w:start w:val="1"/>
      <w:numFmt w:val="lowerLetter"/>
      <w:lvlText w:val="%5."/>
      <w:lvlJc w:val="left"/>
      <w:pPr>
        <w:ind w:left="3135" w:hanging="360"/>
      </w:pPr>
    </w:lvl>
    <w:lvl w:ilvl="5" w:tplc="0405001B" w:tentative="1">
      <w:start w:val="1"/>
      <w:numFmt w:val="lowerRoman"/>
      <w:lvlText w:val="%6."/>
      <w:lvlJc w:val="right"/>
      <w:pPr>
        <w:ind w:left="3855" w:hanging="180"/>
      </w:pPr>
    </w:lvl>
    <w:lvl w:ilvl="6" w:tplc="0405000F" w:tentative="1">
      <w:start w:val="1"/>
      <w:numFmt w:val="decimal"/>
      <w:lvlText w:val="%7."/>
      <w:lvlJc w:val="left"/>
      <w:pPr>
        <w:ind w:left="4575" w:hanging="360"/>
      </w:pPr>
    </w:lvl>
    <w:lvl w:ilvl="7" w:tplc="04050019" w:tentative="1">
      <w:start w:val="1"/>
      <w:numFmt w:val="lowerLetter"/>
      <w:lvlText w:val="%8."/>
      <w:lvlJc w:val="left"/>
      <w:pPr>
        <w:ind w:left="5295" w:hanging="360"/>
      </w:pPr>
    </w:lvl>
    <w:lvl w:ilvl="8" w:tplc="0405001B" w:tentative="1">
      <w:start w:val="1"/>
      <w:numFmt w:val="lowerRoman"/>
      <w:lvlText w:val="%9."/>
      <w:lvlJc w:val="right"/>
      <w:pPr>
        <w:ind w:left="6015" w:hanging="180"/>
      </w:pPr>
    </w:lvl>
  </w:abstractNum>
  <w:abstractNum w:abstractNumId="16">
    <w:nsid w:val="3F9914B9"/>
    <w:multiLevelType w:val="multilevel"/>
    <w:tmpl w:val="4EF4512A"/>
    <w:lvl w:ilvl="0">
      <w:start w:val="1"/>
      <w:numFmt w:val="lowerLetter"/>
      <w:lvlText w:val="%1)"/>
      <w:lvlJc w:val="left"/>
      <w:pPr>
        <w:ind w:left="2064" w:hanging="360"/>
      </w:pPr>
    </w:lvl>
    <w:lvl w:ilvl="1">
      <w:start w:val="1"/>
      <w:numFmt w:val="lowerLetter"/>
      <w:lvlText w:val="%2)"/>
      <w:lvlJc w:val="left"/>
      <w:pPr>
        <w:ind w:left="2784" w:hanging="360"/>
      </w:pPr>
      <w:rPr>
        <w:rFonts w:hint="default"/>
      </w:rPr>
    </w:lvl>
    <w:lvl w:ilvl="2" w:tentative="1">
      <w:start w:val="1"/>
      <w:numFmt w:val="lowerRoman"/>
      <w:lvlText w:val="%3."/>
      <w:lvlJc w:val="right"/>
      <w:pPr>
        <w:ind w:left="3504" w:hanging="180"/>
      </w:pPr>
    </w:lvl>
    <w:lvl w:ilvl="3" w:tentative="1">
      <w:start w:val="1"/>
      <w:numFmt w:val="decimal"/>
      <w:lvlText w:val="%4."/>
      <w:lvlJc w:val="left"/>
      <w:pPr>
        <w:ind w:left="4224" w:hanging="360"/>
      </w:pPr>
    </w:lvl>
    <w:lvl w:ilvl="4" w:tentative="1">
      <w:start w:val="1"/>
      <w:numFmt w:val="lowerLetter"/>
      <w:lvlText w:val="%5."/>
      <w:lvlJc w:val="left"/>
      <w:pPr>
        <w:ind w:left="4944" w:hanging="360"/>
      </w:pPr>
    </w:lvl>
    <w:lvl w:ilvl="5" w:tentative="1">
      <w:start w:val="1"/>
      <w:numFmt w:val="lowerRoman"/>
      <w:lvlText w:val="%6."/>
      <w:lvlJc w:val="right"/>
      <w:pPr>
        <w:ind w:left="5664" w:hanging="180"/>
      </w:pPr>
    </w:lvl>
    <w:lvl w:ilvl="6" w:tentative="1">
      <w:start w:val="1"/>
      <w:numFmt w:val="decimal"/>
      <w:lvlText w:val="%7."/>
      <w:lvlJc w:val="left"/>
      <w:pPr>
        <w:ind w:left="6384" w:hanging="360"/>
      </w:pPr>
    </w:lvl>
    <w:lvl w:ilvl="7" w:tentative="1">
      <w:start w:val="1"/>
      <w:numFmt w:val="lowerLetter"/>
      <w:lvlText w:val="%8."/>
      <w:lvlJc w:val="left"/>
      <w:pPr>
        <w:ind w:left="7104" w:hanging="360"/>
      </w:pPr>
    </w:lvl>
    <w:lvl w:ilvl="8" w:tentative="1">
      <w:start w:val="1"/>
      <w:numFmt w:val="lowerRoman"/>
      <w:lvlText w:val="%9."/>
      <w:lvlJc w:val="right"/>
      <w:pPr>
        <w:ind w:left="7824" w:hanging="180"/>
      </w:pPr>
    </w:lvl>
  </w:abstractNum>
  <w:abstractNum w:abstractNumId="17">
    <w:nsid w:val="45F757FF"/>
    <w:multiLevelType w:val="hybridMultilevel"/>
    <w:tmpl w:val="1E90DB58"/>
    <w:lvl w:ilvl="0" w:tplc="0405000F">
      <w:start w:val="1"/>
      <w:numFmt w:val="decimal"/>
      <w:lvlText w:val="%1."/>
      <w:lvlJc w:val="left"/>
      <w:pPr>
        <w:ind w:left="2214" w:hanging="360"/>
      </w:pPr>
    </w:lvl>
    <w:lvl w:ilvl="1" w:tplc="04050019" w:tentative="1">
      <w:start w:val="1"/>
      <w:numFmt w:val="lowerLetter"/>
      <w:lvlText w:val="%2."/>
      <w:lvlJc w:val="left"/>
      <w:pPr>
        <w:ind w:left="2934" w:hanging="360"/>
      </w:pPr>
    </w:lvl>
    <w:lvl w:ilvl="2" w:tplc="0405001B" w:tentative="1">
      <w:start w:val="1"/>
      <w:numFmt w:val="lowerRoman"/>
      <w:lvlText w:val="%3."/>
      <w:lvlJc w:val="right"/>
      <w:pPr>
        <w:ind w:left="3654" w:hanging="180"/>
      </w:pPr>
    </w:lvl>
    <w:lvl w:ilvl="3" w:tplc="0405000F" w:tentative="1">
      <w:start w:val="1"/>
      <w:numFmt w:val="decimal"/>
      <w:lvlText w:val="%4."/>
      <w:lvlJc w:val="left"/>
      <w:pPr>
        <w:ind w:left="4374" w:hanging="360"/>
      </w:pPr>
    </w:lvl>
    <w:lvl w:ilvl="4" w:tplc="04050019" w:tentative="1">
      <w:start w:val="1"/>
      <w:numFmt w:val="lowerLetter"/>
      <w:lvlText w:val="%5."/>
      <w:lvlJc w:val="left"/>
      <w:pPr>
        <w:ind w:left="5094" w:hanging="360"/>
      </w:pPr>
    </w:lvl>
    <w:lvl w:ilvl="5" w:tplc="0405001B" w:tentative="1">
      <w:start w:val="1"/>
      <w:numFmt w:val="lowerRoman"/>
      <w:lvlText w:val="%6."/>
      <w:lvlJc w:val="right"/>
      <w:pPr>
        <w:ind w:left="5814" w:hanging="180"/>
      </w:pPr>
    </w:lvl>
    <w:lvl w:ilvl="6" w:tplc="0405000F" w:tentative="1">
      <w:start w:val="1"/>
      <w:numFmt w:val="decimal"/>
      <w:lvlText w:val="%7."/>
      <w:lvlJc w:val="left"/>
      <w:pPr>
        <w:ind w:left="6534" w:hanging="360"/>
      </w:pPr>
    </w:lvl>
    <w:lvl w:ilvl="7" w:tplc="04050019" w:tentative="1">
      <w:start w:val="1"/>
      <w:numFmt w:val="lowerLetter"/>
      <w:lvlText w:val="%8."/>
      <w:lvlJc w:val="left"/>
      <w:pPr>
        <w:ind w:left="7254" w:hanging="360"/>
      </w:pPr>
    </w:lvl>
    <w:lvl w:ilvl="8" w:tplc="0405001B" w:tentative="1">
      <w:start w:val="1"/>
      <w:numFmt w:val="lowerRoman"/>
      <w:lvlText w:val="%9."/>
      <w:lvlJc w:val="right"/>
      <w:pPr>
        <w:ind w:left="7974" w:hanging="180"/>
      </w:pPr>
    </w:lvl>
  </w:abstractNum>
  <w:abstractNum w:abstractNumId="18">
    <w:nsid w:val="46980900"/>
    <w:multiLevelType w:val="hybridMultilevel"/>
    <w:tmpl w:val="C64A7B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48E25636"/>
    <w:multiLevelType w:val="hybridMultilevel"/>
    <w:tmpl w:val="25848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49947AC6"/>
    <w:multiLevelType w:val="hybridMultilevel"/>
    <w:tmpl w:val="BF98BC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4A6546D8"/>
    <w:multiLevelType w:val="multilevel"/>
    <w:tmpl w:val="836AD88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nsid w:val="51E206FC"/>
    <w:multiLevelType w:val="multilevel"/>
    <w:tmpl w:val="3378F3A4"/>
    <w:styleLink w:val="Styl1"/>
    <w:lvl w:ilvl="0">
      <w:start w:val="1"/>
      <w:numFmt w:val="decimal"/>
      <w:lvlText w:val="%1."/>
      <w:lvlJc w:val="left"/>
      <w:pPr>
        <w:ind w:left="574" w:hanging="432"/>
      </w:pPr>
      <w:rPr>
        <w:rFonts w:ascii="Cambria" w:hAnsi="Cambria" w:cs="Times New Roman"/>
        <w:b/>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57"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26B241E"/>
    <w:multiLevelType w:val="hybridMultilevel"/>
    <w:tmpl w:val="D2E07E2C"/>
    <w:lvl w:ilvl="0" w:tplc="04050001">
      <w:start w:val="1"/>
      <w:numFmt w:val="bullet"/>
      <w:lvlText w:val=""/>
      <w:lvlJc w:val="left"/>
      <w:pPr>
        <w:ind w:left="1440" w:hanging="360"/>
      </w:pPr>
      <w:rPr>
        <w:rFonts w:ascii="Symbol" w:hAnsi="Symbol" w:hint="default"/>
      </w:rPr>
    </w:lvl>
    <w:lvl w:ilvl="1" w:tplc="CB948C3E">
      <w:numFmt w:val="bullet"/>
      <w:lvlText w:val="•"/>
      <w:lvlJc w:val="left"/>
      <w:pPr>
        <w:ind w:left="1495" w:hanging="360"/>
      </w:pPr>
      <w:rPr>
        <w:rFonts w:ascii="Times New Roman" w:eastAsia="Calibri" w:hAnsi="Times New Roman" w:cs="Times New Roman"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56C33D48"/>
    <w:multiLevelType w:val="hybridMultilevel"/>
    <w:tmpl w:val="836437E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57CE4DD9"/>
    <w:multiLevelType w:val="hybridMultilevel"/>
    <w:tmpl w:val="77E067E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nsid w:val="5D3D347C"/>
    <w:multiLevelType w:val="hybridMultilevel"/>
    <w:tmpl w:val="77940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5D4970A3"/>
    <w:multiLevelType w:val="hybridMultilevel"/>
    <w:tmpl w:val="C39CD09C"/>
    <w:lvl w:ilvl="0" w:tplc="6F00E3EE">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nsid w:val="5F2C52A6"/>
    <w:multiLevelType w:val="hybridMultilevel"/>
    <w:tmpl w:val="017673E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nsid w:val="5F7D1871"/>
    <w:multiLevelType w:val="hybridMultilevel"/>
    <w:tmpl w:val="CE3EA1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nsid w:val="60294E66"/>
    <w:multiLevelType w:val="hybridMultilevel"/>
    <w:tmpl w:val="B2A291B0"/>
    <w:lvl w:ilvl="0" w:tplc="04050005">
      <w:start w:val="1"/>
      <w:numFmt w:val="bullet"/>
      <w:lvlText w:val=""/>
      <w:lvlJc w:val="left"/>
      <w:pPr>
        <w:ind w:left="1495" w:hanging="360"/>
      </w:pPr>
      <w:rPr>
        <w:rFonts w:ascii="Wingdings" w:hAnsi="Wingdings"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1">
    <w:nsid w:val="68BA69ED"/>
    <w:multiLevelType w:val="hybridMultilevel"/>
    <w:tmpl w:val="DFBE0026"/>
    <w:lvl w:ilvl="0" w:tplc="7338AFC0">
      <w:start w:val="1"/>
      <w:numFmt w:val="decimal"/>
      <w:lvlText w:val="%1."/>
      <w:lvlJc w:val="left"/>
      <w:pPr>
        <w:ind w:left="1562" w:hanging="360"/>
      </w:pPr>
      <w:rPr>
        <w:rFonts w:hint="default"/>
      </w:rPr>
    </w:lvl>
    <w:lvl w:ilvl="1" w:tplc="04050019" w:tentative="1">
      <w:start w:val="1"/>
      <w:numFmt w:val="lowerLetter"/>
      <w:lvlText w:val="%2."/>
      <w:lvlJc w:val="left"/>
      <w:pPr>
        <w:ind w:left="2282" w:hanging="360"/>
      </w:pPr>
    </w:lvl>
    <w:lvl w:ilvl="2" w:tplc="0405001B" w:tentative="1">
      <w:start w:val="1"/>
      <w:numFmt w:val="lowerRoman"/>
      <w:lvlText w:val="%3."/>
      <w:lvlJc w:val="right"/>
      <w:pPr>
        <w:ind w:left="3002" w:hanging="180"/>
      </w:pPr>
    </w:lvl>
    <w:lvl w:ilvl="3" w:tplc="0405000F" w:tentative="1">
      <w:start w:val="1"/>
      <w:numFmt w:val="decimal"/>
      <w:lvlText w:val="%4."/>
      <w:lvlJc w:val="left"/>
      <w:pPr>
        <w:ind w:left="3722" w:hanging="360"/>
      </w:pPr>
    </w:lvl>
    <w:lvl w:ilvl="4" w:tplc="04050019" w:tentative="1">
      <w:start w:val="1"/>
      <w:numFmt w:val="lowerLetter"/>
      <w:lvlText w:val="%5."/>
      <w:lvlJc w:val="left"/>
      <w:pPr>
        <w:ind w:left="4442" w:hanging="360"/>
      </w:pPr>
    </w:lvl>
    <w:lvl w:ilvl="5" w:tplc="0405001B" w:tentative="1">
      <w:start w:val="1"/>
      <w:numFmt w:val="lowerRoman"/>
      <w:lvlText w:val="%6."/>
      <w:lvlJc w:val="right"/>
      <w:pPr>
        <w:ind w:left="5162" w:hanging="180"/>
      </w:pPr>
    </w:lvl>
    <w:lvl w:ilvl="6" w:tplc="0405000F" w:tentative="1">
      <w:start w:val="1"/>
      <w:numFmt w:val="decimal"/>
      <w:lvlText w:val="%7."/>
      <w:lvlJc w:val="left"/>
      <w:pPr>
        <w:ind w:left="5882" w:hanging="360"/>
      </w:pPr>
    </w:lvl>
    <w:lvl w:ilvl="7" w:tplc="04050019" w:tentative="1">
      <w:start w:val="1"/>
      <w:numFmt w:val="lowerLetter"/>
      <w:lvlText w:val="%8."/>
      <w:lvlJc w:val="left"/>
      <w:pPr>
        <w:ind w:left="6602" w:hanging="360"/>
      </w:pPr>
    </w:lvl>
    <w:lvl w:ilvl="8" w:tplc="0405001B" w:tentative="1">
      <w:start w:val="1"/>
      <w:numFmt w:val="lowerRoman"/>
      <w:lvlText w:val="%9."/>
      <w:lvlJc w:val="right"/>
      <w:pPr>
        <w:ind w:left="7322" w:hanging="180"/>
      </w:pPr>
    </w:lvl>
  </w:abstractNum>
  <w:abstractNum w:abstractNumId="32">
    <w:nsid w:val="69ED7559"/>
    <w:multiLevelType w:val="hybridMultilevel"/>
    <w:tmpl w:val="63E0E25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nsid w:val="6F8351DC"/>
    <w:multiLevelType w:val="hybridMultilevel"/>
    <w:tmpl w:val="6BF2AE3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nsid w:val="70A3708E"/>
    <w:multiLevelType w:val="hybridMultilevel"/>
    <w:tmpl w:val="6CACA0C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5">
    <w:nsid w:val="718D05B3"/>
    <w:multiLevelType w:val="hybridMultilevel"/>
    <w:tmpl w:val="39028D12"/>
    <w:lvl w:ilvl="0" w:tplc="04050001">
      <w:start w:val="1"/>
      <w:numFmt w:val="bullet"/>
      <w:lvlText w:val=""/>
      <w:lvlJc w:val="left"/>
      <w:pPr>
        <w:ind w:left="2055" w:hanging="360"/>
      </w:pPr>
      <w:rPr>
        <w:rFonts w:ascii="Symbol" w:hAnsi="Symbol" w:hint="default"/>
      </w:rPr>
    </w:lvl>
    <w:lvl w:ilvl="1" w:tplc="04050003">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36">
    <w:nsid w:val="7A7D715E"/>
    <w:multiLevelType w:val="hybridMultilevel"/>
    <w:tmpl w:val="CC78BCB6"/>
    <w:lvl w:ilvl="0" w:tplc="04050001">
      <w:start w:val="1"/>
      <w:numFmt w:val="bullet"/>
      <w:lvlText w:val=""/>
      <w:lvlJc w:val="left"/>
      <w:pPr>
        <w:ind w:left="4046"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7">
    <w:nsid w:val="7DEA5D8E"/>
    <w:multiLevelType w:val="hybridMultilevel"/>
    <w:tmpl w:val="9E4C3756"/>
    <w:lvl w:ilvl="0" w:tplc="6F00E3EE">
      <w:start w:val="1"/>
      <w:numFmt w:val="decimal"/>
      <w:lvlText w:val="%1)"/>
      <w:lvlJc w:val="left"/>
      <w:pPr>
        <w:ind w:left="1212" w:hanging="360"/>
      </w:pPr>
      <w:rPr>
        <w:rFonts w:hint="default"/>
      </w:r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38">
    <w:nsid w:val="7E487438"/>
    <w:multiLevelType w:val="hybridMultilevel"/>
    <w:tmpl w:val="C8DC5B0A"/>
    <w:lvl w:ilvl="0" w:tplc="3B5C9474">
      <w:start w:val="1"/>
      <w:numFmt w:val="bullet"/>
      <w:lvlText w:val=""/>
      <w:lvlJc w:val="left"/>
      <w:pPr>
        <w:ind w:left="2055" w:hanging="360"/>
      </w:pPr>
      <w:rPr>
        <w:rFonts w:ascii="Symbol" w:hAnsi="Symbol" w:hint="default"/>
      </w:rPr>
    </w:lvl>
    <w:lvl w:ilvl="1" w:tplc="04050019" w:tentative="1">
      <w:start w:val="1"/>
      <w:numFmt w:val="bullet"/>
      <w:lvlText w:val="o"/>
      <w:lvlJc w:val="left"/>
      <w:pPr>
        <w:ind w:left="2775" w:hanging="360"/>
      </w:pPr>
      <w:rPr>
        <w:rFonts w:ascii="Courier New" w:hAnsi="Courier New" w:cs="Courier New" w:hint="default"/>
      </w:rPr>
    </w:lvl>
    <w:lvl w:ilvl="2" w:tplc="0405001B" w:tentative="1">
      <w:start w:val="1"/>
      <w:numFmt w:val="bullet"/>
      <w:lvlText w:val=""/>
      <w:lvlJc w:val="left"/>
      <w:pPr>
        <w:ind w:left="3495" w:hanging="360"/>
      </w:pPr>
      <w:rPr>
        <w:rFonts w:ascii="Wingdings" w:hAnsi="Wingdings" w:hint="default"/>
      </w:rPr>
    </w:lvl>
    <w:lvl w:ilvl="3" w:tplc="0405000F" w:tentative="1">
      <w:start w:val="1"/>
      <w:numFmt w:val="bullet"/>
      <w:lvlText w:val=""/>
      <w:lvlJc w:val="left"/>
      <w:pPr>
        <w:ind w:left="4215" w:hanging="360"/>
      </w:pPr>
      <w:rPr>
        <w:rFonts w:ascii="Symbol" w:hAnsi="Symbol" w:hint="default"/>
      </w:rPr>
    </w:lvl>
    <w:lvl w:ilvl="4" w:tplc="04050019" w:tentative="1">
      <w:start w:val="1"/>
      <w:numFmt w:val="bullet"/>
      <w:lvlText w:val="o"/>
      <w:lvlJc w:val="left"/>
      <w:pPr>
        <w:ind w:left="4935" w:hanging="360"/>
      </w:pPr>
      <w:rPr>
        <w:rFonts w:ascii="Courier New" w:hAnsi="Courier New" w:cs="Courier New" w:hint="default"/>
      </w:rPr>
    </w:lvl>
    <w:lvl w:ilvl="5" w:tplc="0405001B" w:tentative="1">
      <w:start w:val="1"/>
      <w:numFmt w:val="bullet"/>
      <w:lvlText w:val=""/>
      <w:lvlJc w:val="left"/>
      <w:pPr>
        <w:ind w:left="5655" w:hanging="360"/>
      </w:pPr>
      <w:rPr>
        <w:rFonts w:ascii="Wingdings" w:hAnsi="Wingdings" w:hint="default"/>
      </w:rPr>
    </w:lvl>
    <w:lvl w:ilvl="6" w:tplc="0405000F" w:tentative="1">
      <w:start w:val="1"/>
      <w:numFmt w:val="bullet"/>
      <w:lvlText w:val=""/>
      <w:lvlJc w:val="left"/>
      <w:pPr>
        <w:ind w:left="6375" w:hanging="360"/>
      </w:pPr>
      <w:rPr>
        <w:rFonts w:ascii="Symbol" w:hAnsi="Symbol" w:hint="default"/>
      </w:rPr>
    </w:lvl>
    <w:lvl w:ilvl="7" w:tplc="04050019" w:tentative="1">
      <w:start w:val="1"/>
      <w:numFmt w:val="bullet"/>
      <w:lvlText w:val="o"/>
      <w:lvlJc w:val="left"/>
      <w:pPr>
        <w:ind w:left="7095" w:hanging="360"/>
      </w:pPr>
      <w:rPr>
        <w:rFonts w:ascii="Courier New" w:hAnsi="Courier New" w:cs="Courier New" w:hint="default"/>
      </w:rPr>
    </w:lvl>
    <w:lvl w:ilvl="8" w:tplc="0405001B" w:tentative="1">
      <w:start w:val="1"/>
      <w:numFmt w:val="bullet"/>
      <w:lvlText w:val=""/>
      <w:lvlJc w:val="left"/>
      <w:pPr>
        <w:ind w:left="7815" w:hanging="360"/>
      </w:pPr>
      <w:rPr>
        <w:rFonts w:ascii="Wingdings" w:hAnsi="Wingdings" w:hint="default"/>
      </w:rPr>
    </w:lvl>
  </w:abstractNum>
  <w:num w:numId="1">
    <w:abstractNumId w:val="1"/>
  </w:num>
  <w:num w:numId="2">
    <w:abstractNumId w:val="29"/>
  </w:num>
  <w:num w:numId="3">
    <w:abstractNumId w:val="23"/>
  </w:num>
  <w:num w:numId="4">
    <w:abstractNumId w:val="20"/>
  </w:num>
  <w:num w:numId="5">
    <w:abstractNumId w:val="35"/>
  </w:num>
  <w:num w:numId="6">
    <w:abstractNumId w:val="38"/>
  </w:num>
  <w:num w:numId="7">
    <w:abstractNumId w:val="36"/>
  </w:num>
  <w:num w:numId="8">
    <w:abstractNumId w:val="13"/>
  </w:num>
  <w:num w:numId="9">
    <w:abstractNumId w:val="30"/>
  </w:num>
  <w:num w:numId="10">
    <w:abstractNumId w:val="0"/>
  </w:num>
  <w:num w:numId="11">
    <w:abstractNumId w:val="12"/>
  </w:num>
  <w:num w:numId="12">
    <w:abstractNumId w:val="15"/>
  </w:num>
  <w:num w:numId="13">
    <w:abstractNumId w:val="19"/>
  </w:num>
  <w:num w:numId="14">
    <w:abstractNumId w:val="17"/>
  </w:num>
  <w:num w:numId="15">
    <w:abstractNumId w:val="33"/>
  </w:num>
  <w:num w:numId="16">
    <w:abstractNumId w:val="18"/>
  </w:num>
  <w:num w:numId="17">
    <w:abstractNumId w:val="3"/>
  </w:num>
  <w:num w:numId="18">
    <w:abstractNumId w:val="6"/>
  </w:num>
  <w:num w:numId="19">
    <w:abstractNumId w:val="9"/>
  </w:num>
  <w:num w:numId="20">
    <w:abstractNumId w:val="16"/>
  </w:num>
  <w:num w:numId="21">
    <w:abstractNumId w:val="34"/>
  </w:num>
  <w:num w:numId="22">
    <w:abstractNumId w:val="10"/>
  </w:num>
  <w:num w:numId="23">
    <w:abstractNumId w:val="5"/>
  </w:num>
  <w:num w:numId="24">
    <w:abstractNumId w:val="28"/>
  </w:num>
  <w:num w:numId="25">
    <w:abstractNumId w:val="24"/>
  </w:num>
  <w:num w:numId="26">
    <w:abstractNumId w:val="14"/>
  </w:num>
  <w:num w:numId="27">
    <w:abstractNumId w:val="7"/>
  </w:num>
  <w:num w:numId="28">
    <w:abstractNumId w:val="26"/>
  </w:num>
  <w:num w:numId="29">
    <w:abstractNumId w:val="32"/>
  </w:num>
  <w:num w:numId="30">
    <w:abstractNumId w:val="22"/>
  </w:num>
  <w:num w:numId="31">
    <w:abstractNumId w:val="21"/>
  </w:num>
  <w:num w:numId="32">
    <w:abstractNumId w:val="4"/>
  </w:num>
  <w:num w:numId="33">
    <w:abstractNumId w:val="8"/>
  </w:num>
  <w:num w:numId="34">
    <w:abstractNumId w:val="11"/>
  </w:num>
  <w:num w:numId="35">
    <w:abstractNumId w:val="2"/>
  </w:num>
  <w:num w:numId="36">
    <w:abstractNumId w:val="21"/>
  </w:num>
  <w:num w:numId="37">
    <w:abstractNumId w:val="31"/>
  </w:num>
  <w:num w:numId="38">
    <w:abstractNumId w:val="21"/>
  </w:num>
  <w:num w:numId="39">
    <w:abstractNumId w:val="25"/>
  </w:num>
  <w:num w:numId="40">
    <w:abstractNumId w:val="37"/>
  </w:num>
  <w:num w:numId="41">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284"/>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D24"/>
    <w:rsid w:val="000007C0"/>
    <w:rsid w:val="00001061"/>
    <w:rsid w:val="00001C90"/>
    <w:rsid w:val="0001295E"/>
    <w:rsid w:val="00014797"/>
    <w:rsid w:val="00021F68"/>
    <w:rsid w:val="00024DA8"/>
    <w:rsid w:val="00025050"/>
    <w:rsid w:val="000313B7"/>
    <w:rsid w:val="00034C00"/>
    <w:rsid w:val="0003594C"/>
    <w:rsid w:val="00037346"/>
    <w:rsid w:val="00042646"/>
    <w:rsid w:val="00042EBB"/>
    <w:rsid w:val="000438CB"/>
    <w:rsid w:val="00045B6A"/>
    <w:rsid w:val="00046A16"/>
    <w:rsid w:val="0004726C"/>
    <w:rsid w:val="00052176"/>
    <w:rsid w:val="00055B99"/>
    <w:rsid w:val="000564FC"/>
    <w:rsid w:val="0006108B"/>
    <w:rsid w:val="000616F7"/>
    <w:rsid w:val="000637A7"/>
    <w:rsid w:val="00063D91"/>
    <w:rsid w:val="000668C8"/>
    <w:rsid w:val="00071315"/>
    <w:rsid w:val="00071D24"/>
    <w:rsid w:val="00073398"/>
    <w:rsid w:val="00073BDB"/>
    <w:rsid w:val="000740A2"/>
    <w:rsid w:val="00077560"/>
    <w:rsid w:val="0008033E"/>
    <w:rsid w:val="0008297F"/>
    <w:rsid w:val="00082CC6"/>
    <w:rsid w:val="00085846"/>
    <w:rsid w:val="00087C1D"/>
    <w:rsid w:val="00092DCA"/>
    <w:rsid w:val="000938CD"/>
    <w:rsid w:val="00095AF5"/>
    <w:rsid w:val="000B045B"/>
    <w:rsid w:val="000B6543"/>
    <w:rsid w:val="000C0B4C"/>
    <w:rsid w:val="000C7745"/>
    <w:rsid w:val="000D25B8"/>
    <w:rsid w:val="000D59AC"/>
    <w:rsid w:val="000D5C63"/>
    <w:rsid w:val="000D6C07"/>
    <w:rsid w:val="000E0E0C"/>
    <w:rsid w:val="000E1407"/>
    <w:rsid w:val="000E42E0"/>
    <w:rsid w:val="000F0738"/>
    <w:rsid w:val="000F0F6F"/>
    <w:rsid w:val="000F11D2"/>
    <w:rsid w:val="000F14D4"/>
    <w:rsid w:val="000F4624"/>
    <w:rsid w:val="000F58ED"/>
    <w:rsid w:val="000F5B40"/>
    <w:rsid w:val="000F6A62"/>
    <w:rsid w:val="000F6F7F"/>
    <w:rsid w:val="000F7D0A"/>
    <w:rsid w:val="00100D0D"/>
    <w:rsid w:val="00101500"/>
    <w:rsid w:val="00103A0F"/>
    <w:rsid w:val="00105CBC"/>
    <w:rsid w:val="001070C7"/>
    <w:rsid w:val="0011086A"/>
    <w:rsid w:val="00110B9D"/>
    <w:rsid w:val="00114D5F"/>
    <w:rsid w:val="00120B79"/>
    <w:rsid w:val="0012130B"/>
    <w:rsid w:val="0012143C"/>
    <w:rsid w:val="00122CE9"/>
    <w:rsid w:val="00123A8E"/>
    <w:rsid w:val="00130873"/>
    <w:rsid w:val="00135713"/>
    <w:rsid w:val="001406C1"/>
    <w:rsid w:val="00140A57"/>
    <w:rsid w:val="00142A00"/>
    <w:rsid w:val="00147ABE"/>
    <w:rsid w:val="00147F9A"/>
    <w:rsid w:val="001519A5"/>
    <w:rsid w:val="001549D0"/>
    <w:rsid w:val="00155093"/>
    <w:rsid w:val="0015522C"/>
    <w:rsid w:val="0015609F"/>
    <w:rsid w:val="00160039"/>
    <w:rsid w:val="00161E95"/>
    <w:rsid w:val="00162B86"/>
    <w:rsid w:val="00164524"/>
    <w:rsid w:val="00164593"/>
    <w:rsid w:val="00166AEC"/>
    <w:rsid w:val="00171265"/>
    <w:rsid w:val="0017663C"/>
    <w:rsid w:val="001801D5"/>
    <w:rsid w:val="00185DE4"/>
    <w:rsid w:val="00187288"/>
    <w:rsid w:val="0018767D"/>
    <w:rsid w:val="00187740"/>
    <w:rsid w:val="0019366B"/>
    <w:rsid w:val="001948AD"/>
    <w:rsid w:val="001949FB"/>
    <w:rsid w:val="0019588E"/>
    <w:rsid w:val="001959E4"/>
    <w:rsid w:val="00195C9A"/>
    <w:rsid w:val="00197D68"/>
    <w:rsid w:val="001A2F6E"/>
    <w:rsid w:val="001A396F"/>
    <w:rsid w:val="001A3B8A"/>
    <w:rsid w:val="001B1DAC"/>
    <w:rsid w:val="001B2DDE"/>
    <w:rsid w:val="001B421C"/>
    <w:rsid w:val="001B6A40"/>
    <w:rsid w:val="001C31C6"/>
    <w:rsid w:val="001C3FC0"/>
    <w:rsid w:val="001C43A7"/>
    <w:rsid w:val="001C4731"/>
    <w:rsid w:val="001D03B3"/>
    <w:rsid w:val="001D3117"/>
    <w:rsid w:val="001E1776"/>
    <w:rsid w:val="001E268C"/>
    <w:rsid w:val="001E4277"/>
    <w:rsid w:val="001E4597"/>
    <w:rsid w:val="001E504D"/>
    <w:rsid w:val="001F045F"/>
    <w:rsid w:val="001F1D0E"/>
    <w:rsid w:val="001F264E"/>
    <w:rsid w:val="001F4347"/>
    <w:rsid w:val="001F7FA3"/>
    <w:rsid w:val="00200AE4"/>
    <w:rsid w:val="002013C3"/>
    <w:rsid w:val="0020223A"/>
    <w:rsid w:val="00210E03"/>
    <w:rsid w:val="00212CAA"/>
    <w:rsid w:val="00213F94"/>
    <w:rsid w:val="00214866"/>
    <w:rsid w:val="00216A74"/>
    <w:rsid w:val="00222191"/>
    <w:rsid w:val="00223A2B"/>
    <w:rsid w:val="002256F5"/>
    <w:rsid w:val="0022603C"/>
    <w:rsid w:val="00226786"/>
    <w:rsid w:val="002276E1"/>
    <w:rsid w:val="002313E5"/>
    <w:rsid w:val="0023167E"/>
    <w:rsid w:val="00232BF2"/>
    <w:rsid w:val="002350E1"/>
    <w:rsid w:val="00236256"/>
    <w:rsid w:val="00240086"/>
    <w:rsid w:val="00241109"/>
    <w:rsid w:val="00241665"/>
    <w:rsid w:val="00246572"/>
    <w:rsid w:val="00246DE8"/>
    <w:rsid w:val="002521B2"/>
    <w:rsid w:val="002538E7"/>
    <w:rsid w:val="00253CDE"/>
    <w:rsid w:val="002570E4"/>
    <w:rsid w:val="00261B5A"/>
    <w:rsid w:val="002637E0"/>
    <w:rsid w:val="002668D0"/>
    <w:rsid w:val="00271D3D"/>
    <w:rsid w:val="00272650"/>
    <w:rsid w:val="00273E33"/>
    <w:rsid w:val="00275826"/>
    <w:rsid w:val="00276C74"/>
    <w:rsid w:val="002770A9"/>
    <w:rsid w:val="00277172"/>
    <w:rsid w:val="0028087D"/>
    <w:rsid w:val="00281811"/>
    <w:rsid w:val="002824CA"/>
    <w:rsid w:val="00284CD2"/>
    <w:rsid w:val="00287AF9"/>
    <w:rsid w:val="002921B3"/>
    <w:rsid w:val="00296096"/>
    <w:rsid w:val="00297EC0"/>
    <w:rsid w:val="002A3559"/>
    <w:rsid w:val="002A4107"/>
    <w:rsid w:val="002A4EA9"/>
    <w:rsid w:val="002A6566"/>
    <w:rsid w:val="002B0FEA"/>
    <w:rsid w:val="002B4411"/>
    <w:rsid w:val="002B4D72"/>
    <w:rsid w:val="002B6DBE"/>
    <w:rsid w:val="002B70CC"/>
    <w:rsid w:val="002C0ACB"/>
    <w:rsid w:val="002C6A1C"/>
    <w:rsid w:val="002C761E"/>
    <w:rsid w:val="002D1BBD"/>
    <w:rsid w:val="002D328E"/>
    <w:rsid w:val="002E6E50"/>
    <w:rsid w:val="002E746D"/>
    <w:rsid w:val="002F061F"/>
    <w:rsid w:val="002F08CF"/>
    <w:rsid w:val="002F24DF"/>
    <w:rsid w:val="00301BFB"/>
    <w:rsid w:val="003063A0"/>
    <w:rsid w:val="00306754"/>
    <w:rsid w:val="0030751B"/>
    <w:rsid w:val="00311856"/>
    <w:rsid w:val="00317FF9"/>
    <w:rsid w:val="003204C3"/>
    <w:rsid w:val="003219A9"/>
    <w:rsid w:val="00322BD6"/>
    <w:rsid w:val="00323539"/>
    <w:rsid w:val="00323623"/>
    <w:rsid w:val="003261CD"/>
    <w:rsid w:val="003272C3"/>
    <w:rsid w:val="00331E19"/>
    <w:rsid w:val="00332F20"/>
    <w:rsid w:val="00334D21"/>
    <w:rsid w:val="00335566"/>
    <w:rsid w:val="0034114E"/>
    <w:rsid w:val="003456A1"/>
    <w:rsid w:val="0034605C"/>
    <w:rsid w:val="003463D4"/>
    <w:rsid w:val="00346684"/>
    <w:rsid w:val="00346DE4"/>
    <w:rsid w:val="003578BA"/>
    <w:rsid w:val="003604BB"/>
    <w:rsid w:val="00361251"/>
    <w:rsid w:val="0036489F"/>
    <w:rsid w:val="00365560"/>
    <w:rsid w:val="00365E19"/>
    <w:rsid w:val="003672A6"/>
    <w:rsid w:val="0036788D"/>
    <w:rsid w:val="00372EB7"/>
    <w:rsid w:val="00387117"/>
    <w:rsid w:val="00391F49"/>
    <w:rsid w:val="00392D70"/>
    <w:rsid w:val="003942C6"/>
    <w:rsid w:val="003A0A84"/>
    <w:rsid w:val="003A4A4A"/>
    <w:rsid w:val="003A4E8C"/>
    <w:rsid w:val="003A6162"/>
    <w:rsid w:val="003B23BD"/>
    <w:rsid w:val="003B3A16"/>
    <w:rsid w:val="003B5238"/>
    <w:rsid w:val="003B564E"/>
    <w:rsid w:val="003B6C32"/>
    <w:rsid w:val="003C1A9B"/>
    <w:rsid w:val="003C356A"/>
    <w:rsid w:val="003C3940"/>
    <w:rsid w:val="003D4705"/>
    <w:rsid w:val="003D7AFB"/>
    <w:rsid w:val="003E61E5"/>
    <w:rsid w:val="003F0A5F"/>
    <w:rsid w:val="003F3080"/>
    <w:rsid w:val="00410997"/>
    <w:rsid w:val="004112AE"/>
    <w:rsid w:val="00412C98"/>
    <w:rsid w:val="00417855"/>
    <w:rsid w:val="00420428"/>
    <w:rsid w:val="004207F7"/>
    <w:rsid w:val="00420B8F"/>
    <w:rsid w:val="0043000B"/>
    <w:rsid w:val="004331B0"/>
    <w:rsid w:val="00435883"/>
    <w:rsid w:val="00436E1E"/>
    <w:rsid w:val="004374F2"/>
    <w:rsid w:val="004424F4"/>
    <w:rsid w:val="00442C75"/>
    <w:rsid w:val="004549D7"/>
    <w:rsid w:val="004605F3"/>
    <w:rsid w:val="004667A4"/>
    <w:rsid w:val="00472C00"/>
    <w:rsid w:val="00473570"/>
    <w:rsid w:val="0048254D"/>
    <w:rsid w:val="00482BDB"/>
    <w:rsid w:val="00485ED8"/>
    <w:rsid w:val="00486B18"/>
    <w:rsid w:val="0049018B"/>
    <w:rsid w:val="00493A76"/>
    <w:rsid w:val="00494973"/>
    <w:rsid w:val="0049541D"/>
    <w:rsid w:val="0049720A"/>
    <w:rsid w:val="0049726E"/>
    <w:rsid w:val="004A42B8"/>
    <w:rsid w:val="004B349D"/>
    <w:rsid w:val="004B4260"/>
    <w:rsid w:val="004B66D1"/>
    <w:rsid w:val="004C032E"/>
    <w:rsid w:val="004C114B"/>
    <w:rsid w:val="004C1734"/>
    <w:rsid w:val="004C19B1"/>
    <w:rsid w:val="004C2CF1"/>
    <w:rsid w:val="004C37EF"/>
    <w:rsid w:val="004C51A3"/>
    <w:rsid w:val="004D077B"/>
    <w:rsid w:val="004D3BAD"/>
    <w:rsid w:val="004D7326"/>
    <w:rsid w:val="004D7C76"/>
    <w:rsid w:val="004D7FEF"/>
    <w:rsid w:val="004E049D"/>
    <w:rsid w:val="004E2E8C"/>
    <w:rsid w:val="004E4D79"/>
    <w:rsid w:val="004E6AF2"/>
    <w:rsid w:val="004F0A73"/>
    <w:rsid w:val="004F3C2F"/>
    <w:rsid w:val="004F4D24"/>
    <w:rsid w:val="004F5419"/>
    <w:rsid w:val="004F65A7"/>
    <w:rsid w:val="004F67E7"/>
    <w:rsid w:val="004F6D16"/>
    <w:rsid w:val="004F6FCC"/>
    <w:rsid w:val="00501760"/>
    <w:rsid w:val="00502A8B"/>
    <w:rsid w:val="00503A79"/>
    <w:rsid w:val="00507B4C"/>
    <w:rsid w:val="00510991"/>
    <w:rsid w:val="005144FD"/>
    <w:rsid w:val="00515198"/>
    <w:rsid w:val="0051774D"/>
    <w:rsid w:val="00521923"/>
    <w:rsid w:val="00524998"/>
    <w:rsid w:val="00527834"/>
    <w:rsid w:val="005321DF"/>
    <w:rsid w:val="005324AB"/>
    <w:rsid w:val="00533746"/>
    <w:rsid w:val="00536623"/>
    <w:rsid w:val="0054262C"/>
    <w:rsid w:val="00543F94"/>
    <w:rsid w:val="00544185"/>
    <w:rsid w:val="00544341"/>
    <w:rsid w:val="005447BF"/>
    <w:rsid w:val="00547B0B"/>
    <w:rsid w:val="0055307B"/>
    <w:rsid w:val="0055330E"/>
    <w:rsid w:val="0055537C"/>
    <w:rsid w:val="00563C78"/>
    <w:rsid w:val="005653DF"/>
    <w:rsid w:val="00566310"/>
    <w:rsid w:val="0056690E"/>
    <w:rsid w:val="00570138"/>
    <w:rsid w:val="00580130"/>
    <w:rsid w:val="00580288"/>
    <w:rsid w:val="00583429"/>
    <w:rsid w:val="0058697E"/>
    <w:rsid w:val="00587B91"/>
    <w:rsid w:val="005907E5"/>
    <w:rsid w:val="00592049"/>
    <w:rsid w:val="005928D0"/>
    <w:rsid w:val="00593E8B"/>
    <w:rsid w:val="00596ACE"/>
    <w:rsid w:val="005A2419"/>
    <w:rsid w:val="005A3A27"/>
    <w:rsid w:val="005A5016"/>
    <w:rsid w:val="005A650E"/>
    <w:rsid w:val="005B5580"/>
    <w:rsid w:val="005C20A1"/>
    <w:rsid w:val="005C29FE"/>
    <w:rsid w:val="005C4A5A"/>
    <w:rsid w:val="005C65E7"/>
    <w:rsid w:val="005C6C94"/>
    <w:rsid w:val="005C7D3E"/>
    <w:rsid w:val="005D067A"/>
    <w:rsid w:val="005D4E2E"/>
    <w:rsid w:val="005E1671"/>
    <w:rsid w:val="005E31D9"/>
    <w:rsid w:val="005F16DE"/>
    <w:rsid w:val="005F383C"/>
    <w:rsid w:val="005F3C12"/>
    <w:rsid w:val="005F49AE"/>
    <w:rsid w:val="005F4B6E"/>
    <w:rsid w:val="005F746F"/>
    <w:rsid w:val="0060065B"/>
    <w:rsid w:val="006006B3"/>
    <w:rsid w:val="00600CF9"/>
    <w:rsid w:val="00603DF3"/>
    <w:rsid w:val="00610508"/>
    <w:rsid w:val="00612278"/>
    <w:rsid w:val="00615CA1"/>
    <w:rsid w:val="00616182"/>
    <w:rsid w:val="006210F7"/>
    <w:rsid w:val="00624FE6"/>
    <w:rsid w:val="00625118"/>
    <w:rsid w:val="00625FA3"/>
    <w:rsid w:val="00636988"/>
    <w:rsid w:val="00640B60"/>
    <w:rsid w:val="00643659"/>
    <w:rsid w:val="006469B8"/>
    <w:rsid w:val="00646EDD"/>
    <w:rsid w:val="00656529"/>
    <w:rsid w:val="006617B0"/>
    <w:rsid w:val="0066560A"/>
    <w:rsid w:val="00665913"/>
    <w:rsid w:val="00666204"/>
    <w:rsid w:val="00671A9C"/>
    <w:rsid w:val="00673362"/>
    <w:rsid w:val="006733FE"/>
    <w:rsid w:val="00677C4B"/>
    <w:rsid w:val="006801D8"/>
    <w:rsid w:val="006825F8"/>
    <w:rsid w:val="006834D4"/>
    <w:rsid w:val="00685078"/>
    <w:rsid w:val="00685AB2"/>
    <w:rsid w:val="0068732C"/>
    <w:rsid w:val="006907C2"/>
    <w:rsid w:val="006924C9"/>
    <w:rsid w:val="006959FE"/>
    <w:rsid w:val="006A3FD0"/>
    <w:rsid w:val="006A4BCA"/>
    <w:rsid w:val="006A5CC0"/>
    <w:rsid w:val="006A6CDA"/>
    <w:rsid w:val="006B0D78"/>
    <w:rsid w:val="006B1653"/>
    <w:rsid w:val="006B253D"/>
    <w:rsid w:val="006B5380"/>
    <w:rsid w:val="006B5A7F"/>
    <w:rsid w:val="006C30DC"/>
    <w:rsid w:val="006C3BC4"/>
    <w:rsid w:val="006C5EA3"/>
    <w:rsid w:val="006C6BEC"/>
    <w:rsid w:val="006D496C"/>
    <w:rsid w:val="006E27EF"/>
    <w:rsid w:val="006E2D37"/>
    <w:rsid w:val="006E53E0"/>
    <w:rsid w:val="006F029E"/>
    <w:rsid w:val="006F130A"/>
    <w:rsid w:val="006F40CE"/>
    <w:rsid w:val="006F5534"/>
    <w:rsid w:val="006F5B46"/>
    <w:rsid w:val="006F76D5"/>
    <w:rsid w:val="006F7A2F"/>
    <w:rsid w:val="007046C4"/>
    <w:rsid w:val="007064C2"/>
    <w:rsid w:val="00706ECD"/>
    <w:rsid w:val="007140E9"/>
    <w:rsid w:val="00716BE0"/>
    <w:rsid w:val="00716BE9"/>
    <w:rsid w:val="007231BD"/>
    <w:rsid w:val="00724305"/>
    <w:rsid w:val="007267DF"/>
    <w:rsid w:val="00741495"/>
    <w:rsid w:val="00743404"/>
    <w:rsid w:val="00743959"/>
    <w:rsid w:val="00746A99"/>
    <w:rsid w:val="00746F99"/>
    <w:rsid w:val="00747D29"/>
    <w:rsid w:val="00750C79"/>
    <w:rsid w:val="00750CA6"/>
    <w:rsid w:val="0075146F"/>
    <w:rsid w:val="007514FC"/>
    <w:rsid w:val="00752656"/>
    <w:rsid w:val="00753D80"/>
    <w:rsid w:val="0075451E"/>
    <w:rsid w:val="00755E19"/>
    <w:rsid w:val="00757E94"/>
    <w:rsid w:val="00761936"/>
    <w:rsid w:val="00763576"/>
    <w:rsid w:val="007642C2"/>
    <w:rsid w:val="00767D66"/>
    <w:rsid w:val="00770652"/>
    <w:rsid w:val="00772211"/>
    <w:rsid w:val="0077281D"/>
    <w:rsid w:val="00775361"/>
    <w:rsid w:val="00775DB3"/>
    <w:rsid w:val="007763A5"/>
    <w:rsid w:val="007771DD"/>
    <w:rsid w:val="00780976"/>
    <w:rsid w:val="007813A7"/>
    <w:rsid w:val="0078363F"/>
    <w:rsid w:val="007862C1"/>
    <w:rsid w:val="00787752"/>
    <w:rsid w:val="00793AE5"/>
    <w:rsid w:val="00795908"/>
    <w:rsid w:val="007959AC"/>
    <w:rsid w:val="00796D21"/>
    <w:rsid w:val="0079759D"/>
    <w:rsid w:val="00797D4D"/>
    <w:rsid w:val="007A6D0C"/>
    <w:rsid w:val="007A75A6"/>
    <w:rsid w:val="007A7D3D"/>
    <w:rsid w:val="007B185C"/>
    <w:rsid w:val="007B290F"/>
    <w:rsid w:val="007B51AF"/>
    <w:rsid w:val="007B566F"/>
    <w:rsid w:val="007B579C"/>
    <w:rsid w:val="007C1BE5"/>
    <w:rsid w:val="007D2235"/>
    <w:rsid w:val="007D3626"/>
    <w:rsid w:val="007D6A91"/>
    <w:rsid w:val="007D725E"/>
    <w:rsid w:val="007E3BD3"/>
    <w:rsid w:val="007F4BED"/>
    <w:rsid w:val="007F6D55"/>
    <w:rsid w:val="007F76BE"/>
    <w:rsid w:val="007F77A9"/>
    <w:rsid w:val="00800066"/>
    <w:rsid w:val="008031A9"/>
    <w:rsid w:val="00806584"/>
    <w:rsid w:val="00814756"/>
    <w:rsid w:val="008151DF"/>
    <w:rsid w:val="008153D8"/>
    <w:rsid w:val="0081599D"/>
    <w:rsid w:val="00815CF9"/>
    <w:rsid w:val="00816089"/>
    <w:rsid w:val="0083037E"/>
    <w:rsid w:val="00832B6D"/>
    <w:rsid w:val="00832F24"/>
    <w:rsid w:val="00833895"/>
    <w:rsid w:val="008340F3"/>
    <w:rsid w:val="00834BB7"/>
    <w:rsid w:val="00834E4C"/>
    <w:rsid w:val="008358F1"/>
    <w:rsid w:val="0083633E"/>
    <w:rsid w:val="00851EB1"/>
    <w:rsid w:val="008572C2"/>
    <w:rsid w:val="008609B6"/>
    <w:rsid w:val="00864846"/>
    <w:rsid w:val="008666F0"/>
    <w:rsid w:val="00870748"/>
    <w:rsid w:val="008720FF"/>
    <w:rsid w:val="00873900"/>
    <w:rsid w:val="00877660"/>
    <w:rsid w:val="008832D2"/>
    <w:rsid w:val="0088350D"/>
    <w:rsid w:val="00884141"/>
    <w:rsid w:val="008846C4"/>
    <w:rsid w:val="008847D5"/>
    <w:rsid w:val="0088599A"/>
    <w:rsid w:val="00885E3A"/>
    <w:rsid w:val="00887FD3"/>
    <w:rsid w:val="0089053F"/>
    <w:rsid w:val="00892B09"/>
    <w:rsid w:val="00893FA4"/>
    <w:rsid w:val="0089495C"/>
    <w:rsid w:val="0089575E"/>
    <w:rsid w:val="00895D57"/>
    <w:rsid w:val="00895FDE"/>
    <w:rsid w:val="008972AC"/>
    <w:rsid w:val="008A6781"/>
    <w:rsid w:val="008A6C6E"/>
    <w:rsid w:val="008A7BB0"/>
    <w:rsid w:val="008B0AE1"/>
    <w:rsid w:val="008B1DA2"/>
    <w:rsid w:val="008B4B97"/>
    <w:rsid w:val="008B4CC7"/>
    <w:rsid w:val="008B5C06"/>
    <w:rsid w:val="008B7B49"/>
    <w:rsid w:val="008C1C38"/>
    <w:rsid w:val="008E048E"/>
    <w:rsid w:val="008E2318"/>
    <w:rsid w:val="008E33EB"/>
    <w:rsid w:val="008E481D"/>
    <w:rsid w:val="008E5B08"/>
    <w:rsid w:val="008F17AC"/>
    <w:rsid w:val="00903E04"/>
    <w:rsid w:val="00903FCE"/>
    <w:rsid w:val="009053B9"/>
    <w:rsid w:val="00906704"/>
    <w:rsid w:val="009129B7"/>
    <w:rsid w:val="00913B04"/>
    <w:rsid w:val="009145BB"/>
    <w:rsid w:val="0092142D"/>
    <w:rsid w:val="00922A92"/>
    <w:rsid w:val="009259FE"/>
    <w:rsid w:val="00927DC9"/>
    <w:rsid w:val="00930836"/>
    <w:rsid w:val="00930910"/>
    <w:rsid w:val="009405C2"/>
    <w:rsid w:val="009438EA"/>
    <w:rsid w:val="009444A9"/>
    <w:rsid w:val="00945A22"/>
    <w:rsid w:val="00946F64"/>
    <w:rsid w:val="00951424"/>
    <w:rsid w:val="00951BB0"/>
    <w:rsid w:val="00951C81"/>
    <w:rsid w:val="00951D9D"/>
    <w:rsid w:val="00961529"/>
    <w:rsid w:val="00961A2B"/>
    <w:rsid w:val="0096407B"/>
    <w:rsid w:val="0096458A"/>
    <w:rsid w:val="00970C85"/>
    <w:rsid w:val="00973E15"/>
    <w:rsid w:val="00977A11"/>
    <w:rsid w:val="009817ED"/>
    <w:rsid w:val="0098425E"/>
    <w:rsid w:val="00984B83"/>
    <w:rsid w:val="00986EE0"/>
    <w:rsid w:val="00987682"/>
    <w:rsid w:val="009900D0"/>
    <w:rsid w:val="00990DC6"/>
    <w:rsid w:val="00993EAC"/>
    <w:rsid w:val="00994A43"/>
    <w:rsid w:val="009A2A05"/>
    <w:rsid w:val="009A3FEA"/>
    <w:rsid w:val="009A61BB"/>
    <w:rsid w:val="009A6661"/>
    <w:rsid w:val="009B4BC5"/>
    <w:rsid w:val="009B54D5"/>
    <w:rsid w:val="009B675A"/>
    <w:rsid w:val="009C22FB"/>
    <w:rsid w:val="009C33B5"/>
    <w:rsid w:val="009C344D"/>
    <w:rsid w:val="009C4467"/>
    <w:rsid w:val="009C67E4"/>
    <w:rsid w:val="009D1D75"/>
    <w:rsid w:val="009D3F9F"/>
    <w:rsid w:val="009D4E1C"/>
    <w:rsid w:val="009D5CAD"/>
    <w:rsid w:val="009E4BA2"/>
    <w:rsid w:val="009E7074"/>
    <w:rsid w:val="009E79F5"/>
    <w:rsid w:val="009F639B"/>
    <w:rsid w:val="009F6AE8"/>
    <w:rsid w:val="009F7F78"/>
    <w:rsid w:val="00A00E2C"/>
    <w:rsid w:val="00A07519"/>
    <w:rsid w:val="00A1208F"/>
    <w:rsid w:val="00A12773"/>
    <w:rsid w:val="00A2192C"/>
    <w:rsid w:val="00A24D0F"/>
    <w:rsid w:val="00A25665"/>
    <w:rsid w:val="00A263C8"/>
    <w:rsid w:val="00A320C9"/>
    <w:rsid w:val="00A32763"/>
    <w:rsid w:val="00A3403F"/>
    <w:rsid w:val="00A3450B"/>
    <w:rsid w:val="00A34E8D"/>
    <w:rsid w:val="00A36178"/>
    <w:rsid w:val="00A36492"/>
    <w:rsid w:val="00A40A07"/>
    <w:rsid w:val="00A42685"/>
    <w:rsid w:val="00A42B76"/>
    <w:rsid w:val="00A44807"/>
    <w:rsid w:val="00A455C3"/>
    <w:rsid w:val="00A45AD1"/>
    <w:rsid w:val="00A4651D"/>
    <w:rsid w:val="00A50B0E"/>
    <w:rsid w:val="00A56863"/>
    <w:rsid w:val="00A56B56"/>
    <w:rsid w:val="00A613FD"/>
    <w:rsid w:val="00A75117"/>
    <w:rsid w:val="00A77528"/>
    <w:rsid w:val="00A77C3C"/>
    <w:rsid w:val="00A80B6D"/>
    <w:rsid w:val="00A82667"/>
    <w:rsid w:val="00A82B24"/>
    <w:rsid w:val="00A8769C"/>
    <w:rsid w:val="00A9087B"/>
    <w:rsid w:val="00A938B0"/>
    <w:rsid w:val="00A93D0C"/>
    <w:rsid w:val="00A96AFD"/>
    <w:rsid w:val="00A96E7B"/>
    <w:rsid w:val="00AA08FF"/>
    <w:rsid w:val="00AA4BC1"/>
    <w:rsid w:val="00AA62A0"/>
    <w:rsid w:val="00AA7018"/>
    <w:rsid w:val="00AB312C"/>
    <w:rsid w:val="00AB40C0"/>
    <w:rsid w:val="00AB730E"/>
    <w:rsid w:val="00AC5F40"/>
    <w:rsid w:val="00AC7569"/>
    <w:rsid w:val="00AD2BBE"/>
    <w:rsid w:val="00AD4C0A"/>
    <w:rsid w:val="00AD4FDF"/>
    <w:rsid w:val="00AD633D"/>
    <w:rsid w:val="00AE0372"/>
    <w:rsid w:val="00AE19B7"/>
    <w:rsid w:val="00AE4029"/>
    <w:rsid w:val="00AE5279"/>
    <w:rsid w:val="00AF0830"/>
    <w:rsid w:val="00AF105C"/>
    <w:rsid w:val="00AF1416"/>
    <w:rsid w:val="00AF59AB"/>
    <w:rsid w:val="00AF65F4"/>
    <w:rsid w:val="00AF7A9A"/>
    <w:rsid w:val="00AF7E7E"/>
    <w:rsid w:val="00B04D42"/>
    <w:rsid w:val="00B07321"/>
    <w:rsid w:val="00B16F90"/>
    <w:rsid w:val="00B179D0"/>
    <w:rsid w:val="00B214BF"/>
    <w:rsid w:val="00B260CA"/>
    <w:rsid w:val="00B271B6"/>
    <w:rsid w:val="00B37D95"/>
    <w:rsid w:val="00B4389B"/>
    <w:rsid w:val="00B44127"/>
    <w:rsid w:val="00B509E4"/>
    <w:rsid w:val="00B522A0"/>
    <w:rsid w:val="00B549B0"/>
    <w:rsid w:val="00B54C37"/>
    <w:rsid w:val="00B554DF"/>
    <w:rsid w:val="00B629AE"/>
    <w:rsid w:val="00B70CF7"/>
    <w:rsid w:val="00B71257"/>
    <w:rsid w:val="00B75164"/>
    <w:rsid w:val="00B7645D"/>
    <w:rsid w:val="00B76929"/>
    <w:rsid w:val="00B7799E"/>
    <w:rsid w:val="00B8037E"/>
    <w:rsid w:val="00B80FD0"/>
    <w:rsid w:val="00B8120E"/>
    <w:rsid w:val="00B840AD"/>
    <w:rsid w:val="00B85CC8"/>
    <w:rsid w:val="00B85E5E"/>
    <w:rsid w:val="00B91405"/>
    <w:rsid w:val="00B95569"/>
    <w:rsid w:val="00B95BF7"/>
    <w:rsid w:val="00B966DC"/>
    <w:rsid w:val="00B967A7"/>
    <w:rsid w:val="00BA1130"/>
    <w:rsid w:val="00BA280C"/>
    <w:rsid w:val="00BA5521"/>
    <w:rsid w:val="00BA65D8"/>
    <w:rsid w:val="00BA7F45"/>
    <w:rsid w:val="00BB0643"/>
    <w:rsid w:val="00BB0E53"/>
    <w:rsid w:val="00BB16BD"/>
    <w:rsid w:val="00BB1DEF"/>
    <w:rsid w:val="00BB36E3"/>
    <w:rsid w:val="00BB5DBB"/>
    <w:rsid w:val="00BB6656"/>
    <w:rsid w:val="00BB6F95"/>
    <w:rsid w:val="00BC157A"/>
    <w:rsid w:val="00BC570F"/>
    <w:rsid w:val="00BD529A"/>
    <w:rsid w:val="00BD6664"/>
    <w:rsid w:val="00BD7734"/>
    <w:rsid w:val="00BE262C"/>
    <w:rsid w:val="00BE6AC9"/>
    <w:rsid w:val="00BF181C"/>
    <w:rsid w:val="00BF223B"/>
    <w:rsid w:val="00BF7126"/>
    <w:rsid w:val="00C00561"/>
    <w:rsid w:val="00C02518"/>
    <w:rsid w:val="00C04E7E"/>
    <w:rsid w:val="00C10166"/>
    <w:rsid w:val="00C11EDF"/>
    <w:rsid w:val="00C12053"/>
    <w:rsid w:val="00C12906"/>
    <w:rsid w:val="00C137F3"/>
    <w:rsid w:val="00C1417F"/>
    <w:rsid w:val="00C2125D"/>
    <w:rsid w:val="00C22B34"/>
    <w:rsid w:val="00C24F18"/>
    <w:rsid w:val="00C34133"/>
    <w:rsid w:val="00C36727"/>
    <w:rsid w:val="00C448D9"/>
    <w:rsid w:val="00C45286"/>
    <w:rsid w:val="00C47EA0"/>
    <w:rsid w:val="00C5590A"/>
    <w:rsid w:val="00C56180"/>
    <w:rsid w:val="00C567D3"/>
    <w:rsid w:val="00C63B8B"/>
    <w:rsid w:val="00C6637E"/>
    <w:rsid w:val="00C67774"/>
    <w:rsid w:val="00C70AE4"/>
    <w:rsid w:val="00C70BF2"/>
    <w:rsid w:val="00C7234F"/>
    <w:rsid w:val="00C725EF"/>
    <w:rsid w:val="00C75D21"/>
    <w:rsid w:val="00C7634D"/>
    <w:rsid w:val="00C76717"/>
    <w:rsid w:val="00C9085B"/>
    <w:rsid w:val="00C91FCD"/>
    <w:rsid w:val="00C921D6"/>
    <w:rsid w:val="00C9354F"/>
    <w:rsid w:val="00C9524C"/>
    <w:rsid w:val="00C97EC2"/>
    <w:rsid w:val="00CA4194"/>
    <w:rsid w:val="00CA4724"/>
    <w:rsid w:val="00CB0B24"/>
    <w:rsid w:val="00CB4727"/>
    <w:rsid w:val="00CB6882"/>
    <w:rsid w:val="00CC1D8A"/>
    <w:rsid w:val="00CC275F"/>
    <w:rsid w:val="00CE1267"/>
    <w:rsid w:val="00CE3A66"/>
    <w:rsid w:val="00CE41C8"/>
    <w:rsid w:val="00CF058B"/>
    <w:rsid w:val="00CF074A"/>
    <w:rsid w:val="00CF175F"/>
    <w:rsid w:val="00CF500C"/>
    <w:rsid w:val="00CF7859"/>
    <w:rsid w:val="00D05851"/>
    <w:rsid w:val="00D06682"/>
    <w:rsid w:val="00D106C4"/>
    <w:rsid w:val="00D10727"/>
    <w:rsid w:val="00D10764"/>
    <w:rsid w:val="00D12EEA"/>
    <w:rsid w:val="00D14106"/>
    <w:rsid w:val="00D16E92"/>
    <w:rsid w:val="00D17A4D"/>
    <w:rsid w:val="00D2307F"/>
    <w:rsid w:val="00D26988"/>
    <w:rsid w:val="00D27055"/>
    <w:rsid w:val="00D27328"/>
    <w:rsid w:val="00D27A18"/>
    <w:rsid w:val="00D30D90"/>
    <w:rsid w:val="00D350AC"/>
    <w:rsid w:val="00D350EA"/>
    <w:rsid w:val="00D371A3"/>
    <w:rsid w:val="00D37E5E"/>
    <w:rsid w:val="00D37E87"/>
    <w:rsid w:val="00D41185"/>
    <w:rsid w:val="00D412AA"/>
    <w:rsid w:val="00D447DB"/>
    <w:rsid w:val="00D511B8"/>
    <w:rsid w:val="00D53C59"/>
    <w:rsid w:val="00D57949"/>
    <w:rsid w:val="00D602F2"/>
    <w:rsid w:val="00D6096B"/>
    <w:rsid w:val="00D6286A"/>
    <w:rsid w:val="00D635B1"/>
    <w:rsid w:val="00D63F87"/>
    <w:rsid w:val="00D7299F"/>
    <w:rsid w:val="00D72D0C"/>
    <w:rsid w:val="00D7521F"/>
    <w:rsid w:val="00D771A1"/>
    <w:rsid w:val="00D77F18"/>
    <w:rsid w:val="00D82A70"/>
    <w:rsid w:val="00D9083D"/>
    <w:rsid w:val="00D9200B"/>
    <w:rsid w:val="00D94E4B"/>
    <w:rsid w:val="00DA0A4F"/>
    <w:rsid w:val="00DA700B"/>
    <w:rsid w:val="00DB07EE"/>
    <w:rsid w:val="00DB3145"/>
    <w:rsid w:val="00DB7085"/>
    <w:rsid w:val="00DB7A35"/>
    <w:rsid w:val="00DC2501"/>
    <w:rsid w:val="00DC32B2"/>
    <w:rsid w:val="00DC5789"/>
    <w:rsid w:val="00DC6528"/>
    <w:rsid w:val="00DC7AFA"/>
    <w:rsid w:val="00DD29BE"/>
    <w:rsid w:val="00DD64FB"/>
    <w:rsid w:val="00DE3A8E"/>
    <w:rsid w:val="00DE3D31"/>
    <w:rsid w:val="00DE5CA9"/>
    <w:rsid w:val="00DF3C6D"/>
    <w:rsid w:val="00DF45AB"/>
    <w:rsid w:val="00DF54D8"/>
    <w:rsid w:val="00DF6590"/>
    <w:rsid w:val="00DF7977"/>
    <w:rsid w:val="00E0501C"/>
    <w:rsid w:val="00E0546C"/>
    <w:rsid w:val="00E1139D"/>
    <w:rsid w:val="00E1175E"/>
    <w:rsid w:val="00E17730"/>
    <w:rsid w:val="00E214E6"/>
    <w:rsid w:val="00E21B0E"/>
    <w:rsid w:val="00E227B1"/>
    <w:rsid w:val="00E25692"/>
    <w:rsid w:val="00E25934"/>
    <w:rsid w:val="00E25A8A"/>
    <w:rsid w:val="00E25C1F"/>
    <w:rsid w:val="00E26843"/>
    <w:rsid w:val="00E26D91"/>
    <w:rsid w:val="00E27772"/>
    <w:rsid w:val="00E31339"/>
    <w:rsid w:val="00E32EF2"/>
    <w:rsid w:val="00E340A9"/>
    <w:rsid w:val="00E3654E"/>
    <w:rsid w:val="00E405ED"/>
    <w:rsid w:val="00E41D46"/>
    <w:rsid w:val="00E45278"/>
    <w:rsid w:val="00E529C6"/>
    <w:rsid w:val="00E62029"/>
    <w:rsid w:val="00E64F55"/>
    <w:rsid w:val="00E65164"/>
    <w:rsid w:val="00E665A6"/>
    <w:rsid w:val="00E665CB"/>
    <w:rsid w:val="00E678B8"/>
    <w:rsid w:val="00E731F9"/>
    <w:rsid w:val="00E753BC"/>
    <w:rsid w:val="00E76C96"/>
    <w:rsid w:val="00E82E7C"/>
    <w:rsid w:val="00E83C70"/>
    <w:rsid w:val="00E871A7"/>
    <w:rsid w:val="00E87264"/>
    <w:rsid w:val="00E906AD"/>
    <w:rsid w:val="00E92407"/>
    <w:rsid w:val="00E9291C"/>
    <w:rsid w:val="00E93698"/>
    <w:rsid w:val="00E94345"/>
    <w:rsid w:val="00E966A2"/>
    <w:rsid w:val="00EA06DD"/>
    <w:rsid w:val="00EA130C"/>
    <w:rsid w:val="00EA2C3F"/>
    <w:rsid w:val="00EA66DF"/>
    <w:rsid w:val="00EA6E3B"/>
    <w:rsid w:val="00EB4834"/>
    <w:rsid w:val="00EC1401"/>
    <w:rsid w:val="00ED3142"/>
    <w:rsid w:val="00ED734D"/>
    <w:rsid w:val="00ED7DFE"/>
    <w:rsid w:val="00EE2A4B"/>
    <w:rsid w:val="00EE3123"/>
    <w:rsid w:val="00EE6B97"/>
    <w:rsid w:val="00EF2F90"/>
    <w:rsid w:val="00EF5114"/>
    <w:rsid w:val="00EF5E87"/>
    <w:rsid w:val="00EF6535"/>
    <w:rsid w:val="00F017A3"/>
    <w:rsid w:val="00F025CA"/>
    <w:rsid w:val="00F06717"/>
    <w:rsid w:val="00F12883"/>
    <w:rsid w:val="00F15B5C"/>
    <w:rsid w:val="00F16C2D"/>
    <w:rsid w:val="00F21AF0"/>
    <w:rsid w:val="00F22430"/>
    <w:rsid w:val="00F255E8"/>
    <w:rsid w:val="00F25BF8"/>
    <w:rsid w:val="00F26BCC"/>
    <w:rsid w:val="00F26E42"/>
    <w:rsid w:val="00F3126C"/>
    <w:rsid w:val="00F357BB"/>
    <w:rsid w:val="00F44454"/>
    <w:rsid w:val="00F52E77"/>
    <w:rsid w:val="00F53F75"/>
    <w:rsid w:val="00F55BCE"/>
    <w:rsid w:val="00F56AE1"/>
    <w:rsid w:val="00F651E5"/>
    <w:rsid w:val="00F65A49"/>
    <w:rsid w:val="00F65C0E"/>
    <w:rsid w:val="00F66B54"/>
    <w:rsid w:val="00F73BC1"/>
    <w:rsid w:val="00F768E6"/>
    <w:rsid w:val="00F77BA2"/>
    <w:rsid w:val="00F81AE5"/>
    <w:rsid w:val="00F821C7"/>
    <w:rsid w:val="00F82815"/>
    <w:rsid w:val="00F82B0A"/>
    <w:rsid w:val="00F83F2F"/>
    <w:rsid w:val="00F90E34"/>
    <w:rsid w:val="00F913CE"/>
    <w:rsid w:val="00F92F61"/>
    <w:rsid w:val="00F93DBC"/>
    <w:rsid w:val="00F94FA8"/>
    <w:rsid w:val="00F94FF2"/>
    <w:rsid w:val="00FA0442"/>
    <w:rsid w:val="00FA0543"/>
    <w:rsid w:val="00FA667F"/>
    <w:rsid w:val="00FA750C"/>
    <w:rsid w:val="00FB1E42"/>
    <w:rsid w:val="00FB24E1"/>
    <w:rsid w:val="00FB41DA"/>
    <w:rsid w:val="00FB589B"/>
    <w:rsid w:val="00FB58AF"/>
    <w:rsid w:val="00FC0507"/>
    <w:rsid w:val="00FC0587"/>
    <w:rsid w:val="00FC0E57"/>
    <w:rsid w:val="00FC2C6C"/>
    <w:rsid w:val="00FC7B85"/>
    <w:rsid w:val="00FC7CD5"/>
    <w:rsid w:val="00FD0F3F"/>
    <w:rsid w:val="00FD17E5"/>
    <w:rsid w:val="00FD2993"/>
    <w:rsid w:val="00FD4171"/>
    <w:rsid w:val="00FD6377"/>
    <w:rsid w:val="00FF12D8"/>
    <w:rsid w:val="00FF39A4"/>
    <w:rsid w:val="00FF5C49"/>
    <w:rsid w:val="00FF64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1A9B"/>
    <w:pPr>
      <w:spacing w:after="120" w:line="276" w:lineRule="auto"/>
      <w:ind w:left="567"/>
      <w:jc w:val="both"/>
    </w:pPr>
    <w:rPr>
      <w:rFonts w:ascii="Times New Roman" w:hAnsi="Times New Roman"/>
      <w:sz w:val="22"/>
      <w:szCs w:val="22"/>
      <w:lang w:eastAsia="en-US"/>
    </w:rPr>
  </w:style>
  <w:style w:type="paragraph" w:styleId="Nadpis1">
    <w:name w:val="heading 1"/>
    <w:basedOn w:val="Normln"/>
    <w:next w:val="Normln"/>
    <w:link w:val="Nadpis1Char"/>
    <w:uiPriority w:val="9"/>
    <w:qFormat/>
    <w:rsid w:val="00171265"/>
    <w:pPr>
      <w:keepNext/>
      <w:keepLines/>
      <w:pageBreakBefore/>
      <w:numPr>
        <w:numId w:val="31"/>
      </w:numPr>
      <w:spacing w:before="240"/>
      <w:outlineLvl w:val="0"/>
    </w:pPr>
    <w:rPr>
      <w:rFonts w:ascii="Cambria" w:eastAsia="Times New Roman" w:hAnsi="Cambria" w:cs="Arial"/>
      <w:b/>
      <w:bCs/>
      <w:color w:val="365F91"/>
      <w:sz w:val="28"/>
      <w:szCs w:val="28"/>
    </w:rPr>
  </w:style>
  <w:style w:type="paragraph" w:styleId="Nadpis2">
    <w:name w:val="heading 2"/>
    <w:basedOn w:val="Normln"/>
    <w:next w:val="Normln"/>
    <w:link w:val="Nadpis2Char"/>
    <w:uiPriority w:val="9"/>
    <w:unhideWhenUsed/>
    <w:qFormat/>
    <w:rsid w:val="00171265"/>
    <w:pPr>
      <w:keepNext/>
      <w:keepLines/>
      <w:numPr>
        <w:ilvl w:val="1"/>
        <w:numId w:val="31"/>
      </w:numPr>
      <w:spacing w:before="240"/>
      <w:outlineLvl w:val="1"/>
    </w:pPr>
    <w:rPr>
      <w:rFonts w:ascii="Cambria" w:eastAsia="Times New Roman" w:hAnsi="Cambria" w:cs="Arial"/>
      <w:b/>
      <w:bCs/>
      <w:noProof/>
      <w:color w:val="4F81BD"/>
      <w:sz w:val="24"/>
      <w:szCs w:val="24"/>
    </w:rPr>
  </w:style>
  <w:style w:type="paragraph" w:styleId="Nadpis3">
    <w:name w:val="heading 3"/>
    <w:basedOn w:val="Normln"/>
    <w:next w:val="Normln"/>
    <w:link w:val="Nadpis3Char"/>
    <w:uiPriority w:val="9"/>
    <w:unhideWhenUsed/>
    <w:qFormat/>
    <w:rsid w:val="00171265"/>
    <w:pPr>
      <w:keepNext/>
      <w:keepLines/>
      <w:numPr>
        <w:ilvl w:val="2"/>
        <w:numId w:val="31"/>
      </w:numPr>
      <w:spacing w:before="200"/>
      <w:outlineLvl w:val="2"/>
    </w:pPr>
    <w:rPr>
      <w:rFonts w:ascii="Cambria" w:eastAsia="Arial" w:hAnsi="Cambria" w:cs="Arial"/>
      <w:b/>
      <w:bCs/>
      <w:color w:val="4F81BD"/>
      <w:lang w:eastAsia="cs-CZ"/>
    </w:rPr>
  </w:style>
  <w:style w:type="paragraph" w:styleId="Nadpis4">
    <w:name w:val="heading 4"/>
    <w:basedOn w:val="Normln"/>
    <w:next w:val="Normln"/>
    <w:link w:val="Nadpis4Char"/>
    <w:uiPriority w:val="9"/>
    <w:unhideWhenUsed/>
    <w:qFormat/>
    <w:rsid w:val="00171265"/>
    <w:pPr>
      <w:keepNext/>
      <w:keepLines/>
      <w:numPr>
        <w:ilvl w:val="3"/>
        <w:numId w:val="31"/>
      </w:numPr>
      <w:spacing w:before="240"/>
      <w:outlineLvl w:val="3"/>
    </w:pPr>
    <w:rPr>
      <w:rFonts w:ascii="Cambria" w:eastAsia="Times New Roman" w:hAnsi="Cambria"/>
      <w:b/>
      <w:bCs/>
      <w:i/>
      <w:iCs/>
      <w:color w:val="4F81BD"/>
    </w:rPr>
  </w:style>
  <w:style w:type="paragraph" w:styleId="Nadpis5">
    <w:name w:val="heading 5"/>
    <w:basedOn w:val="Normln"/>
    <w:next w:val="Normln"/>
    <w:link w:val="Nadpis5Char"/>
    <w:uiPriority w:val="9"/>
    <w:unhideWhenUsed/>
    <w:qFormat/>
    <w:rsid w:val="005F3C12"/>
    <w:pPr>
      <w:keepNext/>
      <w:keepLines/>
      <w:numPr>
        <w:ilvl w:val="4"/>
        <w:numId w:val="31"/>
      </w:numPr>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F3C12"/>
    <w:pPr>
      <w:keepNext/>
      <w:keepLines/>
      <w:numPr>
        <w:ilvl w:val="5"/>
        <w:numId w:val="31"/>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unhideWhenUsed/>
    <w:qFormat/>
    <w:rsid w:val="005F3C12"/>
    <w:pPr>
      <w:keepNext/>
      <w:keepLines/>
      <w:numPr>
        <w:ilvl w:val="6"/>
        <w:numId w:val="31"/>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5F3C12"/>
    <w:pPr>
      <w:keepNext/>
      <w:keepLines/>
      <w:numPr>
        <w:ilvl w:val="7"/>
        <w:numId w:val="31"/>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5F3C12"/>
    <w:pPr>
      <w:keepNext/>
      <w:keepLines/>
      <w:numPr>
        <w:ilvl w:val="8"/>
        <w:numId w:val="31"/>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4F4D24"/>
    <w:pPr>
      <w:ind w:left="720"/>
      <w:contextualSpacing/>
    </w:pPr>
  </w:style>
  <w:style w:type="paragraph" w:styleId="Normlnweb">
    <w:name w:val="Normal (Web)"/>
    <w:basedOn w:val="Normln"/>
    <w:uiPriority w:val="99"/>
    <w:semiHidden/>
    <w:unhideWhenUsed/>
    <w:rsid w:val="004F4D24"/>
    <w:pPr>
      <w:spacing w:before="100" w:beforeAutospacing="1" w:after="100" w:afterAutospacing="1" w:line="240" w:lineRule="auto"/>
    </w:pPr>
    <w:rPr>
      <w:rFonts w:eastAsia="Times New Roman"/>
      <w:sz w:val="24"/>
      <w:szCs w:val="24"/>
      <w:lang w:eastAsia="cs-CZ"/>
    </w:rPr>
  </w:style>
  <w:style w:type="character" w:customStyle="1" w:styleId="apple-converted-space">
    <w:name w:val="apple-converted-space"/>
    <w:basedOn w:val="Standardnpsmoodstavce"/>
    <w:rsid w:val="004F4D24"/>
  </w:style>
  <w:style w:type="paragraph" w:styleId="Textbubliny">
    <w:name w:val="Balloon Text"/>
    <w:basedOn w:val="Normln"/>
    <w:link w:val="TextbublinyChar"/>
    <w:uiPriority w:val="99"/>
    <w:semiHidden/>
    <w:unhideWhenUsed/>
    <w:rsid w:val="00DA0A4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0A4F"/>
    <w:rPr>
      <w:rFonts w:ascii="Tahoma" w:hAnsi="Tahoma" w:cs="Tahoma"/>
      <w:sz w:val="16"/>
      <w:szCs w:val="16"/>
    </w:rPr>
  </w:style>
  <w:style w:type="paragraph" w:styleId="Textpoznpodarou">
    <w:name w:val="footnote text"/>
    <w:aliases w:val="Text poznámky pod čiarou 007,fn,Footnotes,Footnote ak,fn Char,footnote text Char,Footnotes Char,Footnote ak Char,ft,fn cafc,Footnotes Char Char,Footnote Text Char Char,fn Char Char,footnote text Char Char Char Ch,fn1"/>
    <w:basedOn w:val="Normln"/>
    <w:link w:val="TextpoznpodarouChar"/>
    <w:autoRedefine/>
    <w:uiPriority w:val="99"/>
    <w:qFormat/>
    <w:rsid w:val="0092142D"/>
    <w:pPr>
      <w:tabs>
        <w:tab w:val="left" w:pos="709"/>
        <w:tab w:val="left" w:pos="992"/>
      </w:tabs>
      <w:spacing w:after="0" w:line="240" w:lineRule="auto"/>
      <w:ind w:hanging="567"/>
    </w:pPr>
    <w:rPr>
      <w:rFonts w:eastAsia="Times New Roman"/>
      <w:i/>
      <w:sz w:val="18"/>
      <w:szCs w:val="18"/>
    </w:rPr>
  </w:style>
  <w:style w:type="character" w:customStyle="1" w:styleId="TextpoznpodarouChar">
    <w:name w:val="Text pozn. pod čarou Char"/>
    <w:aliases w:val="Text poznámky pod čiarou 007 Char,fn Char1,Footnotes Char1,Footnote ak Char1,fn Char Char1,footnote text Char Char,Footnotes Char Char1,Footnote ak Char Char,ft Char,fn cafc Char,Footnotes Char Char Char,fn Char Char Char"/>
    <w:basedOn w:val="Standardnpsmoodstavce"/>
    <w:link w:val="Textpoznpodarou"/>
    <w:uiPriority w:val="99"/>
    <w:rsid w:val="0092142D"/>
    <w:rPr>
      <w:rFonts w:ascii="Times New Roman" w:eastAsia="Times New Roman" w:hAnsi="Times New Roman"/>
      <w:i/>
      <w:sz w:val="18"/>
      <w:szCs w:val="18"/>
      <w:lang w:eastAsia="en-US"/>
    </w:rPr>
  </w:style>
  <w:style w:type="character" w:styleId="Znakapoznpodarou">
    <w:name w:val="footnote reference"/>
    <w:aliases w:val="Char1,Ref,de nota al pie,Footnote,Ref1,de nota al pie1,Ref2,de nota al pie2,Ref11,de nota al pie11,BVI fnr,Footnote symbol,Footnote reference number,Times 10 Point,Exposant 3 Point,note TESI,SUPERS,EN Footnote text,number,E F,no.."/>
    <w:uiPriority w:val="99"/>
    <w:rsid w:val="00EF6535"/>
    <w:rPr>
      <w:shd w:val="clear" w:color="auto" w:fill="auto"/>
      <w:vertAlign w:val="superscript"/>
    </w:rPr>
  </w:style>
  <w:style w:type="character" w:customStyle="1" w:styleId="Nadpis1Char">
    <w:name w:val="Nadpis 1 Char"/>
    <w:basedOn w:val="Standardnpsmoodstavce"/>
    <w:link w:val="Nadpis1"/>
    <w:uiPriority w:val="9"/>
    <w:rsid w:val="00171265"/>
    <w:rPr>
      <w:rFonts w:ascii="Cambria" w:eastAsia="Times New Roman" w:hAnsi="Cambria" w:cs="Arial"/>
      <w:b/>
      <w:bCs/>
      <w:color w:val="365F91"/>
      <w:sz w:val="28"/>
      <w:szCs w:val="28"/>
      <w:lang w:eastAsia="en-US"/>
    </w:rPr>
  </w:style>
  <w:style w:type="character" w:customStyle="1" w:styleId="Nadpis2Char">
    <w:name w:val="Nadpis 2 Char"/>
    <w:basedOn w:val="Standardnpsmoodstavce"/>
    <w:link w:val="Nadpis2"/>
    <w:uiPriority w:val="9"/>
    <w:rsid w:val="00171265"/>
    <w:rPr>
      <w:rFonts w:ascii="Cambria" w:eastAsia="Times New Roman" w:hAnsi="Cambria" w:cs="Arial"/>
      <w:b/>
      <w:bCs/>
      <w:noProof/>
      <w:color w:val="4F81BD"/>
      <w:sz w:val="24"/>
      <w:szCs w:val="24"/>
      <w:lang w:eastAsia="en-US"/>
    </w:rPr>
  </w:style>
  <w:style w:type="character" w:customStyle="1" w:styleId="Nadpis3Char">
    <w:name w:val="Nadpis 3 Char"/>
    <w:basedOn w:val="Standardnpsmoodstavce"/>
    <w:link w:val="Nadpis3"/>
    <w:uiPriority w:val="9"/>
    <w:rsid w:val="00171265"/>
    <w:rPr>
      <w:rFonts w:ascii="Cambria" w:eastAsia="Arial" w:hAnsi="Cambria" w:cs="Arial"/>
      <w:b/>
      <w:bCs/>
      <w:color w:val="4F81BD"/>
      <w:sz w:val="22"/>
      <w:szCs w:val="22"/>
    </w:rPr>
  </w:style>
  <w:style w:type="character" w:customStyle="1" w:styleId="Nadpis4Char">
    <w:name w:val="Nadpis 4 Char"/>
    <w:basedOn w:val="Standardnpsmoodstavce"/>
    <w:link w:val="Nadpis4"/>
    <w:uiPriority w:val="9"/>
    <w:rsid w:val="00171265"/>
    <w:rPr>
      <w:rFonts w:ascii="Cambria" w:eastAsia="Times New Roman" w:hAnsi="Cambria"/>
      <w:b/>
      <w:bCs/>
      <w:i/>
      <w:iCs/>
      <w:color w:val="4F81BD"/>
      <w:sz w:val="22"/>
      <w:szCs w:val="22"/>
      <w:lang w:eastAsia="en-US"/>
    </w:rPr>
  </w:style>
  <w:style w:type="character" w:customStyle="1" w:styleId="Nadpis5Char">
    <w:name w:val="Nadpis 5 Char"/>
    <w:basedOn w:val="Standardnpsmoodstavce"/>
    <w:link w:val="Nadpis5"/>
    <w:uiPriority w:val="9"/>
    <w:rsid w:val="005F3C12"/>
    <w:rPr>
      <w:rFonts w:ascii="Cambria" w:eastAsia="Times New Roman" w:hAnsi="Cambria"/>
      <w:color w:val="243F60"/>
      <w:sz w:val="22"/>
      <w:szCs w:val="22"/>
      <w:lang w:eastAsia="en-US"/>
    </w:rPr>
  </w:style>
  <w:style w:type="character" w:customStyle="1" w:styleId="Nadpis6Char">
    <w:name w:val="Nadpis 6 Char"/>
    <w:basedOn w:val="Standardnpsmoodstavce"/>
    <w:link w:val="Nadpis6"/>
    <w:rsid w:val="005F3C12"/>
    <w:rPr>
      <w:rFonts w:ascii="Cambria" w:eastAsia="Times New Roman" w:hAnsi="Cambria"/>
      <w:i/>
      <w:iCs/>
      <w:color w:val="243F60"/>
      <w:sz w:val="22"/>
      <w:szCs w:val="22"/>
      <w:lang w:eastAsia="en-US"/>
    </w:rPr>
  </w:style>
  <w:style w:type="character" w:customStyle="1" w:styleId="Nadpis7Char">
    <w:name w:val="Nadpis 7 Char"/>
    <w:basedOn w:val="Standardnpsmoodstavce"/>
    <w:link w:val="Nadpis7"/>
    <w:uiPriority w:val="9"/>
    <w:rsid w:val="005F3C12"/>
    <w:rPr>
      <w:rFonts w:ascii="Cambria" w:eastAsia="Times New Roman" w:hAnsi="Cambria"/>
      <w:i/>
      <w:iCs/>
      <w:color w:val="404040"/>
      <w:sz w:val="22"/>
      <w:szCs w:val="22"/>
      <w:lang w:eastAsia="en-US"/>
    </w:rPr>
  </w:style>
  <w:style w:type="character" w:customStyle="1" w:styleId="Nadpis8Char">
    <w:name w:val="Nadpis 8 Char"/>
    <w:basedOn w:val="Standardnpsmoodstavce"/>
    <w:link w:val="Nadpis8"/>
    <w:uiPriority w:val="9"/>
    <w:semiHidden/>
    <w:rsid w:val="005F3C12"/>
    <w:rPr>
      <w:rFonts w:ascii="Cambria" w:eastAsia="Times New Roman" w:hAnsi="Cambria"/>
      <w:color w:val="404040"/>
      <w:lang w:eastAsia="en-US"/>
    </w:rPr>
  </w:style>
  <w:style w:type="character" w:customStyle="1" w:styleId="Nadpis9Char">
    <w:name w:val="Nadpis 9 Char"/>
    <w:basedOn w:val="Standardnpsmoodstavce"/>
    <w:link w:val="Nadpis9"/>
    <w:uiPriority w:val="9"/>
    <w:semiHidden/>
    <w:rsid w:val="005F3C12"/>
    <w:rPr>
      <w:rFonts w:ascii="Cambria" w:eastAsia="Times New Roman" w:hAnsi="Cambria"/>
      <w:i/>
      <w:iCs/>
      <w:color w:val="404040"/>
      <w:lang w:eastAsia="en-US"/>
    </w:rPr>
  </w:style>
  <w:style w:type="character" w:styleId="Hypertextovodkaz">
    <w:name w:val="Hyperlink"/>
    <w:basedOn w:val="Standardnpsmoodstavce"/>
    <w:uiPriority w:val="99"/>
    <w:unhideWhenUsed/>
    <w:rsid w:val="0012130B"/>
    <w:rPr>
      <w:color w:val="0000FF"/>
      <w:u w:val="single"/>
    </w:rPr>
  </w:style>
  <w:style w:type="paragraph" w:styleId="Zhlav">
    <w:name w:val="header"/>
    <w:basedOn w:val="Normln"/>
    <w:link w:val="ZhlavChar"/>
    <w:uiPriority w:val="99"/>
    <w:unhideWhenUsed/>
    <w:rsid w:val="001F434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4347"/>
    <w:rPr>
      <w:rFonts w:ascii="Times New Roman" w:hAnsi="Times New Roman" w:cs="Times New Roman"/>
    </w:rPr>
  </w:style>
  <w:style w:type="paragraph" w:styleId="Zpat">
    <w:name w:val="footer"/>
    <w:basedOn w:val="Normln"/>
    <w:link w:val="ZpatChar"/>
    <w:uiPriority w:val="99"/>
    <w:unhideWhenUsed/>
    <w:rsid w:val="001F4347"/>
    <w:pPr>
      <w:tabs>
        <w:tab w:val="center" w:pos="4536"/>
        <w:tab w:val="right" w:pos="9072"/>
      </w:tabs>
      <w:spacing w:after="0" w:line="240" w:lineRule="auto"/>
    </w:pPr>
  </w:style>
  <w:style w:type="character" w:customStyle="1" w:styleId="ZpatChar">
    <w:name w:val="Zápatí Char"/>
    <w:basedOn w:val="Standardnpsmoodstavce"/>
    <w:link w:val="Zpat"/>
    <w:uiPriority w:val="99"/>
    <w:rsid w:val="001F4347"/>
    <w:rPr>
      <w:rFonts w:ascii="Times New Roman" w:hAnsi="Times New Roman" w:cs="Times New Roman"/>
    </w:rPr>
  </w:style>
  <w:style w:type="paragraph" w:customStyle="1" w:styleId="Graf">
    <w:name w:val="Graf"/>
    <w:basedOn w:val="schma"/>
    <w:link w:val="GrafChar"/>
    <w:qFormat/>
    <w:rsid w:val="0092142D"/>
  </w:style>
  <w:style w:type="character" w:customStyle="1" w:styleId="hps">
    <w:name w:val="hps"/>
    <w:basedOn w:val="Standardnpsmoodstavce"/>
    <w:rsid w:val="000B6543"/>
    <w:rPr>
      <w:rFonts w:cs="Times New Roman"/>
    </w:rPr>
  </w:style>
  <w:style w:type="character" w:customStyle="1" w:styleId="GrafChar">
    <w:name w:val="Graf Char"/>
    <w:basedOn w:val="Standardnpsmoodstavce"/>
    <w:link w:val="Graf"/>
    <w:rsid w:val="0092142D"/>
    <w:rPr>
      <w:rFonts w:ascii="Times New Roman" w:hAnsi="Times New Roman"/>
      <w:b/>
      <w:color w:val="548DD4"/>
      <w:sz w:val="22"/>
      <w:szCs w:val="24"/>
      <w:lang w:eastAsia="en-US"/>
    </w:rPr>
  </w:style>
  <w:style w:type="paragraph" w:styleId="Nadpisobsahu">
    <w:name w:val="TOC Heading"/>
    <w:basedOn w:val="Nadpis1"/>
    <w:next w:val="Normln"/>
    <w:uiPriority w:val="39"/>
    <w:unhideWhenUsed/>
    <w:qFormat/>
    <w:rsid w:val="00640B60"/>
    <w:pPr>
      <w:numPr>
        <w:numId w:val="0"/>
      </w:numPr>
      <w:spacing w:before="480" w:after="0"/>
      <w:jc w:val="left"/>
      <w:outlineLvl w:val="9"/>
    </w:pPr>
    <w:rPr>
      <w:rFonts w:cs="Times New Roman"/>
    </w:rPr>
  </w:style>
  <w:style w:type="paragraph" w:styleId="Obsah1">
    <w:name w:val="toc 1"/>
    <w:basedOn w:val="Normln"/>
    <w:next w:val="Normln"/>
    <w:autoRedefine/>
    <w:uiPriority w:val="39"/>
    <w:unhideWhenUsed/>
    <w:rsid w:val="00306754"/>
    <w:pPr>
      <w:tabs>
        <w:tab w:val="left" w:pos="284"/>
        <w:tab w:val="right" w:leader="dot" w:pos="9174"/>
      </w:tabs>
      <w:spacing w:after="100"/>
      <w:ind w:left="0"/>
    </w:pPr>
  </w:style>
  <w:style w:type="paragraph" w:styleId="Obsah2">
    <w:name w:val="toc 2"/>
    <w:basedOn w:val="Normln"/>
    <w:next w:val="Normln"/>
    <w:autoRedefine/>
    <w:uiPriority w:val="39"/>
    <w:unhideWhenUsed/>
    <w:rsid w:val="00B840AD"/>
    <w:pPr>
      <w:tabs>
        <w:tab w:val="left" w:pos="851"/>
        <w:tab w:val="left" w:pos="1701"/>
        <w:tab w:val="right" w:leader="dot" w:pos="9174"/>
      </w:tabs>
      <w:spacing w:after="100"/>
      <w:ind w:left="1418" w:hanging="1134"/>
    </w:pPr>
  </w:style>
  <w:style w:type="paragraph" w:styleId="Obsah3">
    <w:name w:val="toc 3"/>
    <w:basedOn w:val="Normln"/>
    <w:next w:val="Normln"/>
    <w:autoRedefine/>
    <w:uiPriority w:val="39"/>
    <w:unhideWhenUsed/>
    <w:rsid w:val="00435883"/>
    <w:pPr>
      <w:tabs>
        <w:tab w:val="left" w:pos="1701"/>
        <w:tab w:val="right" w:leader="dot" w:pos="9174"/>
      </w:tabs>
      <w:spacing w:after="100"/>
      <w:ind w:left="1701" w:hanging="850"/>
    </w:pPr>
  </w:style>
  <w:style w:type="paragraph" w:styleId="Titulek">
    <w:name w:val="caption"/>
    <w:basedOn w:val="schma"/>
    <w:next w:val="Normln"/>
    <w:uiPriority w:val="35"/>
    <w:qFormat/>
    <w:rsid w:val="0089575E"/>
    <w:rPr>
      <w:lang w:eastAsia="cs-CZ"/>
    </w:rPr>
  </w:style>
  <w:style w:type="paragraph" w:customStyle="1" w:styleId="Odskoknadpis4">
    <w:name w:val="Odskok nadpis 4"/>
    <w:basedOn w:val="Normln"/>
    <w:link w:val="Odskoknadpis4Char"/>
    <w:qFormat/>
    <w:rsid w:val="0049720A"/>
  </w:style>
  <w:style w:type="paragraph" w:customStyle="1" w:styleId="Odstavecseseznamem1">
    <w:name w:val="Odstavec se seznamem1"/>
    <w:basedOn w:val="Normln"/>
    <w:rsid w:val="00A1208F"/>
    <w:pPr>
      <w:spacing w:after="0"/>
      <w:ind w:left="720"/>
      <w:contextualSpacing/>
      <w:jc w:val="left"/>
    </w:pPr>
    <w:rPr>
      <w:rFonts w:ascii="Arial" w:eastAsia="Times New Roman" w:hAnsi="Arial" w:cs="Arial"/>
      <w:color w:val="000000"/>
      <w:lang w:eastAsia="cs-CZ"/>
    </w:rPr>
  </w:style>
  <w:style w:type="character" w:customStyle="1" w:styleId="Odskoknadpis4Char">
    <w:name w:val="Odskok nadpis 4 Char"/>
    <w:basedOn w:val="Standardnpsmoodstavce"/>
    <w:link w:val="Odskoknadpis4"/>
    <w:rsid w:val="0049720A"/>
    <w:rPr>
      <w:rFonts w:ascii="Times New Roman" w:hAnsi="Times New Roman" w:cs="Times New Roman"/>
    </w:rPr>
  </w:style>
  <w:style w:type="paragraph" w:customStyle="1" w:styleId="normln0">
    <w:name w:val="normální"/>
    <w:basedOn w:val="Normln"/>
    <w:link w:val="normlnChar"/>
    <w:rsid w:val="00A1208F"/>
    <w:pPr>
      <w:overflowPunct w:val="0"/>
      <w:autoSpaceDE w:val="0"/>
      <w:autoSpaceDN w:val="0"/>
      <w:adjustRightInd w:val="0"/>
      <w:spacing w:before="120" w:after="0" w:line="360" w:lineRule="auto"/>
      <w:ind w:left="0"/>
      <w:textAlignment w:val="baseline"/>
    </w:pPr>
    <w:rPr>
      <w:rFonts w:ascii="Arial" w:eastAsia="Times New Roman" w:hAnsi="Arial"/>
      <w:bCs/>
      <w:sz w:val="24"/>
      <w:szCs w:val="20"/>
      <w:lang w:eastAsia="cs-CZ"/>
    </w:rPr>
  </w:style>
  <w:style w:type="character" w:customStyle="1" w:styleId="normlnChar">
    <w:name w:val="normální Char"/>
    <w:link w:val="normln0"/>
    <w:locked/>
    <w:rsid w:val="00A1208F"/>
    <w:rPr>
      <w:rFonts w:ascii="Arial" w:eastAsia="Times New Roman" w:hAnsi="Arial" w:cs="Times New Roman"/>
      <w:bCs/>
      <w:sz w:val="24"/>
      <w:szCs w:val="20"/>
      <w:lang w:eastAsia="cs-CZ"/>
    </w:rPr>
  </w:style>
  <w:style w:type="paragraph" w:customStyle="1" w:styleId="Odstavecrove2">
    <w:name w:val="Odstavec úroveň 2"/>
    <w:basedOn w:val="Normln"/>
    <w:link w:val="Odstavecrove2Char"/>
    <w:qFormat/>
    <w:rsid w:val="00893FA4"/>
    <w:pPr>
      <w:spacing w:after="200"/>
    </w:pPr>
    <w:rPr>
      <w:rFonts w:ascii="Arial" w:hAnsi="Arial" w:cs="Arial"/>
      <w:sz w:val="24"/>
      <w:szCs w:val="24"/>
    </w:rPr>
  </w:style>
  <w:style w:type="character" w:customStyle="1" w:styleId="Odstavecrove2Char">
    <w:name w:val="Odstavec úroveň 2 Char"/>
    <w:basedOn w:val="Standardnpsmoodstavce"/>
    <w:link w:val="Odstavecrove2"/>
    <w:rsid w:val="00893FA4"/>
    <w:rPr>
      <w:rFonts w:ascii="Arial" w:hAnsi="Arial" w:cs="Arial"/>
      <w:sz w:val="24"/>
      <w:szCs w:val="24"/>
    </w:rPr>
  </w:style>
  <w:style w:type="paragraph" w:customStyle="1" w:styleId="Odstavec3">
    <w:name w:val="Odstavec 3"/>
    <w:basedOn w:val="Odstavecrove2"/>
    <w:link w:val="Odstavec3Char"/>
    <w:qFormat/>
    <w:rsid w:val="00E731F9"/>
    <w:pPr>
      <w:ind w:left="1276"/>
    </w:pPr>
  </w:style>
  <w:style w:type="paragraph" w:customStyle="1" w:styleId="Odstavec4">
    <w:name w:val="Odstavec 4"/>
    <w:basedOn w:val="Odstavecrove2"/>
    <w:link w:val="Odstavec4Char"/>
    <w:qFormat/>
    <w:rsid w:val="00E731F9"/>
    <w:pPr>
      <w:ind w:left="1830"/>
    </w:pPr>
  </w:style>
  <w:style w:type="character" w:customStyle="1" w:styleId="Odstavec3Char">
    <w:name w:val="Odstavec 3 Char"/>
    <w:basedOn w:val="Odstavecrove2Char"/>
    <w:link w:val="Odstavec3"/>
    <w:rsid w:val="00E731F9"/>
    <w:rPr>
      <w:rFonts w:ascii="Arial" w:hAnsi="Arial" w:cs="Arial"/>
      <w:sz w:val="24"/>
      <w:szCs w:val="24"/>
    </w:rPr>
  </w:style>
  <w:style w:type="character" w:customStyle="1" w:styleId="Odstavec4Char">
    <w:name w:val="Odstavec 4 Char"/>
    <w:basedOn w:val="Odstavecrove2Char"/>
    <w:link w:val="Odstavec4"/>
    <w:rsid w:val="00E731F9"/>
    <w:rPr>
      <w:rFonts w:ascii="Arial" w:hAnsi="Arial" w:cs="Arial"/>
      <w:sz w:val="24"/>
      <w:szCs w:val="24"/>
    </w:rPr>
  </w:style>
  <w:style w:type="table" w:styleId="Mkatabulky">
    <w:name w:val="Table Grid"/>
    <w:basedOn w:val="Normlntabulka"/>
    <w:uiPriority w:val="59"/>
    <w:rsid w:val="00590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18767D"/>
    <w:rPr>
      <w:sz w:val="16"/>
      <w:szCs w:val="16"/>
    </w:rPr>
  </w:style>
  <w:style w:type="paragraph" w:styleId="Textkomente">
    <w:name w:val="annotation text"/>
    <w:basedOn w:val="Normln"/>
    <w:link w:val="TextkomenteChar"/>
    <w:uiPriority w:val="99"/>
    <w:semiHidden/>
    <w:unhideWhenUsed/>
    <w:rsid w:val="0018767D"/>
    <w:pPr>
      <w:spacing w:line="240" w:lineRule="auto"/>
    </w:pPr>
    <w:rPr>
      <w:sz w:val="20"/>
      <w:szCs w:val="20"/>
    </w:rPr>
  </w:style>
  <w:style w:type="character" w:customStyle="1" w:styleId="TextkomenteChar">
    <w:name w:val="Text komentáře Char"/>
    <w:basedOn w:val="Standardnpsmoodstavce"/>
    <w:link w:val="Textkomente"/>
    <w:uiPriority w:val="99"/>
    <w:semiHidden/>
    <w:rsid w:val="0018767D"/>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18767D"/>
    <w:rPr>
      <w:b/>
      <w:bCs/>
    </w:rPr>
  </w:style>
  <w:style w:type="character" w:customStyle="1" w:styleId="PedmtkomenteChar">
    <w:name w:val="Předmět komentáře Char"/>
    <w:basedOn w:val="TextkomenteChar"/>
    <w:link w:val="Pedmtkomente"/>
    <w:uiPriority w:val="99"/>
    <w:semiHidden/>
    <w:rsid w:val="0018767D"/>
    <w:rPr>
      <w:rFonts w:ascii="Times New Roman" w:hAnsi="Times New Roman" w:cs="Times New Roman"/>
      <w:b/>
      <w:bCs/>
      <w:sz w:val="20"/>
      <w:szCs w:val="20"/>
    </w:rPr>
  </w:style>
  <w:style w:type="paragraph" w:styleId="Revize">
    <w:name w:val="Revision"/>
    <w:hidden/>
    <w:uiPriority w:val="99"/>
    <w:semiHidden/>
    <w:rsid w:val="0018767D"/>
    <w:pPr>
      <w:ind w:left="567"/>
      <w:jc w:val="both"/>
    </w:pPr>
    <w:rPr>
      <w:rFonts w:ascii="Times New Roman" w:hAnsi="Times New Roman"/>
      <w:sz w:val="22"/>
      <w:szCs w:val="22"/>
      <w:lang w:eastAsia="en-US"/>
    </w:rPr>
  </w:style>
  <w:style w:type="character" w:styleId="Sledovanodkaz">
    <w:name w:val="FollowedHyperlink"/>
    <w:basedOn w:val="Standardnpsmoodstavce"/>
    <w:uiPriority w:val="99"/>
    <w:semiHidden/>
    <w:unhideWhenUsed/>
    <w:rsid w:val="00210E03"/>
    <w:rPr>
      <w:color w:val="800080"/>
      <w:u w:val="single"/>
    </w:rPr>
  </w:style>
  <w:style w:type="paragraph" w:styleId="Rozloendokumentu">
    <w:name w:val="Document Map"/>
    <w:basedOn w:val="Normln"/>
    <w:link w:val="RozloendokumentuChar"/>
    <w:uiPriority w:val="99"/>
    <w:semiHidden/>
    <w:unhideWhenUsed/>
    <w:rsid w:val="00BA5521"/>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A5521"/>
    <w:rPr>
      <w:rFonts w:ascii="Tahoma" w:hAnsi="Tahoma" w:cs="Tahoma"/>
      <w:sz w:val="16"/>
      <w:szCs w:val="16"/>
    </w:rPr>
  </w:style>
  <w:style w:type="character" w:customStyle="1" w:styleId="A5">
    <w:name w:val="A5"/>
    <w:uiPriority w:val="99"/>
    <w:rsid w:val="002F061F"/>
    <w:rPr>
      <w:rFonts w:cs="Stag Sans Book"/>
      <w:color w:val="000000"/>
      <w:sz w:val="14"/>
      <w:szCs w:val="14"/>
    </w:rPr>
  </w:style>
  <w:style w:type="paragraph" w:customStyle="1" w:styleId="Default">
    <w:name w:val="Default"/>
    <w:rsid w:val="00410997"/>
    <w:pPr>
      <w:autoSpaceDE w:val="0"/>
      <w:autoSpaceDN w:val="0"/>
      <w:adjustRightInd w:val="0"/>
      <w:ind w:left="567"/>
      <w:jc w:val="both"/>
    </w:pPr>
    <w:rPr>
      <w:rFonts w:ascii="Stag Sans Book" w:hAnsi="Stag Sans Book" w:cs="Stag Sans Book"/>
      <w:color w:val="000000"/>
      <w:sz w:val="24"/>
      <w:szCs w:val="24"/>
      <w:lang w:eastAsia="en-US"/>
    </w:rPr>
  </w:style>
  <w:style w:type="paragraph" w:customStyle="1" w:styleId="schma">
    <w:name w:val="schéma"/>
    <w:basedOn w:val="Odskoknadpis4"/>
    <w:link w:val="schmaChar"/>
    <w:qFormat/>
    <w:rsid w:val="0092142D"/>
    <w:pPr>
      <w:keepNext/>
      <w:spacing w:before="240"/>
    </w:pPr>
    <w:rPr>
      <w:b/>
      <w:color w:val="548DD4"/>
      <w:szCs w:val="24"/>
    </w:rPr>
  </w:style>
  <w:style w:type="character" w:customStyle="1" w:styleId="OdstavecseseznamemChar">
    <w:name w:val="Odstavec se seznamem Char"/>
    <w:basedOn w:val="Standardnpsmoodstavce"/>
    <w:link w:val="Odstavecseseznamem"/>
    <w:locked/>
    <w:rsid w:val="00297EC0"/>
    <w:rPr>
      <w:rFonts w:ascii="Times New Roman" w:hAnsi="Times New Roman" w:cs="Times New Roman"/>
    </w:rPr>
  </w:style>
  <w:style w:type="character" w:customStyle="1" w:styleId="schmaChar">
    <w:name w:val="schéma Char"/>
    <w:basedOn w:val="Odskoknadpis4Char"/>
    <w:link w:val="schma"/>
    <w:rsid w:val="0092142D"/>
    <w:rPr>
      <w:rFonts w:ascii="Times New Roman" w:hAnsi="Times New Roman" w:cs="Times New Roman"/>
      <w:b/>
      <w:color w:val="548DD4"/>
      <w:sz w:val="22"/>
      <w:szCs w:val="24"/>
      <w:lang w:eastAsia="en-US"/>
    </w:rPr>
  </w:style>
  <w:style w:type="numbering" w:customStyle="1" w:styleId="Styl1">
    <w:name w:val="Styl1"/>
    <w:uiPriority w:val="99"/>
    <w:rsid w:val="00171265"/>
    <w:pPr>
      <w:numPr>
        <w:numId w:val="30"/>
      </w:numPr>
    </w:pPr>
  </w:style>
  <w:style w:type="paragraph" w:customStyle="1" w:styleId="ploha">
    <w:name w:val="příloha"/>
    <w:basedOn w:val="Normln"/>
    <w:link w:val="plohaChar"/>
    <w:qFormat/>
    <w:rsid w:val="00435883"/>
    <w:pPr>
      <w:ind w:left="1843" w:hanging="1843"/>
    </w:pPr>
    <w:rPr>
      <w:rFonts w:ascii="Cambria" w:hAnsi="Cambria"/>
      <w:b/>
      <w:color w:val="365F91"/>
      <w:sz w:val="24"/>
      <w:szCs w:val="24"/>
    </w:rPr>
  </w:style>
  <w:style w:type="character" w:customStyle="1" w:styleId="plohaChar">
    <w:name w:val="příloha Char"/>
    <w:basedOn w:val="Standardnpsmoodstavce"/>
    <w:link w:val="ploha"/>
    <w:rsid w:val="00435883"/>
    <w:rPr>
      <w:rFonts w:ascii="Cambria" w:hAnsi="Cambria" w:cs="Times New Roman"/>
      <w:b/>
      <w:color w:val="365F91"/>
      <w:sz w:val="24"/>
      <w:szCs w:val="24"/>
    </w:rPr>
  </w:style>
  <w:style w:type="paragraph" w:styleId="Seznamobrzk">
    <w:name w:val="table of figures"/>
    <w:basedOn w:val="Normln"/>
    <w:next w:val="Normln"/>
    <w:uiPriority w:val="99"/>
    <w:unhideWhenUsed/>
    <w:rsid w:val="00F3126C"/>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1A9B"/>
    <w:pPr>
      <w:spacing w:after="120" w:line="276" w:lineRule="auto"/>
      <w:ind w:left="567"/>
      <w:jc w:val="both"/>
    </w:pPr>
    <w:rPr>
      <w:rFonts w:ascii="Times New Roman" w:hAnsi="Times New Roman"/>
      <w:sz w:val="22"/>
      <w:szCs w:val="22"/>
      <w:lang w:eastAsia="en-US"/>
    </w:rPr>
  </w:style>
  <w:style w:type="paragraph" w:styleId="Nadpis1">
    <w:name w:val="heading 1"/>
    <w:basedOn w:val="Normln"/>
    <w:next w:val="Normln"/>
    <w:link w:val="Nadpis1Char"/>
    <w:uiPriority w:val="9"/>
    <w:qFormat/>
    <w:rsid w:val="00171265"/>
    <w:pPr>
      <w:keepNext/>
      <w:keepLines/>
      <w:pageBreakBefore/>
      <w:numPr>
        <w:numId w:val="31"/>
      </w:numPr>
      <w:spacing w:before="240"/>
      <w:outlineLvl w:val="0"/>
    </w:pPr>
    <w:rPr>
      <w:rFonts w:ascii="Cambria" w:eastAsia="Times New Roman" w:hAnsi="Cambria" w:cs="Arial"/>
      <w:b/>
      <w:bCs/>
      <w:color w:val="365F91"/>
      <w:sz w:val="28"/>
      <w:szCs w:val="28"/>
    </w:rPr>
  </w:style>
  <w:style w:type="paragraph" w:styleId="Nadpis2">
    <w:name w:val="heading 2"/>
    <w:basedOn w:val="Normln"/>
    <w:next w:val="Normln"/>
    <w:link w:val="Nadpis2Char"/>
    <w:uiPriority w:val="9"/>
    <w:unhideWhenUsed/>
    <w:qFormat/>
    <w:rsid w:val="00171265"/>
    <w:pPr>
      <w:keepNext/>
      <w:keepLines/>
      <w:numPr>
        <w:ilvl w:val="1"/>
        <w:numId w:val="31"/>
      </w:numPr>
      <w:spacing w:before="240"/>
      <w:outlineLvl w:val="1"/>
    </w:pPr>
    <w:rPr>
      <w:rFonts w:ascii="Cambria" w:eastAsia="Times New Roman" w:hAnsi="Cambria" w:cs="Arial"/>
      <w:b/>
      <w:bCs/>
      <w:noProof/>
      <w:color w:val="4F81BD"/>
      <w:sz w:val="24"/>
      <w:szCs w:val="24"/>
    </w:rPr>
  </w:style>
  <w:style w:type="paragraph" w:styleId="Nadpis3">
    <w:name w:val="heading 3"/>
    <w:basedOn w:val="Normln"/>
    <w:next w:val="Normln"/>
    <w:link w:val="Nadpis3Char"/>
    <w:uiPriority w:val="9"/>
    <w:unhideWhenUsed/>
    <w:qFormat/>
    <w:rsid w:val="00171265"/>
    <w:pPr>
      <w:keepNext/>
      <w:keepLines/>
      <w:numPr>
        <w:ilvl w:val="2"/>
        <w:numId w:val="31"/>
      </w:numPr>
      <w:spacing w:before="200"/>
      <w:outlineLvl w:val="2"/>
    </w:pPr>
    <w:rPr>
      <w:rFonts w:ascii="Cambria" w:eastAsia="Arial" w:hAnsi="Cambria" w:cs="Arial"/>
      <w:b/>
      <w:bCs/>
      <w:color w:val="4F81BD"/>
      <w:lang w:eastAsia="cs-CZ"/>
    </w:rPr>
  </w:style>
  <w:style w:type="paragraph" w:styleId="Nadpis4">
    <w:name w:val="heading 4"/>
    <w:basedOn w:val="Normln"/>
    <w:next w:val="Normln"/>
    <w:link w:val="Nadpis4Char"/>
    <w:uiPriority w:val="9"/>
    <w:unhideWhenUsed/>
    <w:qFormat/>
    <w:rsid w:val="00171265"/>
    <w:pPr>
      <w:keepNext/>
      <w:keepLines/>
      <w:numPr>
        <w:ilvl w:val="3"/>
        <w:numId w:val="31"/>
      </w:numPr>
      <w:spacing w:before="240"/>
      <w:outlineLvl w:val="3"/>
    </w:pPr>
    <w:rPr>
      <w:rFonts w:ascii="Cambria" w:eastAsia="Times New Roman" w:hAnsi="Cambria"/>
      <w:b/>
      <w:bCs/>
      <w:i/>
      <w:iCs/>
      <w:color w:val="4F81BD"/>
    </w:rPr>
  </w:style>
  <w:style w:type="paragraph" w:styleId="Nadpis5">
    <w:name w:val="heading 5"/>
    <w:basedOn w:val="Normln"/>
    <w:next w:val="Normln"/>
    <w:link w:val="Nadpis5Char"/>
    <w:uiPriority w:val="9"/>
    <w:unhideWhenUsed/>
    <w:qFormat/>
    <w:rsid w:val="005F3C12"/>
    <w:pPr>
      <w:keepNext/>
      <w:keepLines/>
      <w:numPr>
        <w:ilvl w:val="4"/>
        <w:numId w:val="31"/>
      </w:numPr>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F3C12"/>
    <w:pPr>
      <w:keepNext/>
      <w:keepLines/>
      <w:numPr>
        <w:ilvl w:val="5"/>
        <w:numId w:val="31"/>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unhideWhenUsed/>
    <w:qFormat/>
    <w:rsid w:val="005F3C12"/>
    <w:pPr>
      <w:keepNext/>
      <w:keepLines/>
      <w:numPr>
        <w:ilvl w:val="6"/>
        <w:numId w:val="31"/>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5F3C12"/>
    <w:pPr>
      <w:keepNext/>
      <w:keepLines/>
      <w:numPr>
        <w:ilvl w:val="7"/>
        <w:numId w:val="31"/>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5F3C12"/>
    <w:pPr>
      <w:keepNext/>
      <w:keepLines/>
      <w:numPr>
        <w:ilvl w:val="8"/>
        <w:numId w:val="31"/>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4F4D24"/>
    <w:pPr>
      <w:ind w:left="720"/>
      <w:contextualSpacing/>
    </w:pPr>
  </w:style>
  <w:style w:type="paragraph" w:styleId="Normlnweb">
    <w:name w:val="Normal (Web)"/>
    <w:basedOn w:val="Normln"/>
    <w:uiPriority w:val="99"/>
    <w:semiHidden/>
    <w:unhideWhenUsed/>
    <w:rsid w:val="004F4D24"/>
    <w:pPr>
      <w:spacing w:before="100" w:beforeAutospacing="1" w:after="100" w:afterAutospacing="1" w:line="240" w:lineRule="auto"/>
    </w:pPr>
    <w:rPr>
      <w:rFonts w:eastAsia="Times New Roman"/>
      <w:sz w:val="24"/>
      <w:szCs w:val="24"/>
      <w:lang w:eastAsia="cs-CZ"/>
    </w:rPr>
  </w:style>
  <w:style w:type="character" w:customStyle="1" w:styleId="apple-converted-space">
    <w:name w:val="apple-converted-space"/>
    <w:basedOn w:val="Standardnpsmoodstavce"/>
    <w:rsid w:val="004F4D24"/>
  </w:style>
  <w:style w:type="paragraph" w:styleId="Textbubliny">
    <w:name w:val="Balloon Text"/>
    <w:basedOn w:val="Normln"/>
    <w:link w:val="TextbublinyChar"/>
    <w:uiPriority w:val="99"/>
    <w:semiHidden/>
    <w:unhideWhenUsed/>
    <w:rsid w:val="00DA0A4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0A4F"/>
    <w:rPr>
      <w:rFonts w:ascii="Tahoma" w:hAnsi="Tahoma" w:cs="Tahoma"/>
      <w:sz w:val="16"/>
      <w:szCs w:val="16"/>
    </w:rPr>
  </w:style>
  <w:style w:type="paragraph" w:styleId="Textpoznpodarou">
    <w:name w:val="footnote text"/>
    <w:aliases w:val="Text poznámky pod čiarou 007,fn,Footnotes,Footnote ak,fn Char,footnote text Char,Footnotes Char,Footnote ak Char,ft,fn cafc,Footnotes Char Char,Footnote Text Char Char,fn Char Char,footnote text Char Char Char Ch,fn1"/>
    <w:basedOn w:val="Normln"/>
    <w:link w:val="TextpoznpodarouChar"/>
    <w:autoRedefine/>
    <w:uiPriority w:val="99"/>
    <w:qFormat/>
    <w:rsid w:val="0092142D"/>
    <w:pPr>
      <w:tabs>
        <w:tab w:val="left" w:pos="709"/>
        <w:tab w:val="left" w:pos="992"/>
      </w:tabs>
      <w:spacing w:after="0" w:line="240" w:lineRule="auto"/>
      <w:ind w:hanging="567"/>
    </w:pPr>
    <w:rPr>
      <w:rFonts w:eastAsia="Times New Roman"/>
      <w:i/>
      <w:sz w:val="18"/>
      <w:szCs w:val="18"/>
    </w:rPr>
  </w:style>
  <w:style w:type="character" w:customStyle="1" w:styleId="TextpoznpodarouChar">
    <w:name w:val="Text pozn. pod čarou Char"/>
    <w:aliases w:val="Text poznámky pod čiarou 007 Char,fn Char1,Footnotes Char1,Footnote ak Char1,fn Char Char1,footnote text Char Char,Footnotes Char Char1,Footnote ak Char Char,ft Char,fn cafc Char,Footnotes Char Char Char,fn Char Char Char"/>
    <w:basedOn w:val="Standardnpsmoodstavce"/>
    <w:link w:val="Textpoznpodarou"/>
    <w:uiPriority w:val="99"/>
    <w:rsid w:val="0092142D"/>
    <w:rPr>
      <w:rFonts w:ascii="Times New Roman" w:eastAsia="Times New Roman" w:hAnsi="Times New Roman"/>
      <w:i/>
      <w:sz w:val="18"/>
      <w:szCs w:val="18"/>
      <w:lang w:eastAsia="en-US"/>
    </w:rPr>
  </w:style>
  <w:style w:type="character" w:styleId="Znakapoznpodarou">
    <w:name w:val="footnote reference"/>
    <w:aliases w:val="Char1,Ref,de nota al pie,Footnote,Ref1,de nota al pie1,Ref2,de nota al pie2,Ref11,de nota al pie11,BVI fnr,Footnote symbol,Footnote reference number,Times 10 Point,Exposant 3 Point,note TESI,SUPERS,EN Footnote text,number,E F,no.."/>
    <w:uiPriority w:val="99"/>
    <w:rsid w:val="00EF6535"/>
    <w:rPr>
      <w:shd w:val="clear" w:color="auto" w:fill="auto"/>
      <w:vertAlign w:val="superscript"/>
    </w:rPr>
  </w:style>
  <w:style w:type="character" w:customStyle="1" w:styleId="Nadpis1Char">
    <w:name w:val="Nadpis 1 Char"/>
    <w:basedOn w:val="Standardnpsmoodstavce"/>
    <w:link w:val="Nadpis1"/>
    <w:uiPriority w:val="9"/>
    <w:rsid w:val="00171265"/>
    <w:rPr>
      <w:rFonts w:ascii="Cambria" w:eastAsia="Times New Roman" w:hAnsi="Cambria" w:cs="Arial"/>
      <w:b/>
      <w:bCs/>
      <w:color w:val="365F91"/>
      <w:sz w:val="28"/>
      <w:szCs w:val="28"/>
      <w:lang w:eastAsia="en-US"/>
    </w:rPr>
  </w:style>
  <w:style w:type="character" w:customStyle="1" w:styleId="Nadpis2Char">
    <w:name w:val="Nadpis 2 Char"/>
    <w:basedOn w:val="Standardnpsmoodstavce"/>
    <w:link w:val="Nadpis2"/>
    <w:uiPriority w:val="9"/>
    <w:rsid w:val="00171265"/>
    <w:rPr>
      <w:rFonts w:ascii="Cambria" w:eastAsia="Times New Roman" w:hAnsi="Cambria" w:cs="Arial"/>
      <w:b/>
      <w:bCs/>
      <w:noProof/>
      <w:color w:val="4F81BD"/>
      <w:sz w:val="24"/>
      <w:szCs w:val="24"/>
      <w:lang w:eastAsia="en-US"/>
    </w:rPr>
  </w:style>
  <w:style w:type="character" w:customStyle="1" w:styleId="Nadpis3Char">
    <w:name w:val="Nadpis 3 Char"/>
    <w:basedOn w:val="Standardnpsmoodstavce"/>
    <w:link w:val="Nadpis3"/>
    <w:uiPriority w:val="9"/>
    <w:rsid w:val="00171265"/>
    <w:rPr>
      <w:rFonts w:ascii="Cambria" w:eastAsia="Arial" w:hAnsi="Cambria" w:cs="Arial"/>
      <w:b/>
      <w:bCs/>
      <w:color w:val="4F81BD"/>
      <w:sz w:val="22"/>
      <w:szCs w:val="22"/>
    </w:rPr>
  </w:style>
  <w:style w:type="character" w:customStyle="1" w:styleId="Nadpis4Char">
    <w:name w:val="Nadpis 4 Char"/>
    <w:basedOn w:val="Standardnpsmoodstavce"/>
    <w:link w:val="Nadpis4"/>
    <w:uiPriority w:val="9"/>
    <w:rsid w:val="00171265"/>
    <w:rPr>
      <w:rFonts w:ascii="Cambria" w:eastAsia="Times New Roman" w:hAnsi="Cambria"/>
      <w:b/>
      <w:bCs/>
      <w:i/>
      <w:iCs/>
      <w:color w:val="4F81BD"/>
      <w:sz w:val="22"/>
      <w:szCs w:val="22"/>
      <w:lang w:eastAsia="en-US"/>
    </w:rPr>
  </w:style>
  <w:style w:type="character" w:customStyle="1" w:styleId="Nadpis5Char">
    <w:name w:val="Nadpis 5 Char"/>
    <w:basedOn w:val="Standardnpsmoodstavce"/>
    <w:link w:val="Nadpis5"/>
    <w:uiPriority w:val="9"/>
    <w:rsid w:val="005F3C12"/>
    <w:rPr>
      <w:rFonts w:ascii="Cambria" w:eastAsia="Times New Roman" w:hAnsi="Cambria"/>
      <w:color w:val="243F60"/>
      <w:sz w:val="22"/>
      <w:szCs w:val="22"/>
      <w:lang w:eastAsia="en-US"/>
    </w:rPr>
  </w:style>
  <w:style w:type="character" w:customStyle="1" w:styleId="Nadpis6Char">
    <w:name w:val="Nadpis 6 Char"/>
    <w:basedOn w:val="Standardnpsmoodstavce"/>
    <w:link w:val="Nadpis6"/>
    <w:rsid w:val="005F3C12"/>
    <w:rPr>
      <w:rFonts w:ascii="Cambria" w:eastAsia="Times New Roman" w:hAnsi="Cambria"/>
      <w:i/>
      <w:iCs/>
      <w:color w:val="243F60"/>
      <w:sz w:val="22"/>
      <w:szCs w:val="22"/>
      <w:lang w:eastAsia="en-US"/>
    </w:rPr>
  </w:style>
  <w:style w:type="character" w:customStyle="1" w:styleId="Nadpis7Char">
    <w:name w:val="Nadpis 7 Char"/>
    <w:basedOn w:val="Standardnpsmoodstavce"/>
    <w:link w:val="Nadpis7"/>
    <w:uiPriority w:val="9"/>
    <w:rsid w:val="005F3C12"/>
    <w:rPr>
      <w:rFonts w:ascii="Cambria" w:eastAsia="Times New Roman" w:hAnsi="Cambria"/>
      <w:i/>
      <w:iCs/>
      <w:color w:val="404040"/>
      <w:sz w:val="22"/>
      <w:szCs w:val="22"/>
      <w:lang w:eastAsia="en-US"/>
    </w:rPr>
  </w:style>
  <w:style w:type="character" w:customStyle="1" w:styleId="Nadpis8Char">
    <w:name w:val="Nadpis 8 Char"/>
    <w:basedOn w:val="Standardnpsmoodstavce"/>
    <w:link w:val="Nadpis8"/>
    <w:uiPriority w:val="9"/>
    <w:semiHidden/>
    <w:rsid w:val="005F3C12"/>
    <w:rPr>
      <w:rFonts w:ascii="Cambria" w:eastAsia="Times New Roman" w:hAnsi="Cambria"/>
      <w:color w:val="404040"/>
      <w:lang w:eastAsia="en-US"/>
    </w:rPr>
  </w:style>
  <w:style w:type="character" w:customStyle="1" w:styleId="Nadpis9Char">
    <w:name w:val="Nadpis 9 Char"/>
    <w:basedOn w:val="Standardnpsmoodstavce"/>
    <w:link w:val="Nadpis9"/>
    <w:uiPriority w:val="9"/>
    <w:semiHidden/>
    <w:rsid w:val="005F3C12"/>
    <w:rPr>
      <w:rFonts w:ascii="Cambria" w:eastAsia="Times New Roman" w:hAnsi="Cambria"/>
      <w:i/>
      <w:iCs/>
      <w:color w:val="404040"/>
      <w:lang w:eastAsia="en-US"/>
    </w:rPr>
  </w:style>
  <w:style w:type="character" w:styleId="Hypertextovodkaz">
    <w:name w:val="Hyperlink"/>
    <w:basedOn w:val="Standardnpsmoodstavce"/>
    <w:uiPriority w:val="99"/>
    <w:unhideWhenUsed/>
    <w:rsid w:val="0012130B"/>
    <w:rPr>
      <w:color w:val="0000FF"/>
      <w:u w:val="single"/>
    </w:rPr>
  </w:style>
  <w:style w:type="paragraph" w:styleId="Zhlav">
    <w:name w:val="header"/>
    <w:basedOn w:val="Normln"/>
    <w:link w:val="ZhlavChar"/>
    <w:uiPriority w:val="99"/>
    <w:unhideWhenUsed/>
    <w:rsid w:val="001F434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4347"/>
    <w:rPr>
      <w:rFonts w:ascii="Times New Roman" w:hAnsi="Times New Roman" w:cs="Times New Roman"/>
    </w:rPr>
  </w:style>
  <w:style w:type="paragraph" w:styleId="Zpat">
    <w:name w:val="footer"/>
    <w:basedOn w:val="Normln"/>
    <w:link w:val="ZpatChar"/>
    <w:uiPriority w:val="99"/>
    <w:unhideWhenUsed/>
    <w:rsid w:val="001F4347"/>
    <w:pPr>
      <w:tabs>
        <w:tab w:val="center" w:pos="4536"/>
        <w:tab w:val="right" w:pos="9072"/>
      </w:tabs>
      <w:spacing w:after="0" w:line="240" w:lineRule="auto"/>
    </w:pPr>
  </w:style>
  <w:style w:type="character" w:customStyle="1" w:styleId="ZpatChar">
    <w:name w:val="Zápatí Char"/>
    <w:basedOn w:val="Standardnpsmoodstavce"/>
    <w:link w:val="Zpat"/>
    <w:uiPriority w:val="99"/>
    <w:rsid w:val="001F4347"/>
    <w:rPr>
      <w:rFonts w:ascii="Times New Roman" w:hAnsi="Times New Roman" w:cs="Times New Roman"/>
    </w:rPr>
  </w:style>
  <w:style w:type="paragraph" w:customStyle="1" w:styleId="Graf">
    <w:name w:val="Graf"/>
    <w:basedOn w:val="schma"/>
    <w:link w:val="GrafChar"/>
    <w:qFormat/>
    <w:rsid w:val="0092142D"/>
  </w:style>
  <w:style w:type="character" w:customStyle="1" w:styleId="hps">
    <w:name w:val="hps"/>
    <w:basedOn w:val="Standardnpsmoodstavce"/>
    <w:rsid w:val="000B6543"/>
    <w:rPr>
      <w:rFonts w:cs="Times New Roman"/>
    </w:rPr>
  </w:style>
  <w:style w:type="character" w:customStyle="1" w:styleId="GrafChar">
    <w:name w:val="Graf Char"/>
    <w:basedOn w:val="Standardnpsmoodstavce"/>
    <w:link w:val="Graf"/>
    <w:rsid w:val="0092142D"/>
    <w:rPr>
      <w:rFonts w:ascii="Times New Roman" w:hAnsi="Times New Roman"/>
      <w:b/>
      <w:color w:val="548DD4"/>
      <w:sz w:val="22"/>
      <w:szCs w:val="24"/>
      <w:lang w:eastAsia="en-US"/>
    </w:rPr>
  </w:style>
  <w:style w:type="paragraph" w:styleId="Nadpisobsahu">
    <w:name w:val="TOC Heading"/>
    <w:basedOn w:val="Nadpis1"/>
    <w:next w:val="Normln"/>
    <w:uiPriority w:val="39"/>
    <w:unhideWhenUsed/>
    <w:qFormat/>
    <w:rsid w:val="00640B60"/>
    <w:pPr>
      <w:numPr>
        <w:numId w:val="0"/>
      </w:numPr>
      <w:spacing w:before="480" w:after="0"/>
      <w:jc w:val="left"/>
      <w:outlineLvl w:val="9"/>
    </w:pPr>
    <w:rPr>
      <w:rFonts w:cs="Times New Roman"/>
    </w:rPr>
  </w:style>
  <w:style w:type="paragraph" w:styleId="Obsah1">
    <w:name w:val="toc 1"/>
    <w:basedOn w:val="Normln"/>
    <w:next w:val="Normln"/>
    <w:autoRedefine/>
    <w:uiPriority w:val="39"/>
    <w:unhideWhenUsed/>
    <w:rsid w:val="00306754"/>
    <w:pPr>
      <w:tabs>
        <w:tab w:val="left" w:pos="284"/>
        <w:tab w:val="right" w:leader="dot" w:pos="9174"/>
      </w:tabs>
      <w:spacing w:after="100"/>
      <w:ind w:left="0"/>
    </w:pPr>
  </w:style>
  <w:style w:type="paragraph" w:styleId="Obsah2">
    <w:name w:val="toc 2"/>
    <w:basedOn w:val="Normln"/>
    <w:next w:val="Normln"/>
    <w:autoRedefine/>
    <w:uiPriority w:val="39"/>
    <w:unhideWhenUsed/>
    <w:rsid w:val="00B840AD"/>
    <w:pPr>
      <w:tabs>
        <w:tab w:val="left" w:pos="851"/>
        <w:tab w:val="left" w:pos="1701"/>
        <w:tab w:val="right" w:leader="dot" w:pos="9174"/>
      </w:tabs>
      <w:spacing w:after="100"/>
      <w:ind w:left="1418" w:hanging="1134"/>
    </w:pPr>
  </w:style>
  <w:style w:type="paragraph" w:styleId="Obsah3">
    <w:name w:val="toc 3"/>
    <w:basedOn w:val="Normln"/>
    <w:next w:val="Normln"/>
    <w:autoRedefine/>
    <w:uiPriority w:val="39"/>
    <w:unhideWhenUsed/>
    <w:rsid w:val="00435883"/>
    <w:pPr>
      <w:tabs>
        <w:tab w:val="left" w:pos="1701"/>
        <w:tab w:val="right" w:leader="dot" w:pos="9174"/>
      </w:tabs>
      <w:spacing w:after="100"/>
      <w:ind w:left="1701" w:hanging="850"/>
    </w:pPr>
  </w:style>
  <w:style w:type="paragraph" w:styleId="Titulek">
    <w:name w:val="caption"/>
    <w:basedOn w:val="schma"/>
    <w:next w:val="Normln"/>
    <w:uiPriority w:val="35"/>
    <w:qFormat/>
    <w:rsid w:val="0089575E"/>
    <w:rPr>
      <w:lang w:eastAsia="cs-CZ"/>
    </w:rPr>
  </w:style>
  <w:style w:type="paragraph" w:customStyle="1" w:styleId="Odskoknadpis4">
    <w:name w:val="Odskok nadpis 4"/>
    <w:basedOn w:val="Normln"/>
    <w:link w:val="Odskoknadpis4Char"/>
    <w:qFormat/>
    <w:rsid w:val="0049720A"/>
  </w:style>
  <w:style w:type="paragraph" w:customStyle="1" w:styleId="Odstavecseseznamem1">
    <w:name w:val="Odstavec se seznamem1"/>
    <w:basedOn w:val="Normln"/>
    <w:rsid w:val="00A1208F"/>
    <w:pPr>
      <w:spacing w:after="0"/>
      <w:ind w:left="720"/>
      <w:contextualSpacing/>
      <w:jc w:val="left"/>
    </w:pPr>
    <w:rPr>
      <w:rFonts w:ascii="Arial" w:eastAsia="Times New Roman" w:hAnsi="Arial" w:cs="Arial"/>
      <w:color w:val="000000"/>
      <w:lang w:eastAsia="cs-CZ"/>
    </w:rPr>
  </w:style>
  <w:style w:type="character" w:customStyle="1" w:styleId="Odskoknadpis4Char">
    <w:name w:val="Odskok nadpis 4 Char"/>
    <w:basedOn w:val="Standardnpsmoodstavce"/>
    <w:link w:val="Odskoknadpis4"/>
    <w:rsid w:val="0049720A"/>
    <w:rPr>
      <w:rFonts w:ascii="Times New Roman" w:hAnsi="Times New Roman" w:cs="Times New Roman"/>
    </w:rPr>
  </w:style>
  <w:style w:type="paragraph" w:customStyle="1" w:styleId="normln0">
    <w:name w:val="normální"/>
    <w:basedOn w:val="Normln"/>
    <w:link w:val="normlnChar"/>
    <w:rsid w:val="00A1208F"/>
    <w:pPr>
      <w:overflowPunct w:val="0"/>
      <w:autoSpaceDE w:val="0"/>
      <w:autoSpaceDN w:val="0"/>
      <w:adjustRightInd w:val="0"/>
      <w:spacing w:before="120" w:after="0" w:line="360" w:lineRule="auto"/>
      <w:ind w:left="0"/>
      <w:textAlignment w:val="baseline"/>
    </w:pPr>
    <w:rPr>
      <w:rFonts w:ascii="Arial" w:eastAsia="Times New Roman" w:hAnsi="Arial"/>
      <w:bCs/>
      <w:sz w:val="24"/>
      <w:szCs w:val="20"/>
      <w:lang w:eastAsia="cs-CZ"/>
    </w:rPr>
  </w:style>
  <w:style w:type="character" w:customStyle="1" w:styleId="normlnChar">
    <w:name w:val="normální Char"/>
    <w:link w:val="normln0"/>
    <w:locked/>
    <w:rsid w:val="00A1208F"/>
    <w:rPr>
      <w:rFonts w:ascii="Arial" w:eastAsia="Times New Roman" w:hAnsi="Arial" w:cs="Times New Roman"/>
      <w:bCs/>
      <w:sz w:val="24"/>
      <w:szCs w:val="20"/>
      <w:lang w:eastAsia="cs-CZ"/>
    </w:rPr>
  </w:style>
  <w:style w:type="paragraph" w:customStyle="1" w:styleId="Odstavecrove2">
    <w:name w:val="Odstavec úroveň 2"/>
    <w:basedOn w:val="Normln"/>
    <w:link w:val="Odstavecrove2Char"/>
    <w:qFormat/>
    <w:rsid w:val="00893FA4"/>
    <w:pPr>
      <w:spacing w:after="200"/>
    </w:pPr>
    <w:rPr>
      <w:rFonts w:ascii="Arial" w:hAnsi="Arial" w:cs="Arial"/>
      <w:sz w:val="24"/>
      <w:szCs w:val="24"/>
    </w:rPr>
  </w:style>
  <w:style w:type="character" w:customStyle="1" w:styleId="Odstavecrove2Char">
    <w:name w:val="Odstavec úroveň 2 Char"/>
    <w:basedOn w:val="Standardnpsmoodstavce"/>
    <w:link w:val="Odstavecrove2"/>
    <w:rsid w:val="00893FA4"/>
    <w:rPr>
      <w:rFonts w:ascii="Arial" w:hAnsi="Arial" w:cs="Arial"/>
      <w:sz w:val="24"/>
      <w:szCs w:val="24"/>
    </w:rPr>
  </w:style>
  <w:style w:type="paragraph" w:customStyle="1" w:styleId="Odstavec3">
    <w:name w:val="Odstavec 3"/>
    <w:basedOn w:val="Odstavecrove2"/>
    <w:link w:val="Odstavec3Char"/>
    <w:qFormat/>
    <w:rsid w:val="00E731F9"/>
    <w:pPr>
      <w:ind w:left="1276"/>
    </w:pPr>
  </w:style>
  <w:style w:type="paragraph" w:customStyle="1" w:styleId="Odstavec4">
    <w:name w:val="Odstavec 4"/>
    <w:basedOn w:val="Odstavecrove2"/>
    <w:link w:val="Odstavec4Char"/>
    <w:qFormat/>
    <w:rsid w:val="00E731F9"/>
    <w:pPr>
      <w:ind w:left="1830"/>
    </w:pPr>
  </w:style>
  <w:style w:type="character" w:customStyle="1" w:styleId="Odstavec3Char">
    <w:name w:val="Odstavec 3 Char"/>
    <w:basedOn w:val="Odstavecrove2Char"/>
    <w:link w:val="Odstavec3"/>
    <w:rsid w:val="00E731F9"/>
    <w:rPr>
      <w:rFonts w:ascii="Arial" w:hAnsi="Arial" w:cs="Arial"/>
      <w:sz w:val="24"/>
      <w:szCs w:val="24"/>
    </w:rPr>
  </w:style>
  <w:style w:type="character" w:customStyle="1" w:styleId="Odstavec4Char">
    <w:name w:val="Odstavec 4 Char"/>
    <w:basedOn w:val="Odstavecrove2Char"/>
    <w:link w:val="Odstavec4"/>
    <w:rsid w:val="00E731F9"/>
    <w:rPr>
      <w:rFonts w:ascii="Arial" w:hAnsi="Arial" w:cs="Arial"/>
      <w:sz w:val="24"/>
      <w:szCs w:val="24"/>
    </w:rPr>
  </w:style>
  <w:style w:type="table" w:styleId="Mkatabulky">
    <w:name w:val="Table Grid"/>
    <w:basedOn w:val="Normlntabulka"/>
    <w:uiPriority w:val="59"/>
    <w:rsid w:val="00590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18767D"/>
    <w:rPr>
      <w:sz w:val="16"/>
      <w:szCs w:val="16"/>
    </w:rPr>
  </w:style>
  <w:style w:type="paragraph" w:styleId="Textkomente">
    <w:name w:val="annotation text"/>
    <w:basedOn w:val="Normln"/>
    <w:link w:val="TextkomenteChar"/>
    <w:uiPriority w:val="99"/>
    <w:semiHidden/>
    <w:unhideWhenUsed/>
    <w:rsid w:val="0018767D"/>
    <w:pPr>
      <w:spacing w:line="240" w:lineRule="auto"/>
    </w:pPr>
    <w:rPr>
      <w:sz w:val="20"/>
      <w:szCs w:val="20"/>
    </w:rPr>
  </w:style>
  <w:style w:type="character" w:customStyle="1" w:styleId="TextkomenteChar">
    <w:name w:val="Text komentáře Char"/>
    <w:basedOn w:val="Standardnpsmoodstavce"/>
    <w:link w:val="Textkomente"/>
    <w:uiPriority w:val="99"/>
    <w:semiHidden/>
    <w:rsid w:val="0018767D"/>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18767D"/>
    <w:rPr>
      <w:b/>
      <w:bCs/>
    </w:rPr>
  </w:style>
  <w:style w:type="character" w:customStyle="1" w:styleId="PedmtkomenteChar">
    <w:name w:val="Předmět komentáře Char"/>
    <w:basedOn w:val="TextkomenteChar"/>
    <w:link w:val="Pedmtkomente"/>
    <w:uiPriority w:val="99"/>
    <w:semiHidden/>
    <w:rsid w:val="0018767D"/>
    <w:rPr>
      <w:rFonts w:ascii="Times New Roman" w:hAnsi="Times New Roman" w:cs="Times New Roman"/>
      <w:b/>
      <w:bCs/>
      <w:sz w:val="20"/>
      <w:szCs w:val="20"/>
    </w:rPr>
  </w:style>
  <w:style w:type="paragraph" w:styleId="Revize">
    <w:name w:val="Revision"/>
    <w:hidden/>
    <w:uiPriority w:val="99"/>
    <w:semiHidden/>
    <w:rsid w:val="0018767D"/>
    <w:pPr>
      <w:ind w:left="567"/>
      <w:jc w:val="both"/>
    </w:pPr>
    <w:rPr>
      <w:rFonts w:ascii="Times New Roman" w:hAnsi="Times New Roman"/>
      <w:sz w:val="22"/>
      <w:szCs w:val="22"/>
      <w:lang w:eastAsia="en-US"/>
    </w:rPr>
  </w:style>
  <w:style w:type="character" w:styleId="Sledovanodkaz">
    <w:name w:val="FollowedHyperlink"/>
    <w:basedOn w:val="Standardnpsmoodstavce"/>
    <w:uiPriority w:val="99"/>
    <w:semiHidden/>
    <w:unhideWhenUsed/>
    <w:rsid w:val="00210E03"/>
    <w:rPr>
      <w:color w:val="800080"/>
      <w:u w:val="single"/>
    </w:rPr>
  </w:style>
  <w:style w:type="paragraph" w:styleId="Rozloendokumentu">
    <w:name w:val="Document Map"/>
    <w:basedOn w:val="Normln"/>
    <w:link w:val="RozloendokumentuChar"/>
    <w:uiPriority w:val="99"/>
    <w:semiHidden/>
    <w:unhideWhenUsed/>
    <w:rsid w:val="00BA5521"/>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A5521"/>
    <w:rPr>
      <w:rFonts w:ascii="Tahoma" w:hAnsi="Tahoma" w:cs="Tahoma"/>
      <w:sz w:val="16"/>
      <w:szCs w:val="16"/>
    </w:rPr>
  </w:style>
  <w:style w:type="character" w:customStyle="1" w:styleId="A5">
    <w:name w:val="A5"/>
    <w:uiPriority w:val="99"/>
    <w:rsid w:val="002F061F"/>
    <w:rPr>
      <w:rFonts w:cs="Stag Sans Book"/>
      <w:color w:val="000000"/>
      <w:sz w:val="14"/>
      <w:szCs w:val="14"/>
    </w:rPr>
  </w:style>
  <w:style w:type="paragraph" w:customStyle="1" w:styleId="Default">
    <w:name w:val="Default"/>
    <w:rsid w:val="00410997"/>
    <w:pPr>
      <w:autoSpaceDE w:val="0"/>
      <w:autoSpaceDN w:val="0"/>
      <w:adjustRightInd w:val="0"/>
      <w:ind w:left="567"/>
      <w:jc w:val="both"/>
    </w:pPr>
    <w:rPr>
      <w:rFonts w:ascii="Stag Sans Book" w:hAnsi="Stag Sans Book" w:cs="Stag Sans Book"/>
      <w:color w:val="000000"/>
      <w:sz w:val="24"/>
      <w:szCs w:val="24"/>
      <w:lang w:eastAsia="en-US"/>
    </w:rPr>
  </w:style>
  <w:style w:type="paragraph" w:customStyle="1" w:styleId="schma">
    <w:name w:val="schéma"/>
    <w:basedOn w:val="Odskoknadpis4"/>
    <w:link w:val="schmaChar"/>
    <w:qFormat/>
    <w:rsid w:val="0092142D"/>
    <w:pPr>
      <w:keepNext/>
      <w:spacing w:before="240"/>
    </w:pPr>
    <w:rPr>
      <w:b/>
      <w:color w:val="548DD4"/>
      <w:szCs w:val="24"/>
    </w:rPr>
  </w:style>
  <w:style w:type="character" w:customStyle="1" w:styleId="OdstavecseseznamemChar">
    <w:name w:val="Odstavec se seznamem Char"/>
    <w:basedOn w:val="Standardnpsmoodstavce"/>
    <w:link w:val="Odstavecseseznamem"/>
    <w:locked/>
    <w:rsid w:val="00297EC0"/>
    <w:rPr>
      <w:rFonts w:ascii="Times New Roman" w:hAnsi="Times New Roman" w:cs="Times New Roman"/>
    </w:rPr>
  </w:style>
  <w:style w:type="character" w:customStyle="1" w:styleId="schmaChar">
    <w:name w:val="schéma Char"/>
    <w:basedOn w:val="Odskoknadpis4Char"/>
    <w:link w:val="schma"/>
    <w:rsid w:val="0092142D"/>
    <w:rPr>
      <w:rFonts w:ascii="Times New Roman" w:hAnsi="Times New Roman" w:cs="Times New Roman"/>
      <w:b/>
      <w:color w:val="548DD4"/>
      <w:sz w:val="22"/>
      <w:szCs w:val="24"/>
      <w:lang w:eastAsia="en-US"/>
    </w:rPr>
  </w:style>
  <w:style w:type="numbering" w:customStyle="1" w:styleId="Styl1">
    <w:name w:val="Styl1"/>
    <w:uiPriority w:val="99"/>
    <w:rsid w:val="00171265"/>
    <w:pPr>
      <w:numPr>
        <w:numId w:val="30"/>
      </w:numPr>
    </w:pPr>
  </w:style>
  <w:style w:type="paragraph" w:customStyle="1" w:styleId="ploha">
    <w:name w:val="příloha"/>
    <w:basedOn w:val="Normln"/>
    <w:link w:val="plohaChar"/>
    <w:qFormat/>
    <w:rsid w:val="00435883"/>
    <w:pPr>
      <w:ind w:left="1843" w:hanging="1843"/>
    </w:pPr>
    <w:rPr>
      <w:rFonts w:ascii="Cambria" w:hAnsi="Cambria"/>
      <w:b/>
      <w:color w:val="365F91"/>
      <w:sz w:val="24"/>
      <w:szCs w:val="24"/>
    </w:rPr>
  </w:style>
  <w:style w:type="character" w:customStyle="1" w:styleId="plohaChar">
    <w:name w:val="příloha Char"/>
    <w:basedOn w:val="Standardnpsmoodstavce"/>
    <w:link w:val="ploha"/>
    <w:rsid w:val="00435883"/>
    <w:rPr>
      <w:rFonts w:ascii="Cambria" w:hAnsi="Cambria" w:cs="Times New Roman"/>
      <w:b/>
      <w:color w:val="365F91"/>
      <w:sz w:val="24"/>
      <w:szCs w:val="24"/>
    </w:rPr>
  </w:style>
  <w:style w:type="paragraph" w:styleId="Seznamobrzk">
    <w:name w:val="table of figures"/>
    <w:basedOn w:val="Normln"/>
    <w:next w:val="Normln"/>
    <w:uiPriority w:val="99"/>
    <w:unhideWhenUsed/>
    <w:rsid w:val="00F3126C"/>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8010">
      <w:bodyDiv w:val="1"/>
      <w:marLeft w:val="0"/>
      <w:marRight w:val="0"/>
      <w:marTop w:val="0"/>
      <w:marBottom w:val="0"/>
      <w:divBdr>
        <w:top w:val="none" w:sz="0" w:space="0" w:color="auto"/>
        <w:left w:val="none" w:sz="0" w:space="0" w:color="auto"/>
        <w:bottom w:val="none" w:sz="0" w:space="0" w:color="auto"/>
        <w:right w:val="none" w:sz="0" w:space="0" w:color="auto"/>
      </w:divBdr>
    </w:div>
    <w:div w:id="525559841">
      <w:bodyDiv w:val="1"/>
      <w:marLeft w:val="0"/>
      <w:marRight w:val="0"/>
      <w:marTop w:val="0"/>
      <w:marBottom w:val="0"/>
      <w:divBdr>
        <w:top w:val="none" w:sz="0" w:space="0" w:color="auto"/>
        <w:left w:val="none" w:sz="0" w:space="0" w:color="auto"/>
        <w:bottom w:val="none" w:sz="0" w:space="0" w:color="auto"/>
        <w:right w:val="none" w:sz="0" w:space="0" w:color="auto"/>
      </w:divBdr>
      <w:divsChild>
        <w:div w:id="527331904">
          <w:marLeft w:val="0"/>
          <w:marRight w:val="0"/>
          <w:marTop w:val="0"/>
          <w:marBottom w:val="0"/>
          <w:divBdr>
            <w:top w:val="none" w:sz="0" w:space="0" w:color="auto"/>
            <w:left w:val="none" w:sz="0" w:space="0" w:color="auto"/>
            <w:bottom w:val="none" w:sz="0" w:space="0" w:color="auto"/>
            <w:right w:val="none" w:sz="0" w:space="0" w:color="auto"/>
          </w:divBdr>
          <w:divsChild>
            <w:div w:id="747270259">
              <w:marLeft w:val="0"/>
              <w:marRight w:val="0"/>
              <w:marTop w:val="0"/>
              <w:marBottom w:val="0"/>
              <w:divBdr>
                <w:top w:val="none" w:sz="0" w:space="0" w:color="auto"/>
                <w:left w:val="none" w:sz="0" w:space="0" w:color="auto"/>
                <w:bottom w:val="none" w:sz="0" w:space="0" w:color="auto"/>
                <w:right w:val="none" w:sz="0" w:space="0" w:color="auto"/>
              </w:divBdr>
              <w:divsChild>
                <w:div w:id="521942508">
                  <w:marLeft w:val="0"/>
                  <w:marRight w:val="0"/>
                  <w:marTop w:val="0"/>
                  <w:marBottom w:val="0"/>
                  <w:divBdr>
                    <w:top w:val="none" w:sz="0" w:space="0" w:color="auto"/>
                    <w:left w:val="none" w:sz="0" w:space="0" w:color="auto"/>
                    <w:bottom w:val="none" w:sz="0" w:space="0" w:color="auto"/>
                    <w:right w:val="none" w:sz="0" w:space="0" w:color="auto"/>
                  </w:divBdr>
                  <w:divsChild>
                    <w:div w:id="759721522">
                      <w:marLeft w:val="0"/>
                      <w:marRight w:val="0"/>
                      <w:marTop w:val="0"/>
                      <w:marBottom w:val="0"/>
                      <w:divBdr>
                        <w:top w:val="none" w:sz="0" w:space="0" w:color="auto"/>
                        <w:left w:val="none" w:sz="0" w:space="0" w:color="auto"/>
                        <w:bottom w:val="none" w:sz="0" w:space="0" w:color="auto"/>
                        <w:right w:val="none" w:sz="0" w:space="0" w:color="auto"/>
                      </w:divBdr>
                      <w:divsChild>
                        <w:div w:id="153228347">
                          <w:marLeft w:val="0"/>
                          <w:marRight w:val="0"/>
                          <w:marTop w:val="0"/>
                          <w:marBottom w:val="0"/>
                          <w:divBdr>
                            <w:top w:val="none" w:sz="0" w:space="0" w:color="auto"/>
                            <w:left w:val="none" w:sz="0" w:space="0" w:color="auto"/>
                            <w:bottom w:val="none" w:sz="0" w:space="0" w:color="auto"/>
                            <w:right w:val="none" w:sz="0" w:space="0" w:color="auto"/>
                          </w:divBdr>
                          <w:divsChild>
                            <w:div w:id="1842348823">
                              <w:marLeft w:val="0"/>
                              <w:marRight w:val="0"/>
                              <w:marTop w:val="0"/>
                              <w:marBottom w:val="0"/>
                              <w:divBdr>
                                <w:top w:val="none" w:sz="0" w:space="0" w:color="auto"/>
                                <w:left w:val="none" w:sz="0" w:space="0" w:color="auto"/>
                                <w:bottom w:val="none" w:sz="0" w:space="0" w:color="auto"/>
                                <w:right w:val="none" w:sz="0" w:space="0" w:color="auto"/>
                              </w:divBdr>
                              <w:divsChild>
                                <w:div w:id="1273437559">
                                  <w:marLeft w:val="0"/>
                                  <w:marRight w:val="0"/>
                                  <w:marTop w:val="0"/>
                                  <w:marBottom w:val="0"/>
                                  <w:divBdr>
                                    <w:top w:val="none" w:sz="0" w:space="0" w:color="auto"/>
                                    <w:left w:val="none" w:sz="0" w:space="0" w:color="auto"/>
                                    <w:bottom w:val="none" w:sz="0" w:space="0" w:color="auto"/>
                                    <w:right w:val="none" w:sz="0" w:space="0" w:color="auto"/>
                                  </w:divBdr>
                                  <w:divsChild>
                                    <w:div w:id="640115741">
                                      <w:marLeft w:val="0"/>
                                      <w:marRight w:val="0"/>
                                      <w:marTop w:val="0"/>
                                      <w:marBottom w:val="0"/>
                                      <w:divBdr>
                                        <w:top w:val="none" w:sz="0" w:space="0" w:color="auto"/>
                                        <w:left w:val="none" w:sz="0" w:space="0" w:color="auto"/>
                                        <w:bottom w:val="none" w:sz="0" w:space="0" w:color="auto"/>
                                        <w:right w:val="none" w:sz="0" w:space="0" w:color="auto"/>
                                      </w:divBdr>
                                      <w:divsChild>
                                        <w:div w:id="939682261">
                                          <w:marLeft w:val="0"/>
                                          <w:marRight w:val="0"/>
                                          <w:marTop w:val="0"/>
                                          <w:marBottom w:val="0"/>
                                          <w:divBdr>
                                            <w:top w:val="none" w:sz="0" w:space="0" w:color="auto"/>
                                            <w:left w:val="none" w:sz="0" w:space="0" w:color="auto"/>
                                            <w:bottom w:val="none" w:sz="0" w:space="0" w:color="auto"/>
                                            <w:right w:val="none" w:sz="0" w:space="0" w:color="auto"/>
                                          </w:divBdr>
                                          <w:divsChild>
                                            <w:div w:id="1379161129">
                                              <w:marLeft w:val="0"/>
                                              <w:marRight w:val="0"/>
                                              <w:marTop w:val="0"/>
                                              <w:marBottom w:val="0"/>
                                              <w:divBdr>
                                                <w:top w:val="none" w:sz="0" w:space="0" w:color="auto"/>
                                                <w:left w:val="none" w:sz="0" w:space="0" w:color="auto"/>
                                                <w:bottom w:val="none" w:sz="0" w:space="0" w:color="auto"/>
                                                <w:right w:val="none" w:sz="0" w:space="0" w:color="auto"/>
                                              </w:divBdr>
                                              <w:divsChild>
                                                <w:div w:id="1537154446">
                                                  <w:marLeft w:val="0"/>
                                                  <w:marRight w:val="0"/>
                                                  <w:marTop w:val="0"/>
                                                  <w:marBottom w:val="0"/>
                                                  <w:divBdr>
                                                    <w:top w:val="none" w:sz="0" w:space="0" w:color="auto"/>
                                                    <w:left w:val="none" w:sz="0" w:space="0" w:color="auto"/>
                                                    <w:bottom w:val="none" w:sz="0" w:space="0" w:color="auto"/>
                                                    <w:right w:val="none" w:sz="0" w:space="0" w:color="auto"/>
                                                  </w:divBdr>
                                                  <w:divsChild>
                                                    <w:div w:id="1845052139">
                                                      <w:marLeft w:val="0"/>
                                                      <w:marRight w:val="0"/>
                                                      <w:marTop w:val="0"/>
                                                      <w:marBottom w:val="0"/>
                                                      <w:divBdr>
                                                        <w:top w:val="none" w:sz="0" w:space="0" w:color="auto"/>
                                                        <w:left w:val="none" w:sz="0" w:space="0" w:color="auto"/>
                                                        <w:bottom w:val="none" w:sz="0" w:space="0" w:color="auto"/>
                                                        <w:right w:val="none" w:sz="0" w:space="0" w:color="auto"/>
                                                      </w:divBdr>
                                                      <w:divsChild>
                                                        <w:div w:id="1529101139">
                                                          <w:marLeft w:val="0"/>
                                                          <w:marRight w:val="0"/>
                                                          <w:marTop w:val="0"/>
                                                          <w:marBottom w:val="0"/>
                                                          <w:divBdr>
                                                            <w:top w:val="none" w:sz="0" w:space="0" w:color="auto"/>
                                                            <w:left w:val="none" w:sz="0" w:space="0" w:color="auto"/>
                                                            <w:bottom w:val="none" w:sz="0" w:space="0" w:color="auto"/>
                                                            <w:right w:val="none" w:sz="0" w:space="0" w:color="auto"/>
                                                          </w:divBdr>
                                                          <w:divsChild>
                                                            <w:div w:id="1112938900">
                                                              <w:marLeft w:val="0"/>
                                                              <w:marRight w:val="150"/>
                                                              <w:marTop w:val="0"/>
                                                              <w:marBottom w:val="150"/>
                                                              <w:divBdr>
                                                                <w:top w:val="none" w:sz="0" w:space="0" w:color="auto"/>
                                                                <w:left w:val="none" w:sz="0" w:space="0" w:color="auto"/>
                                                                <w:bottom w:val="none" w:sz="0" w:space="0" w:color="auto"/>
                                                                <w:right w:val="none" w:sz="0" w:space="0" w:color="auto"/>
                                                              </w:divBdr>
                                                              <w:divsChild>
                                                                <w:div w:id="27222148">
                                                                  <w:marLeft w:val="0"/>
                                                                  <w:marRight w:val="0"/>
                                                                  <w:marTop w:val="0"/>
                                                                  <w:marBottom w:val="0"/>
                                                                  <w:divBdr>
                                                                    <w:top w:val="none" w:sz="0" w:space="0" w:color="auto"/>
                                                                    <w:left w:val="none" w:sz="0" w:space="0" w:color="auto"/>
                                                                    <w:bottom w:val="none" w:sz="0" w:space="0" w:color="auto"/>
                                                                    <w:right w:val="none" w:sz="0" w:space="0" w:color="auto"/>
                                                                  </w:divBdr>
                                                                  <w:divsChild>
                                                                    <w:div w:id="1346253380">
                                                                      <w:marLeft w:val="0"/>
                                                                      <w:marRight w:val="0"/>
                                                                      <w:marTop w:val="0"/>
                                                                      <w:marBottom w:val="0"/>
                                                                      <w:divBdr>
                                                                        <w:top w:val="none" w:sz="0" w:space="0" w:color="auto"/>
                                                                        <w:left w:val="none" w:sz="0" w:space="0" w:color="auto"/>
                                                                        <w:bottom w:val="none" w:sz="0" w:space="0" w:color="auto"/>
                                                                        <w:right w:val="none" w:sz="0" w:space="0" w:color="auto"/>
                                                                      </w:divBdr>
                                                                      <w:divsChild>
                                                                        <w:div w:id="756514643">
                                                                          <w:marLeft w:val="0"/>
                                                                          <w:marRight w:val="0"/>
                                                                          <w:marTop w:val="0"/>
                                                                          <w:marBottom w:val="0"/>
                                                                          <w:divBdr>
                                                                            <w:top w:val="none" w:sz="0" w:space="0" w:color="auto"/>
                                                                            <w:left w:val="none" w:sz="0" w:space="0" w:color="auto"/>
                                                                            <w:bottom w:val="none" w:sz="0" w:space="0" w:color="auto"/>
                                                                            <w:right w:val="none" w:sz="0" w:space="0" w:color="auto"/>
                                                                          </w:divBdr>
                                                                          <w:divsChild>
                                                                            <w:div w:id="1992559201">
                                                                              <w:marLeft w:val="0"/>
                                                                              <w:marRight w:val="0"/>
                                                                              <w:marTop w:val="0"/>
                                                                              <w:marBottom w:val="0"/>
                                                                              <w:divBdr>
                                                                                <w:top w:val="none" w:sz="0" w:space="0" w:color="auto"/>
                                                                                <w:left w:val="none" w:sz="0" w:space="0" w:color="auto"/>
                                                                                <w:bottom w:val="none" w:sz="0" w:space="0" w:color="auto"/>
                                                                                <w:right w:val="none" w:sz="0" w:space="0" w:color="auto"/>
                                                                              </w:divBdr>
                                                                              <w:divsChild>
                                                                                <w:div w:id="412362170">
                                                                                  <w:marLeft w:val="0"/>
                                                                                  <w:marRight w:val="0"/>
                                                                                  <w:marTop w:val="0"/>
                                                                                  <w:marBottom w:val="0"/>
                                                                                  <w:divBdr>
                                                                                    <w:top w:val="none" w:sz="0" w:space="0" w:color="auto"/>
                                                                                    <w:left w:val="none" w:sz="0" w:space="0" w:color="auto"/>
                                                                                    <w:bottom w:val="none" w:sz="0" w:space="0" w:color="auto"/>
                                                                                    <w:right w:val="none" w:sz="0" w:space="0" w:color="auto"/>
                                                                                  </w:divBdr>
                                                                                  <w:divsChild>
                                                                                    <w:div w:id="1332103697">
                                                                                      <w:marLeft w:val="567"/>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926651">
      <w:bodyDiv w:val="1"/>
      <w:marLeft w:val="0"/>
      <w:marRight w:val="0"/>
      <w:marTop w:val="0"/>
      <w:marBottom w:val="0"/>
      <w:divBdr>
        <w:top w:val="none" w:sz="0" w:space="0" w:color="auto"/>
        <w:left w:val="none" w:sz="0" w:space="0" w:color="auto"/>
        <w:bottom w:val="none" w:sz="0" w:space="0" w:color="auto"/>
        <w:right w:val="none" w:sz="0" w:space="0" w:color="auto"/>
      </w:divBdr>
    </w:div>
    <w:div w:id="1689942179">
      <w:bodyDiv w:val="1"/>
      <w:marLeft w:val="0"/>
      <w:marRight w:val="0"/>
      <w:marTop w:val="0"/>
      <w:marBottom w:val="0"/>
      <w:divBdr>
        <w:top w:val="none" w:sz="0" w:space="0" w:color="auto"/>
        <w:left w:val="none" w:sz="0" w:space="0" w:color="auto"/>
        <w:bottom w:val="none" w:sz="0" w:space="0" w:color="auto"/>
        <w:right w:val="none" w:sz="0" w:space="0" w:color="auto"/>
      </w:divBdr>
    </w:div>
    <w:div w:id="1931886897">
      <w:bodyDiv w:val="1"/>
      <w:marLeft w:val="0"/>
      <w:marRight w:val="0"/>
      <w:marTop w:val="0"/>
      <w:marBottom w:val="0"/>
      <w:divBdr>
        <w:top w:val="none" w:sz="0" w:space="0" w:color="auto"/>
        <w:left w:val="none" w:sz="0" w:space="0" w:color="auto"/>
        <w:bottom w:val="none" w:sz="0" w:space="0" w:color="auto"/>
        <w:right w:val="none" w:sz="0" w:space="0" w:color="auto"/>
      </w:divBdr>
    </w:div>
    <w:div w:id="2036298984">
      <w:bodyDiv w:val="1"/>
      <w:marLeft w:val="0"/>
      <w:marRight w:val="0"/>
      <w:marTop w:val="0"/>
      <w:marBottom w:val="0"/>
      <w:divBdr>
        <w:top w:val="none" w:sz="0" w:space="0" w:color="auto"/>
        <w:left w:val="none" w:sz="0" w:space="0" w:color="auto"/>
        <w:bottom w:val="none" w:sz="0" w:space="0" w:color="auto"/>
        <w:right w:val="none" w:sz="0" w:space="0" w:color="auto"/>
      </w:divBdr>
    </w:div>
    <w:div w:id="20406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hyperlink" Target="http://www.cnb.cz/cs/legislativa/zakony/download/zakon_240_2013"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2.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1.emf"/><Relationship Id="rId58" Type="http://schemas.openxmlformats.org/officeDocument/2006/relationships/hyperlink" Target="http://www.cnb.cz/cs/legislativa/leg_kapitalovy_trh/zakony/download/zakon_15_1998" TargetMode="Externa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yperlink" Target="http://www.cnb.cz/cs/legislativa/zakony/download/zakon_240_2013" TargetMode="External"/><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2.xml"/><Relationship Id="rId60" Type="http://schemas.openxmlformats.org/officeDocument/2006/relationships/hyperlink" Target="http://eur-lex.europa.eu/Notice.do?val=725611:cs&amp;lang=cs&amp;list=725624:cs,725611:cs,725606:cs,725714:cs,725719:cs,725713:cs,725692:cs,725686:cs,725684:cs,725685:cs,&amp;pos=2&amp;page=1&amp;nbl=46&amp;pgs=10&amp;hword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http://eur-lex.europa.eu/Notice.do?val=725606:cs&amp;lang=cs&amp;list=725624:cs,725611:cs,725606:cs,725714:cs,725719:cs,725713:cs,725692:cs,725686:cs,725684:cs,725685:cs,&amp;pos=3&amp;page=1&amp;nbl=46&amp;pgs=10&amp;hword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programmes/horizon2020/en/what-horizon-2020" TargetMode="External"/><Relationship Id="rId18" Type="http://schemas.openxmlformats.org/officeDocument/2006/relationships/hyperlink" Target="http://europa.eu/rapid/press-release_IP-13-605_en.htm" TargetMode="External"/><Relationship Id="rId26" Type="http://schemas.openxmlformats.org/officeDocument/2006/relationships/hyperlink" Target="http://www.mfcr.cz/assets/cs/media/Duvodova-zprava_2013_Duvodova-zprava-k-zakonu-240-2013.pdf" TargetMode="External"/><Relationship Id="rId39" Type="http://schemas.openxmlformats.org/officeDocument/2006/relationships/hyperlink" Target="http://ec.europa.eu/regional_policy/information/evaluations/impact_evaluation_en.cfm" TargetMode="External"/><Relationship Id="rId21" Type="http://schemas.openxmlformats.org/officeDocument/2006/relationships/hyperlink" Target="http://eur-lex.europa.eu/legal-content/EN/TXT/?uri=CELEX:52013DC0150" TargetMode="External"/><Relationship Id="rId34" Type="http://schemas.openxmlformats.org/officeDocument/2006/relationships/hyperlink" Target="http://apps.drachesoft.be/webfiles/opendays2012/1523.ppt" TargetMode="External"/><Relationship Id="rId42" Type="http://schemas.openxmlformats.org/officeDocument/2006/relationships/hyperlink" Target="http://www.europarl.europa.eu/news/en/news-room/content/20140307IPR38110/html/Parliament-toughens-up-anti-money-laundering-rules" TargetMode="External"/><Relationship Id="rId47" Type="http://schemas.openxmlformats.org/officeDocument/2006/relationships/hyperlink" Target="http://ec.europa.eu/economy%20finance/financial_operations/investment/innovative_financial_instruments/index_en.htm" TargetMode="External"/><Relationship Id="rId50" Type="http://schemas.openxmlformats.org/officeDocument/2006/relationships/hyperlink" Target="http://inea.ec.europa.eu/en/cef/cef.htm" TargetMode="External"/><Relationship Id="rId55" Type="http://schemas.openxmlformats.org/officeDocument/2006/relationships/hyperlink" Target="http://www.eeef.eu" TargetMode="External"/><Relationship Id="rId63" Type="http://schemas.openxmlformats.org/officeDocument/2006/relationships/hyperlink" Target="http://www.euractiv.cz/regionalni-rozvoj/clanek/cesko-je-v-cerpani-penez-z-evropskych-fondu-nejhorsi-v-eu-011539" TargetMode="External"/><Relationship Id="rId68" Type="http://schemas.openxmlformats.org/officeDocument/2006/relationships/hyperlink" Target="http://download.mpo.cz/get/32013/35445/388865/priloha001.pdf" TargetMode="External"/><Relationship Id="rId76" Type="http://schemas.openxmlformats.org/officeDocument/2006/relationships/hyperlink" Target="http://www.eeef.org" TargetMode="External"/><Relationship Id="rId84" Type="http://schemas.openxmlformats.org/officeDocument/2006/relationships/hyperlink" Target="http://www.eib.org/projects/priorities/energy/index.htm" TargetMode="External"/><Relationship Id="rId7" Type="http://schemas.openxmlformats.org/officeDocument/2006/relationships/hyperlink" Target="http://www.ekathimerini.com/4dcgi/_w_articles_wsite2_1_14/07/2014_541363" TargetMode="External"/><Relationship Id="rId71" Type="http://schemas.openxmlformats.org/officeDocument/2006/relationships/hyperlink" Target="http://eur-lex.europa.eu/legal-content/EN/ALL/?uri=CELEX:32013R0346" TargetMode="External"/><Relationship Id="rId2" Type="http://schemas.openxmlformats.org/officeDocument/2006/relationships/hyperlink" Target="http://www.mfcr.cz/cs/verejny-sektor/prognozy/makroekonomicka-predikce/2014/makroekonomicka-predikce-leden-2014-16757" TargetMode="External"/><Relationship Id="rId16" Type="http://schemas.openxmlformats.org/officeDocument/2006/relationships/hyperlink" Target="http://ec.europa.eu/internal_market/investment/venture_capital/index_en.htm" TargetMode="External"/><Relationship Id="rId29" Type="http://schemas.openxmlformats.org/officeDocument/2006/relationships/hyperlink" Target="http://www.cnb.cz/cs/statistika/menova_bankovni_stat/bankovni_statistika/bank_stat_komentar.html" TargetMode="External"/><Relationship Id="rId11" Type="http://schemas.openxmlformats.org/officeDocument/2006/relationships/hyperlink" Target="http://ec.europa.eu/economy_finance/financial_operations/investment/innovative_financial_instruments/index_en.htm" TargetMode="External"/><Relationship Id="rId24" Type="http://schemas.openxmlformats.org/officeDocument/2006/relationships/hyperlink" Target="http://eur-lex.europa.eu/LexUriServ/LexUriServ.do?uri=COM:2010:0546:FIN:CS:PDF" TargetMode="External"/><Relationship Id="rId32" Type="http://schemas.openxmlformats.org/officeDocument/2006/relationships/hyperlink" Target="http://ec.europa.eu/internal_market/smact/docs/single-market-act2_en.pdf" TargetMode="External"/><Relationship Id="rId37" Type="http://schemas.openxmlformats.org/officeDocument/2006/relationships/hyperlink" Target="http://www.eib.org/infocentre/press/releases/all/2014/2014-177-abs-loan-for-smes-eib-participates-in-securitisation-deal-with-ikb-leasing.htm" TargetMode="External"/><Relationship Id="rId40" Type="http://schemas.openxmlformats.org/officeDocument/2006/relationships/hyperlink" Target="http://ec.europa.eu/economy_finance/financial_operations/investment/europe_2020/index_en.htm" TargetMode="External"/><Relationship Id="rId45" Type="http://schemas.openxmlformats.org/officeDocument/2006/relationships/hyperlink" Target="http://www.europarl.europa.eu/sides/getDoc.do?pubRef=-//EP//TEXT+TA+P7-TA-2012-0404+0+DOC+XML+V0//CS" TargetMode="External"/><Relationship Id="rId53" Type="http://schemas.openxmlformats.org/officeDocument/2006/relationships/hyperlink" Target="http://ec.europa.eu/regional%20policy/what/future/pdf/preparation/3%20draft_standard_terms_conditions_financial_instruments_17072013.pdf" TargetMode="External"/><Relationship Id="rId58" Type="http://schemas.openxmlformats.org/officeDocument/2006/relationships/hyperlink" Target="http://ec.europa.eu/regional_policy/thefunds/instruments/doc/summary_data_fei_2012.pdf" TargetMode="External"/><Relationship Id="rId66" Type="http://schemas.openxmlformats.org/officeDocument/2006/relationships/hyperlink" Target="http://ec.europa.eu/dgs/home-affairs/what-we-do/policies/organized-crime-and-human-trafficking/corruption/anti-corruption-report/docs/2014_acr_czech_republic_chapter_en.pdf" TargetMode="External"/><Relationship Id="rId74" Type="http://schemas.openxmlformats.org/officeDocument/2006/relationships/hyperlink" Target="http://www.mmr.cz/cs/Databaze-dokumentu?tag=Dohoda%20o%20partnerstv%C3%AD" TargetMode="External"/><Relationship Id="rId79" Type="http://schemas.openxmlformats.org/officeDocument/2006/relationships/hyperlink" Target="https://lt.justice.gov.sk/Document/GovernmentResolutionProposal.aspx?instEID=-1&amp;matEID=6870&amp;docEID=342161&amp;docFormEID=12&amp;docTypeEID=3&amp;langEID=1&amp;tStamp=20131202180455127" TargetMode="External"/><Relationship Id="rId5" Type="http://schemas.openxmlformats.org/officeDocument/2006/relationships/hyperlink" Target="http://www.economist.com/blogs/graphicdetail/2014/08/european-economy-guide" TargetMode="External"/><Relationship Id="rId61" Type="http://schemas.openxmlformats.org/officeDocument/2006/relationships/hyperlink" Target="http://www.eba.europa.eu/regulation-and-policy/implementing-basel-iii-europe" TargetMode="External"/><Relationship Id="rId82" Type="http://schemas.openxmlformats.org/officeDocument/2006/relationships/hyperlink" Target="http://www.eib.org/products/project-bonds/index.htm" TargetMode="External"/><Relationship Id="rId19" Type="http://schemas.openxmlformats.org/officeDocument/2006/relationships/hyperlink" Target="http://www.mfcr.cz/assets/cs/media/Duvodova-zprava_2013_Duvodova-zprava-k-zakonu-240-2013.pdf" TargetMode="External"/><Relationship Id="rId4" Type="http://schemas.openxmlformats.org/officeDocument/2006/relationships/hyperlink" Target="http://www.cnb.cz/cs/menova_politika/mp_nastroje/" TargetMode="External"/><Relationship Id="rId9" Type="http://schemas.openxmlformats.org/officeDocument/2006/relationships/hyperlink" Target="http://www.imf.org/external/" TargetMode="External"/><Relationship Id="rId14" Type="http://schemas.openxmlformats.org/officeDocument/2006/relationships/hyperlink" Target="http://www.eib.org/products/project-bonds/" TargetMode="External"/><Relationship Id="rId22" Type="http://schemas.openxmlformats.org/officeDocument/2006/relationships/hyperlink" Target="http://ec.europa.eu/europe2020/index_cs.htm" TargetMode="External"/><Relationship Id="rId27" Type="http://schemas.openxmlformats.org/officeDocument/2006/relationships/hyperlink" Target="http://ec.europa.eu/economy_finance/financial_operations/investment/europe_2020/documents/com2011_662_en.pdf" TargetMode="External"/><Relationship Id="rId30" Type="http://schemas.openxmlformats.org/officeDocument/2006/relationships/hyperlink" Target="https://www.cnb.cz/cs/dohled_financni_trh/souhrnne_informace_fin_trhy/zakladni_ukazatele_fin_trhu/banky/bs-ukazatele_tab04a.html" TargetMode="External"/><Relationship Id="rId35" Type="http://schemas.openxmlformats.org/officeDocument/2006/relationships/hyperlink" Target="http://bonds.about.com/od/advancedbonds/a/What-Are-Asset-Backed-Securities-Abs.htm" TargetMode="External"/><Relationship Id="rId43" Type="http://schemas.openxmlformats.org/officeDocument/2006/relationships/hyperlink" Target="http://www.strukturalni-fondy.cz/getmedia/8db7b709-bce3-4fa8-b0c8-437f1610a10c/CMZ_2014_IIQ_elektronicka.pdf" TargetMode="External"/><Relationship Id="rId48" Type="http://schemas.openxmlformats.org/officeDocument/2006/relationships/hyperlink" Target="http://ec.europa.eu/enterprise/initiatives/cosme/index_en.htm" TargetMode="External"/><Relationship Id="rId56" Type="http://schemas.openxmlformats.org/officeDocument/2006/relationships/hyperlink" Target="http://www.europarl.europa.eu/document/activities/cont/201212/20121219ATT58253/20121219ATT58253EN.pdf" TargetMode="External"/><Relationship Id="rId64" Type="http://schemas.openxmlformats.org/officeDocument/2006/relationships/hyperlink" Target="http://ec.europa.eu/regional_policy/sources/docoffic/2014/working/evaluation_plan_guidance_en.pdf" TargetMode="External"/><Relationship Id="rId69" Type="http://schemas.openxmlformats.org/officeDocument/2006/relationships/hyperlink" Target="http://ec.europa.eu/internal_market/investment/alternative_investments/index_en.htm" TargetMode="External"/><Relationship Id="rId77" Type="http://schemas.openxmlformats.org/officeDocument/2006/relationships/hyperlink" Target="http://ec.europa.eu/internal_market/finances/financing-growth/long-term/index_en.htm" TargetMode="External"/><Relationship Id="rId8" Type="http://schemas.openxmlformats.org/officeDocument/2006/relationships/hyperlink" Target="http://www.thetimes.co.uk/tto/business/economics/article4229666.ece" TargetMode="External"/><Relationship Id="rId51" Type="http://schemas.openxmlformats.org/officeDocument/2006/relationships/hyperlink" Target="http://www.eib.org/products/project-bonds/" TargetMode="External"/><Relationship Id="rId72" Type="http://schemas.openxmlformats.org/officeDocument/2006/relationships/hyperlink" Target="http://ec.europa.eu/internal_market/investment/long-term/index_en.htm" TargetMode="External"/><Relationship Id="rId80" Type="http://schemas.openxmlformats.org/officeDocument/2006/relationships/hyperlink" Target="http://ec.europa.eu/internal_market/consultations/2013/long-term-financing/docs/contributions/registered-organisations/groupe-bpce-ann2_en.pdf" TargetMode="External"/><Relationship Id="rId85" Type="http://schemas.openxmlformats.org/officeDocument/2006/relationships/hyperlink" Target="http://www.eeef.eu/" TargetMode="External"/><Relationship Id="rId3" Type="http://schemas.openxmlformats.org/officeDocument/2006/relationships/hyperlink" Target="http://www.mfcr.cz/cs/verejny-sektor/hospodareni/rizeni-statniho-dluhu/dluhova-statistika/struktura-a-vyvoj-statniho-dluhu" TargetMode="External"/><Relationship Id="rId12" Type="http://schemas.openxmlformats.org/officeDocument/2006/relationships/hyperlink" Target="http://ec.europa.eu/enterprise/initiatives/cosme/index_en.htm" TargetMode="External"/><Relationship Id="rId17" Type="http://schemas.openxmlformats.org/officeDocument/2006/relationships/hyperlink" Target="http://ec.europa.eu/internal_market/investment/social_investment_funds/index_en.htm" TargetMode="External"/><Relationship Id="rId25" Type="http://schemas.openxmlformats.org/officeDocument/2006/relationships/hyperlink" Target="http://ec.europa.eu/bepa/pdf/cef_brochure.pdf" TargetMode="External"/><Relationship Id="rId33" Type="http://schemas.openxmlformats.org/officeDocument/2006/relationships/hyperlink" Target="http://ec.europa.eu/regional_policy/sources/docoffic/official/communic/financial/financial_instruments_2012_en.pdf" TargetMode="External"/><Relationship Id="rId38" Type="http://schemas.openxmlformats.org/officeDocument/2006/relationships/hyperlink" Target="http://www.unive.it/media/allegato/infoscari-pdf/2014/slideEnricoCanu.pdf" TargetMode="External"/><Relationship Id="rId46" Type="http://schemas.openxmlformats.org/officeDocument/2006/relationships/hyperlink" Target="http://www.eib.org/products/esif/" TargetMode="External"/><Relationship Id="rId59" Type="http://schemas.openxmlformats.org/officeDocument/2006/relationships/hyperlink" Target="http://ec.europa.eu/europe2020/index_en.htm" TargetMode="External"/><Relationship Id="rId67" Type="http://schemas.openxmlformats.org/officeDocument/2006/relationships/hyperlink" Target="http://www.oecd.org/finance/OECD-LTI-project.pdf" TargetMode="External"/><Relationship Id="rId20" Type="http://schemas.openxmlformats.org/officeDocument/2006/relationships/hyperlink" Target="http://www.eib.org/epec/resources/epec-using-EU-funds-in-ppps-public.pdf" TargetMode="External"/><Relationship Id="rId41" Type="http://schemas.openxmlformats.org/officeDocument/2006/relationships/hyperlink" Target="https://www.kfw-entwicklungsbank.de/International-financing/KfW-Entwicklungsbank/" TargetMode="External"/><Relationship Id="rId54" Type="http://schemas.openxmlformats.org/officeDocument/2006/relationships/hyperlink" Target="http://ec.europa.eu/regional%20policy/what/future/pdf/preparation/3_draft_standard_terms_conditions_financial_instruments_17072013.pdf" TargetMode="External"/><Relationship Id="rId62" Type="http://schemas.openxmlformats.org/officeDocument/2006/relationships/hyperlink" Target="http://www.oecd.org/industry/entrepreneurshipataglance.htm" TargetMode="External"/><Relationship Id="rId70" Type="http://schemas.openxmlformats.org/officeDocument/2006/relationships/hyperlink" Target="http://ec.europa.eu/internal_market/investment/venture_capital/index_en.htm" TargetMode="External"/><Relationship Id="rId75" Type="http://schemas.openxmlformats.org/officeDocument/2006/relationships/hyperlink" Target="http://eur-lex.europa.eu/legal-content/CS/TXT/?uri=CELEX%3A32013R1303" TargetMode="External"/><Relationship Id="rId83" Type="http://schemas.openxmlformats.org/officeDocument/2006/relationships/hyperlink" Target="http://www.eib.org/epec/g2g/annex/1-project-finance/" TargetMode="External"/><Relationship Id="rId1" Type="http://schemas.openxmlformats.org/officeDocument/2006/relationships/hyperlink" Target="http://epp.eurostat.ec.europa.eu/statistics_explained/index.php/Structure_of_government_debt" TargetMode="External"/><Relationship Id="rId6" Type="http://schemas.openxmlformats.org/officeDocument/2006/relationships/hyperlink" Target="http://www.ft.com/intl/topics/themes/Europe_Quantitative_Easing" TargetMode="External"/><Relationship Id="rId15" Type="http://schemas.openxmlformats.org/officeDocument/2006/relationships/hyperlink" Target="http://ec.europa.eu/internal_market/investment/alternative_investments/index_en.htm" TargetMode="External"/><Relationship Id="rId23" Type="http://schemas.openxmlformats.org/officeDocument/2006/relationships/hyperlink" Target="http://eur-lex.europa.eu/LexUriServ/LexUriServ.do?uri=COM:2012:0582:FIN:CS:PDF" TargetMode="External"/><Relationship Id="rId28" Type="http://schemas.openxmlformats.org/officeDocument/2006/relationships/hyperlink" Target="http://www.eib.org/attachments/efs/investment_and_investment_finance_in_europe_en.pdf" TargetMode="External"/><Relationship Id="rId36" Type="http://schemas.openxmlformats.org/officeDocument/2006/relationships/hyperlink" Target="https://www.czech-ba.cz/en/bankovni-pojmy?field_nazev_cz_value=&amp;title=&amp;page=14" TargetMode="External"/><Relationship Id="rId49" Type="http://schemas.openxmlformats.org/officeDocument/2006/relationships/hyperlink" Target="http://ec.europa.eu/programmes/horizon2020/en/what-horizon-2020" TargetMode="External"/><Relationship Id="rId57" Type="http://schemas.openxmlformats.org/officeDocument/2006/relationships/hyperlink" Target="http://ec.europa.eu/regional_policy/thefunds/instruments/doc/summary_data_fei_2012.pdf" TargetMode="External"/><Relationship Id="rId10" Type="http://schemas.openxmlformats.org/officeDocument/2006/relationships/hyperlink" Target="http://europa.eu/rapid/press-release_IP-13-1096_en.htm" TargetMode="External"/><Relationship Id="rId31" Type="http://schemas.openxmlformats.org/officeDocument/2006/relationships/hyperlink" Target="http://is.muni.cz/th/207146/esf_m/Konecna_DP.pdf" TargetMode="External"/><Relationship Id="rId44" Type="http://schemas.openxmlformats.org/officeDocument/2006/relationships/hyperlink" Target="http://www.europarl.europa.eu/oeil/popups/ficheprocedure.do?lang=en&amp;reference=2012/2027(INI)" TargetMode="External"/><Relationship Id="rId52" Type="http://schemas.openxmlformats.org/officeDocument/2006/relationships/hyperlink" Target="http://ec.europa.eu/social/main.jsp?langId=en&amp;catId=89&amp;newsId=1093" TargetMode="External"/><Relationship Id="rId60" Type="http://schemas.openxmlformats.org/officeDocument/2006/relationships/hyperlink" Target="http://www.mfcr.cz/cs/soukromy-sektor/monitoring/vyvoj-financniho-trhu/2013/zprava-o-vyvoji-financniho-trhu-v-roce-2-17959" TargetMode="External"/><Relationship Id="rId65" Type="http://schemas.openxmlformats.org/officeDocument/2006/relationships/hyperlink" Target="http://ec.europa.eu/regional_policy/sources/docgener/guides/synergy/synergies_en.pdf" TargetMode="External"/><Relationship Id="rId73" Type="http://schemas.openxmlformats.org/officeDocument/2006/relationships/hyperlink" Target="http://www.eib.org" TargetMode="External"/><Relationship Id="rId78" Type="http://schemas.openxmlformats.org/officeDocument/2006/relationships/hyperlink" Target="http://ceskapozice.lidovky.cz/tiskni.aspx?c=A140407_220200_pozice_139726" TargetMode="External"/><Relationship Id="rId81" Type="http://schemas.openxmlformats.org/officeDocument/2006/relationships/hyperlink" Target="http://infrastukturamorava.cz/download/studiezahradnik.pdf" TargetMode="External"/><Relationship Id="rId86" Type="http://schemas.openxmlformats.org/officeDocument/2006/relationships/hyperlink" Target="http://www.ggf.lu/"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14D18-B6C0-4542-B236-115DD864F8CF}">
  <ds:schemaRefs>
    <ds:schemaRef ds:uri="http://schemas.openxmlformats.org/officeDocument/2006/bibliography"/>
  </ds:schemaRefs>
</ds:datastoreItem>
</file>

<file path=customXml/itemProps2.xml><?xml version="1.0" encoding="utf-8"?>
<ds:datastoreItem xmlns:ds="http://schemas.openxmlformats.org/officeDocument/2006/customXml" ds:itemID="{F1BA061F-01FA-4C4F-BEAB-85184FEA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103</Pages>
  <Words>32774</Words>
  <Characters>193369</Characters>
  <Application>Microsoft Office Word</Application>
  <DocSecurity>0</DocSecurity>
  <Lines>1611</Lines>
  <Paragraphs>451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Ministerstvo financí</Company>
  <LinksUpToDate>false</LinksUpToDate>
  <CharactersWithSpaces>225692</CharactersWithSpaces>
  <SharedDoc>false</SharedDoc>
  <HLinks>
    <vt:vector size="918" baseType="variant">
      <vt:variant>
        <vt:i4>1900572</vt:i4>
      </vt:variant>
      <vt:variant>
        <vt:i4>399</vt:i4>
      </vt:variant>
      <vt:variant>
        <vt:i4>0</vt:i4>
      </vt:variant>
      <vt:variant>
        <vt:i4>5</vt:i4>
      </vt:variant>
      <vt:variant>
        <vt:lpwstr>http://eur-lex.europa.eu/Notice.do?val=725611:cs&amp;lang=cs&amp;list=725624:cs,725611:cs,725606:cs,725714:cs,725719:cs,725713:cs,725692:cs,725686:cs,725684:cs,725685:cs,&amp;pos=2&amp;page=1&amp;nbl=46&amp;pgs=10&amp;hwords=</vt:lpwstr>
      </vt:variant>
      <vt:variant>
        <vt:lpwstr/>
      </vt:variant>
      <vt:variant>
        <vt:i4>1900571</vt:i4>
      </vt:variant>
      <vt:variant>
        <vt:i4>396</vt:i4>
      </vt:variant>
      <vt:variant>
        <vt:i4>0</vt:i4>
      </vt:variant>
      <vt:variant>
        <vt:i4>5</vt:i4>
      </vt:variant>
      <vt:variant>
        <vt:lpwstr>http://eur-lex.europa.eu/Notice.do?val=725606:cs&amp;lang=cs&amp;list=725624:cs,725611:cs,725606:cs,725714:cs,725719:cs,725713:cs,725692:cs,725686:cs,725684:cs,725685:cs,&amp;pos=3&amp;page=1&amp;nbl=46&amp;pgs=10&amp;hwords=</vt:lpwstr>
      </vt:variant>
      <vt:variant>
        <vt:lpwstr/>
      </vt:variant>
      <vt:variant>
        <vt:i4>5374016</vt:i4>
      </vt:variant>
      <vt:variant>
        <vt:i4>393</vt:i4>
      </vt:variant>
      <vt:variant>
        <vt:i4>0</vt:i4>
      </vt:variant>
      <vt:variant>
        <vt:i4>5</vt:i4>
      </vt:variant>
      <vt:variant>
        <vt:lpwstr>http://www.cnb.cz/cs/legislativa/leg_kapitalovy_trh/zakony/download/zakon_15_1998</vt:lpwstr>
      </vt:variant>
      <vt:variant>
        <vt:lpwstr/>
      </vt:variant>
      <vt:variant>
        <vt:i4>2097191</vt:i4>
      </vt:variant>
      <vt:variant>
        <vt:i4>390</vt:i4>
      </vt:variant>
      <vt:variant>
        <vt:i4>0</vt:i4>
      </vt:variant>
      <vt:variant>
        <vt:i4>5</vt:i4>
      </vt:variant>
      <vt:variant>
        <vt:lpwstr>http://www.cnb.cz/cs/legislativa/zakony/download/zakon_240_2013</vt:lpwstr>
      </vt:variant>
      <vt:variant>
        <vt:lpwstr/>
      </vt:variant>
      <vt:variant>
        <vt:i4>2097191</vt:i4>
      </vt:variant>
      <vt:variant>
        <vt:i4>387</vt:i4>
      </vt:variant>
      <vt:variant>
        <vt:i4>0</vt:i4>
      </vt:variant>
      <vt:variant>
        <vt:i4>5</vt:i4>
      </vt:variant>
      <vt:variant>
        <vt:lpwstr>http://www.cnb.cz/cs/legislativa/zakony/download/zakon_240_2013</vt:lpwstr>
      </vt:variant>
      <vt:variant>
        <vt:lpwstr/>
      </vt:variant>
      <vt:variant>
        <vt:i4>1376317</vt:i4>
      </vt:variant>
      <vt:variant>
        <vt:i4>380</vt:i4>
      </vt:variant>
      <vt:variant>
        <vt:i4>0</vt:i4>
      </vt:variant>
      <vt:variant>
        <vt:i4>5</vt:i4>
      </vt:variant>
      <vt:variant>
        <vt:lpwstr/>
      </vt:variant>
      <vt:variant>
        <vt:lpwstr>_Toc404152810</vt:lpwstr>
      </vt:variant>
      <vt:variant>
        <vt:i4>1310781</vt:i4>
      </vt:variant>
      <vt:variant>
        <vt:i4>374</vt:i4>
      </vt:variant>
      <vt:variant>
        <vt:i4>0</vt:i4>
      </vt:variant>
      <vt:variant>
        <vt:i4>5</vt:i4>
      </vt:variant>
      <vt:variant>
        <vt:lpwstr/>
      </vt:variant>
      <vt:variant>
        <vt:lpwstr>_Toc404152809</vt:lpwstr>
      </vt:variant>
      <vt:variant>
        <vt:i4>1310781</vt:i4>
      </vt:variant>
      <vt:variant>
        <vt:i4>368</vt:i4>
      </vt:variant>
      <vt:variant>
        <vt:i4>0</vt:i4>
      </vt:variant>
      <vt:variant>
        <vt:i4>5</vt:i4>
      </vt:variant>
      <vt:variant>
        <vt:lpwstr/>
      </vt:variant>
      <vt:variant>
        <vt:lpwstr>_Toc404152808</vt:lpwstr>
      </vt:variant>
      <vt:variant>
        <vt:i4>1310781</vt:i4>
      </vt:variant>
      <vt:variant>
        <vt:i4>362</vt:i4>
      </vt:variant>
      <vt:variant>
        <vt:i4>0</vt:i4>
      </vt:variant>
      <vt:variant>
        <vt:i4>5</vt:i4>
      </vt:variant>
      <vt:variant>
        <vt:lpwstr/>
      </vt:variant>
      <vt:variant>
        <vt:lpwstr>_Toc404152807</vt:lpwstr>
      </vt:variant>
      <vt:variant>
        <vt:i4>1310781</vt:i4>
      </vt:variant>
      <vt:variant>
        <vt:i4>356</vt:i4>
      </vt:variant>
      <vt:variant>
        <vt:i4>0</vt:i4>
      </vt:variant>
      <vt:variant>
        <vt:i4>5</vt:i4>
      </vt:variant>
      <vt:variant>
        <vt:lpwstr/>
      </vt:variant>
      <vt:variant>
        <vt:lpwstr>_Toc404152806</vt:lpwstr>
      </vt:variant>
      <vt:variant>
        <vt:i4>1310781</vt:i4>
      </vt:variant>
      <vt:variant>
        <vt:i4>350</vt:i4>
      </vt:variant>
      <vt:variant>
        <vt:i4>0</vt:i4>
      </vt:variant>
      <vt:variant>
        <vt:i4>5</vt:i4>
      </vt:variant>
      <vt:variant>
        <vt:lpwstr/>
      </vt:variant>
      <vt:variant>
        <vt:lpwstr>_Toc404152805</vt:lpwstr>
      </vt:variant>
      <vt:variant>
        <vt:i4>1310781</vt:i4>
      </vt:variant>
      <vt:variant>
        <vt:i4>344</vt:i4>
      </vt:variant>
      <vt:variant>
        <vt:i4>0</vt:i4>
      </vt:variant>
      <vt:variant>
        <vt:i4>5</vt:i4>
      </vt:variant>
      <vt:variant>
        <vt:lpwstr/>
      </vt:variant>
      <vt:variant>
        <vt:lpwstr>_Toc404152804</vt:lpwstr>
      </vt:variant>
      <vt:variant>
        <vt:i4>1310781</vt:i4>
      </vt:variant>
      <vt:variant>
        <vt:i4>338</vt:i4>
      </vt:variant>
      <vt:variant>
        <vt:i4>0</vt:i4>
      </vt:variant>
      <vt:variant>
        <vt:i4>5</vt:i4>
      </vt:variant>
      <vt:variant>
        <vt:lpwstr/>
      </vt:variant>
      <vt:variant>
        <vt:lpwstr>_Toc404152803</vt:lpwstr>
      </vt:variant>
      <vt:variant>
        <vt:i4>1310781</vt:i4>
      </vt:variant>
      <vt:variant>
        <vt:i4>332</vt:i4>
      </vt:variant>
      <vt:variant>
        <vt:i4>0</vt:i4>
      </vt:variant>
      <vt:variant>
        <vt:i4>5</vt:i4>
      </vt:variant>
      <vt:variant>
        <vt:lpwstr/>
      </vt:variant>
      <vt:variant>
        <vt:lpwstr>_Toc404152802</vt:lpwstr>
      </vt:variant>
      <vt:variant>
        <vt:i4>1310781</vt:i4>
      </vt:variant>
      <vt:variant>
        <vt:i4>326</vt:i4>
      </vt:variant>
      <vt:variant>
        <vt:i4>0</vt:i4>
      </vt:variant>
      <vt:variant>
        <vt:i4>5</vt:i4>
      </vt:variant>
      <vt:variant>
        <vt:lpwstr/>
      </vt:variant>
      <vt:variant>
        <vt:lpwstr>_Toc404152801</vt:lpwstr>
      </vt:variant>
      <vt:variant>
        <vt:i4>1310781</vt:i4>
      </vt:variant>
      <vt:variant>
        <vt:i4>320</vt:i4>
      </vt:variant>
      <vt:variant>
        <vt:i4>0</vt:i4>
      </vt:variant>
      <vt:variant>
        <vt:i4>5</vt:i4>
      </vt:variant>
      <vt:variant>
        <vt:lpwstr/>
      </vt:variant>
      <vt:variant>
        <vt:lpwstr>_Toc404152800</vt:lpwstr>
      </vt:variant>
      <vt:variant>
        <vt:i4>1900594</vt:i4>
      </vt:variant>
      <vt:variant>
        <vt:i4>314</vt:i4>
      </vt:variant>
      <vt:variant>
        <vt:i4>0</vt:i4>
      </vt:variant>
      <vt:variant>
        <vt:i4>5</vt:i4>
      </vt:variant>
      <vt:variant>
        <vt:lpwstr/>
      </vt:variant>
      <vt:variant>
        <vt:lpwstr>_Toc404152799</vt:lpwstr>
      </vt:variant>
      <vt:variant>
        <vt:i4>1900594</vt:i4>
      </vt:variant>
      <vt:variant>
        <vt:i4>308</vt:i4>
      </vt:variant>
      <vt:variant>
        <vt:i4>0</vt:i4>
      </vt:variant>
      <vt:variant>
        <vt:i4>5</vt:i4>
      </vt:variant>
      <vt:variant>
        <vt:lpwstr/>
      </vt:variant>
      <vt:variant>
        <vt:lpwstr>_Toc404152798</vt:lpwstr>
      </vt:variant>
      <vt:variant>
        <vt:i4>1900594</vt:i4>
      </vt:variant>
      <vt:variant>
        <vt:i4>302</vt:i4>
      </vt:variant>
      <vt:variant>
        <vt:i4>0</vt:i4>
      </vt:variant>
      <vt:variant>
        <vt:i4>5</vt:i4>
      </vt:variant>
      <vt:variant>
        <vt:lpwstr/>
      </vt:variant>
      <vt:variant>
        <vt:lpwstr>_Toc404152797</vt:lpwstr>
      </vt:variant>
      <vt:variant>
        <vt:i4>1900594</vt:i4>
      </vt:variant>
      <vt:variant>
        <vt:i4>296</vt:i4>
      </vt:variant>
      <vt:variant>
        <vt:i4>0</vt:i4>
      </vt:variant>
      <vt:variant>
        <vt:i4>5</vt:i4>
      </vt:variant>
      <vt:variant>
        <vt:lpwstr/>
      </vt:variant>
      <vt:variant>
        <vt:lpwstr>_Toc404152796</vt:lpwstr>
      </vt:variant>
      <vt:variant>
        <vt:i4>1900594</vt:i4>
      </vt:variant>
      <vt:variant>
        <vt:i4>290</vt:i4>
      </vt:variant>
      <vt:variant>
        <vt:i4>0</vt:i4>
      </vt:variant>
      <vt:variant>
        <vt:i4>5</vt:i4>
      </vt:variant>
      <vt:variant>
        <vt:lpwstr/>
      </vt:variant>
      <vt:variant>
        <vt:lpwstr>_Toc404152795</vt:lpwstr>
      </vt:variant>
      <vt:variant>
        <vt:i4>1900594</vt:i4>
      </vt:variant>
      <vt:variant>
        <vt:i4>284</vt:i4>
      </vt:variant>
      <vt:variant>
        <vt:i4>0</vt:i4>
      </vt:variant>
      <vt:variant>
        <vt:i4>5</vt:i4>
      </vt:variant>
      <vt:variant>
        <vt:lpwstr/>
      </vt:variant>
      <vt:variant>
        <vt:lpwstr>_Toc404152794</vt:lpwstr>
      </vt:variant>
      <vt:variant>
        <vt:i4>1900594</vt:i4>
      </vt:variant>
      <vt:variant>
        <vt:i4>278</vt:i4>
      </vt:variant>
      <vt:variant>
        <vt:i4>0</vt:i4>
      </vt:variant>
      <vt:variant>
        <vt:i4>5</vt:i4>
      </vt:variant>
      <vt:variant>
        <vt:lpwstr/>
      </vt:variant>
      <vt:variant>
        <vt:lpwstr>_Toc404152793</vt:lpwstr>
      </vt:variant>
      <vt:variant>
        <vt:i4>1900594</vt:i4>
      </vt:variant>
      <vt:variant>
        <vt:i4>272</vt:i4>
      </vt:variant>
      <vt:variant>
        <vt:i4>0</vt:i4>
      </vt:variant>
      <vt:variant>
        <vt:i4>5</vt:i4>
      </vt:variant>
      <vt:variant>
        <vt:lpwstr/>
      </vt:variant>
      <vt:variant>
        <vt:lpwstr>_Toc404152792</vt:lpwstr>
      </vt:variant>
      <vt:variant>
        <vt:i4>1900594</vt:i4>
      </vt:variant>
      <vt:variant>
        <vt:i4>266</vt:i4>
      </vt:variant>
      <vt:variant>
        <vt:i4>0</vt:i4>
      </vt:variant>
      <vt:variant>
        <vt:i4>5</vt:i4>
      </vt:variant>
      <vt:variant>
        <vt:lpwstr/>
      </vt:variant>
      <vt:variant>
        <vt:lpwstr>_Toc404152791</vt:lpwstr>
      </vt:variant>
      <vt:variant>
        <vt:i4>1900594</vt:i4>
      </vt:variant>
      <vt:variant>
        <vt:i4>260</vt:i4>
      </vt:variant>
      <vt:variant>
        <vt:i4>0</vt:i4>
      </vt:variant>
      <vt:variant>
        <vt:i4>5</vt:i4>
      </vt:variant>
      <vt:variant>
        <vt:lpwstr/>
      </vt:variant>
      <vt:variant>
        <vt:lpwstr>_Toc404152790</vt:lpwstr>
      </vt:variant>
      <vt:variant>
        <vt:i4>1835058</vt:i4>
      </vt:variant>
      <vt:variant>
        <vt:i4>254</vt:i4>
      </vt:variant>
      <vt:variant>
        <vt:i4>0</vt:i4>
      </vt:variant>
      <vt:variant>
        <vt:i4>5</vt:i4>
      </vt:variant>
      <vt:variant>
        <vt:lpwstr/>
      </vt:variant>
      <vt:variant>
        <vt:lpwstr>_Toc404152789</vt:lpwstr>
      </vt:variant>
      <vt:variant>
        <vt:i4>1835058</vt:i4>
      </vt:variant>
      <vt:variant>
        <vt:i4>248</vt:i4>
      </vt:variant>
      <vt:variant>
        <vt:i4>0</vt:i4>
      </vt:variant>
      <vt:variant>
        <vt:i4>5</vt:i4>
      </vt:variant>
      <vt:variant>
        <vt:lpwstr/>
      </vt:variant>
      <vt:variant>
        <vt:lpwstr>_Toc404152788</vt:lpwstr>
      </vt:variant>
      <vt:variant>
        <vt:i4>1835058</vt:i4>
      </vt:variant>
      <vt:variant>
        <vt:i4>242</vt:i4>
      </vt:variant>
      <vt:variant>
        <vt:i4>0</vt:i4>
      </vt:variant>
      <vt:variant>
        <vt:i4>5</vt:i4>
      </vt:variant>
      <vt:variant>
        <vt:lpwstr/>
      </vt:variant>
      <vt:variant>
        <vt:lpwstr>_Toc404152787</vt:lpwstr>
      </vt:variant>
      <vt:variant>
        <vt:i4>1835058</vt:i4>
      </vt:variant>
      <vt:variant>
        <vt:i4>236</vt:i4>
      </vt:variant>
      <vt:variant>
        <vt:i4>0</vt:i4>
      </vt:variant>
      <vt:variant>
        <vt:i4>5</vt:i4>
      </vt:variant>
      <vt:variant>
        <vt:lpwstr/>
      </vt:variant>
      <vt:variant>
        <vt:lpwstr>_Toc404152786</vt:lpwstr>
      </vt:variant>
      <vt:variant>
        <vt:i4>1835058</vt:i4>
      </vt:variant>
      <vt:variant>
        <vt:i4>230</vt:i4>
      </vt:variant>
      <vt:variant>
        <vt:i4>0</vt:i4>
      </vt:variant>
      <vt:variant>
        <vt:i4>5</vt:i4>
      </vt:variant>
      <vt:variant>
        <vt:lpwstr/>
      </vt:variant>
      <vt:variant>
        <vt:lpwstr>_Toc404152785</vt:lpwstr>
      </vt:variant>
      <vt:variant>
        <vt:i4>1835058</vt:i4>
      </vt:variant>
      <vt:variant>
        <vt:i4>224</vt:i4>
      </vt:variant>
      <vt:variant>
        <vt:i4>0</vt:i4>
      </vt:variant>
      <vt:variant>
        <vt:i4>5</vt:i4>
      </vt:variant>
      <vt:variant>
        <vt:lpwstr/>
      </vt:variant>
      <vt:variant>
        <vt:lpwstr>_Toc404152784</vt:lpwstr>
      </vt:variant>
      <vt:variant>
        <vt:i4>1835058</vt:i4>
      </vt:variant>
      <vt:variant>
        <vt:i4>218</vt:i4>
      </vt:variant>
      <vt:variant>
        <vt:i4>0</vt:i4>
      </vt:variant>
      <vt:variant>
        <vt:i4>5</vt:i4>
      </vt:variant>
      <vt:variant>
        <vt:lpwstr/>
      </vt:variant>
      <vt:variant>
        <vt:lpwstr>_Toc404152783</vt:lpwstr>
      </vt:variant>
      <vt:variant>
        <vt:i4>1835058</vt:i4>
      </vt:variant>
      <vt:variant>
        <vt:i4>212</vt:i4>
      </vt:variant>
      <vt:variant>
        <vt:i4>0</vt:i4>
      </vt:variant>
      <vt:variant>
        <vt:i4>5</vt:i4>
      </vt:variant>
      <vt:variant>
        <vt:lpwstr/>
      </vt:variant>
      <vt:variant>
        <vt:lpwstr>_Toc404152782</vt:lpwstr>
      </vt:variant>
      <vt:variant>
        <vt:i4>1835058</vt:i4>
      </vt:variant>
      <vt:variant>
        <vt:i4>206</vt:i4>
      </vt:variant>
      <vt:variant>
        <vt:i4>0</vt:i4>
      </vt:variant>
      <vt:variant>
        <vt:i4>5</vt:i4>
      </vt:variant>
      <vt:variant>
        <vt:lpwstr/>
      </vt:variant>
      <vt:variant>
        <vt:lpwstr>_Toc404152781</vt:lpwstr>
      </vt:variant>
      <vt:variant>
        <vt:i4>1835058</vt:i4>
      </vt:variant>
      <vt:variant>
        <vt:i4>200</vt:i4>
      </vt:variant>
      <vt:variant>
        <vt:i4>0</vt:i4>
      </vt:variant>
      <vt:variant>
        <vt:i4>5</vt:i4>
      </vt:variant>
      <vt:variant>
        <vt:lpwstr/>
      </vt:variant>
      <vt:variant>
        <vt:lpwstr>_Toc404152780</vt:lpwstr>
      </vt:variant>
      <vt:variant>
        <vt:i4>1245234</vt:i4>
      </vt:variant>
      <vt:variant>
        <vt:i4>194</vt:i4>
      </vt:variant>
      <vt:variant>
        <vt:i4>0</vt:i4>
      </vt:variant>
      <vt:variant>
        <vt:i4>5</vt:i4>
      </vt:variant>
      <vt:variant>
        <vt:lpwstr/>
      </vt:variant>
      <vt:variant>
        <vt:lpwstr>_Toc404152779</vt:lpwstr>
      </vt:variant>
      <vt:variant>
        <vt:i4>1245234</vt:i4>
      </vt:variant>
      <vt:variant>
        <vt:i4>188</vt:i4>
      </vt:variant>
      <vt:variant>
        <vt:i4>0</vt:i4>
      </vt:variant>
      <vt:variant>
        <vt:i4>5</vt:i4>
      </vt:variant>
      <vt:variant>
        <vt:lpwstr/>
      </vt:variant>
      <vt:variant>
        <vt:lpwstr>_Toc404152778</vt:lpwstr>
      </vt:variant>
      <vt:variant>
        <vt:i4>1245234</vt:i4>
      </vt:variant>
      <vt:variant>
        <vt:i4>182</vt:i4>
      </vt:variant>
      <vt:variant>
        <vt:i4>0</vt:i4>
      </vt:variant>
      <vt:variant>
        <vt:i4>5</vt:i4>
      </vt:variant>
      <vt:variant>
        <vt:lpwstr/>
      </vt:variant>
      <vt:variant>
        <vt:lpwstr>_Toc404152777</vt:lpwstr>
      </vt:variant>
      <vt:variant>
        <vt:i4>1245234</vt:i4>
      </vt:variant>
      <vt:variant>
        <vt:i4>176</vt:i4>
      </vt:variant>
      <vt:variant>
        <vt:i4>0</vt:i4>
      </vt:variant>
      <vt:variant>
        <vt:i4>5</vt:i4>
      </vt:variant>
      <vt:variant>
        <vt:lpwstr/>
      </vt:variant>
      <vt:variant>
        <vt:lpwstr>_Toc404152776</vt:lpwstr>
      </vt:variant>
      <vt:variant>
        <vt:i4>1245234</vt:i4>
      </vt:variant>
      <vt:variant>
        <vt:i4>170</vt:i4>
      </vt:variant>
      <vt:variant>
        <vt:i4>0</vt:i4>
      </vt:variant>
      <vt:variant>
        <vt:i4>5</vt:i4>
      </vt:variant>
      <vt:variant>
        <vt:lpwstr/>
      </vt:variant>
      <vt:variant>
        <vt:lpwstr>_Toc404152775</vt:lpwstr>
      </vt:variant>
      <vt:variant>
        <vt:i4>1245234</vt:i4>
      </vt:variant>
      <vt:variant>
        <vt:i4>164</vt:i4>
      </vt:variant>
      <vt:variant>
        <vt:i4>0</vt:i4>
      </vt:variant>
      <vt:variant>
        <vt:i4>5</vt:i4>
      </vt:variant>
      <vt:variant>
        <vt:lpwstr/>
      </vt:variant>
      <vt:variant>
        <vt:lpwstr>_Toc404152774</vt:lpwstr>
      </vt:variant>
      <vt:variant>
        <vt:i4>1245234</vt:i4>
      </vt:variant>
      <vt:variant>
        <vt:i4>158</vt:i4>
      </vt:variant>
      <vt:variant>
        <vt:i4>0</vt:i4>
      </vt:variant>
      <vt:variant>
        <vt:i4>5</vt:i4>
      </vt:variant>
      <vt:variant>
        <vt:lpwstr/>
      </vt:variant>
      <vt:variant>
        <vt:lpwstr>_Toc404152773</vt:lpwstr>
      </vt:variant>
      <vt:variant>
        <vt:i4>1245234</vt:i4>
      </vt:variant>
      <vt:variant>
        <vt:i4>152</vt:i4>
      </vt:variant>
      <vt:variant>
        <vt:i4>0</vt:i4>
      </vt:variant>
      <vt:variant>
        <vt:i4>5</vt:i4>
      </vt:variant>
      <vt:variant>
        <vt:lpwstr/>
      </vt:variant>
      <vt:variant>
        <vt:lpwstr>_Toc404152772</vt:lpwstr>
      </vt:variant>
      <vt:variant>
        <vt:i4>1245234</vt:i4>
      </vt:variant>
      <vt:variant>
        <vt:i4>146</vt:i4>
      </vt:variant>
      <vt:variant>
        <vt:i4>0</vt:i4>
      </vt:variant>
      <vt:variant>
        <vt:i4>5</vt:i4>
      </vt:variant>
      <vt:variant>
        <vt:lpwstr/>
      </vt:variant>
      <vt:variant>
        <vt:lpwstr>_Toc404152771</vt:lpwstr>
      </vt:variant>
      <vt:variant>
        <vt:i4>1245234</vt:i4>
      </vt:variant>
      <vt:variant>
        <vt:i4>140</vt:i4>
      </vt:variant>
      <vt:variant>
        <vt:i4>0</vt:i4>
      </vt:variant>
      <vt:variant>
        <vt:i4>5</vt:i4>
      </vt:variant>
      <vt:variant>
        <vt:lpwstr/>
      </vt:variant>
      <vt:variant>
        <vt:lpwstr>_Toc404152770</vt:lpwstr>
      </vt:variant>
      <vt:variant>
        <vt:i4>1179698</vt:i4>
      </vt:variant>
      <vt:variant>
        <vt:i4>134</vt:i4>
      </vt:variant>
      <vt:variant>
        <vt:i4>0</vt:i4>
      </vt:variant>
      <vt:variant>
        <vt:i4>5</vt:i4>
      </vt:variant>
      <vt:variant>
        <vt:lpwstr/>
      </vt:variant>
      <vt:variant>
        <vt:lpwstr>_Toc404152769</vt:lpwstr>
      </vt:variant>
      <vt:variant>
        <vt:i4>1179698</vt:i4>
      </vt:variant>
      <vt:variant>
        <vt:i4>128</vt:i4>
      </vt:variant>
      <vt:variant>
        <vt:i4>0</vt:i4>
      </vt:variant>
      <vt:variant>
        <vt:i4>5</vt:i4>
      </vt:variant>
      <vt:variant>
        <vt:lpwstr/>
      </vt:variant>
      <vt:variant>
        <vt:lpwstr>_Toc404152768</vt:lpwstr>
      </vt:variant>
      <vt:variant>
        <vt:i4>1179698</vt:i4>
      </vt:variant>
      <vt:variant>
        <vt:i4>122</vt:i4>
      </vt:variant>
      <vt:variant>
        <vt:i4>0</vt:i4>
      </vt:variant>
      <vt:variant>
        <vt:i4>5</vt:i4>
      </vt:variant>
      <vt:variant>
        <vt:lpwstr/>
      </vt:variant>
      <vt:variant>
        <vt:lpwstr>_Toc404152767</vt:lpwstr>
      </vt:variant>
      <vt:variant>
        <vt:i4>1179698</vt:i4>
      </vt:variant>
      <vt:variant>
        <vt:i4>116</vt:i4>
      </vt:variant>
      <vt:variant>
        <vt:i4>0</vt:i4>
      </vt:variant>
      <vt:variant>
        <vt:i4>5</vt:i4>
      </vt:variant>
      <vt:variant>
        <vt:lpwstr/>
      </vt:variant>
      <vt:variant>
        <vt:lpwstr>_Toc404152766</vt:lpwstr>
      </vt:variant>
      <vt:variant>
        <vt:i4>1179698</vt:i4>
      </vt:variant>
      <vt:variant>
        <vt:i4>110</vt:i4>
      </vt:variant>
      <vt:variant>
        <vt:i4>0</vt:i4>
      </vt:variant>
      <vt:variant>
        <vt:i4>5</vt:i4>
      </vt:variant>
      <vt:variant>
        <vt:lpwstr/>
      </vt:variant>
      <vt:variant>
        <vt:lpwstr>_Toc404152765</vt:lpwstr>
      </vt:variant>
      <vt:variant>
        <vt:i4>1179698</vt:i4>
      </vt:variant>
      <vt:variant>
        <vt:i4>104</vt:i4>
      </vt:variant>
      <vt:variant>
        <vt:i4>0</vt:i4>
      </vt:variant>
      <vt:variant>
        <vt:i4>5</vt:i4>
      </vt:variant>
      <vt:variant>
        <vt:lpwstr/>
      </vt:variant>
      <vt:variant>
        <vt:lpwstr>_Toc404152764</vt:lpwstr>
      </vt:variant>
      <vt:variant>
        <vt:i4>1179698</vt:i4>
      </vt:variant>
      <vt:variant>
        <vt:i4>98</vt:i4>
      </vt:variant>
      <vt:variant>
        <vt:i4>0</vt:i4>
      </vt:variant>
      <vt:variant>
        <vt:i4>5</vt:i4>
      </vt:variant>
      <vt:variant>
        <vt:lpwstr/>
      </vt:variant>
      <vt:variant>
        <vt:lpwstr>_Toc404152763</vt:lpwstr>
      </vt:variant>
      <vt:variant>
        <vt:i4>1179698</vt:i4>
      </vt:variant>
      <vt:variant>
        <vt:i4>92</vt:i4>
      </vt:variant>
      <vt:variant>
        <vt:i4>0</vt:i4>
      </vt:variant>
      <vt:variant>
        <vt:i4>5</vt:i4>
      </vt:variant>
      <vt:variant>
        <vt:lpwstr/>
      </vt:variant>
      <vt:variant>
        <vt:lpwstr>_Toc404152762</vt:lpwstr>
      </vt:variant>
      <vt:variant>
        <vt:i4>1179698</vt:i4>
      </vt:variant>
      <vt:variant>
        <vt:i4>86</vt:i4>
      </vt:variant>
      <vt:variant>
        <vt:i4>0</vt:i4>
      </vt:variant>
      <vt:variant>
        <vt:i4>5</vt:i4>
      </vt:variant>
      <vt:variant>
        <vt:lpwstr/>
      </vt:variant>
      <vt:variant>
        <vt:lpwstr>_Toc404152761</vt:lpwstr>
      </vt:variant>
      <vt:variant>
        <vt:i4>1179698</vt:i4>
      </vt:variant>
      <vt:variant>
        <vt:i4>80</vt:i4>
      </vt:variant>
      <vt:variant>
        <vt:i4>0</vt:i4>
      </vt:variant>
      <vt:variant>
        <vt:i4>5</vt:i4>
      </vt:variant>
      <vt:variant>
        <vt:lpwstr/>
      </vt:variant>
      <vt:variant>
        <vt:lpwstr>_Toc404152760</vt:lpwstr>
      </vt:variant>
      <vt:variant>
        <vt:i4>1114162</vt:i4>
      </vt:variant>
      <vt:variant>
        <vt:i4>74</vt:i4>
      </vt:variant>
      <vt:variant>
        <vt:i4>0</vt:i4>
      </vt:variant>
      <vt:variant>
        <vt:i4>5</vt:i4>
      </vt:variant>
      <vt:variant>
        <vt:lpwstr/>
      </vt:variant>
      <vt:variant>
        <vt:lpwstr>_Toc404152759</vt:lpwstr>
      </vt:variant>
      <vt:variant>
        <vt:i4>1114162</vt:i4>
      </vt:variant>
      <vt:variant>
        <vt:i4>68</vt:i4>
      </vt:variant>
      <vt:variant>
        <vt:i4>0</vt:i4>
      </vt:variant>
      <vt:variant>
        <vt:i4>5</vt:i4>
      </vt:variant>
      <vt:variant>
        <vt:lpwstr/>
      </vt:variant>
      <vt:variant>
        <vt:lpwstr>_Toc404152758</vt:lpwstr>
      </vt:variant>
      <vt:variant>
        <vt:i4>1114162</vt:i4>
      </vt:variant>
      <vt:variant>
        <vt:i4>62</vt:i4>
      </vt:variant>
      <vt:variant>
        <vt:i4>0</vt:i4>
      </vt:variant>
      <vt:variant>
        <vt:i4>5</vt:i4>
      </vt:variant>
      <vt:variant>
        <vt:lpwstr/>
      </vt:variant>
      <vt:variant>
        <vt:lpwstr>_Toc404152757</vt:lpwstr>
      </vt:variant>
      <vt:variant>
        <vt:i4>1114162</vt:i4>
      </vt:variant>
      <vt:variant>
        <vt:i4>56</vt:i4>
      </vt:variant>
      <vt:variant>
        <vt:i4>0</vt:i4>
      </vt:variant>
      <vt:variant>
        <vt:i4>5</vt:i4>
      </vt:variant>
      <vt:variant>
        <vt:lpwstr/>
      </vt:variant>
      <vt:variant>
        <vt:lpwstr>_Toc404152756</vt:lpwstr>
      </vt:variant>
      <vt:variant>
        <vt:i4>1114162</vt:i4>
      </vt:variant>
      <vt:variant>
        <vt:i4>50</vt:i4>
      </vt:variant>
      <vt:variant>
        <vt:i4>0</vt:i4>
      </vt:variant>
      <vt:variant>
        <vt:i4>5</vt:i4>
      </vt:variant>
      <vt:variant>
        <vt:lpwstr/>
      </vt:variant>
      <vt:variant>
        <vt:lpwstr>_Toc404152755</vt:lpwstr>
      </vt:variant>
      <vt:variant>
        <vt:i4>1114162</vt:i4>
      </vt:variant>
      <vt:variant>
        <vt:i4>44</vt:i4>
      </vt:variant>
      <vt:variant>
        <vt:i4>0</vt:i4>
      </vt:variant>
      <vt:variant>
        <vt:i4>5</vt:i4>
      </vt:variant>
      <vt:variant>
        <vt:lpwstr/>
      </vt:variant>
      <vt:variant>
        <vt:lpwstr>_Toc404152754</vt:lpwstr>
      </vt:variant>
      <vt:variant>
        <vt:i4>1114162</vt:i4>
      </vt:variant>
      <vt:variant>
        <vt:i4>38</vt:i4>
      </vt:variant>
      <vt:variant>
        <vt:i4>0</vt:i4>
      </vt:variant>
      <vt:variant>
        <vt:i4>5</vt:i4>
      </vt:variant>
      <vt:variant>
        <vt:lpwstr/>
      </vt:variant>
      <vt:variant>
        <vt:lpwstr>_Toc404152753</vt:lpwstr>
      </vt:variant>
      <vt:variant>
        <vt:i4>1114162</vt:i4>
      </vt:variant>
      <vt:variant>
        <vt:i4>32</vt:i4>
      </vt:variant>
      <vt:variant>
        <vt:i4>0</vt:i4>
      </vt:variant>
      <vt:variant>
        <vt:i4>5</vt:i4>
      </vt:variant>
      <vt:variant>
        <vt:lpwstr/>
      </vt:variant>
      <vt:variant>
        <vt:lpwstr>_Toc404152752</vt:lpwstr>
      </vt:variant>
      <vt:variant>
        <vt:i4>1114162</vt:i4>
      </vt:variant>
      <vt:variant>
        <vt:i4>26</vt:i4>
      </vt:variant>
      <vt:variant>
        <vt:i4>0</vt:i4>
      </vt:variant>
      <vt:variant>
        <vt:i4>5</vt:i4>
      </vt:variant>
      <vt:variant>
        <vt:lpwstr/>
      </vt:variant>
      <vt:variant>
        <vt:lpwstr>_Toc404152751</vt:lpwstr>
      </vt:variant>
      <vt:variant>
        <vt:i4>1114162</vt:i4>
      </vt:variant>
      <vt:variant>
        <vt:i4>20</vt:i4>
      </vt:variant>
      <vt:variant>
        <vt:i4>0</vt:i4>
      </vt:variant>
      <vt:variant>
        <vt:i4>5</vt:i4>
      </vt:variant>
      <vt:variant>
        <vt:lpwstr/>
      </vt:variant>
      <vt:variant>
        <vt:lpwstr>_Toc404152750</vt:lpwstr>
      </vt:variant>
      <vt:variant>
        <vt:i4>1048626</vt:i4>
      </vt:variant>
      <vt:variant>
        <vt:i4>14</vt:i4>
      </vt:variant>
      <vt:variant>
        <vt:i4>0</vt:i4>
      </vt:variant>
      <vt:variant>
        <vt:i4>5</vt:i4>
      </vt:variant>
      <vt:variant>
        <vt:lpwstr/>
      </vt:variant>
      <vt:variant>
        <vt:lpwstr>_Toc404152749</vt:lpwstr>
      </vt:variant>
      <vt:variant>
        <vt:i4>1048626</vt:i4>
      </vt:variant>
      <vt:variant>
        <vt:i4>8</vt:i4>
      </vt:variant>
      <vt:variant>
        <vt:i4>0</vt:i4>
      </vt:variant>
      <vt:variant>
        <vt:i4>5</vt:i4>
      </vt:variant>
      <vt:variant>
        <vt:lpwstr/>
      </vt:variant>
      <vt:variant>
        <vt:lpwstr>_Toc404152748</vt:lpwstr>
      </vt:variant>
      <vt:variant>
        <vt:i4>1048626</vt:i4>
      </vt:variant>
      <vt:variant>
        <vt:i4>2</vt:i4>
      </vt:variant>
      <vt:variant>
        <vt:i4>0</vt:i4>
      </vt:variant>
      <vt:variant>
        <vt:i4>5</vt:i4>
      </vt:variant>
      <vt:variant>
        <vt:lpwstr/>
      </vt:variant>
      <vt:variant>
        <vt:lpwstr>_Toc404152747</vt:lpwstr>
      </vt:variant>
      <vt:variant>
        <vt:i4>6881388</vt:i4>
      </vt:variant>
      <vt:variant>
        <vt:i4>249</vt:i4>
      </vt:variant>
      <vt:variant>
        <vt:i4>0</vt:i4>
      </vt:variant>
      <vt:variant>
        <vt:i4>5</vt:i4>
      </vt:variant>
      <vt:variant>
        <vt:lpwstr>http://www.ggf.lu/</vt:lpwstr>
      </vt:variant>
      <vt:variant>
        <vt:lpwstr/>
      </vt:variant>
      <vt:variant>
        <vt:i4>7340086</vt:i4>
      </vt:variant>
      <vt:variant>
        <vt:i4>246</vt:i4>
      </vt:variant>
      <vt:variant>
        <vt:i4>0</vt:i4>
      </vt:variant>
      <vt:variant>
        <vt:i4>5</vt:i4>
      </vt:variant>
      <vt:variant>
        <vt:lpwstr>http://www.eeef.eu/</vt:lpwstr>
      </vt:variant>
      <vt:variant>
        <vt:lpwstr/>
      </vt:variant>
      <vt:variant>
        <vt:i4>7471215</vt:i4>
      </vt:variant>
      <vt:variant>
        <vt:i4>243</vt:i4>
      </vt:variant>
      <vt:variant>
        <vt:i4>0</vt:i4>
      </vt:variant>
      <vt:variant>
        <vt:i4>5</vt:i4>
      </vt:variant>
      <vt:variant>
        <vt:lpwstr>http://www.eib.org/projects/priorities/energy/index.htm</vt:lpwstr>
      </vt:variant>
      <vt:variant>
        <vt:lpwstr/>
      </vt:variant>
      <vt:variant>
        <vt:i4>851986</vt:i4>
      </vt:variant>
      <vt:variant>
        <vt:i4>240</vt:i4>
      </vt:variant>
      <vt:variant>
        <vt:i4>0</vt:i4>
      </vt:variant>
      <vt:variant>
        <vt:i4>5</vt:i4>
      </vt:variant>
      <vt:variant>
        <vt:lpwstr>http://www.eib.org/epec/g2g/annex/1-project-finance/</vt:lpwstr>
      </vt:variant>
      <vt:variant>
        <vt:lpwstr/>
      </vt:variant>
      <vt:variant>
        <vt:i4>3538976</vt:i4>
      </vt:variant>
      <vt:variant>
        <vt:i4>237</vt:i4>
      </vt:variant>
      <vt:variant>
        <vt:i4>0</vt:i4>
      </vt:variant>
      <vt:variant>
        <vt:i4>5</vt:i4>
      </vt:variant>
      <vt:variant>
        <vt:lpwstr>http://www.eib.org/products/project-bonds/index.htm</vt:lpwstr>
      </vt:variant>
      <vt:variant>
        <vt:lpwstr/>
      </vt:variant>
      <vt:variant>
        <vt:i4>6815800</vt:i4>
      </vt:variant>
      <vt:variant>
        <vt:i4>234</vt:i4>
      </vt:variant>
      <vt:variant>
        <vt:i4>0</vt:i4>
      </vt:variant>
      <vt:variant>
        <vt:i4>5</vt:i4>
      </vt:variant>
      <vt:variant>
        <vt:lpwstr>http://infrastukturamorava.cz/download/studiezahradnik.pdf</vt:lpwstr>
      </vt:variant>
      <vt:variant>
        <vt:lpwstr/>
      </vt:variant>
      <vt:variant>
        <vt:i4>262164</vt:i4>
      </vt:variant>
      <vt:variant>
        <vt:i4>231</vt:i4>
      </vt:variant>
      <vt:variant>
        <vt:i4>0</vt:i4>
      </vt:variant>
      <vt:variant>
        <vt:i4>5</vt:i4>
      </vt:variant>
      <vt:variant>
        <vt:lpwstr>http://ec.europa.eu/internal_market/consultations/2013/long-term-financing/docs/contributions/registered-organisations/groupe-bpce-ann2_en.pdf</vt:lpwstr>
      </vt:variant>
      <vt:variant>
        <vt:lpwstr/>
      </vt:variant>
      <vt:variant>
        <vt:i4>6422583</vt:i4>
      </vt:variant>
      <vt:variant>
        <vt:i4>228</vt:i4>
      </vt:variant>
      <vt:variant>
        <vt:i4>0</vt:i4>
      </vt:variant>
      <vt:variant>
        <vt:i4>5</vt:i4>
      </vt:variant>
      <vt:variant>
        <vt:lpwstr>https://lt.justice.gov.sk/Document/GovernmentResolutionProposal.aspx?instEID=-1&amp;matEID=6870&amp;docEID=342161&amp;docFormEID=12&amp;docTypeEID=3&amp;langEID=1&amp;tStamp=20131202180455127</vt:lpwstr>
      </vt:variant>
      <vt:variant>
        <vt:lpwstr/>
      </vt:variant>
      <vt:variant>
        <vt:i4>5242932</vt:i4>
      </vt:variant>
      <vt:variant>
        <vt:i4>225</vt:i4>
      </vt:variant>
      <vt:variant>
        <vt:i4>0</vt:i4>
      </vt:variant>
      <vt:variant>
        <vt:i4>5</vt:i4>
      </vt:variant>
      <vt:variant>
        <vt:lpwstr>http://ceskapozice.lidovky.cz/tiskni.aspx?c=A140407_220200_pozice_139726</vt:lpwstr>
      </vt:variant>
      <vt:variant>
        <vt:lpwstr/>
      </vt:variant>
      <vt:variant>
        <vt:i4>3145853</vt:i4>
      </vt:variant>
      <vt:variant>
        <vt:i4>222</vt:i4>
      </vt:variant>
      <vt:variant>
        <vt:i4>0</vt:i4>
      </vt:variant>
      <vt:variant>
        <vt:i4>5</vt:i4>
      </vt:variant>
      <vt:variant>
        <vt:lpwstr>http://ec.europa.eu/internal_market/finances/financing-growth/long-term/index_en.htm</vt:lpwstr>
      </vt:variant>
      <vt:variant>
        <vt:lpwstr/>
      </vt:variant>
      <vt:variant>
        <vt:i4>5767259</vt:i4>
      </vt:variant>
      <vt:variant>
        <vt:i4>219</vt:i4>
      </vt:variant>
      <vt:variant>
        <vt:i4>0</vt:i4>
      </vt:variant>
      <vt:variant>
        <vt:i4>5</vt:i4>
      </vt:variant>
      <vt:variant>
        <vt:lpwstr>http://www.eeef.org/</vt:lpwstr>
      </vt:variant>
      <vt:variant>
        <vt:lpwstr/>
      </vt:variant>
      <vt:variant>
        <vt:i4>1900637</vt:i4>
      </vt:variant>
      <vt:variant>
        <vt:i4>216</vt:i4>
      </vt:variant>
      <vt:variant>
        <vt:i4>0</vt:i4>
      </vt:variant>
      <vt:variant>
        <vt:i4>5</vt:i4>
      </vt:variant>
      <vt:variant>
        <vt:lpwstr>http://eur-lex.europa.eu/legal-content/CS/TXT/?uri=CELEX%3A32013R1303</vt:lpwstr>
      </vt:variant>
      <vt:variant>
        <vt:lpwstr/>
      </vt:variant>
      <vt:variant>
        <vt:i4>2359397</vt:i4>
      </vt:variant>
      <vt:variant>
        <vt:i4>213</vt:i4>
      </vt:variant>
      <vt:variant>
        <vt:i4>0</vt:i4>
      </vt:variant>
      <vt:variant>
        <vt:i4>5</vt:i4>
      </vt:variant>
      <vt:variant>
        <vt:lpwstr>http://www.eib.org/</vt:lpwstr>
      </vt:variant>
      <vt:variant>
        <vt:lpwstr/>
      </vt:variant>
      <vt:variant>
        <vt:i4>917578</vt:i4>
      </vt:variant>
      <vt:variant>
        <vt:i4>210</vt:i4>
      </vt:variant>
      <vt:variant>
        <vt:i4>0</vt:i4>
      </vt:variant>
      <vt:variant>
        <vt:i4>5</vt:i4>
      </vt:variant>
      <vt:variant>
        <vt:lpwstr>http://ec.europa.eu/internal_market/investment/long-term/index_en.htm</vt:lpwstr>
      </vt:variant>
      <vt:variant>
        <vt:lpwstr/>
      </vt:variant>
      <vt:variant>
        <vt:i4>3735603</vt:i4>
      </vt:variant>
      <vt:variant>
        <vt:i4>207</vt:i4>
      </vt:variant>
      <vt:variant>
        <vt:i4>0</vt:i4>
      </vt:variant>
      <vt:variant>
        <vt:i4>5</vt:i4>
      </vt:variant>
      <vt:variant>
        <vt:lpwstr>http://eur-lex.europa.eu/legal-content/EN/ALL/?uri=CELEX:32013R0346</vt:lpwstr>
      </vt:variant>
      <vt:variant>
        <vt:lpwstr/>
      </vt:variant>
      <vt:variant>
        <vt:i4>2752529</vt:i4>
      </vt:variant>
      <vt:variant>
        <vt:i4>204</vt:i4>
      </vt:variant>
      <vt:variant>
        <vt:i4>0</vt:i4>
      </vt:variant>
      <vt:variant>
        <vt:i4>5</vt:i4>
      </vt:variant>
      <vt:variant>
        <vt:lpwstr>http://ec.europa.eu/internal_market/investment/venture_capital/index_en.htm</vt:lpwstr>
      </vt:variant>
      <vt:variant>
        <vt:lpwstr/>
      </vt:variant>
      <vt:variant>
        <vt:i4>4128784</vt:i4>
      </vt:variant>
      <vt:variant>
        <vt:i4>201</vt:i4>
      </vt:variant>
      <vt:variant>
        <vt:i4>0</vt:i4>
      </vt:variant>
      <vt:variant>
        <vt:i4>5</vt:i4>
      </vt:variant>
      <vt:variant>
        <vt:lpwstr>http://ec.europa.eu/internal_market/investment/alternative_investments/index_en.htm</vt:lpwstr>
      </vt:variant>
      <vt:variant>
        <vt:lpwstr/>
      </vt:variant>
      <vt:variant>
        <vt:i4>6094941</vt:i4>
      </vt:variant>
      <vt:variant>
        <vt:i4>198</vt:i4>
      </vt:variant>
      <vt:variant>
        <vt:i4>0</vt:i4>
      </vt:variant>
      <vt:variant>
        <vt:i4>5</vt:i4>
      </vt:variant>
      <vt:variant>
        <vt:lpwstr>http://download.mpo.cz/get/32013/35445/388865/priloha001.pdf</vt:lpwstr>
      </vt:variant>
      <vt:variant>
        <vt:lpwstr/>
      </vt:variant>
      <vt:variant>
        <vt:i4>786451</vt:i4>
      </vt:variant>
      <vt:variant>
        <vt:i4>195</vt:i4>
      </vt:variant>
      <vt:variant>
        <vt:i4>0</vt:i4>
      </vt:variant>
      <vt:variant>
        <vt:i4>5</vt:i4>
      </vt:variant>
      <vt:variant>
        <vt:lpwstr>http://www.oecd.org/finance/OECD-LTI-project.pdf</vt:lpwstr>
      </vt:variant>
      <vt:variant>
        <vt:lpwstr/>
      </vt:variant>
      <vt:variant>
        <vt:i4>4587627</vt:i4>
      </vt:variant>
      <vt:variant>
        <vt:i4>192</vt:i4>
      </vt:variant>
      <vt:variant>
        <vt:i4>0</vt:i4>
      </vt:variant>
      <vt:variant>
        <vt:i4>5</vt:i4>
      </vt:variant>
      <vt:variant>
        <vt:lpwstr>http://ec.europa.eu/dgs/home-affairs/what-we-do/policies/organized-crime-and-human-trafficking/corruption/anti-corruption-report/docs/2014_acr_czech_republic_chapter_en.pdf</vt:lpwstr>
      </vt:variant>
      <vt:variant>
        <vt:lpwstr/>
      </vt:variant>
      <vt:variant>
        <vt:i4>6619261</vt:i4>
      </vt:variant>
      <vt:variant>
        <vt:i4>189</vt:i4>
      </vt:variant>
      <vt:variant>
        <vt:i4>0</vt:i4>
      </vt:variant>
      <vt:variant>
        <vt:i4>5</vt:i4>
      </vt:variant>
      <vt:variant>
        <vt:lpwstr>http://ec.europa.eu/regional_policy/sources/docgener/guides/synergy/synergies_en.pdf</vt:lpwstr>
      </vt:variant>
      <vt:variant>
        <vt:lpwstr/>
      </vt:variant>
      <vt:variant>
        <vt:i4>3342377</vt:i4>
      </vt:variant>
      <vt:variant>
        <vt:i4>186</vt:i4>
      </vt:variant>
      <vt:variant>
        <vt:i4>0</vt:i4>
      </vt:variant>
      <vt:variant>
        <vt:i4>5</vt:i4>
      </vt:variant>
      <vt:variant>
        <vt:lpwstr>http://ec.europa.eu/regional_policy/sources/docoffic/2014/working/evaluation_plan_guidance_en.pdf</vt:lpwstr>
      </vt:variant>
      <vt:variant>
        <vt:lpwstr/>
      </vt:variant>
      <vt:variant>
        <vt:i4>4653142</vt:i4>
      </vt:variant>
      <vt:variant>
        <vt:i4>183</vt:i4>
      </vt:variant>
      <vt:variant>
        <vt:i4>0</vt:i4>
      </vt:variant>
      <vt:variant>
        <vt:i4>5</vt:i4>
      </vt:variant>
      <vt:variant>
        <vt:lpwstr>http://www.euractiv.cz/regionalni-rozvoj/clanek/cesko-je-v-cerpani-penez-z-evropskych-fondu-nejhorsi-v-eu-011539</vt:lpwstr>
      </vt:variant>
      <vt:variant>
        <vt:lpwstr/>
      </vt:variant>
      <vt:variant>
        <vt:i4>2555959</vt:i4>
      </vt:variant>
      <vt:variant>
        <vt:i4>180</vt:i4>
      </vt:variant>
      <vt:variant>
        <vt:i4>0</vt:i4>
      </vt:variant>
      <vt:variant>
        <vt:i4>5</vt:i4>
      </vt:variant>
      <vt:variant>
        <vt:lpwstr>http://www.oecd.org/industry/entrepreneurshipataglance.htm</vt:lpwstr>
      </vt:variant>
      <vt:variant>
        <vt:lpwstr/>
      </vt:variant>
      <vt:variant>
        <vt:i4>6029336</vt:i4>
      </vt:variant>
      <vt:variant>
        <vt:i4>177</vt:i4>
      </vt:variant>
      <vt:variant>
        <vt:i4>0</vt:i4>
      </vt:variant>
      <vt:variant>
        <vt:i4>5</vt:i4>
      </vt:variant>
      <vt:variant>
        <vt:lpwstr>http://www.eba.europa.eu/regulation-and-policy/implementing-basel-iii-europe</vt:lpwstr>
      </vt:variant>
      <vt:variant>
        <vt:lpwstr/>
      </vt:variant>
      <vt:variant>
        <vt:i4>3932192</vt:i4>
      </vt:variant>
      <vt:variant>
        <vt:i4>174</vt:i4>
      </vt:variant>
      <vt:variant>
        <vt:i4>0</vt:i4>
      </vt:variant>
      <vt:variant>
        <vt:i4>5</vt:i4>
      </vt:variant>
      <vt:variant>
        <vt:lpwstr>http://www.mfcr.cz/cs/soukromy-sektor/monitoring/vyvoj-financniho-trhu/2013/zprava-o-vyvoji-financniho-trhu-v-roce-2-17959</vt:lpwstr>
      </vt:variant>
      <vt:variant>
        <vt:lpwstr/>
      </vt:variant>
      <vt:variant>
        <vt:i4>6553676</vt:i4>
      </vt:variant>
      <vt:variant>
        <vt:i4>171</vt:i4>
      </vt:variant>
      <vt:variant>
        <vt:i4>0</vt:i4>
      </vt:variant>
      <vt:variant>
        <vt:i4>5</vt:i4>
      </vt:variant>
      <vt:variant>
        <vt:lpwstr>http://ec.europa.eu/europe2020/index_en.htm</vt:lpwstr>
      </vt:variant>
      <vt:variant>
        <vt:lpwstr/>
      </vt:variant>
      <vt:variant>
        <vt:i4>6553632</vt:i4>
      </vt:variant>
      <vt:variant>
        <vt:i4>168</vt:i4>
      </vt:variant>
      <vt:variant>
        <vt:i4>0</vt:i4>
      </vt:variant>
      <vt:variant>
        <vt:i4>5</vt:i4>
      </vt:variant>
      <vt:variant>
        <vt:lpwstr>http://ec.europa.eu/regional_policy/thefunds/instruments/doc/summary_data_fei_2012.pdf</vt:lpwstr>
      </vt:variant>
      <vt:variant>
        <vt:lpwstr/>
      </vt:variant>
      <vt:variant>
        <vt:i4>6553632</vt:i4>
      </vt:variant>
      <vt:variant>
        <vt:i4>165</vt:i4>
      </vt:variant>
      <vt:variant>
        <vt:i4>0</vt:i4>
      </vt:variant>
      <vt:variant>
        <vt:i4>5</vt:i4>
      </vt:variant>
      <vt:variant>
        <vt:lpwstr>http://ec.europa.eu/regional_policy/thefunds/instruments/doc/summary_data_fei_2012.pdf</vt:lpwstr>
      </vt:variant>
      <vt:variant>
        <vt:lpwstr/>
      </vt:variant>
      <vt:variant>
        <vt:i4>786520</vt:i4>
      </vt:variant>
      <vt:variant>
        <vt:i4>162</vt:i4>
      </vt:variant>
      <vt:variant>
        <vt:i4>0</vt:i4>
      </vt:variant>
      <vt:variant>
        <vt:i4>5</vt:i4>
      </vt:variant>
      <vt:variant>
        <vt:lpwstr>http://www.europarl.europa.eu/document/activities/cont/201212/20121219ATT58253/20121219ATT58253EN.pdf</vt:lpwstr>
      </vt:variant>
      <vt:variant>
        <vt:lpwstr/>
      </vt:variant>
      <vt:variant>
        <vt:i4>7340086</vt:i4>
      </vt:variant>
      <vt:variant>
        <vt:i4>159</vt:i4>
      </vt:variant>
      <vt:variant>
        <vt:i4>0</vt:i4>
      </vt:variant>
      <vt:variant>
        <vt:i4>5</vt:i4>
      </vt:variant>
      <vt:variant>
        <vt:lpwstr>http://www.eeef.eu/</vt:lpwstr>
      </vt:variant>
      <vt:variant>
        <vt:lpwstr/>
      </vt:variant>
      <vt:variant>
        <vt:i4>7340116</vt:i4>
      </vt:variant>
      <vt:variant>
        <vt:i4>156</vt:i4>
      </vt:variant>
      <vt:variant>
        <vt:i4>0</vt:i4>
      </vt:variant>
      <vt:variant>
        <vt:i4>5</vt:i4>
      </vt:variant>
      <vt:variant>
        <vt:lpwstr>http://ec.europa.eu/regional policy/what/future/pdf/preparation/3_draft_standard_terms_conditions_financial_instruments_17072013.pdf</vt:lpwstr>
      </vt:variant>
      <vt:variant>
        <vt:lpwstr/>
      </vt:variant>
      <vt:variant>
        <vt:i4>983124</vt:i4>
      </vt:variant>
      <vt:variant>
        <vt:i4>153</vt:i4>
      </vt:variant>
      <vt:variant>
        <vt:i4>0</vt:i4>
      </vt:variant>
      <vt:variant>
        <vt:i4>5</vt:i4>
      </vt:variant>
      <vt:variant>
        <vt:lpwstr>http://ec.europa.eu/regional policy/what/future/pdf/preparation/3 draft_standard_terms_conditions_financial_instruments_17072013.pdf</vt:lpwstr>
      </vt:variant>
      <vt:variant>
        <vt:lpwstr/>
      </vt:variant>
      <vt:variant>
        <vt:i4>4063282</vt:i4>
      </vt:variant>
      <vt:variant>
        <vt:i4>150</vt:i4>
      </vt:variant>
      <vt:variant>
        <vt:i4>0</vt:i4>
      </vt:variant>
      <vt:variant>
        <vt:i4>5</vt:i4>
      </vt:variant>
      <vt:variant>
        <vt:lpwstr>http://ec.europa.eu/social/main.jsp?langId=en&amp;catId=89&amp;newsId=1093</vt:lpwstr>
      </vt:variant>
      <vt:variant>
        <vt:lpwstr/>
      </vt:variant>
      <vt:variant>
        <vt:i4>6750269</vt:i4>
      </vt:variant>
      <vt:variant>
        <vt:i4>147</vt:i4>
      </vt:variant>
      <vt:variant>
        <vt:i4>0</vt:i4>
      </vt:variant>
      <vt:variant>
        <vt:i4>5</vt:i4>
      </vt:variant>
      <vt:variant>
        <vt:lpwstr>http://www.eib.org/products/project-bonds/</vt:lpwstr>
      </vt:variant>
      <vt:variant>
        <vt:lpwstr/>
      </vt:variant>
      <vt:variant>
        <vt:i4>6881402</vt:i4>
      </vt:variant>
      <vt:variant>
        <vt:i4>144</vt:i4>
      </vt:variant>
      <vt:variant>
        <vt:i4>0</vt:i4>
      </vt:variant>
      <vt:variant>
        <vt:i4>5</vt:i4>
      </vt:variant>
      <vt:variant>
        <vt:lpwstr>http://inea.ec.europa.eu/en/cef/cef.htm</vt:lpwstr>
      </vt:variant>
      <vt:variant>
        <vt:lpwstr/>
      </vt:variant>
      <vt:variant>
        <vt:i4>7143547</vt:i4>
      </vt:variant>
      <vt:variant>
        <vt:i4>141</vt:i4>
      </vt:variant>
      <vt:variant>
        <vt:i4>0</vt:i4>
      </vt:variant>
      <vt:variant>
        <vt:i4>5</vt:i4>
      </vt:variant>
      <vt:variant>
        <vt:lpwstr>http://ec.europa.eu/programmes/horizon2020/en/what-horizon-2020</vt:lpwstr>
      </vt:variant>
      <vt:variant>
        <vt:lpwstr/>
      </vt:variant>
      <vt:variant>
        <vt:i4>65596</vt:i4>
      </vt:variant>
      <vt:variant>
        <vt:i4>138</vt:i4>
      </vt:variant>
      <vt:variant>
        <vt:i4>0</vt:i4>
      </vt:variant>
      <vt:variant>
        <vt:i4>5</vt:i4>
      </vt:variant>
      <vt:variant>
        <vt:lpwstr>http://ec.europa.eu/enterprise/initiatives/cosme/index_en.htm</vt:lpwstr>
      </vt:variant>
      <vt:variant>
        <vt:lpwstr/>
      </vt:variant>
      <vt:variant>
        <vt:i4>7798909</vt:i4>
      </vt:variant>
      <vt:variant>
        <vt:i4>135</vt:i4>
      </vt:variant>
      <vt:variant>
        <vt:i4>0</vt:i4>
      </vt:variant>
      <vt:variant>
        <vt:i4>5</vt:i4>
      </vt:variant>
      <vt:variant>
        <vt:lpwstr>http://ec.europa.eu/economy finance/financial_operations/investment/innovative_financial_instruments/index_en.htm</vt:lpwstr>
      </vt:variant>
      <vt:variant>
        <vt:lpwstr/>
      </vt:variant>
      <vt:variant>
        <vt:i4>64</vt:i4>
      </vt:variant>
      <vt:variant>
        <vt:i4>132</vt:i4>
      </vt:variant>
      <vt:variant>
        <vt:i4>0</vt:i4>
      </vt:variant>
      <vt:variant>
        <vt:i4>5</vt:i4>
      </vt:variant>
      <vt:variant>
        <vt:lpwstr>http://www.eib.org/products/esif/</vt:lpwstr>
      </vt:variant>
      <vt:variant>
        <vt:lpwstr/>
      </vt:variant>
      <vt:variant>
        <vt:i4>4915264</vt:i4>
      </vt:variant>
      <vt:variant>
        <vt:i4>129</vt:i4>
      </vt:variant>
      <vt:variant>
        <vt:i4>0</vt:i4>
      </vt:variant>
      <vt:variant>
        <vt:i4>5</vt:i4>
      </vt:variant>
      <vt:variant>
        <vt:lpwstr>http://www.europarl.europa.eu/sides/getDoc.do?pubRef=-//EP//TEXT+TA+P7-TA-2012-0404+0+DOC+XML+V0//CS</vt:lpwstr>
      </vt:variant>
      <vt:variant>
        <vt:lpwstr/>
      </vt:variant>
      <vt:variant>
        <vt:i4>5505034</vt:i4>
      </vt:variant>
      <vt:variant>
        <vt:i4>126</vt:i4>
      </vt:variant>
      <vt:variant>
        <vt:i4>0</vt:i4>
      </vt:variant>
      <vt:variant>
        <vt:i4>5</vt:i4>
      </vt:variant>
      <vt:variant>
        <vt:lpwstr>http://www.europarl.europa.eu/oeil/popups/ficheprocedure.do?lang=en&amp;reference=2012/2027(INI)</vt:lpwstr>
      </vt:variant>
      <vt:variant>
        <vt:lpwstr/>
      </vt:variant>
      <vt:variant>
        <vt:i4>65639</vt:i4>
      </vt:variant>
      <vt:variant>
        <vt:i4>123</vt:i4>
      </vt:variant>
      <vt:variant>
        <vt:i4>0</vt:i4>
      </vt:variant>
      <vt:variant>
        <vt:i4>5</vt:i4>
      </vt:variant>
      <vt:variant>
        <vt:lpwstr>http://www.strukturalni-fondy.cz/getmedia/8db7b709-bce3-4fa8-b0c8-437f1610a10c/CMZ_2014_IIQ_elektronicka.pdf</vt:lpwstr>
      </vt:variant>
      <vt:variant>
        <vt:lpwstr/>
      </vt:variant>
      <vt:variant>
        <vt:i4>5898253</vt:i4>
      </vt:variant>
      <vt:variant>
        <vt:i4>120</vt:i4>
      </vt:variant>
      <vt:variant>
        <vt:i4>0</vt:i4>
      </vt:variant>
      <vt:variant>
        <vt:i4>5</vt:i4>
      </vt:variant>
      <vt:variant>
        <vt:lpwstr>http://www.europarl.europa.eu/news/en/news-room/content/20140307IPR38110/html/Parliament-toughens-up-anti-money-laundering-rules</vt:lpwstr>
      </vt:variant>
      <vt:variant>
        <vt:lpwstr/>
      </vt:variant>
      <vt:variant>
        <vt:i4>1769478</vt:i4>
      </vt:variant>
      <vt:variant>
        <vt:i4>117</vt:i4>
      </vt:variant>
      <vt:variant>
        <vt:i4>0</vt:i4>
      </vt:variant>
      <vt:variant>
        <vt:i4>5</vt:i4>
      </vt:variant>
      <vt:variant>
        <vt:lpwstr>https://www.kfw-entwicklungsbank.de/International-financing/KfW-Entwicklungsbank/</vt:lpwstr>
      </vt:variant>
      <vt:variant>
        <vt:lpwstr/>
      </vt:variant>
      <vt:variant>
        <vt:i4>3801205</vt:i4>
      </vt:variant>
      <vt:variant>
        <vt:i4>114</vt:i4>
      </vt:variant>
      <vt:variant>
        <vt:i4>0</vt:i4>
      </vt:variant>
      <vt:variant>
        <vt:i4>5</vt:i4>
      </vt:variant>
      <vt:variant>
        <vt:lpwstr>http://ec.europa.eu/economy_finance/financial_operations/investment/europe_2020/index_en.htm</vt:lpwstr>
      </vt:variant>
      <vt:variant>
        <vt:lpwstr/>
      </vt:variant>
      <vt:variant>
        <vt:i4>2687003</vt:i4>
      </vt:variant>
      <vt:variant>
        <vt:i4>111</vt:i4>
      </vt:variant>
      <vt:variant>
        <vt:i4>0</vt:i4>
      </vt:variant>
      <vt:variant>
        <vt:i4>5</vt:i4>
      </vt:variant>
      <vt:variant>
        <vt:lpwstr>http://ec.europa.eu/regional_policy/information/evaluations/impact_evaluation_en.cfm</vt:lpwstr>
      </vt:variant>
      <vt:variant>
        <vt:lpwstr/>
      </vt:variant>
      <vt:variant>
        <vt:i4>4522058</vt:i4>
      </vt:variant>
      <vt:variant>
        <vt:i4>108</vt:i4>
      </vt:variant>
      <vt:variant>
        <vt:i4>0</vt:i4>
      </vt:variant>
      <vt:variant>
        <vt:i4>5</vt:i4>
      </vt:variant>
      <vt:variant>
        <vt:lpwstr>http://www.unive.it/media/allegato/infoscari-pdf/2014/slideEnricoCanu.pdf</vt:lpwstr>
      </vt:variant>
      <vt:variant>
        <vt:lpwstr/>
      </vt:variant>
      <vt:variant>
        <vt:i4>4849728</vt:i4>
      </vt:variant>
      <vt:variant>
        <vt:i4>105</vt:i4>
      </vt:variant>
      <vt:variant>
        <vt:i4>0</vt:i4>
      </vt:variant>
      <vt:variant>
        <vt:i4>5</vt:i4>
      </vt:variant>
      <vt:variant>
        <vt:lpwstr>http://www.eib.org/infocentre/press/releases/all/2014/2014-177-abs-loan-for-smes-eib-participates-in-securitisation-deal-with-ikb-leasing.htm</vt:lpwstr>
      </vt:variant>
      <vt:variant>
        <vt:lpwstr/>
      </vt:variant>
      <vt:variant>
        <vt:i4>2752612</vt:i4>
      </vt:variant>
      <vt:variant>
        <vt:i4>102</vt:i4>
      </vt:variant>
      <vt:variant>
        <vt:i4>0</vt:i4>
      </vt:variant>
      <vt:variant>
        <vt:i4>5</vt:i4>
      </vt:variant>
      <vt:variant>
        <vt:lpwstr>http://bonds.about.com/od/advancedbonds/a/What-Are-Asset-Backed-Securities-Abs.htm</vt:lpwstr>
      </vt:variant>
      <vt:variant>
        <vt:lpwstr/>
      </vt:variant>
      <vt:variant>
        <vt:i4>1245276</vt:i4>
      </vt:variant>
      <vt:variant>
        <vt:i4>99</vt:i4>
      </vt:variant>
      <vt:variant>
        <vt:i4>0</vt:i4>
      </vt:variant>
      <vt:variant>
        <vt:i4>5</vt:i4>
      </vt:variant>
      <vt:variant>
        <vt:lpwstr>http://apps.drachesoft.be/webfiles/opendays2012/1523.ppt</vt:lpwstr>
      </vt:variant>
      <vt:variant>
        <vt:lpwstr/>
      </vt:variant>
      <vt:variant>
        <vt:i4>4849687</vt:i4>
      </vt:variant>
      <vt:variant>
        <vt:i4>96</vt:i4>
      </vt:variant>
      <vt:variant>
        <vt:i4>0</vt:i4>
      </vt:variant>
      <vt:variant>
        <vt:i4>5</vt:i4>
      </vt:variant>
      <vt:variant>
        <vt:lpwstr>http://ec.europa.eu/regional_policy/sources/docoffic/official/communic/financial/financial_instruments_2012_en.pdf</vt:lpwstr>
      </vt:variant>
      <vt:variant>
        <vt:lpwstr/>
      </vt:variant>
      <vt:variant>
        <vt:i4>2097269</vt:i4>
      </vt:variant>
      <vt:variant>
        <vt:i4>93</vt:i4>
      </vt:variant>
      <vt:variant>
        <vt:i4>0</vt:i4>
      </vt:variant>
      <vt:variant>
        <vt:i4>5</vt:i4>
      </vt:variant>
      <vt:variant>
        <vt:lpwstr>http://ec.europa.eu/internal_market/smact/docs/single-market-act2_en.pdf</vt:lpwstr>
      </vt:variant>
      <vt:variant>
        <vt:lpwstr/>
      </vt:variant>
      <vt:variant>
        <vt:i4>1310726</vt:i4>
      </vt:variant>
      <vt:variant>
        <vt:i4>90</vt:i4>
      </vt:variant>
      <vt:variant>
        <vt:i4>0</vt:i4>
      </vt:variant>
      <vt:variant>
        <vt:i4>5</vt:i4>
      </vt:variant>
      <vt:variant>
        <vt:lpwstr>http://is.muni.cz/th/207146/esf_m/Konecna_DP.pdf</vt:lpwstr>
      </vt:variant>
      <vt:variant>
        <vt:lpwstr/>
      </vt:variant>
      <vt:variant>
        <vt:i4>6553601</vt:i4>
      </vt:variant>
      <vt:variant>
        <vt:i4>87</vt:i4>
      </vt:variant>
      <vt:variant>
        <vt:i4>0</vt:i4>
      </vt:variant>
      <vt:variant>
        <vt:i4>5</vt:i4>
      </vt:variant>
      <vt:variant>
        <vt:lpwstr>https://www.cnb.cz/cs/dohled_financni_trh/souhrnne_informace_fin_trhy/zakladni_ukazatele_fin_trhu/banky/bs-ukazatele_tab04a.html</vt:lpwstr>
      </vt:variant>
      <vt:variant>
        <vt:lpwstr/>
      </vt:variant>
      <vt:variant>
        <vt:i4>2228303</vt:i4>
      </vt:variant>
      <vt:variant>
        <vt:i4>84</vt:i4>
      </vt:variant>
      <vt:variant>
        <vt:i4>0</vt:i4>
      </vt:variant>
      <vt:variant>
        <vt:i4>5</vt:i4>
      </vt:variant>
      <vt:variant>
        <vt:lpwstr>http://www.cnb.cz/cs/statistika/menova_bankovni_stat/bankovni_statistika/bank_stat_komentar.html</vt:lpwstr>
      </vt:variant>
      <vt:variant>
        <vt:lpwstr/>
      </vt:variant>
      <vt:variant>
        <vt:i4>4063335</vt:i4>
      </vt:variant>
      <vt:variant>
        <vt:i4>81</vt:i4>
      </vt:variant>
      <vt:variant>
        <vt:i4>0</vt:i4>
      </vt:variant>
      <vt:variant>
        <vt:i4>5</vt:i4>
      </vt:variant>
      <vt:variant>
        <vt:lpwstr>http://www.eib.org/attachments/efs/investment_and_investment_finance_in_europe_en.pdf</vt:lpwstr>
      </vt:variant>
      <vt:variant>
        <vt:lpwstr/>
      </vt:variant>
      <vt:variant>
        <vt:i4>196716</vt:i4>
      </vt:variant>
      <vt:variant>
        <vt:i4>78</vt:i4>
      </vt:variant>
      <vt:variant>
        <vt:i4>0</vt:i4>
      </vt:variant>
      <vt:variant>
        <vt:i4>5</vt:i4>
      </vt:variant>
      <vt:variant>
        <vt:lpwstr>http://ec.europa.eu/economy_finance/financial_operations/investment/europe_2020/documents/com2011_662_en.pdf</vt:lpwstr>
      </vt:variant>
      <vt:variant>
        <vt:lpwstr/>
      </vt:variant>
      <vt:variant>
        <vt:i4>7864378</vt:i4>
      </vt:variant>
      <vt:variant>
        <vt:i4>75</vt:i4>
      </vt:variant>
      <vt:variant>
        <vt:i4>0</vt:i4>
      </vt:variant>
      <vt:variant>
        <vt:i4>5</vt:i4>
      </vt:variant>
      <vt:variant>
        <vt:lpwstr>http://www.mfcr.cz/assets/cs/media/Duvodova-zprava_2013_Duvodova-zprava-k-zakonu-240-2013.pdf</vt:lpwstr>
      </vt:variant>
      <vt:variant>
        <vt:lpwstr/>
      </vt:variant>
      <vt:variant>
        <vt:i4>1769579</vt:i4>
      </vt:variant>
      <vt:variant>
        <vt:i4>72</vt:i4>
      </vt:variant>
      <vt:variant>
        <vt:i4>0</vt:i4>
      </vt:variant>
      <vt:variant>
        <vt:i4>5</vt:i4>
      </vt:variant>
      <vt:variant>
        <vt:lpwstr>http://ec.europa.eu/bepa/pdf/cef_brochure.pdf</vt:lpwstr>
      </vt:variant>
      <vt:variant>
        <vt:lpwstr/>
      </vt:variant>
      <vt:variant>
        <vt:i4>8323194</vt:i4>
      </vt:variant>
      <vt:variant>
        <vt:i4>69</vt:i4>
      </vt:variant>
      <vt:variant>
        <vt:i4>0</vt:i4>
      </vt:variant>
      <vt:variant>
        <vt:i4>5</vt:i4>
      </vt:variant>
      <vt:variant>
        <vt:lpwstr>http://eur-lex.europa.eu/LexUriServ/LexUriServ.do?uri=COM:2010:0546:FIN:CS:PDF</vt:lpwstr>
      </vt:variant>
      <vt:variant>
        <vt:lpwstr/>
      </vt:variant>
      <vt:variant>
        <vt:i4>7405694</vt:i4>
      </vt:variant>
      <vt:variant>
        <vt:i4>66</vt:i4>
      </vt:variant>
      <vt:variant>
        <vt:i4>0</vt:i4>
      </vt:variant>
      <vt:variant>
        <vt:i4>5</vt:i4>
      </vt:variant>
      <vt:variant>
        <vt:lpwstr>http://eur-lex.europa.eu/LexUriServ/LexUriServ.do?uri=COM:2012:0582:FIN:CS:PDF</vt:lpwstr>
      </vt:variant>
      <vt:variant>
        <vt:lpwstr/>
      </vt:variant>
      <vt:variant>
        <vt:i4>6422609</vt:i4>
      </vt:variant>
      <vt:variant>
        <vt:i4>63</vt:i4>
      </vt:variant>
      <vt:variant>
        <vt:i4>0</vt:i4>
      </vt:variant>
      <vt:variant>
        <vt:i4>5</vt:i4>
      </vt:variant>
      <vt:variant>
        <vt:lpwstr>http://ec.europa.eu/europe2020/index_cs.htm</vt:lpwstr>
      </vt:variant>
      <vt:variant>
        <vt:lpwstr/>
      </vt:variant>
      <vt:variant>
        <vt:i4>5046302</vt:i4>
      </vt:variant>
      <vt:variant>
        <vt:i4>60</vt:i4>
      </vt:variant>
      <vt:variant>
        <vt:i4>0</vt:i4>
      </vt:variant>
      <vt:variant>
        <vt:i4>5</vt:i4>
      </vt:variant>
      <vt:variant>
        <vt:lpwstr>http://eur-lex.europa.eu/legal-content/EN/TXT/?uri=CELEX:52013DC0150</vt:lpwstr>
      </vt:variant>
      <vt:variant>
        <vt:lpwstr/>
      </vt:variant>
      <vt:variant>
        <vt:i4>655448</vt:i4>
      </vt:variant>
      <vt:variant>
        <vt:i4>57</vt:i4>
      </vt:variant>
      <vt:variant>
        <vt:i4>0</vt:i4>
      </vt:variant>
      <vt:variant>
        <vt:i4>5</vt:i4>
      </vt:variant>
      <vt:variant>
        <vt:lpwstr>http://www.eib.org/epec/resources/epec-using-EU-funds-in-ppps-public.pdf</vt:lpwstr>
      </vt:variant>
      <vt:variant>
        <vt:lpwstr/>
      </vt:variant>
      <vt:variant>
        <vt:i4>7864378</vt:i4>
      </vt:variant>
      <vt:variant>
        <vt:i4>54</vt:i4>
      </vt:variant>
      <vt:variant>
        <vt:i4>0</vt:i4>
      </vt:variant>
      <vt:variant>
        <vt:i4>5</vt:i4>
      </vt:variant>
      <vt:variant>
        <vt:lpwstr>http://www.mfcr.cz/assets/cs/media/Duvodova-zprava_2013_Duvodova-zprava-k-zakonu-240-2013.pdf</vt:lpwstr>
      </vt:variant>
      <vt:variant>
        <vt:lpwstr/>
      </vt:variant>
      <vt:variant>
        <vt:i4>4587546</vt:i4>
      </vt:variant>
      <vt:variant>
        <vt:i4>51</vt:i4>
      </vt:variant>
      <vt:variant>
        <vt:i4>0</vt:i4>
      </vt:variant>
      <vt:variant>
        <vt:i4>5</vt:i4>
      </vt:variant>
      <vt:variant>
        <vt:lpwstr>http://europa.eu/rapid/press-release_IP-13-605_en.htm</vt:lpwstr>
      </vt:variant>
      <vt:variant>
        <vt:lpwstr/>
      </vt:variant>
      <vt:variant>
        <vt:i4>1179663</vt:i4>
      </vt:variant>
      <vt:variant>
        <vt:i4>48</vt:i4>
      </vt:variant>
      <vt:variant>
        <vt:i4>0</vt:i4>
      </vt:variant>
      <vt:variant>
        <vt:i4>5</vt:i4>
      </vt:variant>
      <vt:variant>
        <vt:lpwstr>http://ec.europa.eu/internal_market/investment/social_investment_funds/index_en.htm</vt:lpwstr>
      </vt:variant>
      <vt:variant>
        <vt:lpwstr/>
      </vt:variant>
      <vt:variant>
        <vt:i4>2752529</vt:i4>
      </vt:variant>
      <vt:variant>
        <vt:i4>45</vt:i4>
      </vt:variant>
      <vt:variant>
        <vt:i4>0</vt:i4>
      </vt:variant>
      <vt:variant>
        <vt:i4>5</vt:i4>
      </vt:variant>
      <vt:variant>
        <vt:lpwstr>http://ec.europa.eu/internal_market/investment/venture_capital/index_en.htm</vt:lpwstr>
      </vt:variant>
      <vt:variant>
        <vt:lpwstr/>
      </vt:variant>
      <vt:variant>
        <vt:i4>4128784</vt:i4>
      </vt:variant>
      <vt:variant>
        <vt:i4>42</vt:i4>
      </vt:variant>
      <vt:variant>
        <vt:i4>0</vt:i4>
      </vt:variant>
      <vt:variant>
        <vt:i4>5</vt:i4>
      </vt:variant>
      <vt:variant>
        <vt:lpwstr>http://ec.europa.eu/internal_market/investment/alternative_investments/index_en.htm</vt:lpwstr>
      </vt:variant>
      <vt:variant>
        <vt:lpwstr/>
      </vt:variant>
      <vt:variant>
        <vt:i4>6750269</vt:i4>
      </vt:variant>
      <vt:variant>
        <vt:i4>39</vt:i4>
      </vt:variant>
      <vt:variant>
        <vt:i4>0</vt:i4>
      </vt:variant>
      <vt:variant>
        <vt:i4>5</vt:i4>
      </vt:variant>
      <vt:variant>
        <vt:lpwstr>http://www.eib.org/products/project-bonds/</vt:lpwstr>
      </vt:variant>
      <vt:variant>
        <vt:lpwstr/>
      </vt:variant>
      <vt:variant>
        <vt:i4>7143547</vt:i4>
      </vt:variant>
      <vt:variant>
        <vt:i4>36</vt:i4>
      </vt:variant>
      <vt:variant>
        <vt:i4>0</vt:i4>
      </vt:variant>
      <vt:variant>
        <vt:i4>5</vt:i4>
      </vt:variant>
      <vt:variant>
        <vt:lpwstr>http://ec.europa.eu/programmes/horizon2020/en/what-horizon-2020</vt:lpwstr>
      </vt:variant>
      <vt:variant>
        <vt:lpwstr/>
      </vt:variant>
      <vt:variant>
        <vt:i4>65596</vt:i4>
      </vt:variant>
      <vt:variant>
        <vt:i4>33</vt:i4>
      </vt:variant>
      <vt:variant>
        <vt:i4>0</vt:i4>
      </vt:variant>
      <vt:variant>
        <vt:i4>5</vt:i4>
      </vt:variant>
      <vt:variant>
        <vt:lpwstr>http://ec.europa.eu/enterprise/initiatives/cosme/index_en.htm</vt:lpwstr>
      </vt:variant>
      <vt:variant>
        <vt:lpwstr/>
      </vt:variant>
      <vt:variant>
        <vt:i4>524413</vt:i4>
      </vt:variant>
      <vt:variant>
        <vt:i4>30</vt:i4>
      </vt:variant>
      <vt:variant>
        <vt:i4>0</vt:i4>
      </vt:variant>
      <vt:variant>
        <vt:i4>5</vt:i4>
      </vt:variant>
      <vt:variant>
        <vt:lpwstr>http://ec.europa.eu/economy_finance/financial_operations/investment/innovative_financial_instruments/index_en.htm</vt:lpwstr>
      </vt:variant>
      <vt:variant>
        <vt:lpwstr/>
      </vt:variant>
      <vt:variant>
        <vt:i4>4587594</vt:i4>
      </vt:variant>
      <vt:variant>
        <vt:i4>27</vt:i4>
      </vt:variant>
      <vt:variant>
        <vt:i4>0</vt:i4>
      </vt:variant>
      <vt:variant>
        <vt:i4>5</vt:i4>
      </vt:variant>
      <vt:variant>
        <vt:lpwstr>http://europa.eu/rapid/press-release_IP-13-1096_en.htm</vt:lpwstr>
      </vt:variant>
      <vt:variant>
        <vt:lpwstr/>
      </vt:variant>
      <vt:variant>
        <vt:i4>65617</vt:i4>
      </vt:variant>
      <vt:variant>
        <vt:i4>24</vt:i4>
      </vt:variant>
      <vt:variant>
        <vt:i4>0</vt:i4>
      </vt:variant>
      <vt:variant>
        <vt:i4>5</vt:i4>
      </vt:variant>
      <vt:variant>
        <vt:lpwstr>http://www.imf.org/external/</vt:lpwstr>
      </vt:variant>
      <vt:variant>
        <vt:lpwstr/>
      </vt:variant>
      <vt:variant>
        <vt:i4>6291572</vt:i4>
      </vt:variant>
      <vt:variant>
        <vt:i4>21</vt:i4>
      </vt:variant>
      <vt:variant>
        <vt:i4>0</vt:i4>
      </vt:variant>
      <vt:variant>
        <vt:i4>5</vt:i4>
      </vt:variant>
      <vt:variant>
        <vt:lpwstr>http://www.thetimes.co.uk/tto/business/economics/article4229666.ece</vt:lpwstr>
      </vt:variant>
      <vt:variant>
        <vt:lpwstr/>
      </vt:variant>
      <vt:variant>
        <vt:i4>655377</vt:i4>
      </vt:variant>
      <vt:variant>
        <vt:i4>18</vt:i4>
      </vt:variant>
      <vt:variant>
        <vt:i4>0</vt:i4>
      </vt:variant>
      <vt:variant>
        <vt:i4>5</vt:i4>
      </vt:variant>
      <vt:variant>
        <vt:lpwstr>http://www.ekathimerini.com/4dcgi/_w_articles_wsite2_1_14/07/2014_541363</vt:lpwstr>
      </vt:variant>
      <vt:variant>
        <vt:lpwstr/>
      </vt:variant>
      <vt:variant>
        <vt:i4>4194316</vt:i4>
      </vt:variant>
      <vt:variant>
        <vt:i4>15</vt:i4>
      </vt:variant>
      <vt:variant>
        <vt:i4>0</vt:i4>
      </vt:variant>
      <vt:variant>
        <vt:i4>5</vt:i4>
      </vt:variant>
      <vt:variant>
        <vt:lpwstr>http://www.ft.com/intl/topics/themes/Europe_Quantitative_Easing</vt:lpwstr>
      </vt:variant>
      <vt:variant>
        <vt:lpwstr/>
      </vt:variant>
      <vt:variant>
        <vt:i4>2424876</vt:i4>
      </vt:variant>
      <vt:variant>
        <vt:i4>12</vt:i4>
      </vt:variant>
      <vt:variant>
        <vt:i4>0</vt:i4>
      </vt:variant>
      <vt:variant>
        <vt:i4>5</vt:i4>
      </vt:variant>
      <vt:variant>
        <vt:lpwstr>http://www.economist.com/blogs/graphicdetail/2014/08/european-economy-guide</vt:lpwstr>
      </vt:variant>
      <vt:variant>
        <vt:lpwstr/>
      </vt:variant>
      <vt:variant>
        <vt:i4>1441801</vt:i4>
      </vt:variant>
      <vt:variant>
        <vt:i4>9</vt:i4>
      </vt:variant>
      <vt:variant>
        <vt:i4>0</vt:i4>
      </vt:variant>
      <vt:variant>
        <vt:i4>5</vt:i4>
      </vt:variant>
      <vt:variant>
        <vt:lpwstr>http://www.cnb.cz/cs/menova_politika/mp_nastroje/</vt:lpwstr>
      </vt:variant>
      <vt:variant>
        <vt:lpwstr>historie</vt:lpwstr>
      </vt:variant>
      <vt:variant>
        <vt:i4>2556007</vt:i4>
      </vt:variant>
      <vt:variant>
        <vt:i4>6</vt:i4>
      </vt:variant>
      <vt:variant>
        <vt:i4>0</vt:i4>
      </vt:variant>
      <vt:variant>
        <vt:i4>5</vt:i4>
      </vt:variant>
      <vt:variant>
        <vt:lpwstr>http://www.mfcr.cz/cs/verejny-sektor/hospodareni/rizeni-statniho-dluhu/dluhova-statistika/struktura-a-vyvoj-statniho-dluhu</vt:lpwstr>
      </vt:variant>
      <vt:variant>
        <vt:lpwstr/>
      </vt:variant>
      <vt:variant>
        <vt:i4>6160414</vt:i4>
      </vt:variant>
      <vt:variant>
        <vt:i4>3</vt:i4>
      </vt:variant>
      <vt:variant>
        <vt:i4>0</vt:i4>
      </vt:variant>
      <vt:variant>
        <vt:i4>5</vt:i4>
      </vt:variant>
      <vt:variant>
        <vt:lpwstr>http://www.mfcr.cz/cs/verejny-sektor/prognozy/makroekonomicka-predikce/2014/makroekonomicka-predikce-leden-2014-16757</vt:lpwstr>
      </vt:variant>
      <vt:variant>
        <vt:lpwstr/>
      </vt:variant>
      <vt:variant>
        <vt:i4>3932260</vt:i4>
      </vt:variant>
      <vt:variant>
        <vt:i4>0</vt:i4>
      </vt:variant>
      <vt:variant>
        <vt:i4>0</vt:i4>
      </vt:variant>
      <vt:variant>
        <vt:i4>5</vt:i4>
      </vt:variant>
      <vt:variant>
        <vt:lpwstr>http://epp.eurostat.ec.europa.eu/statistics_explained/index.php/Structure_of_government_debt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Cibulka Jakub Ing.</cp:lastModifiedBy>
  <cp:revision>4</cp:revision>
  <cp:lastPrinted>2015-01-27T12:36:00Z</cp:lastPrinted>
  <dcterms:created xsi:type="dcterms:W3CDTF">2015-01-27T08:49:00Z</dcterms:created>
  <dcterms:modified xsi:type="dcterms:W3CDTF">2015-01-27T12:37:00Z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