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77466261"/>
    <w:bookmarkStart w:id="1" w:name="_Toc177466575"/>
    <w:bookmarkStart w:id="2" w:name="_Toc179778900"/>
    <w:bookmarkStart w:id="3" w:name="_Toc179882404"/>
    <w:bookmarkStart w:id="4" w:name="_Toc188413983"/>
    <w:bookmarkStart w:id="5" w:name="_Toc188761197"/>
    <w:p w:rsidR="00DA5289" w:rsidRPr="00E25F3B" w:rsidRDefault="003276FD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r>
        <w:rPr>
          <w:rFonts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00DC2B" wp14:editId="4F0B37D6">
                <wp:simplePos x="0" y="0"/>
                <wp:positionH relativeFrom="margin">
                  <wp:posOffset>2351405</wp:posOffset>
                </wp:positionH>
                <wp:positionV relativeFrom="page">
                  <wp:posOffset>1031240</wp:posOffset>
                </wp:positionV>
                <wp:extent cx="1285875" cy="7772400"/>
                <wp:effectExtent l="0" t="2540" r="127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7724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5.15pt;margin-top:81.2pt;width:101.25pt;height:61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" fillcolor="#9cf" stroked="f" strokecolor="blue">
                <w10:wrap anchorx="margin" anchory="page"/>
              </v:rect>
            </w:pict>
          </mc:Fallback>
        </mc:AlternateConten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Default="00DA5289" w:rsidP="007C0105">
      <w:pPr>
        <w:rPr>
          <w:rFonts w:cs="Arial"/>
          <w:b/>
          <w:lang w:eastAsia="en-US"/>
        </w:rPr>
      </w:pPr>
    </w:p>
    <w:p w:rsidR="005846BF" w:rsidRDefault="005846BF" w:rsidP="007C0105">
      <w:pPr>
        <w:rPr>
          <w:rFonts w:cs="Arial"/>
          <w:b/>
          <w:lang w:eastAsia="en-US"/>
        </w:rPr>
      </w:pPr>
    </w:p>
    <w:p w:rsidR="005846BF" w:rsidRPr="00E25F3B" w:rsidRDefault="005846BF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280582">
        <w:rPr>
          <w:rFonts w:cs="Arial"/>
          <w:b/>
          <w:sz w:val="28"/>
          <w:szCs w:val="28"/>
        </w:rPr>
        <w:t>8</w:t>
      </w:r>
      <w:r w:rsidR="00B37B9A">
        <w:rPr>
          <w:rFonts w:cs="Arial"/>
          <w:b/>
          <w:sz w:val="28"/>
          <w:szCs w:val="28"/>
        </w:rPr>
        <w:t>/</w:t>
      </w:r>
      <w:r w:rsidR="00053804">
        <w:rPr>
          <w:rFonts w:cs="Arial"/>
          <w:b/>
          <w:sz w:val="28"/>
          <w:szCs w:val="28"/>
        </w:rPr>
        <w:t>5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9A7AF5">
        <w:rPr>
          <w:rFonts w:cs="Arial"/>
          <w:b/>
          <w:sz w:val="28"/>
          <w:szCs w:val="28"/>
        </w:rPr>
        <w:t xml:space="preserve">platnost </w:t>
      </w:r>
      <w:r w:rsidR="00DA0850" w:rsidRPr="00717FCE">
        <w:rPr>
          <w:rFonts w:cs="Arial"/>
          <w:b/>
          <w:sz w:val="28"/>
          <w:szCs w:val="28"/>
        </w:rPr>
        <w:t xml:space="preserve">od </w:t>
      </w:r>
      <w:r w:rsidR="00053804">
        <w:rPr>
          <w:rFonts w:cs="Arial"/>
          <w:b/>
          <w:sz w:val="28"/>
          <w:szCs w:val="28"/>
        </w:rPr>
        <w:t>14</w:t>
      </w:r>
      <w:r w:rsidR="00DA0850" w:rsidRPr="00717FCE">
        <w:rPr>
          <w:rFonts w:cs="Arial"/>
          <w:b/>
          <w:sz w:val="28"/>
          <w:szCs w:val="28"/>
        </w:rPr>
        <w:t xml:space="preserve">. </w:t>
      </w:r>
      <w:r w:rsidR="00053804">
        <w:rPr>
          <w:rFonts w:cs="Arial"/>
          <w:b/>
          <w:sz w:val="28"/>
          <w:szCs w:val="28"/>
        </w:rPr>
        <w:t>6</w:t>
      </w:r>
      <w:r w:rsidR="00DA0850" w:rsidRPr="00717FCE">
        <w:rPr>
          <w:rFonts w:cs="Arial"/>
          <w:b/>
          <w:sz w:val="28"/>
          <w:szCs w:val="28"/>
        </w:rPr>
        <w:t xml:space="preserve">. </w:t>
      </w:r>
      <w:r w:rsidR="00590042" w:rsidRPr="00717FCE">
        <w:rPr>
          <w:rFonts w:cs="Arial"/>
          <w:b/>
          <w:sz w:val="28"/>
          <w:szCs w:val="28"/>
        </w:rPr>
        <w:t>2015</w:t>
      </w:r>
      <w:r w:rsidR="00DA0850" w:rsidRPr="00717FCE">
        <w:rPr>
          <w:rFonts w:cs="Arial"/>
          <w:b/>
          <w:sz w:val="28"/>
          <w:szCs w:val="28"/>
        </w:rPr>
        <w:t xml:space="preserve">, účinnost od </w:t>
      </w:r>
      <w:r w:rsidR="00053804">
        <w:rPr>
          <w:rFonts w:cs="Arial"/>
          <w:b/>
          <w:sz w:val="28"/>
          <w:szCs w:val="28"/>
        </w:rPr>
        <w:t>14</w:t>
      </w:r>
      <w:r w:rsidR="00DA0850" w:rsidRPr="00717FCE">
        <w:rPr>
          <w:rFonts w:cs="Arial"/>
          <w:b/>
          <w:sz w:val="28"/>
          <w:szCs w:val="28"/>
        </w:rPr>
        <w:t xml:space="preserve">. </w:t>
      </w:r>
      <w:r w:rsidR="00053804">
        <w:rPr>
          <w:rFonts w:cs="Arial"/>
          <w:b/>
          <w:sz w:val="28"/>
          <w:szCs w:val="28"/>
        </w:rPr>
        <w:t>6</w:t>
      </w:r>
      <w:r w:rsidR="007957CF" w:rsidRPr="00717FCE">
        <w:rPr>
          <w:rFonts w:cs="Arial"/>
          <w:b/>
          <w:sz w:val="28"/>
          <w:szCs w:val="28"/>
        </w:rPr>
        <w:t xml:space="preserve">. </w:t>
      </w:r>
      <w:r w:rsidR="00590042" w:rsidRPr="00717FCE">
        <w:rPr>
          <w:rFonts w:cs="Arial"/>
          <w:b/>
          <w:sz w:val="28"/>
          <w:szCs w:val="28"/>
        </w:rPr>
        <w:t>2015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276"/>
        <w:gridCol w:w="1417"/>
        <w:gridCol w:w="1276"/>
        <w:gridCol w:w="1156"/>
        <w:gridCol w:w="1134"/>
        <w:gridCol w:w="127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 xml:space="preserve">Platné </w:t>
            </w:r>
            <w:proofErr w:type="gramStart"/>
            <w:r w:rsidRPr="00E25F3B">
              <w:rPr>
                <w:rFonts w:cs="Arial"/>
                <w:b/>
                <w:bCs/>
                <w:szCs w:val="22"/>
              </w:rPr>
              <w:t>od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7E2A12" w:rsidP="00A30840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A30840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A30840" w:rsidP="00A30840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14</w:t>
            </w:r>
            <w:r w:rsidR="008B2A83" w:rsidRPr="00717FCE">
              <w:rPr>
                <w:rFonts w:cs="Arial"/>
                <w:b/>
                <w:bCs/>
                <w:szCs w:val="22"/>
              </w:rPr>
              <w:t xml:space="preserve">. </w:t>
            </w:r>
            <w:r>
              <w:rPr>
                <w:rFonts w:cs="Arial"/>
                <w:b/>
                <w:bCs/>
                <w:szCs w:val="22"/>
              </w:rPr>
              <w:t>6</w:t>
            </w:r>
            <w:r w:rsidR="008B2A83" w:rsidRPr="00717FCE">
              <w:rPr>
                <w:rFonts w:cs="Arial"/>
                <w:b/>
                <w:bCs/>
                <w:szCs w:val="22"/>
              </w:rPr>
              <w:t>.</w:t>
            </w:r>
            <w:r w:rsidR="002C61F0" w:rsidRPr="00717FCE">
              <w:rPr>
                <w:rFonts w:cs="Arial"/>
                <w:b/>
                <w:bCs/>
                <w:szCs w:val="22"/>
              </w:rPr>
              <w:t xml:space="preserve"> </w:t>
            </w:r>
            <w:r w:rsidR="00727429" w:rsidRPr="00717FCE">
              <w:rPr>
                <w:rFonts w:cs="Arial"/>
                <w:b/>
                <w:bCs/>
                <w:szCs w:val="22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A30840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A30840">
              <w:rPr>
                <w:rFonts w:ascii="Tahoma" w:hAnsi="Tahoma" w:cs="Tahoma"/>
                <w:b/>
                <w:sz w:val="20"/>
              </w:rPr>
              <w:t>Mgr. Helena Mikanová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 VORS </w:t>
            </w:r>
            <w:proofErr w:type="gramStart"/>
            <w:r w:rsidRPr="00E25F3B">
              <w:rPr>
                <w:rFonts w:cs="Arial"/>
                <w:b/>
                <w:szCs w:val="22"/>
              </w:rPr>
              <w:t>v.r.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7F5B28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7F5B28">
              <w:rPr>
                <w:rFonts w:cs="Arial"/>
                <w:b/>
                <w:bCs/>
                <w:szCs w:val="22"/>
              </w:rPr>
              <w:t>Mgr. Ing. Petra Lisová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 xml:space="preserve">VO </w:t>
            </w:r>
            <w:proofErr w:type="gramStart"/>
            <w:r w:rsidRPr="00E25F3B">
              <w:rPr>
                <w:rFonts w:cs="Arial"/>
                <w:b/>
                <w:bCs/>
                <w:szCs w:val="22"/>
              </w:rPr>
              <w:t>v.r.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51467F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822997">
              <w:rPr>
                <w:rFonts w:cs="Arial"/>
                <w:b/>
                <w:bCs/>
                <w:szCs w:val="22"/>
              </w:rPr>
              <w:t xml:space="preserve">Mgr. Marek Kupsa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 xml:space="preserve">ŘO </w:t>
            </w:r>
            <w:proofErr w:type="gramStart"/>
            <w:r w:rsidRPr="00E25F3B">
              <w:rPr>
                <w:rFonts w:cs="Arial"/>
                <w:b/>
                <w:bCs/>
                <w:szCs w:val="22"/>
              </w:rPr>
              <w:t>v.r.</w:t>
            </w:r>
            <w:proofErr w:type="gramEnd"/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EA2549">
        <w:trPr>
          <w:trHeight w:val="301"/>
          <w:tblHeader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EA2549">
        <w:trPr>
          <w:trHeight w:val="301"/>
          <w:tblHeader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8B2A83">
              <w:rPr>
                <w:rFonts w:cs="Arial"/>
                <w:b/>
                <w:sz w:val="20"/>
              </w:rPr>
              <w:t>Od</w:t>
            </w:r>
            <w:proofErr w:type="gramEnd"/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8B2A83">
              <w:rPr>
                <w:rFonts w:cs="Arial"/>
                <w:b/>
                <w:sz w:val="20"/>
              </w:rPr>
              <w:t>Do</w:t>
            </w:r>
            <w:proofErr w:type="gramEnd"/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9600FD" w:rsidP="009600F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A05266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A05266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A05266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A05266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93248B" w:rsidP="00A62360">
            <w:pPr>
              <w:jc w:val="center"/>
              <w:rPr>
                <w:rFonts w:cs="Arial"/>
                <w:sz w:val="20"/>
              </w:rPr>
            </w:pPr>
            <w:r w:rsidRPr="00EA2549">
              <w:rPr>
                <w:rFonts w:cs="Arial"/>
                <w:sz w:val="20"/>
              </w:rPr>
              <w:t>09. 06. 2014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A3810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05. 03. 2013</w:t>
            </w: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3E798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</w:t>
            </w:r>
            <w:r w:rsidR="00544E23">
              <w:rPr>
                <w:rFonts w:cs="Arial"/>
                <w:sz w:val="20"/>
              </w:rPr>
              <w:t>,</w:t>
            </w:r>
            <w:r w:rsidR="00C0038A">
              <w:rPr>
                <w:rFonts w:cs="Arial"/>
                <w:sz w:val="20"/>
              </w:rPr>
              <w:t xml:space="preserve"> b)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A3E24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24" w:rsidRDefault="00BA3E24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Pr="00EC2697" w:rsidRDefault="00BA3E24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 03. 2013</w:t>
            </w: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E9412A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="0093248B" w:rsidRPr="001924C1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1</w:t>
            </w:r>
            <w:r w:rsidR="0093248B" w:rsidRPr="001924C1">
              <w:rPr>
                <w:rFonts w:cs="Arial"/>
                <w:sz w:val="20"/>
              </w:rPr>
              <w:t>. 2014</w:t>
            </w:r>
          </w:p>
        </w:tc>
      </w:tr>
      <w:tr w:rsidR="00B54472" w:rsidRPr="00E25F3B" w:rsidTr="004F23BE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4F23BE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614B9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4F23BE">
              <w:rPr>
                <w:rFonts w:cs="Arial"/>
                <w:sz w:val="20"/>
              </w:rPr>
              <w:t>.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Pr="00A614B9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6B0AD0">
              <w:rPr>
                <w:rFonts w:cs="Arial"/>
                <w:sz w:val="20"/>
              </w:rPr>
              <w:t xml:space="preserve"> 0</w:t>
            </w:r>
            <w:r>
              <w:rPr>
                <w:rFonts w:cs="Arial"/>
                <w:sz w:val="20"/>
              </w:rPr>
              <w:t>3</w:t>
            </w:r>
            <w:r w:rsidR="006B0AD0">
              <w:rPr>
                <w:rFonts w:cs="Arial"/>
                <w:sz w:val="20"/>
              </w:rPr>
              <w:t>. 2013</w:t>
            </w:r>
          </w:p>
        </w:tc>
      </w:tr>
      <w:tr w:rsidR="004F23BE" w:rsidRPr="00E25F3B" w:rsidTr="006B0AD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130B76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</w:t>
            </w:r>
            <w:r w:rsidR="004F23BE">
              <w:rPr>
                <w:rFonts w:cs="Arial"/>
                <w:sz w:val="20"/>
              </w:rPr>
              <w:t xml:space="preserve">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2623A7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3</w:t>
            </w:r>
            <w:r w:rsidR="002623A7">
              <w:rPr>
                <w:rFonts w:cs="Arial"/>
                <w:sz w:val="20"/>
              </w:rPr>
              <w:t>. 2013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C414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>1. 201</w:t>
            </w:r>
            <w:r>
              <w:rPr>
                <w:rFonts w:cs="Arial"/>
                <w:sz w:val="20"/>
              </w:rPr>
              <w:t>4</w:t>
            </w:r>
          </w:p>
        </w:tc>
      </w:tr>
      <w:tr w:rsidR="008A3810" w:rsidRPr="00E25F3B" w:rsidTr="00BA3E24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9A7AF5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d)</w:t>
            </w:r>
            <w:r w:rsidR="00544E23">
              <w:rPr>
                <w:rFonts w:cs="Arial"/>
                <w:sz w:val="20"/>
              </w:rPr>
              <w:t>,</w:t>
            </w:r>
            <w:r w:rsidR="00DF3242"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A62360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cs="Arial"/>
                <w:sz w:val="20"/>
              </w:rPr>
              <w:t>09. 06. 2014</w:t>
            </w:r>
          </w:p>
        </w:tc>
      </w:tr>
      <w:tr w:rsidR="008A3810" w:rsidRPr="00E25F3B" w:rsidTr="007F5B28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93248B">
            <w:pPr>
              <w:jc w:val="center"/>
              <w:rPr>
                <w:rFonts w:cs="Arial"/>
                <w:sz w:val="20"/>
              </w:rPr>
            </w:pPr>
            <w:r w:rsidRPr="00EA2549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A62360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Přílohy č.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,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b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,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A7AF5">
              <w:rPr>
                <w:rFonts w:cs="Arial"/>
                <w:sz w:val="20"/>
              </w:rPr>
              <w:t>02. 01. 2014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Pr="009A7AF5" w:rsidRDefault="007957CF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93248B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5846B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4733CB" w:rsidP="004733CB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31</w:t>
            </w:r>
            <w:r w:rsidR="0093248B">
              <w:rPr>
                <w:rFonts w:ascii="Tahoma" w:hAnsi="Tahoma" w:cs="Tahoma"/>
                <w:sz w:val="20"/>
              </w:rPr>
              <w:t>. 0</w:t>
            </w:r>
            <w:r>
              <w:rPr>
                <w:rFonts w:ascii="Tahoma" w:hAnsi="Tahoma" w:cs="Tahoma"/>
                <w:sz w:val="20"/>
              </w:rPr>
              <w:t>8</w:t>
            </w:r>
            <w:r w:rsidR="0093248B">
              <w:rPr>
                <w:rFonts w:ascii="Tahoma" w:hAnsi="Tahoma" w:cs="Tahoma"/>
                <w:sz w:val="20"/>
              </w:rPr>
              <w:t>. 2014</w:t>
            </w:r>
          </w:p>
        </w:tc>
      </w:tr>
      <w:tr w:rsidR="005846BF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3e2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Pr="00EC2697" w:rsidRDefault="00E9412A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3248B">
              <w:rPr>
                <w:rFonts w:ascii="Tahoma" w:hAnsi="Tahoma" w:cs="Tahoma"/>
                <w:sz w:val="20"/>
              </w:rPr>
              <w:t>. 0</w:t>
            </w:r>
            <w:r>
              <w:rPr>
                <w:rFonts w:ascii="Tahoma" w:hAnsi="Tahoma" w:cs="Tahoma"/>
                <w:sz w:val="20"/>
              </w:rPr>
              <w:t>2</w:t>
            </w:r>
            <w:r w:rsidR="0093248B">
              <w:rPr>
                <w:rFonts w:ascii="Tahoma" w:hAnsi="Tahoma" w:cs="Tahoma"/>
                <w:sz w:val="20"/>
              </w:rPr>
              <w:t>. 2014</w:t>
            </w:r>
          </w:p>
        </w:tc>
      </w:tr>
      <w:tr w:rsidR="00E9412A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A05266" w:rsidP="00A052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14. 01. 2014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15. 01. 2014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Pr="001924C1" w:rsidRDefault="00E9412A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09. 06. 2014</w:t>
            </w:r>
          </w:p>
        </w:tc>
      </w:tr>
      <w:tr w:rsidR="00E9412A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9600FD" w:rsidP="009600F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3e2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10. 02. 2014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11. 02. 2014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Pr="001924C1" w:rsidRDefault="00E9412A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09. 06. 2014</w:t>
            </w: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9600FD" w:rsidP="009600F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2DC8" w:rsidRDefault="00272DC8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</w:t>
            </w:r>
            <w:r w:rsidR="00E9412A">
              <w:rPr>
                <w:rFonts w:cs="Arial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E9412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31. 08. 2014</w:t>
            </w: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</w:t>
            </w:r>
            <w:r w:rsidR="0034549B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9324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99576F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Příloha č. 12 </w:t>
            </w:r>
            <w:r w:rsidR="00272DC8">
              <w:rPr>
                <w:rFonts w:ascii="Tahoma" w:hAnsi="Tahoma" w:cs="Tahoma"/>
                <w:sz w:val="20"/>
              </w:rPr>
              <w:t>a</w:t>
            </w:r>
            <w:r w:rsidR="0034549B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DB153B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Pr="00EC2697" w:rsidRDefault="00DB153B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DB153B" w:rsidRPr="00E25F3B" w:rsidTr="00EF037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Přílohy č 3</w:t>
            </w:r>
            <w:r w:rsidR="008C14BD">
              <w:rPr>
                <w:rFonts w:ascii="Tahoma" w:hAnsi="Tahoma" w:cs="Tahoma"/>
                <w:sz w:val="20"/>
              </w:rPr>
              <w:t xml:space="preserve">c), 3d), 3e), 3e2 </w:t>
            </w:r>
            <w:r>
              <w:rPr>
                <w:rFonts w:ascii="Tahoma" w:hAnsi="Tahoma" w:cs="Tahoma"/>
                <w:sz w:val="20"/>
              </w:rPr>
              <w:t xml:space="preserve"> - Podmínky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Pr="00EC2697" w:rsidRDefault="00E9412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31. 08. 2014</w:t>
            </w:r>
          </w:p>
        </w:tc>
      </w:tr>
      <w:tr w:rsidR="004733CB" w:rsidRPr="00E25F3B" w:rsidTr="00EF0379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9600FD" w:rsidP="009600F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33CB" w:rsidRDefault="004733CB" w:rsidP="004733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91692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5337B4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29. 04. 2015</w:t>
            </w:r>
          </w:p>
        </w:tc>
      </w:tr>
      <w:tr w:rsidR="004733CB" w:rsidRPr="00E25F3B" w:rsidTr="00AC7EB5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Přílohy č </w:t>
            </w:r>
            <w:r w:rsidR="00AC7EB5">
              <w:rPr>
                <w:rFonts w:ascii="Tahoma" w:hAnsi="Tahoma" w:cs="Tahoma"/>
                <w:sz w:val="20"/>
              </w:rPr>
              <w:t xml:space="preserve">3a), 3b), </w:t>
            </w:r>
            <w:r>
              <w:rPr>
                <w:rFonts w:ascii="Tahoma" w:hAnsi="Tahoma" w:cs="Tahoma"/>
                <w:sz w:val="20"/>
              </w:rPr>
              <w:t>3c), 3d), 3e), 3e2  - Podmínky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5337B4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29. 04. 2015</w:t>
            </w:r>
          </w:p>
        </w:tc>
      </w:tr>
      <w:tr w:rsidR="004733CB" w:rsidRPr="00E25F3B" w:rsidTr="00D73E8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4733CB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600FD" w:rsidRPr="00E25F3B" w:rsidTr="00D73E80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FD" w:rsidRDefault="009600FD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FD" w:rsidRDefault="009600FD" w:rsidP="009600FD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08/4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FD" w:rsidRDefault="009600FD" w:rsidP="00D73E80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postupů, </w:t>
            </w:r>
            <w:r w:rsidR="00E9396C"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t xml:space="preserve">doplnění </w:t>
            </w:r>
            <w:r w:rsidR="00A05266">
              <w:rPr>
                <w:rFonts w:ascii="Tahoma" w:hAnsi="Tahoma" w:cs="Tahoma"/>
                <w:sz w:val="20"/>
              </w:rPr>
              <w:t>archivace dokumentů, Hlášení o udržitelnosti projektu</w:t>
            </w:r>
            <w:r w:rsidR="00E9396C">
              <w:rPr>
                <w:rFonts w:ascii="Tahoma" w:hAnsi="Tahoma" w:cs="Tahoma"/>
                <w:sz w:val="20"/>
              </w:rPr>
              <w:t>)</w:t>
            </w:r>
          </w:p>
          <w:p w:rsidR="009600FD" w:rsidRDefault="009600FD" w:rsidP="00D73E80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Příloha č. </w:t>
            </w:r>
            <w:r w:rsidR="00A05266">
              <w:rPr>
                <w:rFonts w:ascii="Tahoma" w:hAnsi="Tahoma" w:cs="Tahoma"/>
                <w:sz w:val="20"/>
              </w:rPr>
              <w:t>3c</w:t>
            </w:r>
            <w:r w:rsidR="00E9396C">
              <w:rPr>
                <w:rFonts w:ascii="Tahoma" w:hAnsi="Tahoma" w:cs="Tahoma"/>
                <w:sz w:val="20"/>
              </w:rPr>
              <w:t xml:space="preserve">, </w:t>
            </w:r>
            <w:r w:rsidR="00A05266">
              <w:rPr>
                <w:rFonts w:ascii="Tahoma" w:hAnsi="Tahoma" w:cs="Tahoma"/>
                <w:sz w:val="20"/>
              </w:rPr>
              <w:t>3d</w:t>
            </w:r>
            <w:r w:rsidR="00E9396C">
              <w:rPr>
                <w:rFonts w:ascii="Tahoma" w:hAnsi="Tahoma" w:cs="Tahoma"/>
                <w:sz w:val="20"/>
              </w:rPr>
              <w:t xml:space="preserve">, </w:t>
            </w:r>
            <w:r w:rsidR="00A05266">
              <w:rPr>
                <w:rFonts w:ascii="Tahoma" w:hAnsi="Tahoma" w:cs="Tahoma"/>
                <w:sz w:val="20"/>
              </w:rPr>
              <w:t>3e</w:t>
            </w:r>
            <w:r w:rsidR="00E9396C">
              <w:rPr>
                <w:rFonts w:ascii="Tahoma" w:hAnsi="Tahoma" w:cs="Tahoma"/>
                <w:sz w:val="20"/>
              </w:rPr>
              <w:t xml:space="preserve">, </w:t>
            </w:r>
            <w:r w:rsidR="00A05266">
              <w:rPr>
                <w:rFonts w:ascii="Tahoma" w:hAnsi="Tahoma" w:cs="Tahoma"/>
                <w:sz w:val="20"/>
              </w:rPr>
              <w:t>3e2</w:t>
            </w:r>
            <w:r w:rsidR="00E9396C">
              <w:rPr>
                <w:rFonts w:ascii="Tahoma" w:hAnsi="Tahoma" w:cs="Tahoma"/>
                <w:sz w:val="20"/>
              </w:rPr>
              <w:t xml:space="preserve"> - Podmínky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FD" w:rsidRPr="00717FCE" w:rsidRDefault="009600FD" w:rsidP="005337B4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 w:rsidRPr="00717FCE">
              <w:rPr>
                <w:rFonts w:ascii="Tahoma" w:hAnsi="Tahoma" w:cs="Tahoma"/>
                <w:sz w:val="20"/>
              </w:rPr>
              <w:t>2</w:t>
            </w:r>
            <w:r w:rsidR="005337B4" w:rsidRPr="00D73E80">
              <w:rPr>
                <w:rFonts w:ascii="Tahoma" w:hAnsi="Tahoma" w:cs="Tahoma"/>
                <w:sz w:val="20"/>
              </w:rPr>
              <w:t>9</w:t>
            </w:r>
            <w:r w:rsidRPr="00717FCE">
              <w:rPr>
                <w:rFonts w:ascii="Tahoma" w:hAnsi="Tahoma" w:cs="Tahoma"/>
                <w:sz w:val="20"/>
              </w:rPr>
              <w:t xml:space="preserve">. </w:t>
            </w:r>
            <w:r w:rsidR="00BC6816">
              <w:rPr>
                <w:rFonts w:ascii="Tahoma" w:hAnsi="Tahoma" w:cs="Tahoma"/>
                <w:sz w:val="20"/>
              </w:rPr>
              <w:t>0</w:t>
            </w:r>
            <w:r w:rsidRPr="00717FCE">
              <w:rPr>
                <w:rFonts w:ascii="Tahoma" w:hAnsi="Tahoma" w:cs="Tahoma"/>
                <w:sz w:val="20"/>
              </w:rPr>
              <w:t>4. 2015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FD" w:rsidRPr="00717FCE" w:rsidRDefault="005337B4" w:rsidP="005337B4">
            <w:pPr>
              <w:jc w:val="center"/>
              <w:rPr>
                <w:rFonts w:cs="Arial"/>
                <w:sz w:val="20"/>
              </w:rPr>
            </w:pPr>
            <w:r w:rsidRPr="00D73E80">
              <w:rPr>
                <w:rFonts w:ascii="Tahoma" w:hAnsi="Tahoma" w:cs="Tahoma"/>
                <w:sz w:val="20"/>
              </w:rPr>
              <w:t>30</w:t>
            </w:r>
            <w:r w:rsidR="009600FD" w:rsidRPr="00717FCE">
              <w:rPr>
                <w:rFonts w:ascii="Tahoma" w:hAnsi="Tahoma" w:cs="Tahoma"/>
                <w:sz w:val="20"/>
              </w:rPr>
              <w:t>. 04. 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0FD" w:rsidRPr="00EC2697" w:rsidRDefault="00053804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13. </w:t>
            </w:r>
            <w:r w:rsidR="00BC6816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6. 2015</w:t>
            </w:r>
          </w:p>
        </w:tc>
      </w:tr>
      <w:tr w:rsidR="00053804" w:rsidRPr="00E25F3B" w:rsidTr="00D73E80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804" w:rsidRDefault="00053804" w:rsidP="0065249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04" w:rsidRDefault="00053804" w:rsidP="009600F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08/5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804" w:rsidRDefault="00053804" w:rsidP="00D73E80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804" w:rsidRPr="00717FCE" w:rsidRDefault="00053804" w:rsidP="005337B4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14. </w:t>
            </w:r>
            <w:r w:rsidR="00BC6816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6. 2015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04" w:rsidRPr="00D73E80" w:rsidRDefault="00053804" w:rsidP="005337B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14. </w:t>
            </w:r>
            <w:r w:rsidR="00BC6816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6. 2015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804" w:rsidRPr="00EC2697" w:rsidRDefault="00053804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4F23BE" w:rsidP="00EC2697">
      <w:r>
        <w:t xml:space="preserve"> </w:t>
      </w:r>
    </w:p>
    <w:p w:rsidR="00EA2549" w:rsidRDefault="00EA2549" w:rsidP="00EC2697"/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5727"/>
        <w:gridCol w:w="1257"/>
        <w:gridCol w:w="1396"/>
      </w:tblGrid>
      <w:tr w:rsidR="007650A8" w:rsidTr="007849C1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3DB1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553DB1">
              <w:rPr>
                <w:rFonts w:ascii="Arial" w:hAnsi="Arial" w:cs="Arial"/>
                <w:b/>
                <w:bCs/>
              </w:rPr>
              <w:t>. č.</w:t>
            </w:r>
          </w:p>
        </w:tc>
        <w:tc>
          <w:tcPr>
            <w:tcW w:w="3131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3C0F75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3C0F75">
              <w:rPr>
                <w:rFonts w:ascii="Arial" w:hAnsi="Arial" w:cs="Arial"/>
                <w:b/>
                <w:bCs/>
              </w:rPr>
              <w:t>2</w:t>
            </w:r>
            <w:r w:rsidR="00420CD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87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763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053804" w:rsidRPr="00717FCE" w:rsidTr="007849C1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804" w:rsidRDefault="00420CDD" w:rsidP="007849C1">
            <w:pPr>
              <w:pStyle w:val="Tabulka"/>
              <w:jc w:val="center"/>
              <w:rPr>
                <w:rFonts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804" w:rsidRPr="00D73E80" w:rsidRDefault="00053804" w:rsidP="00053804">
            <w:pPr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Vložení Přehledu změn v rámci organizační struktury OPTP k </w:t>
            </w:r>
            <w:r>
              <w:rPr>
                <w:rFonts w:ascii="Tahoma" w:hAnsi="Tahoma" w:cs="Tahoma"/>
                <w:sz w:val="20"/>
              </w:rPr>
              <w:br/>
              <w:t xml:space="preserve">14. 6. 2015 za úvod dokumentu </w:t>
            </w:r>
            <w:r w:rsidRPr="00EF29CC">
              <w:rPr>
                <w:rFonts w:ascii="Tahoma" w:hAnsi="Tahoma" w:cs="Tahoma"/>
                <w:sz w:val="20"/>
              </w:rPr>
              <w:t>v souvislosti s Rozhodnutím ministryně č. 83/2015 ze dne 12. června 2015 o organizačních a personálních změnách na Ministerstvu pro místní rozvoj</w:t>
            </w:r>
            <w:r>
              <w:rPr>
                <w:rFonts w:ascii="Tahoma" w:hAnsi="Tahoma" w:cs="Tahoma"/>
                <w:sz w:val="20"/>
              </w:rPr>
              <w:t xml:space="preserve">. Tato úprava se vztahuje na celý dokument. 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804" w:rsidRPr="00D73E80" w:rsidRDefault="00053804" w:rsidP="005479EB">
            <w:pPr>
              <w:pStyle w:val="Tabulka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Celý dokument</w:t>
            </w:r>
          </w:p>
        </w:tc>
        <w:tc>
          <w:tcPr>
            <w:tcW w:w="763" w:type="pct"/>
            <w:vAlign w:val="center"/>
          </w:tcPr>
          <w:p w:rsidR="00053804" w:rsidRPr="00D73E80" w:rsidRDefault="00053804" w:rsidP="005337B4">
            <w:pPr>
              <w:pStyle w:val="Tabulka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14. </w:t>
            </w:r>
            <w:r w:rsidR="00BC6816">
              <w:rPr>
                <w:rFonts w:ascii="Tahoma" w:eastAsia="Times New Roman" w:hAnsi="Tahoma" w:cs="Tahoma"/>
              </w:rPr>
              <w:t>0</w:t>
            </w:r>
            <w:r>
              <w:rPr>
                <w:rFonts w:ascii="Tahoma" w:eastAsia="Times New Roman" w:hAnsi="Tahoma" w:cs="Tahoma"/>
              </w:rPr>
              <w:t>6. 2015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  <w:bookmarkStart w:id="20" w:name="_GoBack"/>
      <w:bookmarkEnd w:id="20"/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1" w:name="_Toc243199641"/>
    <w:p w:rsidR="0009534D" w:rsidRDefault="00DE10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418076341" w:history="1">
        <w:r w:rsidR="0009534D" w:rsidRPr="005B4191">
          <w:rPr>
            <w:rStyle w:val="Hypertextovodkaz"/>
            <w:rFonts w:cs="Arial"/>
            <w:noProof/>
          </w:rPr>
          <w:t>ÚVOD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_Toc418076341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6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42" w:history="1">
        <w:r w:rsidR="0009534D" w:rsidRPr="005B4191">
          <w:rPr>
            <w:rStyle w:val="Hypertextovodkaz"/>
            <w:rFonts w:cs="Arial"/>
            <w:noProof/>
          </w:rPr>
          <w:t>Definice pojmů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_Toc418076342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7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43" w:history="1">
        <w:r w:rsidR="0009534D" w:rsidRPr="005B4191">
          <w:rPr>
            <w:rStyle w:val="Hypertextovodkaz"/>
            <w:rFonts w:cs="Arial"/>
            <w:noProof/>
          </w:rPr>
          <w:t>Seznam použitých zkratek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_Toc418076343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14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44" w:history="1">
        <w:r w:rsidR="0009534D" w:rsidRPr="005B4191">
          <w:rPr>
            <w:rStyle w:val="Hypertextovodkaz"/>
            <w:rFonts w:cs="Arial"/>
            <w:noProof/>
          </w:rPr>
          <w:t>1.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Operační program Technická pomoc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_Toc418076344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16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45" w:history="1">
        <w:r w:rsidR="0009534D" w:rsidRPr="005B4191">
          <w:rPr>
            <w:rStyle w:val="Hypertextovodkaz"/>
            <w:rFonts w:cs="Arial"/>
            <w:noProof/>
          </w:rPr>
          <w:t>2.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Příprava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_Toc418076345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19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46" w:history="1">
        <w:r w:rsidR="0009534D" w:rsidRPr="005B4191">
          <w:rPr>
            <w:rStyle w:val="Hypertextovodkaz"/>
            <w:noProof/>
          </w:rPr>
          <w:t>2.1.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Záměr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_Toc418076346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19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47" w:history="1">
        <w:r w:rsidR="0009534D" w:rsidRPr="005B4191">
          <w:rPr>
            <w:rStyle w:val="Hypertextovodkaz"/>
            <w:noProof/>
          </w:rPr>
          <w:t>2.2.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Publicita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_Toc418076347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19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48" w:history="1">
        <w:r w:rsidR="0009534D" w:rsidRPr="005B4191">
          <w:rPr>
            <w:rStyle w:val="Hypertextovodkaz"/>
            <w:noProof/>
          </w:rPr>
          <w:t>2.3.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Způsobilost výdajů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_Toc418076348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21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49" w:history="1">
        <w:r w:rsidR="0009534D" w:rsidRPr="005B4191">
          <w:rPr>
            <w:rStyle w:val="Hypertextovodkaz"/>
            <w:noProof/>
          </w:rPr>
          <w:t>2.4.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Rozpočet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_Toc418076349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21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0" w:history="1">
        <w:r w:rsidR="0009534D" w:rsidRPr="005B4191">
          <w:rPr>
            <w:rStyle w:val="Hypertextovodkaz"/>
            <w:noProof/>
          </w:rPr>
          <w:t>2.5.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Přímé výnosy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_Toc418076350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22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1" w:history="1">
        <w:r w:rsidR="0009534D" w:rsidRPr="005B4191">
          <w:rPr>
            <w:rStyle w:val="Hypertextovodkaz"/>
            <w:noProof/>
          </w:rPr>
          <w:t>2.6.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Veřejná podpora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_Toc418076351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22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2" w:history="1">
        <w:r w:rsidR="0009534D" w:rsidRPr="005B4191">
          <w:rPr>
            <w:rStyle w:val="Hypertextovodkaz"/>
            <w:noProof/>
          </w:rPr>
          <w:t>2.7.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Časový harmonogram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_Toc418076352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22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53" w:history="1">
        <w:r w:rsidR="0009534D" w:rsidRPr="005B4191">
          <w:rPr>
            <w:rStyle w:val="Hypertextovodkaz"/>
            <w:rFonts w:cs="Arial"/>
            <w:noProof/>
          </w:rPr>
          <w:t>3.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Postup při předkládání žádostí o finanční podporu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_Toc418076353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23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4" w:history="1">
        <w:r w:rsidR="0009534D" w:rsidRPr="005B4191">
          <w:rPr>
            <w:rStyle w:val="Hypertextovodkaz"/>
            <w:noProof/>
          </w:rPr>
          <w:t>3.1.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Výzvy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_Toc418076354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23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5" w:history="1">
        <w:r w:rsidR="0009534D" w:rsidRPr="005B4191">
          <w:rPr>
            <w:rStyle w:val="Hypertextovodkaz"/>
            <w:noProof/>
          </w:rPr>
          <w:t>3.2.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Předkládání projektů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_Toc418076355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23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56" w:history="1">
        <w:r w:rsidR="0009534D" w:rsidRPr="005B4191">
          <w:rPr>
            <w:rStyle w:val="Hypertextovodkaz"/>
            <w:rFonts w:cs="Arial"/>
            <w:noProof/>
          </w:rPr>
          <w:t>4.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Hodnocení a výběr žádostí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_Toc418076356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25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7" w:history="1">
        <w:r w:rsidR="0009534D" w:rsidRPr="005B4191">
          <w:rPr>
            <w:rStyle w:val="Hypertextovodkaz"/>
            <w:noProof/>
          </w:rPr>
          <w:t>4.1.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Hodnocení projektů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_Toc418076357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25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8" w:history="1">
        <w:r w:rsidR="0009534D" w:rsidRPr="005B4191">
          <w:rPr>
            <w:rStyle w:val="Hypertextovodkaz"/>
            <w:noProof/>
          </w:rPr>
          <w:t>4.2.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Doporučení projektů k financování Výběrovou komisí OPTP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_Toc418076358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26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59" w:history="1">
        <w:r w:rsidR="0009534D" w:rsidRPr="005B4191">
          <w:rPr>
            <w:rStyle w:val="Hypertextovodkaz"/>
            <w:noProof/>
          </w:rPr>
          <w:t>4.3.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Schvalování projektů ministryní pro místní rozvoj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_Toc418076359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27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60" w:history="1">
        <w:r w:rsidR="0009534D" w:rsidRPr="005B4191">
          <w:rPr>
            <w:rStyle w:val="Hypertextovodkaz"/>
            <w:rFonts w:cs="Arial"/>
            <w:noProof/>
          </w:rPr>
          <w:t>5.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Realizace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_Toc418076360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29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1" w:history="1">
        <w:r w:rsidR="0009534D" w:rsidRPr="005B4191">
          <w:rPr>
            <w:rStyle w:val="Hypertextovodkaz"/>
            <w:rFonts w:cs="Arial"/>
            <w:noProof/>
          </w:rPr>
          <w:t>5.1.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Monitorování postupu projektů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_Toc418076361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30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2" w:history="1">
        <w:r w:rsidR="0009534D" w:rsidRPr="005B4191">
          <w:rPr>
            <w:rStyle w:val="Hypertextovodkaz"/>
            <w:noProof/>
          </w:rPr>
          <w:t>5.2.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Účetnictví příjemce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_Toc418076362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33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3" w:history="1">
        <w:r w:rsidR="0009534D" w:rsidRPr="005B4191">
          <w:rPr>
            <w:rStyle w:val="Hypertextovodkaz"/>
            <w:noProof/>
          </w:rPr>
          <w:t>5.3.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Administrace zjednodušené žádosti o platbu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_Toc418076363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35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4" w:history="1">
        <w:r w:rsidR="0009534D" w:rsidRPr="005B4191">
          <w:rPr>
            <w:rStyle w:val="Hypertextovodkaz"/>
            <w:rFonts w:cs="Arial"/>
            <w:noProof/>
          </w:rPr>
          <w:t>5.4.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Prostředky na platy a související výdaje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_Toc418076364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38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5" w:history="1">
        <w:r w:rsidR="0009534D" w:rsidRPr="005B4191">
          <w:rPr>
            <w:rStyle w:val="Hypertextovodkaz"/>
            <w:rFonts w:cs="Arial"/>
            <w:noProof/>
          </w:rPr>
          <w:t>5.5.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Změny projektové žádosti/projektu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_Toc418076365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40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6" w:history="1">
        <w:r w:rsidR="0009534D" w:rsidRPr="005B4191">
          <w:rPr>
            <w:rStyle w:val="Hypertextovodkaz"/>
            <w:rFonts w:cs="Arial"/>
            <w:noProof/>
          </w:rPr>
          <w:t>5.6.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Předčasné ukončení realizace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_Toc418076366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42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7" w:history="1">
        <w:r w:rsidR="0009534D" w:rsidRPr="005B4191">
          <w:rPr>
            <w:rStyle w:val="Hypertextovodkaz"/>
            <w:rFonts w:cs="Arial"/>
            <w:noProof/>
          </w:rPr>
          <w:t>5.7.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Ukončení realizace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_Toc418076367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43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8" w:history="1">
        <w:r w:rsidR="0009534D" w:rsidRPr="005B4191">
          <w:rPr>
            <w:rStyle w:val="Hypertextovodkaz"/>
            <w:rFonts w:cs="Arial"/>
            <w:noProof/>
          </w:rPr>
          <w:t>5.8.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Nakládání s majetkem pořízeným z dotace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_Toc418076368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44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69" w:history="1">
        <w:r w:rsidR="0009534D" w:rsidRPr="005B4191">
          <w:rPr>
            <w:rStyle w:val="Hypertextovodkaz"/>
            <w:rFonts w:cs="Arial"/>
            <w:noProof/>
          </w:rPr>
          <w:t>5.9.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Pozastavení plateb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_Toc418076369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44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70" w:history="1">
        <w:r w:rsidR="0009534D" w:rsidRPr="005B4191">
          <w:rPr>
            <w:rStyle w:val="Hypertextovodkaz"/>
            <w:rFonts w:cs="Arial"/>
            <w:noProof/>
          </w:rPr>
          <w:t xml:space="preserve">5.10 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Zadávání zakázek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_Toc418076370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44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71" w:history="1">
        <w:r w:rsidR="0009534D" w:rsidRPr="005B4191">
          <w:rPr>
            <w:rStyle w:val="Hypertextovodkaz"/>
            <w:rFonts w:cs="Arial"/>
            <w:noProof/>
          </w:rPr>
          <w:t>6.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kontroly realizace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_Toc418076371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46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72" w:history="1">
        <w:r w:rsidR="0009534D" w:rsidRPr="005B4191">
          <w:rPr>
            <w:rStyle w:val="Hypertextovodkaz"/>
            <w:noProof/>
          </w:rPr>
          <w:t>7.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Udržitelnost projektu a archivace dokumentace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_Toc418076372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48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73" w:history="1">
        <w:r w:rsidR="0009534D" w:rsidRPr="005B4191">
          <w:rPr>
            <w:rStyle w:val="Hypertextovodkaz"/>
            <w:rFonts w:cs="Arial"/>
            <w:noProof/>
          </w:rPr>
          <w:t>7.1.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Udržitelnost projektu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_Toc418076373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48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8076374" w:history="1">
        <w:r w:rsidR="0009534D" w:rsidRPr="005B4191">
          <w:rPr>
            <w:rStyle w:val="Hypertextovodkaz"/>
            <w:noProof/>
          </w:rPr>
          <w:t>7.2.</w:t>
        </w:r>
        <w:r w:rsidR="0009534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noProof/>
          </w:rPr>
          <w:t>Archivace dokumentace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_Toc418076374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48</w:t>
        </w:r>
        <w:r w:rsidR="0009534D">
          <w:rPr>
            <w:noProof/>
            <w:webHidden/>
          </w:rPr>
          <w:fldChar w:fldCharType="end"/>
        </w:r>
      </w:hyperlink>
    </w:p>
    <w:p w:rsidR="0009534D" w:rsidRDefault="007849C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8076375" w:history="1">
        <w:r w:rsidR="0009534D" w:rsidRPr="005B4191">
          <w:rPr>
            <w:rStyle w:val="Hypertextovodkaz"/>
            <w:rFonts w:cs="Arial"/>
            <w:noProof/>
          </w:rPr>
          <w:t>8.</w:t>
        </w:r>
        <w:r w:rsidR="0009534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9534D" w:rsidRPr="005B4191">
          <w:rPr>
            <w:rStyle w:val="Hypertextovodkaz"/>
            <w:rFonts w:cs="Arial"/>
            <w:noProof/>
          </w:rPr>
          <w:t>Seznam příloh - příručka pro žadatele a příjemce v OPTP</w:t>
        </w:r>
        <w:r w:rsidR="0009534D">
          <w:rPr>
            <w:noProof/>
            <w:webHidden/>
          </w:rPr>
          <w:tab/>
        </w:r>
        <w:r w:rsidR="0009534D">
          <w:rPr>
            <w:noProof/>
            <w:webHidden/>
          </w:rPr>
          <w:fldChar w:fldCharType="begin"/>
        </w:r>
        <w:r w:rsidR="0009534D">
          <w:rPr>
            <w:noProof/>
            <w:webHidden/>
          </w:rPr>
          <w:instrText xml:space="preserve"> PAGEREF _Toc418076375 \h </w:instrText>
        </w:r>
        <w:r w:rsidR="0009534D">
          <w:rPr>
            <w:noProof/>
            <w:webHidden/>
          </w:rPr>
        </w:r>
        <w:r w:rsidR="0009534D">
          <w:rPr>
            <w:noProof/>
            <w:webHidden/>
          </w:rPr>
          <w:fldChar w:fldCharType="separate"/>
        </w:r>
        <w:r w:rsidR="009A4AF0">
          <w:rPr>
            <w:noProof/>
            <w:webHidden/>
          </w:rPr>
          <w:t>50</w:t>
        </w:r>
        <w:r w:rsidR="0009534D">
          <w:rPr>
            <w:noProof/>
            <w:webHidden/>
          </w:rPr>
          <w:fldChar w:fldCharType="end"/>
        </w:r>
      </w:hyperlink>
    </w:p>
    <w:p w:rsidR="00FC61A4" w:rsidRDefault="00DE10A0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2" w:name="_Toc418076341"/>
      <w:r w:rsidRPr="00E25F3B">
        <w:rPr>
          <w:rFonts w:cs="Arial"/>
        </w:rPr>
        <w:lastRenderedPageBreak/>
        <w:t>ÚVOD</w:t>
      </w:r>
      <w:bookmarkEnd w:id="21"/>
      <w:bookmarkEnd w:id="22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</w:t>
      </w:r>
      <w:r w:rsidR="00C96BDD" w:rsidRPr="0009534D">
        <w:rPr>
          <w:rFonts w:cs="Arial"/>
        </w:rPr>
        <w:t xml:space="preserve">od </w:t>
      </w:r>
      <w:r w:rsidR="00727429" w:rsidRPr="00D73E80">
        <w:rPr>
          <w:rFonts w:cs="Arial"/>
        </w:rPr>
        <w:t>2</w:t>
      </w:r>
      <w:r w:rsidR="005337B4" w:rsidRPr="00D73E80">
        <w:rPr>
          <w:rFonts w:cs="Arial"/>
        </w:rPr>
        <w:t>9</w:t>
      </w:r>
      <w:r w:rsidR="00C171C2" w:rsidRPr="00D73E80">
        <w:rPr>
          <w:rFonts w:cs="Arial"/>
        </w:rPr>
        <w:t>.</w:t>
      </w:r>
      <w:r w:rsidR="00C171C2" w:rsidRPr="0009534D">
        <w:rPr>
          <w:rFonts w:cs="Arial"/>
        </w:rPr>
        <w:t xml:space="preserve"> </w:t>
      </w:r>
      <w:r w:rsidR="00727429" w:rsidRPr="0009534D">
        <w:rPr>
          <w:rFonts w:cs="Arial"/>
        </w:rPr>
        <w:t>4</w:t>
      </w:r>
      <w:r w:rsidR="00D6696C" w:rsidRPr="0009534D">
        <w:rPr>
          <w:rFonts w:cs="Arial"/>
        </w:rPr>
        <w:t xml:space="preserve">. </w:t>
      </w:r>
      <w:r w:rsidR="00727429" w:rsidRPr="0009534D">
        <w:rPr>
          <w:rFonts w:cs="Arial"/>
        </w:rPr>
        <w:t>2015</w:t>
      </w:r>
      <w:r w:rsidR="00C96BDD" w:rsidRPr="00FD04D9">
        <w:rPr>
          <w:rFonts w:cs="Arial"/>
        </w:rPr>
        <w:t>, účinnosti nabývá</w:t>
      </w:r>
      <w:r w:rsidR="006D404D" w:rsidRPr="00FD04D9">
        <w:rPr>
          <w:rFonts w:cs="Arial"/>
        </w:rPr>
        <w:t xml:space="preserve"> </w:t>
      </w:r>
      <w:r w:rsidR="006D404D" w:rsidRPr="005337B4">
        <w:rPr>
          <w:rFonts w:cs="Arial"/>
        </w:rPr>
        <w:t>dne</w:t>
      </w:r>
      <w:r w:rsidR="00C96BDD" w:rsidRPr="005337B4">
        <w:rPr>
          <w:rFonts w:cs="Arial"/>
        </w:rPr>
        <w:t xml:space="preserve"> </w:t>
      </w:r>
      <w:r w:rsidR="005337B4">
        <w:rPr>
          <w:rFonts w:cs="Arial"/>
        </w:rPr>
        <w:br/>
      </w:r>
      <w:r w:rsidR="00E2413B" w:rsidRPr="005337B4">
        <w:rPr>
          <w:rFonts w:cs="Arial"/>
        </w:rPr>
        <w:t>30</w:t>
      </w:r>
      <w:r w:rsidR="00C96BDD" w:rsidRPr="005337B4">
        <w:rPr>
          <w:rFonts w:cs="Arial"/>
        </w:rPr>
        <w:t>.</w:t>
      </w:r>
      <w:r w:rsidR="00C96BDD" w:rsidRPr="00E0036F">
        <w:rPr>
          <w:rFonts w:cs="Arial"/>
        </w:rPr>
        <w:t xml:space="preserve"> </w:t>
      </w:r>
      <w:r w:rsidR="00727429">
        <w:rPr>
          <w:rFonts w:cs="Arial"/>
        </w:rPr>
        <w:t>4</w:t>
      </w:r>
      <w:r w:rsidR="00C96BDD" w:rsidRPr="00E0036F">
        <w:rPr>
          <w:rFonts w:cs="Arial"/>
        </w:rPr>
        <w:t xml:space="preserve">. </w:t>
      </w:r>
      <w:r w:rsidR="00727429" w:rsidRPr="00E0036F">
        <w:rPr>
          <w:rFonts w:cs="Arial"/>
        </w:rPr>
        <w:t>201</w:t>
      </w:r>
      <w:r w:rsidR="00727429">
        <w:rPr>
          <w:rFonts w:cs="Arial"/>
        </w:rPr>
        <w:t>5</w:t>
      </w:r>
      <w:r w:rsidR="00C96BDD" w:rsidRPr="00FD04D9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9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10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053804" w:rsidRDefault="00053804" w:rsidP="00BB6B58">
      <w:pPr>
        <w:pStyle w:val="Style3Char"/>
        <w:numPr>
          <w:ilvl w:val="0"/>
          <w:numId w:val="0"/>
        </w:numPr>
      </w:pPr>
    </w:p>
    <w:p w:rsidR="00053804" w:rsidRPr="00E25F3B" w:rsidRDefault="00053804" w:rsidP="00BB6B58">
      <w:pPr>
        <w:pStyle w:val="Style3Char"/>
        <w:numPr>
          <w:ilvl w:val="0"/>
          <w:numId w:val="0"/>
        </w:numPr>
      </w:pPr>
    </w:p>
    <w:p w:rsidR="00BB6B58" w:rsidRDefault="00BB6B58" w:rsidP="007849C1">
      <w:pPr>
        <w:pStyle w:val="Style3Char"/>
        <w:pageBreakBefore/>
        <w:numPr>
          <w:ilvl w:val="0"/>
          <w:numId w:val="0"/>
        </w:numPr>
      </w:pPr>
    </w:p>
    <w:p w:rsidR="00053804" w:rsidRDefault="00053804" w:rsidP="007849C1">
      <w:pPr>
        <w:keepNext/>
        <w:shd w:val="clear" w:color="auto" w:fill="D9D9D9" w:themeFill="background1" w:themeFillShade="D9"/>
        <w:jc w:val="center"/>
      </w:pPr>
      <w:r>
        <w:rPr>
          <w:b/>
          <w:sz w:val="24"/>
          <w:szCs w:val="24"/>
        </w:rPr>
        <w:t xml:space="preserve">Přehled změn v rámci organizační struktury OPTP k 14. 6. 2015 </w:t>
      </w:r>
    </w:p>
    <w:p w:rsidR="00053804" w:rsidRDefault="00053804" w:rsidP="00053804"/>
    <w:p w:rsidR="00053804" w:rsidRDefault="00053804" w:rsidP="00053804">
      <w:pPr>
        <w:spacing w:after="120"/>
      </w:pPr>
      <w:r>
        <w:t>Řídící orgán OPTP přistoupil k aktualizaci Příručky pro žadatele a příjemce v OPTP (dále „PŽP“) formou stručného přehledu organizačních změn v úvodu dokumentu v souvislosti s </w:t>
      </w:r>
      <w:r w:rsidRPr="00471D26">
        <w:rPr>
          <w:b/>
        </w:rPr>
        <w:t>Rozhodnutím ministryně č.</w:t>
      </w:r>
      <w:r>
        <w:rPr>
          <w:b/>
        </w:rPr>
        <w:t> </w:t>
      </w:r>
      <w:r w:rsidRPr="00471D26">
        <w:rPr>
          <w:b/>
        </w:rPr>
        <w:t>83/2015 ze dne 12. června 2015</w:t>
      </w:r>
      <w:r>
        <w:rPr>
          <w:b/>
        </w:rPr>
        <w:t xml:space="preserve"> </w:t>
      </w:r>
      <w:r w:rsidRPr="008723B6">
        <w:t>o organizačních a personálních změnách na Ministerstvu pro místní rozvoj</w:t>
      </w:r>
      <w:r>
        <w:t xml:space="preserve">, v rámci něhož došlo k úpravě organizační struktury OPTP. Tato změna byla provedena z důvodu usnadnění implementace a výrazně pomohla k připravenosti OPTP programového období 2014-2020. Cílem této formy aktualizace je poskytnout ucelený přehled provedených změn pro jejich lepší pochopení v kontextu celé dokumentace OPTP pro programové období 2007-2013. </w:t>
      </w:r>
    </w:p>
    <w:p w:rsidR="00053804" w:rsidRDefault="00053804" w:rsidP="00053804">
      <w:pPr>
        <w:rPr>
          <w:b/>
        </w:rPr>
      </w:pPr>
      <w:r>
        <w:t xml:space="preserve">Tato aktualizace PŽP shrnuje změny transformace OPTP, vztahuje se na celý text PŽP vč. příloh a je tedy </w:t>
      </w:r>
      <w:r w:rsidRPr="00471D26">
        <w:rPr>
          <w:b/>
        </w:rPr>
        <w:t>s</w:t>
      </w:r>
      <w:r>
        <w:rPr>
          <w:b/>
        </w:rPr>
        <w:t xml:space="preserve"> ohledem na výše zmíněné RM </w:t>
      </w:r>
      <w:r w:rsidRPr="00471D26">
        <w:rPr>
          <w:b/>
        </w:rPr>
        <w:t>účinn</w:t>
      </w:r>
      <w:r>
        <w:rPr>
          <w:b/>
        </w:rPr>
        <w:t>á</w:t>
      </w:r>
      <w:r w:rsidRPr="00471D26">
        <w:rPr>
          <w:b/>
        </w:rPr>
        <w:t xml:space="preserve"> k 14. 6. 2015.</w:t>
      </w:r>
    </w:p>
    <w:p w:rsidR="00053804" w:rsidRPr="00471D26" w:rsidRDefault="00053804" w:rsidP="00053804">
      <w:pPr>
        <w:rPr>
          <w:b/>
        </w:rPr>
      </w:pPr>
    </w:p>
    <w:p w:rsidR="00053804" w:rsidRPr="00B06F46" w:rsidRDefault="00053804" w:rsidP="00053804">
      <w:pPr>
        <w:shd w:val="clear" w:color="auto" w:fill="D6E3BC" w:themeFill="accent3" w:themeFillTint="66"/>
        <w:rPr>
          <w:b/>
        </w:rPr>
      </w:pPr>
      <w:r w:rsidRPr="00B06F46">
        <w:rPr>
          <w:b/>
        </w:rPr>
        <w:t>Organizační struktura OPTP k 14.</w:t>
      </w:r>
      <w:r>
        <w:rPr>
          <w:b/>
        </w:rPr>
        <w:t xml:space="preserve"> 6. 2015</w:t>
      </w:r>
    </w:p>
    <w:p w:rsidR="00053804" w:rsidRDefault="00053804" w:rsidP="00053804">
      <w:pPr>
        <w:ind w:left="360"/>
        <w:rPr>
          <w:rFonts w:ascii="Calibri" w:hAnsi="Calibri"/>
          <w:b/>
          <w:bCs/>
          <w:color w:val="000000"/>
          <w:kern w:val="24"/>
          <w:sz w:val="24"/>
          <w:szCs w:val="24"/>
        </w:rPr>
      </w:pPr>
    </w:p>
    <w:p w:rsidR="00053804" w:rsidRPr="00412F7E" w:rsidRDefault="00053804" w:rsidP="00053804">
      <w:pPr>
        <w:ind w:left="360"/>
        <w:rPr>
          <w:rFonts w:cs="Arial"/>
        </w:rPr>
      </w:pPr>
      <w:r w:rsidRPr="00475C44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C69DAE4" wp14:editId="03FF47FB">
                <wp:simplePos x="0" y="0"/>
                <wp:positionH relativeFrom="column">
                  <wp:posOffset>176530</wp:posOffset>
                </wp:positionH>
                <wp:positionV relativeFrom="paragraph">
                  <wp:posOffset>64770</wp:posOffset>
                </wp:positionV>
                <wp:extent cx="5440680" cy="1762125"/>
                <wp:effectExtent l="0" t="0" r="26670" b="28575"/>
                <wp:wrapNone/>
                <wp:docPr id="38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1762125"/>
                          <a:chOff x="0" y="0"/>
                          <a:chExt cx="5617501" cy="1728192"/>
                        </a:xfrm>
                      </wpg:grpSpPr>
                      <wps:wsp>
                        <wps:cNvPr id="39" name="Zaoblený obdélník 2"/>
                        <wps:cNvSpPr/>
                        <wps:spPr>
                          <a:xfrm>
                            <a:off x="2006261" y="0"/>
                            <a:ext cx="1575087" cy="803792"/>
                          </a:xfrm>
                          <a:prstGeom prst="round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53804" w:rsidRDefault="00053804" w:rsidP="00053804">
                              <w:pPr>
                                <w:pStyle w:val="Normlnweb"/>
                                <w:keepLines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ODBOR ŘÍD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</w:t>
                              </w: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CÍHO ORGÁNU OPTP </w:t>
                              </w: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  <w:t>(OŘO OPTP)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Zaoblený obdélník 3"/>
                        <wps:cNvSpPr/>
                        <wps:spPr>
                          <a:xfrm>
                            <a:off x="0" y="1081508"/>
                            <a:ext cx="1793850" cy="646684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Oddělení administrace projektů </w:t>
                              </w:r>
                            </w:p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(OAP)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41" name="Zaoblený obdélník 4"/>
                        <wps:cNvSpPr/>
                        <wps:spPr>
                          <a:xfrm>
                            <a:off x="1937866" y="1081508"/>
                            <a:ext cx="1731806" cy="646684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Oddělení kontrol a evaluací </w:t>
                              </w:r>
                            </w:p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(OKE)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42" name="Zaoblený obdélník 5"/>
                        <wps:cNvSpPr/>
                        <wps:spPr>
                          <a:xfrm>
                            <a:off x="3882082" y="1081508"/>
                            <a:ext cx="1735419" cy="646684"/>
                          </a:xfrm>
                          <a:prstGeom prst="round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Oddělení řízení, metodiky a monitorování</w:t>
                              </w:r>
                            </w:p>
                            <w:p w:rsidR="00053804" w:rsidRDefault="00053804" w:rsidP="00053804">
                              <w:pPr>
                                <w:pStyle w:val="Normlnweb"/>
                                <w:numPr>
                                  <w:ilvl w:val="0"/>
                                  <w:numId w:val="0"/>
                                </w:numPr>
                                <w:spacing w:before="0" w:beforeAutospacing="0" w:after="0" w:afterAutospacing="0"/>
                                <w:jc w:val="center"/>
                              </w:pPr>
                              <w:r w:rsidRPr="003E23E8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(OŘMM)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43" name="Pravoúhlá spojovací čára 6"/>
                        <wps:cNvCnPr/>
                        <wps:spPr>
                          <a:xfrm rot="5400000">
                            <a:off x="1706507" y="-5790"/>
                            <a:ext cx="277716" cy="18968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Pravoúhlá spojovací čára 8"/>
                        <wps:cNvCnPr/>
                        <wps:spPr>
                          <a:xfrm rot="16200000" flipH="1">
                            <a:off x="3632940" y="-35344"/>
                            <a:ext cx="277716" cy="19559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5" name="Přímá spojovací šipka 10"/>
                        <wps:cNvCnPr/>
                        <wps:spPr>
                          <a:xfrm>
                            <a:off x="2793805" y="803792"/>
                            <a:ext cx="9964" cy="277716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2" o:spid="_x0000_s1026" style="position:absolute;left:0;text-align:left;margin-left:13.9pt;margin-top:5.1pt;width:428.4pt;height:138.75pt;z-index:251660800" coordsize="56175,1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">
                <v:roundrect id="Zaoblený obdélník 2" o:spid="_x0000_s1027" style="position:absolute;left:20062;width:15751;height:8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OcMQA&#10;AADbAAAADwAAAGRycy9kb3ducmV2LnhtbESPQWvCQBSE74L/YXlCb7rRgjTRjYhUKC09NFXPj+wz&#10;G5J9m2a3mvz7bqHQ4zAz3zDb3WBbcaPe144VLBcJCOLS6ZorBafP4/wJhA/IGlvHpGAkD7t8Otli&#10;pt2dP+hWhEpECPsMFZgQukxKXxqy6BeuI47e1fUWQ5R9JXWP9wi3rVwlyVparDkuGOzoYKhsim+r&#10;QKbl13GkV7O6PDf4fq7Gt3UolHqYDfsNiEBD+A//tV+0gs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DnDEAAAA2wAAAA8AAAAAAAAAAAAAAAAAmAIAAGRycy9k&#10;b3ducmV2LnhtbFBLBQYAAAAABAAEAPUAAACJAwAAAAA=&#10;" fillcolor="#f79646" strokecolor="#404040" strokeweight="2pt">
                  <v:textbox>
                    <w:txbxContent>
                      <w:p w:rsidR="00053804" w:rsidRDefault="00053804" w:rsidP="00053804">
                        <w:pPr>
                          <w:pStyle w:val="Normlnweb"/>
                          <w:keepLines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ODBOR ŘÍD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I</w:t>
                        </w: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CÍHO ORGÁNU OPTP </w:t>
                        </w: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br/>
                          <w:t>(OŘO OPTP)</w:t>
                        </w:r>
                      </w:p>
                    </w:txbxContent>
                  </v:textbox>
                </v:roundrect>
                <v:roundrect id="Zaoblený obdélník 3" o:spid="_x0000_s1028" style="position:absolute;top:10815;width:17938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OgL8A&#10;AADbAAAADwAAAGRycy9kb3ducmV2LnhtbERPy4rCMBTdC/5DuII7TRUR6RhlEEQ3gtYZcXknuX0w&#10;zU1pota/NwvB5eG8l+vO1uJOra8cK5iMExDE2pmKCwU/5+1oAcIHZIO1Y1LwJA/rVb+3xNS4B5/o&#10;noVCxBD2KSooQ2hSKb0uyaIfu4Y4crlrLYYI20KaFh8x3NZymiRzabHi2FBiQ5uS9H92swqyp75k&#10;eDjern+T/Nfud1Wh841Sw0H3/QUiUBc+4rd7bxTM4vr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0E6AvwAAANsAAAAPAAAAAAAAAAAAAAAAAJgCAABkcnMvZG93bnJl&#10;di54bWxQSwUGAAAAAAQABAD1AAAAhAMAAAAA&#10;" fillcolor="#fac090" strokecolor="#404040" strokeweight="2pt">
                  <v:textbox>
                    <w:txbxContent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Oddělení administrace projektů </w:t>
                        </w:r>
                      </w:p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(OAP)</w:t>
                        </w:r>
                      </w:p>
                    </w:txbxContent>
                  </v:textbox>
                </v:roundrect>
                <v:roundrect id="Zaoblený obdélník 4" o:spid="_x0000_s1029" style="position:absolute;left:19378;top:10815;width:17318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rG8QA&#10;AADbAAAADwAAAGRycy9kb3ducmV2LnhtbESPT2vCQBTE7wW/w/KE3uompZQSXYMEpF4Kbari8bn7&#10;8gezb0N21fjtuwXB4zAzv2EW+Wg7caHBt44VpLMEBLF2puVawfZ3/fIBwgdkg51jUnAjD/ly8rTA&#10;zLgr/9ClDLWIEPYZKmhC6DMpvW7Iop+5njh6lRsshiiHWpoBrxFuO/maJO/SYstxocGeiob0qTxb&#10;BeVN70v8+j4fjmm1s5vPttZVodTzdFzNQQQawyN8b2+Mgrc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c6xvEAAAA2wAAAA8AAAAAAAAAAAAAAAAAmAIAAGRycy9k&#10;b3ducmV2LnhtbFBLBQYAAAAABAAEAPUAAACJAwAAAAA=&#10;" fillcolor="#fac090" strokecolor="#404040" strokeweight="2pt">
                  <v:textbox>
                    <w:txbxContent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Oddělení kontrol a evaluací </w:t>
                        </w:r>
                      </w:p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(OKE)</w:t>
                        </w:r>
                      </w:p>
                    </w:txbxContent>
                  </v:textbox>
                </v:roundrect>
                <v:roundrect id="Zaoblený obdélník 5" o:spid="_x0000_s1030" style="position:absolute;left:38820;top:10815;width:17355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1bMMA&#10;AADbAAAADwAAAGRycy9kb3ducmV2LnhtbESPzYoCMRCE78K+Q+gFb5pRRGQ0igjLehHcUZc9tknP&#10;D046wyTq+PYbQfBYVNVX1GLV2VrcqPWVYwWjYQKCWDtTcaHgePgazED4gGywdkwKHuRhtfzoLTA1&#10;7s4/dMtCISKEfYoKyhCaVEqvS7Loh64hjl7uWoshyraQpsV7hNtajpNkKi1WHBdKbGhTkr5kV6sg&#10;e+jfDHf76995lJ/s9rsqdL5Rqv/ZrecgAnXhHX61t0bBZAz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51bMMAAADbAAAADwAAAAAAAAAAAAAAAACYAgAAZHJzL2Rv&#10;d25yZXYueG1sUEsFBgAAAAAEAAQA9QAAAIgDAAAAAA==&#10;" fillcolor="#fac090" strokecolor="#404040" strokeweight="2pt">
                  <v:textbox>
                    <w:txbxContent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Oddělení řízení, metodiky a monitorování</w:t>
                        </w:r>
                      </w:p>
                      <w:p w:rsidR="00053804" w:rsidRDefault="00053804" w:rsidP="00053804">
                        <w:pPr>
                          <w:pStyle w:val="Normlnweb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/>
                          <w:jc w:val="center"/>
                        </w:pPr>
                        <w:r w:rsidRPr="003E23E8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(OŘMM)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Pravoúhlá spojovací čára 6" o:spid="_x0000_s1031" type="#_x0000_t34" style="position:absolute;left:17065;top:-59;width:2778;height:1896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8Ay8QAAADbAAAADwAAAGRycy9kb3ducmV2LnhtbESPQWvCQBSE7wX/w/IEb3VjLEWiq9hC&#10;IAcvTXvp7ZF9JsHs27i7mphf3y0Uehxm5htmdxhNJ+7kfGtZwWqZgCCurG65VvD1mT9vQPiArLGz&#10;TAoe5OGwnz3tMNN24A+6l6EWEcI+QwVNCH0mpa8aMuiXtieO3tk6gyFKV0vtcIhw08k0SV6lwZbj&#10;QoM9vTdUXcqbUXDLJ32V38f01OElxen85qZiVGoxH49bEIHG8B/+axdawcsafr/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wDLxAAAANsAAAAPAAAAAAAAAAAA&#10;AAAAAKECAABkcnMvZG93bnJldi54bWxQSwUGAAAAAAQABAD5AAAAkgMAAAAA&#10;" strokecolor="windowText" strokeweight="1.5pt">
                  <v:stroke endarrow="open"/>
                </v:shape>
                <v:shape id="Pravoúhlá spojovací čára 8" o:spid="_x0000_s1032" type="#_x0000_t34" style="position:absolute;left:36329;top:-354;width:2778;height:195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mKsUAAADbAAAADwAAAGRycy9kb3ducmV2LnhtbESP3WoCMRSE74W+QziCd5pVbJHVKP1B&#10;aUEt1RZ6edgcN4ubkyWJur59UxC8HGbmG2a2aG0tzuRD5VjBcJCBIC6crrhU8L1f9icgQkTWWDsm&#10;BVcKsJg/dGaYa3fhLzrvYikShEOOCkyMTS5lKAxZDAPXECfv4LzFmKQvpfZ4SXBby1GWPUmLFacF&#10;gw29GiqOu5NVEK8f7aM5bkbZdvXmm5/P9cvhd61Ur9s+T0FEauM9fGu/awXjMfx/S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KmKsUAAADbAAAADwAAAAAAAAAA&#10;AAAAAAChAgAAZHJzL2Rvd25yZXYueG1sUEsFBgAAAAAEAAQA+QAAAJMDAAAAAA==&#10;" strokecolor="windowText" strokeweight="1.5pt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ovací šipka 10" o:spid="_x0000_s1033" type="#_x0000_t32" style="position:absolute;left:27938;top:8037;width:99;height:2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BrcgAAADbAAAADwAAAGRycy9kb3ducmV2LnhtbESPT2vCQBTE74LfYXlCL6KbltZK6iq2&#10;kFrUQ/1z6PGRfSbR7NuY3Wrqp3cLgsdhZn7DjCaNKcWJaldYVvDYj0AQp1YXnCnYbpLeEITzyBpL&#10;y6TgjxxMxu3WCGNtz7yi09pnIkDYxagg976KpXRpTgZd31bEwdvZ2qAPss6krvEc4KaUT1E0kAYL&#10;Dgs5VvSRU3pY/xoF78m8u/h5ncnjcrEfbhN3+Zx9b5R66DTTNxCeGn8P39pfWsHzC/x/CT9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WRBrcgAAADbAAAADwAAAAAA&#10;AAAAAAAAAAChAgAAZHJzL2Rvd25yZXYueG1sUEsFBgAAAAAEAAQA+QAAAJYDAAAAAA==&#10;" strokecolor="windowText" strokeweight="1.5pt">
                  <v:stroke endarrow="open"/>
                </v:shape>
              </v:group>
            </w:pict>
          </mc:Fallback>
        </mc:AlternateContent>
      </w:r>
    </w:p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/>
    <w:p w:rsidR="00053804" w:rsidRDefault="00053804" w:rsidP="00053804">
      <w:pPr>
        <w:shd w:val="clear" w:color="auto" w:fill="D6E3BC" w:themeFill="accent3" w:themeFillTint="66"/>
        <w:rPr>
          <w:b/>
        </w:rPr>
      </w:pPr>
      <w:r w:rsidRPr="00B06F46">
        <w:rPr>
          <w:b/>
        </w:rPr>
        <w:t xml:space="preserve">Přehled </w:t>
      </w:r>
      <w:r>
        <w:rPr>
          <w:b/>
        </w:rPr>
        <w:t xml:space="preserve">stěžejních </w:t>
      </w:r>
      <w:r w:rsidRPr="00B06F46">
        <w:rPr>
          <w:b/>
        </w:rPr>
        <w:t xml:space="preserve">činností jednotlivých oddělení v OPTP </w:t>
      </w:r>
      <w:r>
        <w:rPr>
          <w:b/>
        </w:rPr>
        <w:t>od</w:t>
      </w:r>
      <w:r w:rsidRPr="00B06F46">
        <w:rPr>
          <w:b/>
        </w:rPr>
        <w:t> 14.</w:t>
      </w:r>
      <w:r>
        <w:rPr>
          <w:b/>
        </w:rPr>
        <w:t xml:space="preserve"> 6. 2015</w:t>
      </w:r>
    </w:p>
    <w:p w:rsidR="00053804" w:rsidRDefault="00053804" w:rsidP="00053804">
      <w:r w:rsidRPr="005E7ECE">
        <w:t>Níže uvedená tabulka shrnuje přehled činností jednotlivých oddělení odboru ŘO OPTP</w:t>
      </w:r>
      <w:r>
        <w:t xml:space="preserve"> týkající se programového období 2007-2013 a zároveň období 2014-2020</w:t>
      </w:r>
      <w:r w:rsidRPr="005E7ECE">
        <w:t>.</w:t>
      </w:r>
      <w:r>
        <w:rPr>
          <w:b/>
        </w:rPr>
        <w:t xml:space="preserve"> </w:t>
      </w:r>
      <w:r>
        <w:t>Agenda Odboru rozpočtu (FÚ1) zůstává beze změny, tedy organizačně oddělena od řídícího orgánu, nicméně je nezbytnou součástí pro řádné fungování administrace v OPTP.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3804" w:rsidRPr="00C201D8" w:rsidTr="00EF29CC">
        <w:trPr>
          <w:trHeight w:val="737"/>
        </w:trPr>
        <w:tc>
          <w:tcPr>
            <w:tcW w:w="3070" w:type="dxa"/>
            <w:shd w:val="clear" w:color="auto" w:fill="DBE5F1" w:themeFill="accent1" w:themeFillTint="33"/>
          </w:tcPr>
          <w:p w:rsidR="00053804" w:rsidRPr="00C201D8" w:rsidRDefault="00053804" w:rsidP="00EF29CC">
            <w:pPr>
              <w:keepNext/>
              <w:jc w:val="center"/>
              <w:rPr>
                <w:b/>
                <w:sz w:val="20"/>
              </w:rPr>
            </w:pPr>
            <w:r w:rsidRPr="00C201D8">
              <w:rPr>
                <w:b/>
                <w:sz w:val="20"/>
              </w:rPr>
              <w:lastRenderedPageBreak/>
              <w:t xml:space="preserve">Oddělení administrace projektů </w:t>
            </w:r>
            <w:r>
              <w:rPr>
                <w:b/>
                <w:sz w:val="20"/>
              </w:rPr>
              <w:t xml:space="preserve">(OAP) </w:t>
            </w:r>
            <w:r w:rsidRPr="00C201D8">
              <w:rPr>
                <w:b/>
                <w:sz w:val="20"/>
              </w:rPr>
              <w:t>- 251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:rsidR="00053804" w:rsidRPr="00C201D8" w:rsidRDefault="00053804" w:rsidP="00EF29CC">
            <w:pPr>
              <w:keepNext/>
              <w:jc w:val="center"/>
              <w:rPr>
                <w:b/>
                <w:sz w:val="20"/>
              </w:rPr>
            </w:pPr>
            <w:r w:rsidRPr="00C201D8">
              <w:rPr>
                <w:b/>
                <w:sz w:val="20"/>
              </w:rPr>
              <w:t xml:space="preserve">Oddělení řízení, metodiky a monitorování </w:t>
            </w:r>
            <w:r>
              <w:rPr>
                <w:b/>
                <w:sz w:val="20"/>
              </w:rPr>
              <w:t xml:space="preserve">(OŘMM) </w:t>
            </w:r>
            <w:r w:rsidRPr="00C201D8">
              <w:rPr>
                <w:b/>
                <w:sz w:val="20"/>
              </w:rPr>
              <w:t>- 252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:rsidR="00053804" w:rsidRPr="00C201D8" w:rsidRDefault="00053804" w:rsidP="00EF29CC">
            <w:pPr>
              <w:keepNext/>
              <w:jc w:val="center"/>
              <w:rPr>
                <w:b/>
                <w:sz w:val="20"/>
              </w:rPr>
            </w:pPr>
            <w:r w:rsidRPr="00C201D8">
              <w:rPr>
                <w:b/>
                <w:sz w:val="20"/>
              </w:rPr>
              <w:t xml:space="preserve">Oddělení kontrol a evaluací </w:t>
            </w:r>
            <w:r>
              <w:rPr>
                <w:b/>
                <w:sz w:val="20"/>
              </w:rPr>
              <w:br/>
              <w:t xml:space="preserve">(OKE) </w:t>
            </w:r>
            <w:r w:rsidRPr="00C201D8">
              <w:rPr>
                <w:b/>
                <w:sz w:val="20"/>
              </w:rPr>
              <w:t>- 253</w:t>
            </w:r>
          </w:p>
        </w:tc>
      </w:tr>
      <w:tr w:rsidR="00053804" w:rsidRPr="00C201D8" w:rsidTr="00EF29CC">
        <w:trPr>
          <w:trHeight w:val="692"/>
        </w:trPr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finanční a projektové řízení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>
              <w:rPr>
                <w:sz w:val="20"/>
              </w:rPr>
              <w:t>zpracování a aktualizace metodické dokumentace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řízení, plánování a výkon kontrol</w:t>
            </w:r>
            <w:r>
              <w:rPr>
                <w:rFonts w:cs="Tahoma"/>
                <w:sz w:val="20"/>
              </w:rPr>
              <w:t xml:space="preserve"> vč. kontroly výkonu delegovaných činností na ZS</w:t>
            </w:r>
          </w:p>
        </w:tc>
      </w:tr>
      <w:tr w:rsidR="00053804" w:rsidRPr="00C201D8" w:rsidTr="00EF29CC"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koordinace a zajišťování absorpční kapacity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>
              <w:rPr>
                <w:sz w:val="20"/>
              </w:rPr>
              <w:t>gestor indikátorové soustavy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agend</w:t>
            </w:r>
            <w:r>
              <w:rPr>
                <w:rFonts w:cs="Tahoma"/>
                <w:sz w:val="20"/>
              </w:rPr>
              <w:t>a</w:t>
            </w:r>
            <w:r w:rsidRPr="00C201D8">
              <w:rPr>
                <w:rFonts w:cs="Tahoma"/>
                <w:sz w:val="20"/>
              </w:rPr>
              <w:t xml:space="preserve"> nesrovnalostí</w:t>
            </w:r>
          </w:p>
        </w:tc>
      </w:tr>
      <w:tr w:rsidR="00053804" w:rsidRPr="00C201D8" w:rsidTr="00EF29CC"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řešení stížností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113711">
              <w:rPr>
                <w:sz w:val="20"/>
              </w:rPr>
              <w:t>garant informačního systému za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 xml:space="preserve">komunikace a </w:t>
            </w:r>
            <w:r>
              <w:rPr>
                <w:rFonts w:cs="Tahoma"/>
                <w:sz w:val="20"/>
              </w:rPr>
              <w:t>zajištění podkladů</w:t>
            </w:r>
            <w:r w:rsidRPr="00C201D8">
              <w:rPr>
                <w:rFonts w:cs="Tahoma"/>
                <w:sz w:val="20"/>
              </w:rPr>
              <w:t xml:space="preserve"> pro kontrolní a auditní orgány</w:t>
            </w:r>
          </w:p>
        </w:tc>
      </w:tr>
      <w:tr w:rsidR="00053804" w:rsidRPr="00C201D8" w:rsidTr="00EF29CC"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  <w:r w:rsidRPr="00C201D8">
              <w:rPr>
                <w:rFonts w:cs="Tahoma"/>
                <w:sz w:val="20"/>
              </w:rPr>
              <w:t xml:space="preserve">problematika veřejných zakázek (kontrola ZD, smluv apod.) vč. konzultací 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>
              <w:rPr>
                <w:sz w:val="20"/>
              </w:rPr>
              <w:t>zpracování výročních a průběžných zpráv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řízení rizik v OPTP</w:t>
            </w:r>
          </w:p>
        </w:tc>
      </w:tr>
      <w:tr w:rsidR="00053804" w:rsidRPr="00C201D8" w:rsidTr="00EF29CC">
        <w:trPr>
          <w:trHeight w:val="457"/>
        </w:trPr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Koordinace činnosti ZS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>
              <w:rPr>
                <w:sz w:val="20"/>
              </w:rPr>
              <w:t>finanční řízení programu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sz w:val="20"/>
              </w:rPr>
            </w:pPr>
            <w:r w:rsidRPr="00C201D8">
              <w:rPr>
                <w:rFonts w:cs="Tahoma"/>
                <w:sz w:val="20"/>
              </w:rPr>
              <w:t>evaluac</w:t>
            </w:r>
            <w:r>
              <w:rPr>
                <w:rFonts w:cs="Tahoma"/>
                <w:sz w:val="20"/>
              </w:rPr>
              <w:t>e</w:t>
            </w:r>
            <w:r w:rsidRPr="00C201D8">
              <w:rPr>
                <w:rFonts w:cs="Tahoma"/>
                <w:sz w:val="20"/>
              </w:rPr>
              <w:t xml:space="preserve"> v rámci OPTP</w:t>
            </w:r>
          </w:p>
        </w:tc>
      </w:tr>
      <w:tr w:rsidR="00053804" w:rsidRPr="00C201D8" w:rsidTr="00EF29CC">
        <w:trPr>
          <w:trHeight w:val="420"/>
        </w:trPr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  <w:tc>
          <w:tcPr>
            <w:tcW w:w="3071" w:type="dxa"/>
          </w:tcPr>
          <w:p w:rsidR="00053804" w:rsidRDefault="00053804" w:rsidP="00EF29CC">
            <w:pPr>
              <w:keepNext/>
              <w:rPr>
                <w:sz w:val="20"/>
              </w:rPr>
            </w:pPr>
            <w:r w:rsidRPr="00113711">
              <w:rPr>
                <w:sz w:val="20"/>
              </w:rPr>
              <w:t>systém vzdělávání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</w:tr>
      <w:tr w:rsidR="00053804" w:rsidRPr="00C201D8" w:rsidTr="00EF29CC">
        <w:trPr>
          <w:trHeight w:val="406"/>
        </w:trPr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  <w:tc>
          <w:tcPr>
            <w:tcW w:w="3071" w:type="dxa"/>
          </w:tcPr>
          <w:p w:rsidR="00053804" w:rsidRDefault="00053804" w:rsidP="00EF29CC">
            <w:pPr>
              <w:keepNext/>
              <w:rPr>
                <w:sz w:val="20"/>
              </w:rPr>
            </w:pPr>
            <w:r w:rsidRPr="00113711">
              <w:rPr>
                <w:sz w:val="20"/>
              </w:rPr>
              <w:t>zajištění publicity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</w:tr>
      <w:tr w:rsidR="00053804" w:rsidRPr="00C201D8" w:rsidTr="00EF29CC">
        <w:tc>
          <w:tcPr>
            <w:tcW w:w="3070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  <w:tc>
          <w:tcPr>
            <w:tcW w:w="3071" w:type="dxa"/>
          </w:tcPr>
          <w:p w:rsidR="00053804" w:rsidRPr="00113711" w:rsidRDefault="00053804" w:rsidP="00EF29CC">
            <w:pPr>
              <w:keepNext/>
              <w:rPr>
                <w:sz w:val="20"/>
              </w:rPr>
            </w:pPr>
            <w:r w:rsidRPr="00113711">
              <w:rPr>
                <w:sz w:val="20"/>
              </w:rPr>
              <w:t>funkce a činnost Monitorovacího výboru OPTP, Výběrové komise OPTP</w:t>
            </w:r>
          </w:p>
        </w:tc>
        <w:tc>
          <w:tcPr>
            <w:tcW w:w="3071" w:type="dxa"/>
          </w:tcPr>
          <w:p w:rsidR="00053804" w:rsidRPr="00C201D8" w:rsidRDefault="00053804" w:rsidP="00EF29CC">
            <w:pPr>
              <w:keepNext/>
              <w:rPr>
                <w:rFonts w:cs="Tahoma"/>
                <w:sz w:val="20"/>
              </w:rPr>
            </w:pPr>
          </w:p>
        </w:tc>
      </w:tr>
    </w:tbl>
    <w:p w:rsidR="00053804" w:rsidRDefault="00053804" w:rsidP="007027F0">
      <w:pPr>
        <w:shd w:val="clear" w:color="auto" w:fill="D6E3BC" w:themeFill="accent3" w:themeFillTint="66"/>
        <w:spacing w:before="240"/>
        <w:rPr>
          <w:b/>
        </w:rPr>
      </w:pPr>
      <w:r>
        <w:rPr>
          <w:b/>
        </w:rPr>
        <w:t>Přehled změn</w:t>
      </w:r>
      <w:r w:rsidRPr="007C0B2A">
        <w:rPr>
          <w:b/>
        </w:rPr>
        <w:t xml:space="preserve"> </w:t>
      </w:r>
      <w:r>
        <w:rPr>
          <w:b/>
        </w:rPr>
        <w:t>v rámci ŘO OPTP</w:t>
      </w:r>
    </w:p>
    <w:p w:rsidR="00053804" w:rsidRPr="008723B6" w:rsidRDefault="00053804" w:rsidP="00053804">
      <w:pPr>
        <w:spacing w:after="240"/>
      </w:pPr>
      <w:r w:rsidRPr="008723B6">
        <w:t xml:space="preserve">Níže uvedená tabulka obsahuje </w:t>
      </w:r>
      <w:r>
        <w:t>změnu</w:t>
      </w:r>
      <w:r w:rsidRPr="008723B6">
        <w:t xml:space="preserve"> agendy</w:t>
      </w:r>
      <w:r>
        <w:t xml:space="preserve"> oddělení 251 a 252 před vydáním RM </w:t>
      </w:r>
      <w:r w:rsidRPr="008723B6">
        <w:t>83/2015</w:t>
      </w:r>
      <w:r>
        <w:t>,</w:t>
      </w:r>
      <w:r w:rsidRPr="008723B6">
        <w:t xml:space="preserve"> </w:t>
      </w:r>
      <w:r>
        <w:t>tj. do 13. 6. 2015 a od jeho účinnosti, tj. od 14. 6. 2015</w:t>
      </w:r>
      <w:r w:rsidRPr="00437CB3">
        <w:t xml:space="preserve"> </w:t>
      </w:r>
      <w:r>
        <w:t xml:space="preserve">a zároveň zohledňuje vznik nového oddělení 253 vč. přidělené agendy.  </w:t>
      </w:r>
      <w:r w:rsidRPr="008723B6"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3804" w:rsidRPr="004D3D04" w:rsidTr="00EF29CC">
        <w:trPr>
          <w:trHeight w:val="408"/>
        </w:trPr>
        <w:tc>
          <w:tcPr>
            <w:tcW w:w="4606" w:type="dxa"/>
            <w:shd w:val="clear" w:color="auto" w:fill="DBE5F1" w:themeFill="accent1" w:themeFillTint="33"/>
            <w:vAlign w:val="center"/>
          </w:tcPr>
          <w:p w:rsidR="00053804" w:rsidRPr="004D3D04" w:rsidRDefault="00053804" w:rsidP="00EF29CC">
            <w:pPr>
              <w:jc w:val="center"/>
              <w:rPr>
                <w:b/>
                <w:sz w:val="20"/>
              </w:rPr>
            </w:pPr>
            <w:r w:rsidRPr="004D3D04">
              <w:rPr>
                <w:b/>
                <w:sz w:val="20"/>
              </w:rPr>
              <w:t>Původně do 13. 6. 2015</w:t>
            </w:r>
          </w:p>
        </w:tc>
        <w:tc>
          <w:tcPr>
            <w:tcW w:w="4606" w:type="dxa"/>
            <w:shd w:val="clear" w:color="auto" w:fill="DBE5F1" w:themeFill="accent1" w:themeFillTint="33"/>
            <w:vAlign w:val="center"/>
          </w:tcPr>
          <w:p w:rsidR="00053804" w:rsidRPr="004D3D04" w:rsidRDefault="00053804" w:rsidP="00EF29CC">
            <w:pPr>
              <w:jc w:val="center"/>
              <w:rPr>
                <w:b/>
                <w:sz w:val="20"/>
              </w:rPr>
            </w:pPr>
            <w:r w:rsidRPr="004D3D04">
              <w:rPr>
                <w:b/>
                <w:sz w:val="20"/>
              </w:rPr>
              <w:t>Nově od 14. 6. 2015</w:t>
            </w:r>
          </w:p>
        </w:tc>
      </w:tr>
      <w:tr w:rsidR="00053804" w:rsidRPr="004D3D04" w:rsidTr="00EF29CC">
        <w:trPr>
          <w:trHeight w:val="410"/>
        </w:trPr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oddělení </w:t>
            </w:r>
            <w:r w:rsidRPr="00837D51">
              <w:rPr>
                <w:b/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  <w:r w:rsidRPr="004D3D04">
              <w:rPr>
                <w:sz w:val="20"/>
              </w:rPr>
              <w:t>neexistovalo</w:t>
            </w:r>
          </w:p>
        </w:tc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 w:rsidRPr="004D3D04">
              <w:rPr>
                <w:sz w:val="20"/>
              </w:rPr>
              <w:t>vznik nového oddělení kontrol a evaluací</w:t>
            </w:r>
            <w:r>
              <w:rPr>
                <w:sz w:val="20"/>
              </w:rPr>
              <w:t xml:space="preserve"> </w:t>
            </w:r>
            <w:r w:rsidRPr="00CD1D36">
              <w:rPr>
                <w:b/>
                <w:sz w:val="20"/>
              </w:rPr>
              <w:t>253</w:t>
            </w:r>
          </w:p>
        </w:tc>
      </w:tr>
      <w:tr w:rsidR="00053804" w:rsidRPr="004D3D04" w:rsidTr="00EF29CC">
        <w:trPr>
          <w:trHeight w:val="416"/>
        </w:trPr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agenda kontrol a nesrovnalostí byla v oddělení </w:t>
            </w:r>
            <w:r w:rsidRPr="00CD1D36">
              <w:rPr>
                <w:b/>
                <w:sz w:val="20"/>
              </w:rPr>
              <w:t>252</w:t>
            </w:r>
          </w:p>
        </w:tc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agenda kontrol a nesrovnalostí je v oddělení </w:t>
            </w:r>
            <w:r w:rsidRPr="00CD1D36">
              <w:rPr>
                <w:b/>
                <w:sz w:val="20"/>
              </w:rPr>
              <w:t>253</w:t>
            </w:r>
          </w:p>
        </w:tc>
      </w:tr>
      <w:tr w:rsidR="00053804" w:rsidRPr="004D3D04" w:rsidTr="00EF29CC">
        <w:trPr>
          <w:trHeight w:val="408"/>
        </w:trPr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zajištění evaluační činnosti bylo v 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evaluační činnosti v OPTP zajišťuje oddělení </w:t>
            </w:r>
            <w:r w:rsidRPr="00CD1D36">
              <w:rPr>
                <w:b/>
                <w:sz w:val="20"/>
              </w:rPr>
              <w:t>253</w:t>
            </w:r>
          </w:p>
        </w:tc>
      </w:tr>
      <w:tr w:rsidR="00053804" w:rsidRPr="004D3D04" w:rsidTr="00EF29CC">
        <w:trPr>
          <w:trHeight w:val="427"/>
        </w:trPr>
        <w:tc>
          <w:tcPr>
            <w:tcW w:w="4606" w:type="dxa"/>
            <w:vAlign w:val="center"/>
          </w:tcPr>
          <w:p w:rsidR="000538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agendu řízení rizik zajišťovalo 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agenda řízení rizik přešla do oddělení </w:t>
            </w:r>
            <w:r w:rsidRPr="00CD1D36">
              <w:rPr>
                <w:b/>
                <w:sz w:val="20"/>
              </w:rPr>
              <w:t>253</w:t>
            </w:r>
          </w:p>
        </w:tc>
      </w:tr>
      <w:tr w:rsidR="00053804" w:rsidRPr="004D3D04" w:rsidTr="00EF29CC">
        <w:trPr>
          <w:trHeight w:val="689"/>
        </w:trPr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problematika kontroly VZ (stanoviska k ZD, smlouvám atd.) vč. konzultací byla v oddělení </w:t>
            </w:r>
            <w:r w:rsidRPr="00CD1D36">
              <w:rPr>
                <w:b/>
                <w:sz w:val="20"/>
              </w:rPr>
              <w:t>252</w:t>
            </w:r>
          </w:p>
        </w:tc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 xml:space="preserve">problematika kontroly VZ (stanoviska k ZD, smlouvám atd.) vč. konzultací je v oddělení </w:t>
            </w:r>
            <w:r w:rsidRPr="00CD1D36">
              <w:rPr>
                <w:b/>
                <w:sz w:val="20"/>
              </w:rPr>
              <w:t>251</w:t>
            </w:r>
          </w:p>
        </w:tc>
      </w:tr>
      <w:tr w:rsidR="00053804" w:rsidRPr="004D3D04" w:rsidTr="00EF29CC">
        <w:trPr>
          <w:trHeight w:val="1408"/>
        </w:trPr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>finanční řízení programu (</w:t>
            </w:r>
            <w:r w:rsidRPr="00CD1D36">
              <w:rPr>
                <w:sz w:val="20"/>
              </w:rPr>
              <w:t xml:space="preserve">příprava návrhu rozpočtu a střednědobého výhledu za OPTP a dalších rozpočtových činností, zpracování predikcí a sledování stavu čerpání dle pravidla n+3 atd.) </w:t>
            </w:r>
            <w:r>
              <w:rPr>
                <w:sz w:val="20"/>
              </w:rPr>
              <w:t xml:space="preserve">bylo </w:t>
            </w:r>
            <w:r w:rsidRPr="00CD1D36">
              <w:rPr>
                <w:sz w:val="20"/>
              </w:rPr>
              <w:t xml:space="preserve">v 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Pr="004D3D04" w:rsidRDefault="00053804" w:rsidP="00EF29CC">
            <w:pPr>
              <w:rPr>
                <w:sz w:val="20"/>
              </w:rPr>
            </w:pPr>
            <w:r>
              <w:rPr>
                <w:sz w:val="20"/>
              </w:rPr>
              <w:t>finanční řízení programu (</w:t>
            </w:r>
            <w:r w:rsidRPr="00CD1D36">
              <w:rPr>
                <w:sz w:val="20"/>
              </w:rPr>
              <w:t xml:space="preserve">příprava návrhu rozpočtu a střednědobého výhledu za OPTP a dalších rozpočtových činností, zpracování predikcí a sledování stavu čerpání dle pravidla n+3 atd.) </w:t>
            </w:r>
            <w:r>
              <w:rPr>
                <w:sz w:val="20"/>
              </w:rPr>
              <w:t xml:space="preserve">je </w:t>
            </w:r>
            <w:r w:rsidRPr="00CD1D36">
              <w:rPr>
                <w:sz w:val="20"/>
              </w:rPr>
              <w:t xml:space="preserve">v oddělení </w:t>
            </w:r>
            <w:r w:rsidRPr="00CD1D36">
              <w:rPr>
                <w:b/>
                <w:sz w:val="20"/>
              </w:rPr>
              <w:t>252</w:t>
            </w:r>
          </w:p>
        </w:tc>
      </w:tr>
      <w:tr w:rsidR="00053804" w:rsidRPr="004D3D04" w:rsidTr="00EF29CC">
        <w:trPr>
          <w:trHeight w:val="691"/>
        </w:trPr>
        <w:tc>
          <w:tcPr>
            <w:tcW w:w="4606" w:type="dxa"/>
            <w:vAlign w:val="center"/>
          </w:tcPr>
          <w:p w:rsidR="00053804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 xml:space="preserve">zajištění publicity </w:t>
            </w:r>
            <w:r>
              <w:rPr>
                <w:sz w:val="20"/>
              </w:rPr>
              <w:t xml:space="preserve">v </w:t>
            </w:r>
            <w:r w:rsidRPr="00CD1D36">
              <w:rPr>
                <w:sz w:val="20"/>
              </w:rPr>
              <w:t>OPTP (správa webového portálu, extranetu apod.)</w:t>
            </w:r>
            <w:r>
              <w:rPr>
                <w:sz w:val="20"/>
              </w:rPr>
              <w:t xml:space="preserve"> bylo v 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 xml:space="preserve">zajištění publicity </w:t>
            </w:r>
            <w:r>
              <w:rPr>
                <w:sz w:val="20"/>
              </w:rPr>
              <w:t xml:space="preserve">v </w:t>
            </w:r>
            <w:r w:rsidRPr="00CD1D36">
              <w:rPr>
                <w:sz w:val="20"/>
              </w:rPr>
              <w:t>OPTP (správa webového portálu, extranetu apod.)</w:t>
            </w:r>
            <w:r>
              <w:rPr>
                <w:sz w:val="20"/>
              </w:rPr>
              <w:t xml:space="preserve"> je v oddělení </w:t>
            </w:r>
            <w:r w:rsidRPr="00CD1D36">
              <w:rPr>
                <w:b/>
                <w:sz w:val="20"/>
              </w:rPr>
              <w:t>252</w:t>
            </w:r>
          </w:p>
        </w:tc>
      </w:tr>
      <w:tr w:rsidR="00053804" w:rsidRPr="004D3D04" w:rsidTr="00EF29CC">
        <w:trPr>
          <w:trHeight w:val="432"/>
        </w:trPr>
        <w:tc>
          <w:tcPr>
            <w:tcW w:w="4606" w:type="dxa"/>
            <w:vAlign w:val="center"/>
          </w:tcPr>
          <w:p w:rsidR="00053804" w:rsidRPr="00CD1D36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>systém vzdělávání OPTP</w:t>
            </w:r>
            <w:r>
              <w:rPr>
                <w:sz w:val="20"/>
              </w:rPr>
              <w:t xml:space="preserve"> byl v 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>systém vzdělávání OPTP</w:t>
            </w:r>
            <w:r>
              <w:rPr>
                <w:sz w:val="20"/>
              </w:rPr>
              <w:t xml:space="preserve"> je v oddělení </w:t>
            </w:r>
            <w:r w:rsidRPr="00CD1D36">
              <w:rPr>
                <w:b/>
                <w:sz w:val="20"/>
              </w:rPr>
              <w:t>252</w:t>
            </w:r>
          </w:p>
        </w:tc>
      </w:tr>
      <w:tr w:rsidR="00053804" w:rsidRPr="004D3D04" w:rsidTr="00EF29CC">
        <w:trPr>
          <w:trHeight w:val="551"/>
        </w:trPr>
        <w:tc>
          <w:tcPr>
            <w:tcW w:w="4606" w:type="dxa"/>
            <w:vAlign w:val="center"/>
          </w:tcPr>
          <w:p w:rsidR="00053804" w:rsidRPr="00CD1D36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>funkce a činnost Monitorovacího výboru OPTP, Výběrové komise OPTP</w:t>
            </w:r>
            <w:r>
              <w:rPr>
                <w:sz w:val="20"/>
              </w:rPr>
              <w:t xml:space="preserve"> byla v oddělení </w:t>
            </w:r>
            <w:r w:rsidRPr="00CD1D36">
              <w:rPr>
                <w:b/>
                <w:sz w:val="20"/>
              </w:rPr>
              <w:t>251</w:t>
            </w:r>
          </w:p>
        </w:tc>
        <w:tc>
          <w:tcPr>
            <w:tcW w:w="4606" w:type="dxa"/>
            <w:vAlign w:val="center"/>
          </w:tcPr>
          <w:p w:rsidR="00053804" w:rsidRPr="00CD1D36" w:rsidRDefault="00053804" w:rsidP="00EF29CC">
            <w:pPr>
              <w:rPr>
                <w:sz w:val="20"/>
              </w:rPr>
            </w:pPr>
            <w:r w:rsidRPr="00CD1D36">
              <w:rPr>
                <w:sz w:val="20"/>
              </w:rPr>
              <w:t>funkce a činnost Monitorovacího výboru OPTP</w:t>
            </w:r>
            <w:r>
              <w:rPr>
                <w:sz w:val="20"/>
              </w:rPr>
              <w:t xml:space="preserve"> a</w:t>
            </w:r>
            <w:r w:rsidRPr="00CD1D36">
              <w:rPr>
                <w:sz w:val="20"/>
              </w:rPr>
              <w:t xml:space="preserve"> Výběrové komise OPTP</w:t>
            </w:r>
            <w:r>
              <w:rPr>
                <w:sz w:val="20"/>
              </w:rPr>
              <w:t xml:space="preserve"> je v oddělení </w:t>
            </w:r>
            <w:r w:rsidRPr="00CD1D36">
              <w:rPr>
                <w:b/>
                <w:sz w:val="20"/>
              </w:rPr>
              <w:t>252</w:t>
            </w:r>
          </w:p>
        </w:tc>
      </w:tr>
    </w:tbl>
    <w:p w:rsidR="00053804" w:rsidRDefault="00053804" w:rsidP="00053804">
      <w:pPr>
        <w:spacing w:before="240" w:after="240"/>
      </w:pPr>
    </w:p>
    <w:p w:rsidR="00053804" w:rsidRDefault="00053804" w:rsidP="00053804">
      <w:pPr>
        <w:spacing w:before="240" w:after="240"/>
      </w:pPr>
      <w:r>
        <w:t xml:space="preserve">Zapracování změn do textu dokumentace programu Řídící orgán OPTP nezvolil především z důvodu finální fáze implementace programového období 2007-2013 a zároveň z důvodu rozsáhlosti změn. V návaznosti na provedené úpravy je nezbytné vzít na vědomí, že činnosti vykonávají již nově vzniklá oddělení tak, jak je uvedeno výše. </w:t>
      </w:r>
    </w:p>
    <w:p w:rsidR="00053804" w:rsidRDefault="00053804" w:rsidP="00053804">
      <w:pPr>
        <w:spacing w:after="120"/>
      </w:pPr>
      <w:r>
        <w:t>V návaznosti na RM č. 83/2015 se dále mění napříč dokumentem názvy těchto útvarů:</w:t>
      </w:r>
    </w:p>
    <w:p w:rsidR="00053804" w:rsidRDefault="00053804" w:rsidP="00053804">
      <w:pPr>
        <w:pStyle w:val="Odstavecseseznamem"/>
        <w:numPr>
          <w:ilvl w:val="0"/>
          <w:numId w:val="80"/>
        </w:numPr>
        <w:spacing w:before="0"/>
        <w:ind w:left="714" w:hanging="357"/>
      </w:pPr>
      <w:r>
        <w:t>Odbor publicity EU – nově Oddělení publicity EU,</w:t>
      </w:r>
    </w:p>
    <w:p w:rsidR="00053804" w:rsidRDefault="00053804" w:rsidP="00053804">
      <w:pPr>
        <w:pStyle w:val="Odstavecseseznamem"/>
        <w:numPr>
          <w:ilvl w:val="0"/>
          <w:numId w:val="80"/>
        </w:numPr>
        <w:spacing w:before="0"/>
        <w:ind w:left="714" w:hanging="357"/>
      </w:pPr>
      <w:r>
        <w:t>Samostatné oddělení administrativní kapacity – nově Oddělení administrativní kapacity,</w:t>
      </w:r>
    </w:p>
    <w:p w:rsidR="00053804" w:rsidRDefault="00053804" w:rsidP="00053804">
      <w:pPr>
        <w:pStyle w:val="Odstavecseseznamem"/>
        <w:numPr>
          <w:ilvl w:val="0"/>
          <w:numId w:val="80"/>
        </w:numPr>
        <w:spacing w:before="0"/>
        <w:ind w:left="714" w:hanging="357"/>
      </w:pPr>
      <w:r>
        <w:t xml:space="preserve">Samostatné oddělení interního auditu – nově Oddělení interního auditu. </w:t>
      </w:r>
    </w:p>
    <w:p w:rsidR="00053804" w:rsidRPr="00E25F3B" w:rsidRDefault="00053804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3" w:name="_Toc243199642"/>
      <w:bookmarkStart w:id="24" w:name="_Toc418076342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3"/>
      <w:bookmarkEnd w:id="24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Distribuce říd</w:t>
      </w:r>
      <w:r w:rsidR="00BA4CD9">
        <w:rPr>
          <w:rFonts w:cs="Arial"/>
        </w:rPr>
        <w:t>i</w:t>
      </w:r>
      <w:r w:rsidRPr="002078A5">
        <w:rPr>
          <w:rFonts w:cs="Arial"/>
        </w:rPr>
        <w:t xml:space="preserve">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C023BC" w:rsidRPr="00E25F3B">
        <w:rPr>
          <w:rFonts w:cs="Arial"/>
          <w:lang w:eastAsia="en-US"/>
        </w:rPr>
        <w:t xml:space="preserve">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>Tvoří ji subjekty na různých stupních řízení, které zajišťují realizaci OPTP. V období 2007-2013 je pouze dvoustupňová: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 Příjemce podpory je napojen přímo na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477CB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</w:t>
      </w:r>
    </w:p>
    <w:p w:rsidR="00477CBE" w:rsidRPr="000122C2" w:rsidRDefault="003D550E" w:rsidP="00477CBE">
      <w:pPr>
        <w:rPr>
          <w:rFonts w:cs="Arial"/>
          <w:szCs w:val="22"/>
          <w:lang w:eastAsia="en-US"/>
        </w:rPr>
      </w:pPr>
      <w:r w:rsidRPr="00477CBE">
        <w:rPr>
          <w:rFonts w:cs="Arial"/>
          <w:lang w:eastAsia="en-US"/>
        </w:rPr>
        <w:t xml:space="preserve">V případě podání závěrečných </w:t>
      </w:r>
      <w:r w:rsidR="009A67BE" w:rsidRPr="00477CBE">
        <w:rPr>
          <w:rFonts w:cs="Arial"/>
          <w:lang w:eastAsia="en-US"/>
        </w:rPr>
        <w:t>zjednodušených ž</w:t>
      </w:r>
      <w:r w:rsidRPr="00477CBE">
        <w:rPr>
          <w:rFonts w:cs="Arial"/>
          <w:lang w:eastAsia="en-US"/>
        </w:rPr>
        <w:t>ádostí o platbu budou prováděny kontroly na místě u vzorku projektů, které byly na základě analýzy rizik vyhodnoceny jako rizikové.</w:t>
      </w:r>
      <w:r w:rsidR="00477CBE" w:rsidRPr="00477CBE">
        <w:rPr>
          <w:rFonts w:cs="Arial"/>
          <w:lang w:eastAsia="en-US"/>
        </w:rPr>
        <w:t xml:space="preserve"> </w:t>
      </w:r>
      <w:r w:rsidR="00477CBE" w:rsidRPr="00477CBE">
        <w:rPr>
          <w:rFonts w:cs="Arial"/>
          <w:color w:val="0D0D0D"/>
          <w:sz w:val="20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3A4544">
        <w:rPr>
          <w:rFonts w:cs="Arial"/>
          <w:lang w:eastAsia="en-US"/>
        </w:rPr>
        <w:t>,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</w:t>
      </w:r>
      <w:r w:rsidRPr="00E25F3B">
        <w:rPr>
          <w:rFonts w:ascii="Arial" w:hAnsi="Arial" w:cs="Arial"/>
          <w:sz w:val="22"/>
          <w:szCs w:val="22"/>
        </w:rPr>
        <w:lastRenderedPageBreak/>
        <w:t>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ls" w:val="trans"/>
          <w:attr w:name="Month" w:val="7"/>
          <w:attr w:name="Day" w:val="11"/>
          <w:attr w:name="Year" w:val="2006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</w:t>
      </w:r>
      <w:r w:rsidR="00BA4CD9">
        <w:rPr>
          <w:rFonts w:cs="Arial"/>
          <w:szCs w:val="22"/>
          <w:lang w:eastAsia="en-US"/>
        </w:rPr>
        <w:t>i</w:t>
      </w:r>
      <w:r w:rsidR="00095D13" w:rsidRPr="00E25F3B">
        <w:rPr>
          <w:rFonts w:cs="Arial"/>
          <w:szCs w:val="22"/>
          <w:lang w:eastAsia="en-US"/>
        </w:rPr>
        <w:t>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CC12C2" w:rsidRDefault="003D550E" w:rsidP="00EF0379">
      <w:pPr>
        <w:autoSpaceDE w:val="0"/>
        <w:autoSpaceDN w:val="0"/>
        <w:adjustRightInd w:val="0"/>
        <w:spacing w:before="0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 „Nesrovnalostí“ se rozumí porušení právních předpisů </w:t>
      </w:r>
      <w:r w:rsidR="00B953E4">
        <w:rPr>
          <w:rFonts w:cs="Arial"/>
          <w:szCs w:val="22"/>
          <w:lang w:eastAsia="en-US"/>
        </w:rPr>
        <w:t>E</w:t>
      </w:r>
      <w:r w:rsidRPr="00E25F3B">
        <w:rPr>
          <w:rFonts w:cs="Arial"/>
          <w:szCs w:val="22"/>
          <w:lang w:eastAsia="en-US"/>
        </w:rPr>
        <w:t xml:space="preserve">S </w:t>
      </w:r>
      <w:r w:rsidR="00B953E4">
        <w:rPr>
          <w:rFonts w:cs="Arial"/>
          <w:szCs w:val="22"/>
          <w:lang w:eastAsia="en-US"/>
        </w:rPr>
        <w:t xml:space="preserve">nebo ČR v důsledku </w:t>
      </w:r>
      <w:r w:rsidRPr="00E25F3B">
        <w:rPr>
          <w:rFonts w:cs="Arial"/>
          <w:szCs w:val="22"/>
          <w:lang w:eastAsia="en-US"/>
        </w:rPr>
        <w:t>z jednání nebo opomenutí hospodářského subjektu, které vede nebo by mohlo vést ke ztrátě v souhrnném rozpočtu E</w:t>
      </w:r>
      <w:r w:rsidR="00B953E4">
        <w:rPr>
          <w:rFonts w:cs="Arial"/>
          <w:szCs w:val="22"/>
          <w:lang w:eastAsia="en-US"/>
        </w:rPr>
        <w:t>U nebo ve veřejném rozpočtu ČR</w:t>
      </w:r>
      <w:r w:rsidRPr="00E25F3B">
        <w:rPr>
          <w:rFonts w:cs="Arial"/>
          <w:szCs w:val="22"/>
          <w:lang w:eastAsia="en-US"/>
        </w:rPr>
        <w:t xml:space="preserve">, a to započtením neoprávněného výdaje do </w:t>
      </w:r>
      <w:r w:rsidR="00B953E4">
        <w:rPr>
          <w:rFonts w:cs="Arial"/>
          <w:szCs w:val="22"/>
          <w:lang w:eastAsia="en-US"/>
        </w:rPr>
        <w:t xml:space="preserve">souhrnného </w:t>
      </w:r>
      <w:r w:rsidRPr="00E25F3B">
        <w:rPr>
          <w:rFonts w:cs="Arial"/>
          <w:szCs w:val="22"/>
          <w:lang w:eastAsia="en-US"/>
        </w:rPr>
        <w:t xml:space="preserve">rozpočtu </w:t>
      </w:r>
      <w:r w:rsidR="00B953E4">
        <w:rPr>
          <w:rFonts w:cs="Arial"/>
          <w:szCs w:val="22"/>
          <w:lang w:eastAsia="en-US"/>
        </w:rPr>
        <w:t>EU nebo do veřejného rozpočtu ČR</w:t>
      </w:r>
      <w:r w:rsidRPr="00E25F3B">
        <w:rPr>
          <w:rFonts w:cs="Arial"/>
          <w:szCs w:val="22"/>
          <w:lang w:eastAsia="en-US"/>
        </w:rPr>
        <w:t xml:space="preserve">. </w:t>
      </w:r>
      <w:r w:rsidR="00800041">
        <w:rPr>
          <w:rFonts w:cs="Arial"/>
          <w:szCs w:val="22"/>
          <w:lang w:eastAsia="en-US"/>
        </w:rPr>
        <w:t>Hospodářským subjektem se rozumí subjekt zapojený do realizace programů nebo projektů spolufinancovaných z rozpočtu EU.</w:t>
      </w:r>
      <w:r w:rsidRPr="00E25F3B">
        <w:rPr>
          <w:rFonts w:cs="Arial"/>
          <w:szCs w:val="22"/>
          <w:lang w:eastAsia="en-US"/>
        </w:rPr>
        <w:t xml:space="preserve"> </w:t>
      </w:r>
      <w:r w:rsidR="00CC12C2" w:rsidRPr="00EF0379">
        <w:rPr>
          <w:rFonts w:cs="Arial"/>
          <w:szCs w:val="22"/>
        </w:rPr>
        <w:t>V případě vyměření odvodu za porušení rozpočtové kázně dle zákona č. 218/2000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Sb., o rozpočtových pravidlech a dle zákona č. 250/2000 Sb., o rozpočtových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pravidlech územních rozpočtů, zásadně platí, že v důsledku porušení rozpočtové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kázně došlo nebo mohlo dojít ke ztrátě ve veřejném rozpočtu ČR, a to započtením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výdaje. Za nesrovnalost se však nepokládá provedení neoprávněného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výdaje organizační složkou státu za předpokladu, že dojde k odhalení tohoto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 a provedení dostatečné finanční opravy před schválením žádosti o platbu ze strany řídícího orgánu. Za nesrovnalost se dále nepokládá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provedení neoprávněného výdaje na úrovni příjemce, pokud se jedná o dotaci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poskytovanou v režimu ex-ante a zároveň za předpokladu, že dojde k odhalení tohoto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 a provedení dostatečné finanční opravy před schválením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žádosti o platbu ze strany řídícího orgánu. Tyto případy však budou nadále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představovat podezření na porušení rozpočtové kázně, jež budou předávány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příslušným orgánům finanční správy. Trestný čin spáchaný v souvislosti s</w:t>
      </w:r>
      <w:r w:rsidR="006F6F46">
        <w:rPr>
          <w:rFonts w:cs="Arial"/>
          <w:szCs w:val="22"/>
        </w:rPr>
        <w:t> </w:t>
      </w:r>
      <w:r w:rsidR="00CC12C2" w:rsidRPr="00EF0379">
        <w:rPr>
          <w:rFonts w:cs="Arial"/>
          <w:szCs w:val="22"/>
        </w:rPr>
        <w:t>realizací</w:t>
      </w:r>
      <w:r w:rsidR="006F6F46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programů nebo projektů spolufinancovaných z rozpočtu EU se vždy považuje za</w:t>
      </w:r>
      <w:r w:rsidR="006F6F46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nesrovnalost</w:t>
      </w:r>
      <w:r w:rsidR="006F6F46">
        <w:rPr>
          <w:rFonts w:cs="Arial"/>
          <w:szCs w:val="22"/>
        </w:rPr>
        <w:t>.</w:t>
      </w:r>
    </w:p>
    <w:p w:rsidR="00C61820" w:rsidRDefault="00C61820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Prioritní osy Národního strategického referenčního rámce (NSRR) jsou realizovány prostřednictvím Operačních programů (OP), které přispívají k dosažení jednotlivých 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>ředitel</w:t>
      </w:r>
      <w:r w:rsidR="002001CB">
        <w:rPr>
          <w:rFonts w:cs="Arial"/>
          <w:lang w:eastAsia="en-US"/>
        </w:rPr>
        <w:t>e</w:t>
      </w:r>
      <w:r w:rsidR="00CE3747" w:rsidRPr="004739FF">
        <w:rPr>
          <w:rFonts w:cs="Arial"/>
          <w:lang w:eastAsia="en-US"/>
        </w:rPr>
        <w:t xml:space="preserve"> </w:t>
      </w:r>
      <w:r w:rsidR="005B19F3" w:rsidRPr="004739FF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5B19F3" w:rsidRPr="004739FF">
        <w:rPr>
          <w:rFonts w:cs="Arial"/>
          <w:lang w:eastAsia="en-US"/>
        </w:rPr>
        <w:t xml:space="preserve">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FD60FB" w:rsidRDefault="00DE10A0">
      <w:pPr>
        <w:rPr>
          <w:rFonts w:cs="Arial"/>
          <w:b/>
          <w:lang w:eastAsia="en-US"/>
        </w:rPr>
      </w:pPr>
      <w:r w:rsidRPr="00DE10A0">
        <w:rPr>
          <w:rFonts w:cs="Arial"/>
          <w:b/>
          <w:lang w:eastAsia="en-US"/>
        </w:rPr>
        <w:t>Projekty nositelů integrovaných strategií</w:t>
      </w:r>
    </w:p>
    <w:p w:rsidR="00FD60FB" w:rsidRDefault="00532B84">
      <w:pPr>
        <w:rPr>
          <w:rFonts w:cs="Arial"/>
          <w:lang w:eastAsia="en-US"/>
        </w:rPr>
      </w:pPr>
      <w:r>
        <w:rPr>
          <w:rFonts w:cs="Arial"/>
          <w:lang w:eastAsia="en-US"/>
        </w:rPr>
        <w:t>Jedná se o</w:t>
      </w:r>
      <w:r w:rsidR="00DE10A0" w:rsidRPr="00DE10A0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následující</w:t>
      </w:r>
      <w:r w:rsidR="00DE10A0" w:rsidRPr="00DE10A0">
        <w:rPr>
          <w:rFonts w:cs="Arial"/>
          <w:lang w:eastAsia="en-US"/>
        </w:rPr>
        <w:t xml:space="preserve"> typy projektů: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komunitně vedených strategií místního rozvoje pro území M</w:t>
      </w:r>
      <w:r w:rsidR="00121F9D">
        <w:rPr>
          <w:rFonts w:cs="Arial"/>
          <w:lang w:eastAsia="en-US"/>
        </w:rPr>
        <w:t>ístních akčních skupina (M</w:t>
      </w:r>
      <w:r w:rsidRPr="00DE10A0">
        <w:rPr>
          <w:rFonts w:cs="Arial"/>
          <w:lang w:eastAsia="en-US"/>
        </w:rPr>
        <w:t>AS</w:t>
      </w:r>
      <w:r w:rsidR="00121F9D">
        <w:rPr>
          <w:rFonts w:cs="Arial"/>
          <w:lang w:eastAsia="en-US"/>
        </w:rPr>
        <w:t>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územní investice</w:t>
      </w:r>
      <w:r w:rsidR="00532B84">
        <w:rPr>
          <w:rFonts w:cs="Arial"/>
          <w:lang w:eastAsia="en-US"/>
        </w:rPr>
        <w:t xml:space="preserve"> (IPRÚ)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plány rozvoje území</w:t>
      </w:r>
      <w:r w:rsidR="00532B84">
        <w:rPr>
          <w:rFonts w:cs="Arial"/>
          <w:lang w:eastAsia="en-US"/>
        </w:rPr>
        <w:t xml:space="preserve"> (ITI)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 a Svaz měst a obcí ČR).</w:t>
      </w: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>Říd</w:t>
      </w:r>
      <w:r w:rsidR="00BA4CD9">
        <w:rPr>
          <w:rFonts w:cs="Arial"/>
          <w:b/>
          <w:szCs w:val="22"/>
          <w:lang w:eastAsia="en-US"/>
        </w:rPr>
        <w:t>i</w:t>
      </w:r>
      <w:r w:rsidRPr="00384941">
        <w:rPr>
          <w:rFonts w:cs="Arial"/>
          <w:b/>
          <w:szCs w:val="22"/>
          <w:lang w:eastAsia="en-US"/>
        </w:rPr>
        <w:t xml:space="preserve">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</w:t>
      </w:r>
      <w:r w:rsidR="00BA4CD9">
        <w:rPr>
          <w:rFonts w:cs="Arial"/>
          <w:b/>
          <w:lang w:eastAsia="en-US"/>
        </w:rPr>
        <w:t>i</w:t>
      </w:r>
      <w:r w:rsidRPr="00E140C8">
        <w:rPr>
          <w:rFonts w:cs="Arial"/>
          <w:b/>
          <w:lang w:eastAsia="en-US"/>
        </w:rPr>
        <w:t>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</w:t>
      </w:r>
      <w:r w:rsidR="003A4544">
        <w:rPr>
          <w:rFonts w:cs="Arial"/>
          <w:lang w:eastAsia="en-US"/>
        </w:rPr>
        <w:t xml:space="preserve"> a pro projekty nositelů integrovaných strategií</w:t>
      </w:r>
      <w:r w:rsidRPr="009D0F9B">
        <w:rPr>
          <w:rFonts w:cs="Arial"/>
          <w:lang w:eastAsia="en-US"/>
        </w:rPr>
        <w:t>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>Stanovení výdajů na financování akce organizační složky státu – vydává se pro projekty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 xml:space="preserve">Oblasti, </w:t>
      </w:r>
      <w:r w:rsidR="00AF0724" w:rsidRPr="00E25F3B">
        <w:rPr>
          <w:rFonts w:cs="Arial"/>
          <w:szCs w:val="22"/>
        </w:rPr>
        <w:lastRenderedPageBreak/>
        <w:t>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1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</w:t>
      </w:r>
      <w:r w:rsidR="00BA4CD9">
        <w:rPr>
          <w:rFonts w:cs="Arial"/>
          <w:lang w:eastAsia="en-US"/>
        </w:rPr>
        <w:t>i</w:t>
      </w:r>
      <w:r w:rsidR="006F3008" w:rsidRPr="00E25F3B">
        <w:rPr>
          <w:rFonts w:cs="Arial"/>
          <w:lang w:eastAsia="en-US"/>
        </w:rPr>
        <w:t>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5" w:name="_Toc243199643"/>
      <w:bookmarkStart w:id="26" w:name="_Toc418076343"/>
      <w:r w:rsidRPr="00E25F3B">
        <w:rPr>
          <w:rFonts w:cs="Arial"/>
        </w:rPr>
        <w:lastRenderedPageBreak/>
        <w:t>Seznam použitých zkratek</w:t>
      </w:r>
      <w:bookmarkEnd w:id="25"/>
      <w:bookmarkEnd w:id="26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BA4CD9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</w:t>
            </w:r>
            <w:proofErr w:type="spellStart"/>
            <w:r w:rsidRPr="00E25F3B">
              <w:rPr>
                <w:rFonts w:cs="Arial"/>
                <w:szCs w:val="22"/>
              </w:rPr>
              <w:t>European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Regional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Development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Fund</w:t>
            </w:r>
            <w:proofErr w:type="spellEnd"/>
            <w:r w:rsidRPr="00E25F3B">
              <w:rPr>
                <w:rFonts w:cs="Arial"/>
                <w:szCs w:val="22"/>
              </w:rPr>
              <w:t>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HoP</w:t>
            </w:r>
            <w:proofErr w:type="spellEnd"/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IPRÚ</w:t>
            </w:r>
          </w:p>
        </w:tc>
        <w:tc>
          <w:tcPr>
            <w:tcW w:w="9072" w:type="dxa"/>
            <w:vAlign w:val="center"/>
          </w:tcPr>
          <w:p w:rsidR="003A4544" w:rsidRPr="00E25F3B" w:rsidRDefault="003A4544" w:rsidP="00EC52F2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Integrovaný plán rozvoje území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Informační systém o veřejných zakázkách – </w:t>
            </w:r>
            <w:proofErr w:type="spellStart"/>
            <w:r>
              <w:rPr>
                <w:rFonts w:cs="Arial"/>
              </w:rPr>
              <w:t>uveřejňovací</w:t>
            </w:r>
            <w:proofErr w:type="spellEnd"/>
            <w:r>
              <w:rPr>
                <w:rFonts w:cs="Arial"/>
              </w:rPr>
              <w:t xml:space="preserve"> subsystém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ITI</w:t>
            </w:r>
          </w:p>
        </w:tc>
        <w:tc>
          <w:tcPr>
            <w:tcW w:w="9072" w:type="dxa"/>
            <w:vAlign w:val="center"/>
          </w:tcPr>
          <w:p w:rsidR="003A4544" w:rsidRDefault="00E153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Integrované územní investice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MAS</w:t>
            </w:r>
          </w:p>
        </w:tc>
        <w:tc>
          <w:tcPr>
            <w:tcW w:w="9072" w:type="dxa"/>
            <w:vAlign w:val="center"/>
          </w:tcPr>
          <w:p w:rsidR="003A4544" w:rsidRDefault="003A45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Místní akční skupina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1C61B7" w:rsidRPr="00E25F3B">
        <w:trPr>
          <w:trHeight w:val="454"/>
          <w:jc w:val="center"/>
        </w:trPr>
        <w:tc>
          <w:tcPr>
            <w:tcW w:w="1346" w:type="dxa"/>
          </w:tcPr>
          <w:p w:rsidR="001C61B7" w:rsidRPr="00E25F3B" w:rsidRDefault="001C61B7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SOIA</w:t>
            </w:r>
          </w:p>
        </w:tc>
        <w:tc>
          <w:tcPr>
            <w:tcW w:w="9072" w:type="dxa"/>
            <w:vAlign w:val="center"/>
          </w:tcPr>
          <w:p w:rsidR="001C61B7" w:rsidRPr="00E25F3B" w:rsidRDefault="001C61B7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Samostatné oddělení interního auditu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BA4CD9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Pr="00E25F3B">
              <w:rPr>
                <w:rFonts w:cs="Arial"/>
                <w:szCs w:val="22"/>
              </w:rPr>
              <w:t>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7916A0" w:rsidRPr="00E25F3B">
        <w:trPr>
          <w:trHeight w:val="454"/>
          <w:jc w:val="center"/>
        </w:trPr>
        <w:tc>
          <w:tcPr>
            <w:tcW w:w="1346" w:type="dxa"/>
          </w:tcPr>
          <w:p w:rsidR="007916A0" w:rsidRPr="00E25F3B" w:rsidRDefault="007916A0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ÚOHS</w:t>
            </w:r>
          </w:p>
        </w:tc>
        <w:tc>
          <w:tcPr>
            <w:tcW w:w="9072" w:type="dxa"/>
          </w:tcPr>
          <w:p w:rsidR="007916A0" w:rsidRPr="00E25F3B" w:rsidRDefault="007916A0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Úřad pro ochranu hospodářské soutěže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12050A" w:rsidRPr="00E25F3B">
        <w:trPr>
          <w:trHeight w:val="454"/>
          <w:jc w:val="center"/>
        </w:trPr>
        <w:tc>
          <w:tcPr>
            <w:tcW w:w="1346" w:type="dxa"/>
          </w:tcPr>
          <w:p w:rsidR="0012050A" w:rsidRPr="00E25F3B" w:rsidRDefault="0012050A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ZoK</w:t>
            </w:r>
            <w:proofErr w:type="spellEnd"/>
          </w:p>
        </w:tc>
        <w:tc>
          <w:tcPr>
            <w:tcW w:w="9072" w:type="dxa"/>
          </w:tcPr>
          <w:p w:rsidR="0012050A" w:rsidRPr="00E25F3B" w:rsidRDefault="0012050A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Zákon o kontrole (kontrolní řád)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ZŽoP</w:t>
            </w:r>
            <w:proofErr w:type="spellEnd"/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ŽoP</w:t>
            </w:r>
            <w:proofErr w:type="spellEnd"/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7" w:name="_Toc418076344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7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8" w:name="_Toc243199645"/>
      <w:bookmarkStart w:id="29" w:name="_Toc190584471"/>
      <w:bookmarkStart w:id="30" w:name="_Toc190587020"/>
      <w:bookmarkStart w:id="31" w:name="_Toc190587089"/>
      <w:bookmarkStart w:id="32" w:name="_Toc204065672"/>
      <w:r w:rsidRPr="00BB459A">
        <w:rPr>
          <w:rFonts w:cs="Arial"/>
          <w:b/>
          <w:szCs w:val="22"/>
        </w:rPr>
        <w:t>Zaměření programu</w:t>
      </w:r>
      <w:bookmarkEnd w:id="28"/>
    </w:p>
    <w:bookmarkEnd w:id="29"/>
    <w:bookmarkEnd w:id="30"/>
    <w:bookmarkEnd w:id="31"/>
    <w:bookmarkEnd w:id="32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>Říd</w:t>
      </w:r>
      <w:r w:rsidR="00BA4CD9">
        <w:t>i</w:t>
      </w:r>
      <w:r w:rsidRPr="00E25F3B">
        <w:t xml:space="preserve">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</w:t>
      </w:r>
      <w:r w:rsidR="00BA4CD9">
        <w:t>i</w:t>
      </w:r>
      <w:r w:rsidRPr="00EA4573">
        <w:t>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</w:t>
      </w:r>
      <w:r w:rsidR="00BA4CD9">
        <w:t>i</w:t>
      </w:r>
      <w:r w:rsidR="00631706" w:rsidRPr="00EA4573">
        <w:t>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>připravuje říd</w:t>
      </w:r>
      <w:r w:rsidR="00BA4CD9">
        <w:t>i</w:t>
      </w:r>
      <w:r w:rsidR="008F01F0" w:rsidRPr="00EA4573">
        <w:t xml:space="preserve">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</w:t>
      </w:r>
      <w:r w:rsidR="00BA4CD9">
        <w:t>i</w:t>
      </w:r>
      <w:r w:rsidRPr="00267F1D">
        <w:t>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</w:t>
      </w:r>
      <w:r w:rsidR="00BA4CD9">
        <w:t>i</w:t>
      </w:r>
      <w:r w:rsidRPr="00267F1D">
        <w:t>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3276FD" w:rsidP="007C0105">
      <w:pPr>
        <w:rPr>
          <w:rFonts w:cs="Arial"/>
          <w:b/>
          <w:snapToGrid w:val="0"/>
        </w:rPr>
      </w:pPr>
      <w:r>
        <w:rPr>
          <w:rFonts w:cs="Arial"/>
          <w:b/>
          <w:noProof/>
        </w:rPr>
        <w:lastRenderedPageBreak/>
        <mc:AlternateContent>
          <mc:Choice Requires="wpc">
            <w:drawing>
              <wp:inline distT="0" distB="0" distL="0" distR="0" wp14:anchorId="73791211" wp14:editId="06B704A0">
                <wp:extent cx="6629400" cy="8229600"/>
                <wp:effectExtent l="0" t="0" r="0" b="9525"/>
                <wp:docPr id="26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43100" y="2400300"/>
                            <a:ext cx="2171700" cy="685800"/>
                          </a:xfrm>
                          <a:prstGeom prst="downArrowCallout">
                            <a:avLst>
                              <a:gd name="adj1" fmla="val 79167"/>
                              <a:gd name="adj2" fmla="val 79167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CC3FE3" w:rsidRDefault="005337B4" w:rsidP="000872D9">
                              <w:pPr>
                                <w:jc w:val="center"/>
                                <w:rPr>
                                  <w:b/>
                                  <w:smallCaps/>
                                </w:rPr>
                              </w:pPr>
                              <w:r w:rsidRPr="00CC3FE3">
                                <w:rPr>
                                  <w:b/>
                                  <w:smallCaps/>
                                </w:rPr>
                                <w:t>Strategické cíle a prioritní osy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7200" y="685800"/>
                            <a:ext cx="5143500" cy="1714500"/>
                          </a:xfrm>
                          <a:prstGeom prst="downArrowCallout">
                            <a:avLst>
                              <a:gd name="adj1" fmla="val 50000"/>
                              <a:gd name="adj2" fmla="val 75000"/>
                              <a:gd name="adj3" fmla="val 28125"/>
                              <a:gd name="adj4" fmla="val 66667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FA78E8" w:rsidRDefault="005337B4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FA78E8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Globální Cíl OPTP</w:t>
                              </w:r>
                            </w:p>
                            <w:p w:rsidR="005337B4" w:rsidRPr="00FA78E8" w:rsidRDefault="005337B4" w:rsidP="000872D9">
                              <w:pPr>
                                <w:rPr>
                                  <w:b/>
                                  <w:smallCaps/>
                                  <w:sz w:val="20"/>
                                </w:rPr>
                              </w:pPr>
                              <w:r w:rsidRPr="00FA78E8">
                                <w:rPr>
                                  <w:b/>
                                  <w:smallCaps/>
                                  <w:sz w:val="20"/>
                                </w:rPr>
          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457200" y="3200400"/>
                            <a:ext cx="5362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4300" y="7200900"/>
                            <a:ext cx="4800600" cy="1028700"/>
                            <a:chOff x="1425" y="14197"/>
                            <a:chExt cx="7560" cy="1620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37B4" w:rsidRPr="00C5320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1a </w:t>
                                </w:r>
                                <w:r w:rsidRPr="00C5320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1b</w:t>
                                </w:r>
                              </w:p>
                              <w:p w:rsidR="005337B4" w:rsidRPr="00C5320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Podpora řízení a koordinace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37B4" w:rsidRPr="00C5320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2a </w:t>
                                </w:r>
                                <w:r w:rsidRPr="00C5320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2b</w:t>
                                </w:r>
                              </w:p>
                              <w:p w:rsidR="005337B4" w:rsidRPr="00C5320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Monitorování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37B4" w:rsidRPr="00405D4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3a </w:t>
                                </w:r>
                                <w:r w:rsidRPr="00405D4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3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b</w:t>
                                </w:r>
                              </w:p>
                              <w:p w:rsidR="005337B4" w:rsidRPr="00405D49" w:rsidRDefault="005337B4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405D4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Administrativní a absorpční kapacita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543050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D829AF" w:rsidRDefault="005337B4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1</w:t>
                              </w:r>
                            </w:p>
                            <w:p w:rsidR="005337B4" w:rsidRPr="00646219" w:rsidRDefault="005337B4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Zajistit říd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cí, metodickou a koordinační roli nejvyšší horizontální úrovně řízení – NOK, PCO a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při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realizaci NSRR, v souladu s polit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kou soudržnosti a zásadami řádného finančního řízení. Včas zajistit přípravu nového programového období 2014+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543050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D829AF" w:rsidRDefault="005337B4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2</w:t>
                              </w:r>
                            </w:p>
                            <w:p w:rsidR="005337B4" w:rsidRPr="00646219" w:rsidRDefault="005337B4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 zajist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it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elektronickou výměnu dat a dokumentů mezi jednotlivými úrovněmi implementace.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0745" y="3543300"/>
                            <a:ext cx="1433195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D829AF" w:rsidRDefault="005337B4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3</w:t>
                              </w:r>
                            </w:p>
                            <w:p w:rsidR="005337B4" w:rsidRPr="00F45D97" w:rsidRDefault="005337B4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 xml:space="preserve">Zajistit administrativní kapacitu, nezbytnou pro dosažení cílů NSRR prostřednictvím podpory koordinačních orgánů (NOK, PCO a </w:t>
                              </w:r>
                              <w:r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) a zvyšovat absorpční kapacitu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pro využití strukturálních fondů.</w:t>
                              </w:r>
                              <w:r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63795" y="3543300"/>
                            <a:ext cx="1437005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D829AF" w:rsidRDefault="005337B4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4</w:t>
                              </w:r>
                            </w:p>
                            <w:p w:rsidR="005337B4" w:rsidRPr="00646219" w:rsidRDefault="005337B4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Dosáhnout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PCO, 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) se zaměřením na informovanost cílové skupiny příjemců pomoci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fondů EU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43500" y="7200900"/>
                            <a:ext cx="1143000" cy="10287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C53209" w:rsidRDefault="005337B4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 xml:space="preserve">Prioritní osa 4a </w:t>
                              </w:r>
                              <w:r w:rsidRPr="00C53209">
                                <w:rPr>
                                  <w:b/>
                                  <w:sz w:val="20"/>
                                  <w:u w:val="single"/>
                                </w:rPr>
                                <w:t>a</w:t>
                              </w: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4</w:t>
                              </w: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b</w:t>
                              </w:r>
                            </w:p>
                            <w:p w:rsidR="005337B4" w:rsidRPr="00B03203" w:rsidRDefault="005337B4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color w:val="FF0000"/>
                                </w:rPr>
                              </w:pPr>
                              <w:r w:rsidRPr="00C53209">
                                <w:rPr>
                                  <w:b/>
                                  <w:smallCaps/>
                                  <w:color w:val="FF0000"/>
                                  <w:sz w:val="20"/>
                                </w:rPr>
                                <w:t>Publicita</w:t>
                              </w:r>
                            </w:p>
                            <w:p w:rsidR="005337B4" w:rsidRPr="0045687F" w:rsidRDefault="005337B4" w:rsidP="000872D9">
                              <w:pPr>
                                <w:rPr>
                                  <w:b/>
                                  <w:small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4572000" cy="3429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B4" w:rsidRPr="00CC3FE3" w:rsidRDefault="005337B4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</w:pPr>
                              <w:r w:rsidRPr="00CC3FE3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Globální cíl, strategické cíle a prioritní osy OPTP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71500" y="3200400"/>
                            <a:ext cx="5600700" cy="333375"/>
                            <a:chOff x="2145" y="8437"/>
                            <a:chExt cx="8820" cy="525"/>
                          </a:xfrm>
                        </wpg:grpSpPr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8437"/>
                              <a:ext cx="900" cy="525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342900" y="6400800"/>
                            <a:ext cx="4229100" cy="723900"/>
                            <a:chOff x="1785" y="12937"/>
                            <a:chExt cx="6660" cy="1140"/>
                          </a:xfrm>
                        </wpg:grpSpPr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12937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2997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12982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257800" y="6400800"/>
                            <a:ext cx="685800" cy="762000"/>
                          </a:xfrm>
                          <a:prstGeom prst="downArrow">
                            <a:avLst>
                              <a:gd name="adj1" fmla="val 50000"/>
                              <a:gd name="adj2" fmla="val 27778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34" editas="canvas" style="width:522pt;height:9in;mso-position-horizontal-relative:char;mso-position-vertical-relative:line" coordsize="6629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">
                <v:shape id="_x0000_s1035" type="#_x0000_t75" style="position:absolute;width:66294;height:82296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36" type="#_x0000_t80" style="position:absolute;left:19431;top:24003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0KMMA&#10;AADaAAAADwAAAGRycy9kb3ducmV2LnhtbESPQWvCQBSE74X+h+UVequbpFIkuopRhN7aWgs9PrPP&#10;JJh9G3ZXk/z7riD0OMzMN8xiNZhWXMn5xrKCdJKAIC6tbrhScPjevcxA+ICssbVMCkbysFo+Piww&#10;17bnL7ruQyUihH2OCuoQulxKX9Zk0E9sRxy9k3UGQ5SuktphH+GmlVmSvEmDDceFGjva1FSe9xej&#10;4Hcn1+7j5zgdP932tbjIdpoVqVLPT8N6DiLQEP7D9/a7VpDB7U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40KMMAAADaAAAADwAAAAAAAAAAAAAAAACYAgAAZHJzL2Rv&#10;d25yZXYueG1sUEsFBgAAAAAEAAQA9QAAAIgDAAAAAA==&#10;" fillcolor="#ff9">
                  <v:textbox>
                    <w:txbxContent>
                      <w:p w:rsidR="005337B4" w:rsidRPr="00CC3FE3" w:rsidRDefault="005337B4" w:rsidP="000872D9">
                        <w:pPr>
                          <w:jc w:val="center"/>
                          <w:rPr>
                            <w:b/>
                            <w:smallCaps/>
                          </w:rPr>
                        </w:pPr>
                        <w:r w:rsidRPr="00CC3FE3">
                          <w:rPr>
                            <w:b/>
                            <w:smallCaps/>
                          </w:rPr>
                          <w:t>Strategické cíle a prioritní osy</w:t>
                        </w:r>
                      </w:p>
                    </w:txbxContent>
                  </v:textbox>
                </v:shape>
                <v:shape id="AutoShape 5" o:spid="_x0000_s1037" type="#_x0000_t80" style="position:absolute;left:4572;top:6858;width:51435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aQcUA&#10;AADaAAAADwAAAGRycy9kb3ducmV2LnhtbESPT2vCQBTE7wW/w/KEXkQ3av1DdBURxB7qweglt2f2&#10;mYRk34bsVuO37xYKPQ4z8xtmve1MLR7UutKygvEoAkGcWV1yruB6OQyXIJxH1lhbJgUvcrDd9N7W&#10;GGv75DM9Ep+LAGEXo4LC+yaW0mUFGXQj2xAH725bgz7INpe6xWeAm1pOomguDZYcFgpsaF9QViXf&#10;RsGiuiVf2ek6GHyk99nRzFOsLqlS7/1utwLhqfP/4b/2p1Ywhd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1pBxQAAANoAAAAPAAAAAAAAAAAAAAAAAJgCAABkcnMv&#10;ZG93bnJldi54bWxQSwUGAAAAAAQABAD1AAAAigMAAAAA&#10;" adj=",,15525,9000" fillcolor="#fc0">
                  <v:textbox>
                    <w:txbxContent>
                      <w:p w:rsidR="005337B4" w:rsidRPr="00FA78E8" w:rsidRDefault="005337B4" w:rsidP="000872D9">
                        <w:pPr>
                          <w:jc w:val="center"/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FA78E8">
                          <w:rPr>
                            <w:b/>
                            <w:smallCaps/>
                            <w:sz w:val="20"/>
                            <w:u w:val="single"/>
                          </w:rPr>
                          <w:t>Globální Cíl OPTP</w:t>
                        </w:r>
                      </w:p>
                      <w:p w:rsidR="005337B4" w:rsidRPr="00FA78E8" w:rsidRDefault="005337B4" w:rsidP="000872D9">
                        <w:pPr>
                          <w:rPr>
                            <w:b/>
                            <w:smallCaps/>
                            <w:sz w:val="20"/>
                          </w:rPr>
                        </w:pPr>
                        <w:r w:rsidRPr="00FA78E8">
                          <w:rPr>
                            <w:b/>
                            <w:smallCaps/>
                            <w:sz w:val="20"/>
                          </w:rPr>
    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    </w:r>
                      </w:p>
                    </w:txbxContent>
                  </v:textbox>
                </v:shape>
                <v:line id="Line 6" o:spid="_x0000_s1038" style="position:absolute;visibility:visible;mso-wrap-style:square" from="4572,32004" to="58197,3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group id="Group 7" o:spid="_x0000_s1039" style="position:absolute;left:1143;top:72009;width:48006;height:10287" coordorigin="1425,14197" coordsize="75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40" style="position:absolute;left:14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GacQA&#10;AADaAAAADwAAAGRycy9kb3ducmV2LnhtbESPQWsCMRSE7wX/Q3hCbzVrKSqrUUQolR6UqhdvbzfP&#10;3cXNS7qJmvrrm0LB4zAz3zCzRTStuFLnG8sKhoMMBHFpdcOVgsP+/WUCwgdkja1lUvBDHhbz3tMM&#10;c21v/EXXXahEgrDPUUEdgsul9GVNBv3AOuLknWxnMCTZVVJ3eEtw08rXLBtJgw2nhRodrWoqz7uL&#10;UXD6Prv4cQyuePvc3O242N6LuFXquR+XUxCBYniE/9trrWAM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RmnEAAAA2gAAAA8AAAAAAAAAAAAAAAAAmAIAAGRycy9k&#10;b3ducmV2LnhtbFBLBQYAAAAABAAEAPUAAACJAwAAAAA=&#10;" fillcolor="#ff9">
                    <v:textbox>
                      <w:txbxContent>
                        <w:p w:rsidR="005337B4" w:rsidRPr="00C5320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1a </w:t>
                          </w:r>
                          <w:r w:rsidRPr="00C5320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1b</w:t>
                          </w:r>
                        </w:p>
                        <w:p w:rsidR="005337B4" w:rsidRPr="00C5320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Podpora řízení a koordinace</w:t>
                          </w:r>
                        </w:p>
                      </w:txbxContent>
                    </v:textbox>
                  </v:rect>
                  <v:rect id="Rectangle 9" o:spid="_x0000_s1041" style="position:absolute;left:41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SG8EA&#10;AADaAAAADwAAAGRycy9kb3ducmV2LnhtbERPz2vCMBS+D/Y/hCfsNlNlbKMaiwyG4mEyt8tur82z&#10;LW1esiZq9K83B8Hjx/d7XkTTiyMNvrWsYDLOQBBXVrdcK/j9+Xx+B+EDssbeMik4k4di8fgwx1zb&#10;E3/TcRdqkULY56igCcHlUvqqIYN+bB1x4vZ2MBgSHGqpBzylcNPLaZa9SoMtp4YGHX00VHW7g1Gw&#10;/+9cXP0FV75svi72rdxeyrhV6mkUlzMQgWK4i2/utVaQtqYr6Qb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0hvBAAAA2gAAAA8AAAAAAAAAAAAAAAAAmAIAAGRycy9kb3du&#10;cmV2LnhtbFBLBQYAAAAABAAEAPUAAACGAwAAAAA=&#10;" fillcolor="#ff9">
                    <v:textbox>
                      <w:txbxContent>
                        <w:p w:rsidR="005337B4" w:rsidRPr="00C5320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2a </w:t>
                          </w:r>
                          <w:r w:rsidRPr="00C5320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2b</w:t>
                          </w:r>
                        </w:p>
                        <w:p w:rsidR="005337B4" w:rsidRPr="00C5320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Monitorování</w:t>
                          </w:r>
                        </w:p>
                      </w:txbxContent>
                    </v:textbox>
                  </v:rect>
                  <v:rect id="Rectangle 10" o:spid="_x0000_s1042" style="position:absolute;left:68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3gMUA&#10;AADaAAAADwAAAGRycy9kb3ducmV2LnhtbESPT2sCMRTE7wW/Q3hCbzWrlLauRimFUumh4p+Lt7eb&#10;5+7i5iVuoqZ+eiMUehxm5jfMdB5NK87U+cayguEgA0FcWt1wpWC7+Xx6A+EDssbWMin4JQ/zWe9h&#10;irm2F17ReR0qkSDsc1RQh+ByKX1Zk0E/sI44eXvbGQxJdpXUHV4S3LRylGUv0mDDaaFGRx81lYf1&#10;ySjYHw8ufu2CK56/f672tVhei7hU6rEf3ycgAsXwH/5rL7SCMd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3eAxQAAANoAAAAPAAAAAAAAAAAAAAAAAJgCAABkcnMv&#10;ZG93bnJldi54bWxQSwUGAAAAAAQABAD1AAAAigMAAAAA&#10;" fillcolor="#ff9">
                    <v:textbox>
                      <w:txbxContent>
                        <w:p w:rsidR="005337B4" w:rsidRPr="00405D4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3a </w:t>
                          </w:r>
                          <w:r w:rsidRPr="00405D4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3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b</w:t>
                          </w:r>
                        </w:p>
                        <w:p w:rsidR="005337B4" w:rsidRPr="00405D49" w:rsidRDefault="005337B4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405D4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Administrativní a absorpční kapacita</w:t>
                          </w:r>
                        </w:p>
                      </w:txbxContent>
                    </v:textbox>
                  </v:rect>
                </v:group>
                <v:rect id="Rectangle 11" o:spid="_x0000_s1043" style="position:absolute;left:1143;top:35433;width:15430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HTsYA&#10;AADbAAAADwAAAGRycy9kb3ducmV2LnhtbESPQWvCQBCF74X+h2UKXkQ39VAlukpoqbZSaKv9AUN2&#10;mgSzs2F3jfHfdw5CbzO8N+99s9oMrlU9hdh4NvA4zUARl942XBn4Ob5OFqBiQrbYeiYDV4qwWd/f&#10;rTC3/sLf1B9SpSSEY44G6pS6XOtY1uQwTn1HLNqvDw6TrKHSNuBFwl2rZ1n2pB02LA01dvRcU3k6&#10;nJ2B8PG1HXcvxfx64v1id8z692L2aczoYSiWoBIN6d98u36zgi/08os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9HTsYAAADbAAAADwAAAAAAAAAAAAAAAACYAgAAZHJz&#10;L2Rvd25yZXYueG1sUEsFBgAAAAAEAAQA9QAAAIsDAAAAAA==&#10;" fillcolor="#cfc">
                  <v:textbox>
                    <w:txbxContent>
                      <w:p w:rsidR="005337B4" w:rsidRPr="00D829AF" w:rsidRDefault="005337B4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1</w:t>
                        </w:r>
                      </w:p>
                      <w:p w:rsidR="005337B4" w:rsidRPr="00646219" w:rsidRDefault="005337B4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Zajistit říd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cí, metodickou a koordinační roli nejvyšší horizontální úrovně řízení – NOK, PCO a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při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realizaci NSRR, v souladu s polit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kou soudržnosti a zásadami řádného finančního řízení. Včas zajistit přípravu nového programového období 2014+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2" o:spid="_x0000_s1044" style="position:absolute;left:17145;top:35433;width:15430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i1cMA&#10;AADbAAAADwAAAGRycy9kb3ducmV2LnhtbERPzWrCQBC+C32HZQpeim700Ep0DaGl1RbBVn2AITsm&#10;IdnZsLvG+PbdQsHbfHy/s8oG04qenK8tK5hNExDEhdU1lwpOx/fJAoQPyBpby6TgRh6y9cNoham2&#10;V/6h/hBKEUPYp6igCqFLpfRFRQb91HbEkTtbZzBE6EqpHV5juGnlPEmepcGaY0OFHb1WVDSHi1Hg&#10;dt8fT91b/nJr+GuxOSb9Zz7fKzV+HPIliEBDuIv/3V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Pi1cMAAADbAAAADwAAAAAAAAAAAAAAAACYAgAAZHJzL2Rv&#10;d25yZXYueG1sUEsFBgAAAAAEAAQA9QAAAIgDAAAAAA==&#10;" fillcolor="#cfc">
                  <v:textbox>
                    <w:txbxContent>
                      <w:p w:rsidR="005337B4" w:rsidRPr="00D829AF" w:rsidRDefault="005337B4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2</w:t>
                        </w:r>
                      </w:p>
                      <w:p w:rsidR="005337B4" w:rsidRPr="00646219" w:rsidRDefault="005337B4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a zajist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it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elektronickou výměnu dat a dokumentů mezi jednotlivými úrovněmi implementace.</w:t>
                        </w:r>
                      </w:p>
                    </w:txbxContent>
                  </v:textbox>
                </v:rect>
                <v:rect id="Rectangle 13" o:spid="_x0000_s1045" style="position:absolute;left:34207;top:35433;width:14332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8osMA&#10;AADbAAAADwAAAGRycy9kb3ducmV2LnhtbERP22rCQBB9F/yHZQp9KXVjHmqIrhKUXhShrfoBQ3aa&#10;BLOzYXcb4993hYJvczjXWawG04qenG8sK5hOEhDEpdUNVwpOx9fnDIQPyBpby6TgSh5Wy/Fogbm2&#10;F/6m/hAqEUPY56igDqHLpfRlTQb9xHbEkfuxzmCI0FVSO7zEcNPKNElepMGGY0ONHa1rKs+HX6PA&#10;7b/enrpNMbueeZe9H5N+W6SfSj0+DMUcRKAh3MX/7g8d56dw+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8osMAAADbAAAADwAAAAAAAAAAAAAAAACYAgAAZHJzL2Rv&#10;d25yZXYueG1sUEsFBgAAAAAEAAQA9QAAAIgDAAAAAA==&#10;" fillcolor="#cfc">
                  <v:textbox>
                    <w:txbxContent>
                      <w:p w:rsidR="005337B4" w:rsidRPr="00D829AF" w:rsidRDefault="005337B4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3</w:t>
                        </w:r>
                      </w:p>
                      <w:p w:rsidR="005337B4" w:rsidRPr="00F45D97" w:rsidRDefault="005337B4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 xml:space="preserve">Zajistit administrativní kapacitu, nezbytnou pro dosažení cílů NSRR prostřednictvím podpory koordinačních orgánů (NOK, PCO a </w:t>
                        </w:r>
                        <w:r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) a zvyšovat absorpční kapacitu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pro využití strukturálních fondů.</w:t>
                        </w:r>
                        <w:r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46" style="position:absolute;left:49637;top:35433;width:14371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3ZOcIA&#10;AADbAAAADwAAAGRycy9kb3ducmV2LnhtbERP22rCQBB9L/gPywi+FN1oo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dk5wgAAANsAAAAPAAAAAAAAAAAAAAAAAJgCAABkcnMvZG93&#10;bnJldi54bWxQSwUGAAAAAAQABAD1AAAAhwMAAAAA&#10;" fillcolor="#cfc">
                  <v:textbox>
                    <w:txbxContent>
                      <w:p w:rsidR="005337B4" w:rsidRPr="00D829AF" w:rsidRDefault="005337B4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4</w:t>
                        </w:r>
                      </w:p>
                      <w:p w:rsidR="005337B4" w:rsidRPr="00646219" w:rsidRDefault="005337B4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Dosáhnout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PCO, 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) se zaměřením na informovanost cílové skupiny příjemců pomoci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fondů EU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" o:spid="_x0000_s1047" style="position:absolute;left:51435;top:72009;width:1143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rMcIA&#10;AADbAAAADwAAAGRycy9kb3ducmV2LnhtbERPTWsCMRC9F/wPYYTeatYiVlajiFAqPVSqXrzNbsbd&#10;xc0k3URN/fWmUPA2j/c5s0U0rbhQ5xvLCoaDDARxaXXDlYL97v1lAsIHZI2tZVLwSx4W897TDHNt&#10;r/xNl22oRAphn6OCOgSXS+nLmgz6gXXEiTvazmBIsKuk7vCawk0rX7NsLA02nBpqdLSqqTxtz0bB&#10;8efk4schuGL0+XWzb8XmVsSNUs/9uJyCCBTDQ/zvXus0fwR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GsxwgAAANsAAAAPAAAAAAAAAAAAAAAAAJgCAABkcnMvZG93&#10;bnJldi54bWxQSwUGAAAAAAQABAD1AAAAhwMAAAAA&#10;" fillcolor="#ff9">
                  <v:textbox>
                    <w:txbxContent>
                      <w:p w:rsidR="005337B4" w:rsidRPr="00C53209" w:rsidRDefault="005337B4" w:rsidP="000872D9">
                        <w:pPr>
                          <w:jc w:val="center"/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 xml:space="preserve">Prioritní osa 4a </w:t>
                        </w:r>
                        <w:r w:rsidRPr="00C53209">
                          <w:rPr>
                            <w:b/>
                            <w:sz w:val="20"/>
                            <w:u w:val="single"/>
                          </w:rPr>
                          <w:t>a</w:t>
                        </w: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0"/>
                            <w:u w:val="single"/>
                          </w:rPr>
                          <w:t>4</w:t>
                        </w: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>b</w:t>
                        </w:r>
                      </w:p>
                      <w:p w:rsidR="005337B4" w:rsidRPr="00B03203" w:rsidRDefault="005337B4" w:rsidP="000872D9">
                        <w:pPr>
                          <w:jc w:val="center"/>
                          <w:rPr>
                            <w:b/>
                            <w:smallCaps/>
                            <w:color w:val="FF0000"/>
                          </w:rPr>
                        </w:pPr>
                        <w:r w:rsidRPr="00C53209">
                          <w:rPr>
                            <w:b/>
                            <w:smallCaps/>
                            <w:color w:val="FF0000"/>
                            <w:sz w:val="20"/>
                          </w:rPr>
                          <w:t>Publicita</w:t>
                        </w:r>
                      </w:p>
                      <w:p w:rsidR="005337B4" w:rsidRPr="0045687F" w:rsidRDefault="005337B4" w:rsidP="000872D9">
                        <w:pPr>
                          <w:rPr>
                            <w:b/>
                            <w:smallCaps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8" type="#_x0000_t202" style="position:absolute;left:8001;top:2286;width:457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jf8MA&#10;AADbAAAADwAAAGRycy9kb3ducmV2LnhtbERPTWvCQBC9C/6HZYRepG4saGuajUiKUqSXpmKvQ3aa&#10;hGZn0+wa47/vCoK3ebzPSdaDaURPnastK5jPIhDEhdU1lwoOX9vHFxDOI2tsLJOCCzlYp+NRgrG2&#10;Z/6kPvelCCHsYlRQed/GUrqiIoNuZlviwP3YzqAPsCul7vAcwk0jn6JoKQ3WHBoqbCmrqPjNT0bB&#10;atm8Yb07ZNEx++Pp/rt/Pn30Sj1Mhs0rCE+Dv4tv7ncd5i/g+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Yjf8MAAADbAAAADwAAAAAAAAAAAAAAAACYAgAAZHJzL2Rv&#10;d25yZXYueG1sUEsFBgAAAAAEAAQA9QAAAIgDAAAAAA==&#10;" fillcolor="#fc9">
                  <v:textbox>
                    <w:txbxContent>
                      <w:p w:rsidR="005337B4" w:rsidRPr="00CC3FE3" w:rsidRDefault="005337B4" w:rsidP="000872D9">
                        <w:pPr>
                          <w:jc w:val="center"/>
                          <w:rPr>
                            <w:b/>
                            <w:smallCaps/>
                            <w:sz w:val="24"/>
                            <w:szCs w:val="24"/>
                          </w:rPr>
                        </w:pPr>
                        <w:r w:rsidRPr="00CC3FE3">
                          <w:rPr>
                            <w:b/>
                            <w:smallCaps/>
                            <w:sz w:val="24"/>
                            <w:szCs w:val="24"/>
                          </w:rPr>
                          <w:t>Globální cíl, strategické cíle a prioritní osy OPTP</w:t>
                        </w:r>
                      </w:p>
                    </w:txbxContent>
                  </v:textbox>
                </v:shape>
                <v:group id="Group 17" o:spid="_x0000_s1049" style="position:absolute;left:5715;top:32004;width:56007;height:3333" coordorigin="2145,8437" coordsize="882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8" o:spid="_x0000_s1050" type="#_x0000_t67" style="position:absolute;left:2145;top:8437;width:9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6rsAA&#10;AADbAAAADwAAAGRycy9kb3ducmV2LnhtbERP32vCMBB+H+x/CDfY20zdwI1qlCEofRM7mfTtaM60&#10;mFxKE7X+90YQfLuP7+fNFoOz4kx9aD0rGI8yEMS11y0bBbu/1ccPiBCRNVrPpOBKARbz15cZ5tpf&#10;eEvnMhqRQjjkqKCJsculDHVDDsPId8SJO/jeYUywN1L3eEnhzsrPLJtIhy2nhgY7WjZUH8uTU1DY&#10;r1iUxqyG/40d75frqnRVp9T72/A7BRFpiE/xw13oNP8b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76rsAAAADbAAAADwAAAAAAAAAAAAAAAACYAgAAZHJzL2Rvd25y&#10;ZXYueG1sUEsFBgAAAAAEAAQA9QAAAIUDAAAAAA==&#10;" fillcolor="#ff9"/>
                  <v:shape id="AutoShape 19" o:spid="_x0000_s1051" type="#_x0000_t67" style="position:absolute;left:502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u3MMA&#10;AADbAAAADwAAAGRycy9kb3ducmV2LnhtbESPQWsCMRCF74X+hzBCb5rVgsjWKCJY9la6isXbsJlm&#10;lyaTZRN1++87B6G3Gd6b975Zb8fg1Y2G1EU2MJ8VoIibaDt2Bk7Hw3QFKmVkiz4yGfilBNvN89Ma&#10;Sxvv/Em3OjslIZxKNNDm3Jdap6algGkWe2LRvuMQMMs6OG0HvEt48HpRFEsdsGNpaLGnfUvNT30N&#10;Bir/mqvaucN4/vDzr/37pQ6X3piXybh7A5VpzP/mx3VlBV9g5Rc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Fu3MMAAADbAAAADwAAAAAAAAAAAAAAAACYAgAAZHJzL2Rv&#10;d25yZXYueG1sUEsFBgAAAAAEAAQA9QAAAIgDAAAAAA==&#10;" fillcolor="#ff9"/>
                  <v:shape id="AutoShape 20" o:spid="_x0000_s1052" type="#_x0000_t67" style="position:absolute;left:754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LR8AA&#10;AADbAAAADwAAAGRycy9kb3ducmV2LnhtbERP32vCMBB+H+x/CDfY20zdQLZqlCEofRM7mfTtaM60&#10;mFxKE7X+90YQfLuP7+fNFoOz4kx9aD0rGI8yEMS11y0bBbu/1cc3iBCRNVrPpOBKARbz15cZ5tpf&#10;eEvnMhqRQjjkqKCJsculDHVDDsPId8SJO/jeYUywN1L3eEnhzsrPLJtIhy2nhgY7WjZUH8uTU1DY&#10;r1iUxqyG/40d75frqnRVp9T72/A7BRFpiE/xw13oNP8H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3LR8AAAADbAAAADwAAAAAAAAAAAAAAAACYAgAAZHJzL2Rvd25y&#10;ZXYueG1sUEsFBgAAAAAEAAQA9QAAAIUDAAAAAA==&#10;" fillcolor="#ff9"/>
                  <v:shape id="AutoShape 21" o:spid="_x0000_s1053" type="#_x0000_t67" style="position:absolute;left:1006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oZ8AA&#10;AADbAAAADwAAAGRycy9kb3ducmV2LnhtbERPz0vDMBS+D/wfwhO82XQdiNRmYwwqvY1VUXp7NM+0&#10;LHkpTdzqf78chB0/vt/VbnFWXGgOo2cF6ywHQdx7PbJR8PlRP7+CCBFZo/VMCv4owG77sKqw1P7K&#10;J7q00YgUwqFEBUOMUyll6AdyGDI/ESfux88OY4KzkXrGawp3VhZ5/iIdjpwaBpzoMFB/bn+dgsZu&#10;YtMaUy9fR7v+Prx3resmpZ4el/0biEhLvIv/3Y1WUKT16Uv6A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uoZ8AAAADbAAAADwAAAAAAAAAAAAAAAACYAgAAZHJzL2Rvd25y&#10;ZXYueG1sUEsFBgAAAAAEAAQA9QAAAIUDAAAAAA==&#10;" fillcolor="#ff9"/>
                </v:group>
                <v:group id="Group 22" o:spid="_x0000_s1054" style="position:absolute;left:3429;top:64008;width:42291;height:7239" coordorigin="1785,12937" coordsize="666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3" o:spid="_x0000_s1055" type="#_x0000_t67" style="position:absolute;left:1785;top:1293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TBcMA&#10;AADbAAAADwAAAGRycy9kb3ducmV2LnhtbESPQWsCMRSE74X+h/AKvRTNdimyrEaRgqXHVuuht8fm&#10;mV1NXpYkruu/bwqCx2FmvmEWq9FZMVCInWcFr9MCBHHjdcdGwc9uM6lAxISs0XomBVeKsFo+Piyw&#10;1v7C3zRskxEZwrFGBW1KfS1lbFpyGKe+J87ewQeHKctgpA54yXBnZVkUM+mw47zQYk/vLTWn7dkp&#10;2NjzW/VRHX9NdTXyZQh7a772Sj0/jes5iERjuodv7U+toCzh/0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mTBcMAAADbAAAADwAAAAAAAAAAAAAAAACYAgAAZHJzL2Rv&#10;d25yZXYueG1sUEsFBgAAAAAEAAQA9QAAAIgDAAAAAA==&#10;" fillcolor="#cfc"/>
                  <v:shape id="AutoShape 24" o:spid="_x0000_s1056" type="#_x0000_t67" style="position:absolute;left:4665;top:1299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2nsMA&#10;AADbAAAADwAAAGRycy9kb3ducmV2LnhtbESPQWsCMRSE74X+h/AKXopma0tZVqOUgsVj1Xrw9tg8&#10;s6vJy5LEdf33TUHocZiZb5j5cnBW9BRi61nBy6QAQVx73bJR8LNbjUsQMSFrtJ5JwY0iLBePD3Os&#10;tL/yhvptMiJDOFaooEmpq6SMdUMO48R3xNk7+uAwZRmM1AGvGe6snBbFu3TYcl5osKPPhurz9uIU&#10;rOzlrfwqTwdT3ox87sPemu+9UqOn4WMGItGQ/sP39lormL7C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2nsMAAADbAAAADwAAAAAAAAAAAAAAAACYAgAAZHJzL2Rv&#10;d25yZXYueG1sUEsFBgAAAAAEAAQA9QAAAIgDAAAAAA==&#10;" fillcolor="#cfc"/>
                  <v:shape id="AutoShape 25" o:spid="_x0000_s1057" type="#_x0000_t67" style="position:absolute;left:7365;top:12982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u6sMA&#10;AADbAAAADwAAAGRycy9kb3ducmV2LnhtbESPQWsCMRSE74X+h/AKvZSaVaQsq1FKQelRrXvo7bF5&#10;ZrdNXpYkruu/N0Khx2FmvmGW69FZMVCInWcF00kBgrjxumOj4Pi1eS1BxISs0XomBVeKsF49Piyx&#10;0v7CexoOyYgM4VihgjalvpIyNi05jBPfE2fv5IPDlGUwUge8ZLizclYUb9Jhx3mhxZ4+Wmp+D2en&#10;YGPP83Jb/nyb8mrkyxBqa3a1Us9P4/sCRKIx/Yf/2p9awWwO9y/5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yu6sMAAADbAAAADwAAAAAAAAAAAAAAAACYAgAAZHJzL2Rv&#10;d25yZXYueG1sUEsFBgAAAAAEAAQA9QAAAIgDAAAAAA==&#10;" fillcolor="#cfc"/>
                </v:group>
                <v:shape id="AutoShape 26" o:spid="_x0000_s1058" type="#_x0000_t67" style="position:absolute;left:52578;top:64008;width:685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LccMA&#10;AADbAAAADwAAAGRycy9kb3ducmV2LnhtbESPQWsCMRSE74X+h/AKXopmK21ZVqOUgsVj1Xrw9tg8&#10;s6vJy5LEdf33TUHocZiZb5j5cnBW9BRi61nBy6QAQVx73bJR8LNbjUsQMSFrtJ5JwY0iLBePD3Os&#10;tL/yhvptMiJDOFaooEmpq6SMdUMO48R3xNk7+uAwZRmM1AGvGe6snBbFu3TYcl5osKPPhurz9uIU&#10;rOzltfwqTwdT3ox87sPemu+9UqOn4WMGItGQ/sP39lormL7B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ALccMAAADbAAAADwAAAAAAAAAAAAAAAACYAgAAZHJzL2Rv&#10;d25yZXYueG1sUEsFBgAAAAAEAAQA9QAAAIgDAAAAAA==&#10;" fillcolor="#cfc"/>
                <w10:anchorlock/>
              </v:group>
            </w:pict>
          </mc:Fallback>
        </mc:AlternateConten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3" w:name="_Toc418076345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3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</w:t>
      </w:r>
      <w:proofErr w:type="spellStart"/>
      <w:r w:rsidRPr="00300B34">
        <w:rPr>
          <w:rFonts w:cs="Times New Roman"/>
          <w:snapToGrid w:val="0"/>
        </w:rPr>
        <w:t>outsourcované</w:t>
      </w:r>
      <w:proofErr w:type="spellEnd"/>
      <w:r w:rsidRPr="00300B34">
        <w:rPr>
          <w:rFonts w:cs="Times New Roman"/>
          <w:snapToGrid w:val="0"/>
        </w:rPr>
        <w:t xml:space="preserve">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418076346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4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418076347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5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8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3917B6" wp14:editId="474F73B0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60738" wp14:editId="3E1FD8D8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Default="000876D2" w:rsidP="000876D2">
      <w:pPr>
        <w:spacing w:after="120"/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1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72157E">
        <w:t>.</w:t>
      </w:r>
    </w:p>
    <w:p w:rsidR="008D3AC0" w:rsidRPr="00EA2549" w:rsidRDefault="008D3AC0" w:rsidP="008D3AC0">
      <w:pPr>
        <w:spacing w:after="120"/>
        <w:rPr>
          <w:rFonts w:cs="Arial"/>
          <w:color w:val="0D0D0D" w:themeColor="text1" w:themeTint="F2"/>
          <w:szCs w:val="22"/>
        </w:rPr>
      </w:pPr>
      <w:r w:rsidRPr="00EA2549">
        <w:rPr>
          <w:rFonts w:cs="Arial"/>
          <w:color w:val="0D0D0D" w:themeColor="text1" w:themeTint="F2"/>
          <w:szCs w:val="22"/>
          <w:u w:val="single"/>
        </w:rPr>
        <w:t>Výjimka:</w:t>
      </w:r>
      <w:r w:rsidRPr="00EA2549">
        <w:rPr>
          <w:rFonts w:cs="Arial"/>
          <w:color w:val="0D0D0D" w:themeColor="text1" w:themeTint="F2"/>
          <w:szCs w:val="22"/>
        </w:rPr>
        <w:t xml:space="preserve"> Vzhledem k aplikování zpětné uznatelnosti výdajů pro schválené projekty příjemců – nositelů integrovaných strategií je požadováno vhodně doplnit publicitu na dokumenty související s projektem, které vznikly před vyhlášením výzvy (</w:t>
      </w:r>
      <w:r w:rsidR="00952F34" w:rsidRPr="00EA2549">
        <w:rPr>
          <w:color w:val="0D0D0D" w:themeColor="text1" w:themeTint="F2"/>
        </w:rPr>
        <w:t xml:space="preserve">např. nalepit samolepky s logy programu do záhlaví/zápatí dokumentu, dopsání čísla projektu a </w:t>
      </w:r>
      <w:r w:rsidR="00952F34" w:rsidRPr="00EA2549">
        <w:rPr>
          <w:color w:val="0D0D0D" w:themeColor="text1" w:themeTint="F2"/>
        </w:rPr>
        <w:lastRenderedPageBreak/>
        <w:t>příslušné etapy na související doklady, příp. použít razítko s názvem, číslem a etapou projektu, apod.</w:t>
      </w:r>
      <w:r w:rsidRPr="00EA2549">
        <w:rPr>
          <w:rFonts w:cs="Arial"/>
          <w:color w:val="0D0D0D" w:themeColor="text1" w:themeTint="F2"/>
          <w:szCs w:val="22"/>
        </w:rPr>
        <w:t>).</w:t>
      </w:r>
    </w:p>
    <w:p w:rsidR="008D3AC0" w:rsidRPr="00D41267" w:rsidRDefault="008D3AC0" w:rsidP="000876D2">
      <w:pPr>
        <w:spacing w:after="120"/>
        <w:rPr>
          <w:rFonts w:cs="Arial"/>
        </w:rPr>
      </w:pP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6" w:name="_Toc243199646"/>
      <w:bookmarkStart w:id="37" w:name="_Toc418076348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6"/>
      <w:bookmarkEnd w:id="37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8D3AC0" w:rsidRPr="008D3AC0" w:rsidRDefault="008D3AC0" w:rsidP="008D3AC0">
      <w:pPr>
        <w:rPr>
          <w:rFonts w:cs="Arial"/>
          <w:szCs w:val="22"/>
        </w:rPr>
      </w:pPr>
      <w:r w:rsidRPr="008D3AC0">
        <w:rPr>
          <w:rFonts w:cs="Arial"/>
          <w:szCs w:val="22"/>
          <w:u w:val="single"/>
        </w:rPr>
        <w:t>Výjimka:</w:t>
      </w:r>
      <w:r>
        <w:rPr>
          <w:rFonts w:cs="Arial"/>
          <w:szCs w:val="22"/>
        </w:rPr>
        <w:t xml:space="preserve"> </w:t>
      </w:r>
      <w:r w:rsidRPr="008D3AC0">
        <w:rPr>
          <w:rFonts w:cs="Arial"/>
          <w:szCs w:val="22"/>
        </w:rPr>
        <w:t>Vzhledem k aplikování zpětné uznatelnosti výdajů</w:t>
      </w:r>
      <w:r>
        <w:rPr>
          <w:rFonts w:cs="Arial"/>
          <w:szCs w:val="22"/>
        </w:rPr>
        <w:t xml:space="preserve"> pro schválené projekty příjemců – nositelů integrovaných strategií</w:t>
      </w:r>
      <w:r w:rsidRPr="008D3A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jsou za z</w:t>
      </w:r>
      <w:r w:rsidRPr="008D3AC0">
        <w:rPr>
          <w:rFonts w:cs="Arial"/>
          <w:szCs w:val="22"/>
        </w:rPr>
        <w:t>působilé výdaje</w:t>
      </w:r>
      <w:r>
        <w:rPr>
          <w:rFonts w:cs="Arial"/>
          <w:szCs w:val="22"/>
        </w:rPr>
        <w:t xml:space="preserve"> považovány ty</w:t>
      </w:r>
      <w:r w:rsidRPr="008D3AC0">
        <w:rPr>
          <w:rFonts w:cs="Arial"/>
          <w:szCs w:val="22"/>
        </w:rPr>
        <w:t xml:space="preserve">, které jsou řádně doloženy průkaznými doklady a jsou vynaloženy v souladu s předmětem/cílem schváleného projektu. Za způsobilé jsou </w:t>
      </w:r>
      <w:r>
        <w:rPr>
          <w:rFonts w:cs="Arial"/>
          <w:szCs w:val="22"/>
        </w:rPr>
        <w:t xml:space="preserve">tedy </w:t>
      </w:r>
      <w:r w:rsidRPr="008D3AC0">
        <w:rPr>
          <w:rFonts w:cs="Arial"/>
          <w:szCs w:val="22"/>
        </w:rPr>
        <w:t xml:space="preserve">považovány i výdaje, které vznikly a byly skutečně uhrazeny nejdříve </w:t>
      </w:r>
      <w:r>
        <w:rPr>
          <w:rFonts w:cs="Arial"/>
          <w:szCs w:val="22"/>
        </w:rPr>
        <w:t xml:space="preserve">však </w:t>
      </w:r>
      <w:r w:rsidRPr="008D3AC0">
        <w:rPr>
          <w:rFonts w:cs="Arial"/>
          <w:szCs w:val="22"/>
        </w:rPr>
        <w:t>od 1. 1. 201</w:t>
      </w:r>
      <w:r>
        <w:rPr>
          <w:rFonts w:cs="Arial"/>
          <w:szCs w:val="22"/>
        </w:rPr>
        <w:t>3</w:t>
      </w:r>
      <w:r w:rsidRPr="008D3AC0">
        <w:rPr>
          <w:rFonts w:cs="Arial"/>
          <w:szCs w:val="22"/>
        </w:rPr>
        <w:t>, přičemž realizace projektu nesmí být dokončena před vydáním Rozhodnutí o poskytnutí dotace. Z hlediska obecného vymezení způsobilosti musí výdaje být přiměřené (musí odpovídat cenám v místě a čase obvyklým</w:t>
      </w:r>
      <w:r w:rsidRPr="007268BD">
        <w:rPr>
          <w:rFonts w:cs="Arial"/>
          <w:szCs w:val="22"/>
          <w:vertAlign w:val="superscript"/>
        </w:rPr>
        <w:footnoteReference w:id="4"/>
      </w:r>
      <w:r w:rsidRPr="008D3AC0">
        <w:rPr>
          <w:rFonts w:cs="Arial"/>
          <w:szCs w:val="22"/>
        </w:rPr>
        <w:t xml:space="preserve">) a musí být vynaloženy v souladu s principy hospodárnosti (minimalizace výdajů při respektování cílů projektu), účelnosti (přímá vazba na projekt a nezbytnost pro realizaci projektu) a efektivnosti (maximalizace poměru mezi výstupy a vstupy projektu). 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418076349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8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odst.1e) zákona o rozpočtových pravidlech </w:t>
      </w:r>
      <w:r w:rsidRPr="00E5382D">
        <w:t>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</w:t>
      </w:r>
      <w:proofErr w:type="spellStart"/>
      <w:r w:rsidR="008B2A83" w:rsidRPr="008B2A83">
        <w:t>narozpo</w:t>
      </w:r>
      <w:r w:rsidR="008B2A83" w:rsidRPr="008B2A83">
        <w:rPr>
          <w:rFonts w:hint="eastAsia"/>
        </w:rPr>
        <w:t>č</w:t>
      </w:r>
      <w:r w:rsidR="008B2A83" w:rsidRPr="008B2A83">
        <w:t>tovaných</w:t>
      </w:r>
      <w:proofErr w:type="spellEnd"/>
      <w:r w:rsidR="008B2A83" w:rsidRPr="008B2A83">
        <w:t xml:space="preserve">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 xml:space="preserve">ující na realizaci </w:t>
      </w:r>
      <w:r w:rsidR="008B2A83" w:rsidRPr="008B2A83">
        <w:lastRenderedPageBreak/>
        <w:t>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418076350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9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418076351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40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1" w:name="_Toc418076352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1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2" w:name="_Toc418076353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2"/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3" w:name="_Toc243199647"/>
      <w:bookmarkStart w:id="44" w:name="_Toc418076354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</w:t>
      </w:r>
      <w:r w:rsidR="00E15344">
        <w:rPr>
          <w:lang w:eastAsia="en-US"/>
        </w:rPr>
        <w:t>y</w:t>
      </w:r>
      <w:bookmarkEnd w:id="43"/>
      <w:bookmarkEnd w:id="44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>Výzv</w:t>
      </w:r>
      <w:r w:rsidR="00E15344">
        <w:rPr>
          <w:rFonts w:cs="Arial"/>
        </w:rPr>
        <w:t>y</w:t>
      </w:r>
      <w:r w:rsidRPr="00E25F3B">
        <w:rPr>
          <w:rFonts w:cs="Arial"/>
        </w:rPr>
        <w:t xml:space="preserve"> k předkládání projektů vyhlašuje ŘO OPTP. Informace o výzv</w:t>
      </w:r>
      <w:r w:rsidR="00E15344">
        <w:rPr>
          <w:rFonts w:cs="Arial"/>
        </w:rPr>
        <w:t>ách</w:t>
      </w:r>
      <w:r w:rsidRPr="00E25F3B">
        <w:rPr>
          <w:rFonts w:cs="Arial"/>
        </w:rPr>
        <w:t xml:space="preserve"> jsou uvedeny na webových stránkách MMR (</w:t>
      </w:r>
      <w:hyperlink r:id="rId22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</w:t>
      </w:r>
      <w:r w:rsidR="00E15344">
        <w:rPr>
          <w:rFonts w:cs="Arial"/>
          <w:szCs w:val="22"/>
        </w:rPr>
        <w:t>ev</w:t>
      </w:r>
      <w:r w:rsidRPr="00E25F3B">
        <w:rPr>
          <w:rFonts w:cs="Arial"/>
          <w:szCs w:val="22"/>
        </w:rPr>
        <w:t>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  <w:r w:rsidR="00E15344">
        <w:rPr>
          <w:rFonts w:cs="Arial"/>
        </w:rPr>
        <w:t xml:space="preserve">Více informací </w:t>
      </w:r>
      <w:r w:rsidR="00121F9D">
        <w:rPr>
          <w:rFonts w:cs="Arial"/>
        </w:rPr>
        <w:t xml:space="preserve">pro předkládání projektových žádostí </w:t>
      </w:r>
      <w:r w:rsidR="00E15344">
        <w:rPr>
          <w:rFonts w:cs="Arial"/>
        </w:rPr>
        <w:t xml:space="preserve">obsahuje vždy konkrétní výzva.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5" w:name="_Toc238975631"/>
      <w:bookmarkStart w:id="46" w:name="_Toc239845442"/>
      <w:bookmarkStart w:id="47" w:name="_Toc239845713"/>
      <w:bookmarkStart w:id="48" w:name="_Toc238975636"/>
      <w:bookmarkStart w:id="49" w:name="_Toc239845447"/>
      <w:bookmarkStart w:id="50" w:name="_Toc239845718"/>
      <w:bookmarkStart w:id="51" w:name="_Toc238975637"/>
      <w:bookmarkStart w:id="52" w:name="_Toc239845448"/>
      <w:bookmarkStart w:id="53" w:name="_Toc239845719"/>
      <w:bookmarkStart w:id="54" w:name="_Toc238975639"/>
      <w:bookmarkStart w:id="55" w:name="_Toc239845450"/>
      <w:bookmarkStart w:id="56" w:name="_Toc239845721"/>
      <w:bookmarkStart w:id="57" w:name="_Toc238975640"/>
      <w:bookmarkStart w:id="58" w:name="_Toc239845451"/>
      <w:bookmarkStart w:id="59" w:name="_Toc239845722"/>
      <w:bookmarkStart w:id="60" w:name="_Toc238975641"/>
      <w:bookmarkStart w:id="61" w:name="_Toc239845452"/>
      <w:bookmarkStart w:id="62" w:name="_Toc239845723"/>
      <w:bookmarkStart w:id="63" w:name="_Toc238975642"/>
      <w:bookmarkStart w:id="64" w:name="_Toc239845453"/>
      <w:bookmarkStart w:id="65" w:name="_Toc239845724"/>
      <w:bookmarkStart w:id="66" w:name="_Toc238975643"/>
      <w:bookmarkStart w:id="67" w:name="_Toc239845454"/>
      <w:bookmarkStart w:id="68" w:name="_Toc239845725"/>
      <w:bookmarkStart w:id="69" w:name="_Toc238975644"/>
      <w:bookmarkStart w:id="70" w:name="_Toc239845455"/>
      <w:bookmarkStart w:id="71" w:name="_Toc239845726"/>
      <w:bookmarkStart w:id="72" w:name="_Toc238975645"/>
      <w:bookmarkStart w:id="73" w:name="_Toc239845456"/>
      <w:bookmarkStart w:id="74" w:name="_Toc239845727"/>
      <w:bookmarkStart w:id="75" w:name="_Toc238975647"/>
      <w:bookmarkStart w:id="76" w:name="_Toc239845458"/>
      <w:bookmarkStart w:id="77" w:name="_Toc239845729"/>
      <w:bookmarkStart w:id="78" w:name="_Toc238975648"/>
      <w:bookmarkStart w:id="79" w:name="_Toc239845459"/>
      <w:bookmarkStart w:id="80" w:name="_Toc239845730"/>
      <w:bookmarkStart w:id="81" w:name="_Toc238975649"/>
      <w:bookmarkStart w:id="82" w:name="_Toc239845460"/>
      <w:bookmarkStart w:id="83" w:name="_Toc239845731"/>
      <w:bookmarkStart w:id="84" w:name="_Toc238975651"/>
      <w:bookmarkStart w:id="85" w:name="_Toc239845462"/>
      <w:bookmarkStart w:id="86" w:name="_Toc239845733"/>
      <w:bookmarkStart w:id="87" w:name="_Toc238975653"/>
      <w:bookmarkStart w:id="88" w:name="_Toc239845464"/>
      <w:bookmarkStart w:id="89" w:name="_Toc239845735"/>
      <w:bookmarkStart w:id="90" w:name="_Toc238975655"/>
      <w:bookmarkStart w:id="91" w:name="_Toc239845466"/>
      <w:bookmarkStart w:id="92" w:name="_Toc23984573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3" w:name="_Toc243199648"/>
      <w:bookmarkStart w:id="94" w:name="_Toc418076355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3"/>
      <w:bookmarkEnd w:id="94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5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5" w:name="_Toc239845468"/>
      <w:bookmarkStart w:id="96" w:name="_Toc239845739"/>
      <w:bookmarkStart w:id="97" w:name="_Toc238975658"/>
      <w:bookmarkStart w:id="98" w:name="_Toc239845470"/>
      <w:bookmarkStart w:id="99" w:name="_Toc239845741"/>
      <w:bookmarkStart w:id="100" w:name="_Toc238975661"/>
      <w:bookmarkStart w:id="101" w:name="_Toc239845473"/>
      <w:bookmarkStart w:id="102" w:name="_Toc239845744"/>
      <w:bookmarkStart w:id="103" w:name="_Toc238975666"/>
      <w:bookmarkStart w:id="104" w:name="_Toc239845478"/>
      <w:bookmarkStart w:id="105" w:name="_Toc239845749"/>
      <w:bookmarkStart w:id="106" w:name="_Toc238975671"/>
      <w:bookmarkStart w:id="107" w:name="_Toc239845483"/>
      <w:bookmarkStart w:id="108" w:name="_Toc239845754"/>
      <w:bookmarkStart w:id="109" w:name="_Toc238975673"/>
      <w:bookmarkStart w:id="110" w:name="_Toc239845485"/>
      <w:bookmarkStart w:id="111" w:name="_Toc239845756"/>
      <w:bookmarkStart w:id="112" w:name="_Toc238975674"/>
      <w:bookmarkStart w:id="113" w:name="_Toc239845486"/>
      <w:bookmarkStart w:id="114" w:name="_Toc239845757"/>
      <w:bookmarkStart w:id="115" w:name="_Toc238975676"/>
      <w:bookmarkStart w:id="116" w:name="_Toc239845488"/>
      <w:bookmarkStart w:id="117" w:name="_Toc239845759"/>
      <w:bookmarkStart w:id="118" w:name="_Toc238975677"/>
      <w:bookmarkStart w:id="119" w:name="_Toc239845489"/>
      <w:bookmarkStart w:id="120" w:name="_Toc239845760"/>
      <w:bookmarkStart w:id="121" w:name="_Toc238975678"/>
      <w:bookmarkStart w:id="122" w:name="_Toc239845490"/>
      <w:bookmarkStart w:id="123" w:name="_Toc239845761"/>
      <w:bookmarkStart w:id="124" w:name="_Toc238975680"/>
      <w:bookmarkStart w:id="125" w:name="_Toc239845492"/>
      <w:bookmarkStart w:id="126" w:name="_Toc239845763"/>
      <w:bookmarkStart w:id="127" w:name="_Toc238975681"/>
      <w:bookmarkStart w:id="128" w:name="_Toc239845493"/>
      <w:bookmarkStart w:id="129" w:name="_Toc239845764"/>
      <w:bookmarkStart w:id="130" w:name="_Toc238975682"/>
      <w:bookmarkStart w:id="131" w:name="_Toc239845494"/>
      <w:bookmarkStart w:id="132" w:name="_Toc239845765"/>
      <w:bookmarkStart w:id="133" w:name="_Toc238975683"/>
      <w:bookmarkStart w:id="134" w:name="_Toc239845495"/>
      <w:bookmarkStart w:id="135" w:name="_Toc239845766"/>
      <w:bookmarkStart w:id="136" w:name="_Toc238975685"/>
      <w:bookmarkStart w:id="137" w:name="_Toc239845497"/>
      <w:bookmarkStart w:id="138" w:name="_Toc239845768"/>
      <w:bookmarkStart w:id="139" w:name="_Toc238975686"/>
      <w:bookmarkStart w:id="140" w:name="_Toc239845498"/>
      <w:bookmarkStart w:id="141" w:name="_Toc239845769"/>
      <w:bookmarkStart w:id="142" w:name="_Toc238975687"/>
      <w:bookmarkStart w:id="143" w:name="_Toc239845499"/>
      <w:bookmarkStart w:id="144" w:name="_Toc239845770"/>
      <w:bookmarkStart w:id="145" w:name="_Toc238975688"/>
      <w:bookmarkStart w:id="146" w:name="_Toc239845500"/>
      <w:bookmarkStart w:id="147" w:name="_Toc239845771"/>
      <w:bookmarkStart w:id="148" w:name="_Toc238975689"/>
      <w:bookmarkStart w:id="149" w:name="_Toc239845501"/>
      <w:bookmarkStart w:id="150" w:name="_Toc239845772"/>
      <w:bookmarkStart w:id="151" w:name="_Toc238975691"/>
      <w:bookmarkStart w:id="152" w:name="_Toc239845503"/>
      <w:bookmarkStart w:id="153" w:name="_Toc239845774"/>
      <w:bookmarkStart w:id="154" w:name="_Toc239845508"/>
      <w:bookmarkStart w:id="155" w:name="_Toc239845779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6" w:name="_Toc243199649"/>
      <w:bookmarkStart w:id="157" w:name="_Toc190584480"/>
      <w:bookmarkStart w:id="158" w:name="_Toc190587029"/>
      <w:bookmarkStart w:id="159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6"/>
    </w:p>
    <w:bookmarkEnd w:id="157"/>
    <w:bookmarkEnd w:id="158"/>
    <w:bookmarkEnd w:id="159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7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60" w:name="_Toc190584481"/>
      <w:bookmarkStart w:id="161" w:name="_Toc190587030"/>
      <w:bookmarkStart w:id="162" w:name="_Toc190587099"/>
      <w:bookmarkStart w:id="163" w:name="_Toc204065682"/>
      <w:r w:rsidRPr="00E25F3B">
        <w:rPr>
          <w:rFonts w:cs="Arial"/>
          <w:b/>
          <w:szCs w:val="22"/>
          <w:lang w:eastAsia="en-US"/>
        </w:rPr>
        <w:lastRenderedPageBreak/>
        <w:t>Povinné přílohy k žádosti o podporu z OPTP</w:t>
      </w:r>
      <w:bookmarkEnd w:id="160"/>
      <w:bookmarkEnd w:id="161"/>
      <w:bookmarkEnd w:id="162"/>
      <w:bookmarkEnd w:id="163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</w:t>
      </w:r>
      <w:proofErr w:type="spellStart"/>
      <w:r w:rsidR="00674109" w:rsidRPr="007F25A4">
        <w:rPr>
          <w:rFonts w:cs="Arial"/>
          <w:szCs w:val="22"/>
          <w:lang w:eastAsia="en-US"/>
        </w:rPr>
        <w:t>paré</w:t>
      </w:r>
      <w:proofErr w:type="spellEnd"/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</w:t>
      </w:r>
      <w:proofErr w:type="spellStart"/>
      <w:r w:rsidR="00DA5289" w:rsidRPr="00E25F3B">
        <w:rPr>
          <w:rFonts w:cs="Arial"/>
          <w:szCs w:val="22"/>
          <w:lang w:eastAsia="en-US"/>
        </w:rPr>
        <w:t>par</w:t>
      </w:r>
      <w:r w:rsidR="0030514F" w:rsidRPr="00E25F3B">
        <w:rPr>
          <w:rFonts w:cs="Arial"/>
          <w:szCs w:val="22"/>
          <w:lang w:eastAsia="en-US"/>
        </w:rPr>
        <w:t>é</w:t>
      </w:r>
      <w:proofErr w:type="spellEnd"/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7849C1" w:rsidP="007C0105">
      <w:pPr>
        <w:spacing w:before="0"/>
        <w:rPr>
          <w:rFonts w:cs="Arial"/>
        </w:rPr>
      </w:pPr>
      <w:hyperlink r:id="rId28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30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1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 xml:space="preserve">edno </w:t>
      </w:r>
      <w:proofErr w:type="spellStart"/>
      <w:r w:rsidRPr="00E25F3B">
        <w:rPr>
          <w:rFonts w:cs="Arial"/>
          <w:szCs w:val="22"/>
        </w:rPr>
        <w:t>paré</w:t>
      </w:r>
      <w:proofErr w:type="spellEnd"/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</w:t>
      </w:r>
      <w:r w:rsidR="00BA4CD9">
        <w:rPr>
          <w:rFonts w:cs="Arial"/>
          <w:b/>
        </w:rPr>
        <w:t>i</w:t>
      </w:r>
      <w:r w:rsidR="006D48D3" w:rsidRPr="00E25F3B">
        <w:rPr>
          <w:rFonts w:cs="Arial"/>
          <w:b/>
        </w:rPr>
        <w:t>cí orgán OPTP</w:t>
      </w:r>
      <w:r w:rsidR="003E5784" w:rsidRPr="00E25F3B">
        <w:rPr>
          <w:rFonts w:cs="Arial"/>
          <w:b/>
        </w:rPr>
        <w:t>:</w:t>
      </w:r>
    </w:p>
    <w:p w:rsidR="003E5784" w:rsidRPr="00E25F3B" w:rsidRDefault="003E5784" w:rsidP="00D73E80">
      <w:pPr>
        <w:spacing w:before="24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</w:t>
      </w:r>
      <w:r w:rsidR="00BA4CD9">
        <w:rPr>
          <w:rFonts w:cs="Arial"/>
        </w:rPr>
        <w:t>i</w:t>
      </w:r>
      <w:r w:rsidRPr="00E25F3B">
        <w:rPr>
          <w:rFonts w:cs="Arial"/>
        </w:rPr>
        <w:t>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4" w:name="_Toc418076356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4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5" w:name="_Toc418076357"/>
      <w:r w:rsidRPr="00AF5447">
        <w:rPr>
          <w:lang w:eastAsia="en-US"/>
        </w:rPr>
        <w:t>Hodnocení projektů</w:t>
      </w:r>
      <w:bookmarkEnd w:id="165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6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0017C3" w:rsidRPr="00E25F3B" w:rsidRDefault="000017C3" w:rsidP="00912E52">
      <w:pPr>
        <w:pStyle w:val="Style3Char1"/>
        <w:shd w:val="clear" w:color="auto" w:fill="auto"/>
        <w:spacing w:before="120"/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7" w:name="_Toc243199651"/>
      <w:r w:rsidRPr="00CC586A">
        <w:rPr>
          <w:b/>
        </w:rPr>
        <w:t>Hodnocení věcné a finanční kvality projektu</w:t>
      </w:r>
      <w:bookmarkEnd w:id="167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121F9D" w:rsidRDefault="00121F9D" w:rsidP="005F7D2B">
      <w:pPr>
        <w:pStyle w:val="Style3Char1"/>
        <w:shd w:val="clear" w:color="auto" w:fill="auto"/>
        <w:spacing w:before="120"/>
      </w:pPr>
    </w:p>
    <w:p w:rsidR="00482293" w:rsidRDefault="00482293" w:rsidP="005F7D2B">
      <w:pPr>
        <w:pStyle w:val="Style3Char1"/>
        <w:shd w:val="clear" w:color="auto" w:fill="auto"/>
        <w:spacing w:before="120"/>
      </w:pPr>
      <w:r>
        <w:t xml:space="preserve">Pro specifické projekty nositelů integrovaných strategií nesmí docházet k překryvům v územích jednotlivých MAS, nebo jednotlivých ITI a IPRÚ. </w:t>
      </w:r>
    </w:p>
    <w:p w:rsidR="00482293" w:rsidRDefault="00482293" w:rsidP="005F7D2B">
      <w:pPr>
        <w:pStyle w:val="Style3Char1"/>
        <w:shd w:val="clear" w:color="auto" w:fill="auto"/>
        <w:spacing w:before="120"/>
      </w:pPr>
    </w:p>
    <w:p w:rsidR="002C376D" w:rsidRPr="008918F1" w:rsidRDefault="002C376D" w:rsidP="008918F1">
      <w:pPr>
        <w:rPr>
          <w:b/>
        </w:rPr>
      </w:pPr>
      <w:bookmarkStart w:id="168" w:name="_Toc243199652"/>
      <w:r w:rsidRPr="008918F1">
        <w:rPr>
          <w:b/>
        </w:rPr>
        <w:lastRenderedPageBreak/>
        <w:t>Ex-ante analýza rizik a kontrola ex-ante</w:t>
      </w:r>
      <w:bookmarkEnd w:id="168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>) jako rizikový, provede ZS/ŘO OPTP kontrolu projektu ex-ante</w:t>
      </w:r>
      <w:r w:rsidR="009F752A">
        <w:t xml:space="preserve">, a to buď </w:t>
      </w:r>
      <w:r w:rsidR="00AB5BC1">
        <w:t xml:space="preserve">formou </w:t>
      </w:r>
      <w:r w:rsidR="009F752A">
        <w:t>administrativní nebo</w:t>
      </w:r>
      <w:r w:rsidR="00AB5BC1">
        <w:t xml:space="preserve"> fyzické </w:t>
      </w:r>
      <w:r w:rsidR="009F752A">
        <w:t>kontrol</w:t>
      </w:r>
      <w:r w:rsidR="00AB5BC1">
        <w:t>y</w:t>
      </w:r>
      <w:r w:rsidR="0008410C">
        <w:t xml:space="preserve"> (viz kap. 6</w:t>
      </w:r>
      <w:r w:rsidRPr="00E25F3B">
        <w:t>.</w:t>
      </w:r>
      <w:r w:rsidR="0008410C">
        <w:t>).</w:t>
      </w:r>
      <w:r w:rsidRPr="00E25F3B">
        <w:t xml:space="preserve">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Kontrolovan</w:t>
      </w:r>
      <w:r w:rsidR="0012050A">
        <w:t>ý</w:t>
      </w:r>
      <w:r w:rsidRPr="00E25F3B">
        <w:t xml:space="preserve"> subjekt bude o připravované fyzické </w:t>
      </w:r>
      <w:r w:rsidR="00E26E58" w:rsidRPr="00E25F3B">
        <w:t xml:space="preserve">ex-ante </w:t>
      </w:r>
      <w:r w:rsidRPr="00E25F3B">
        <w:t>kontrole (den/hodina) vyrozuměn minimálně 2 pracovní dny předem vhodným způsobem (Ozn</w:t>
      </w:r>
      <w:r w:rsidR="00E0036F">
        <w:t>á</w:t>
      </w:r>
      <w:r w:rsidRPr="00E25F3B">
        <w:t>m</w:t>
      </w:r>
      <w:r w:rsidR="0008410C">
        <w:t xml:space="preserve">ení o zahájení kontroly, </w:t>
      </w:r>
      <w:r w:rsidRPr="00E25F3B">
        <w:t xml:space="preserve">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kontrole je pořízen Zápis</w:t>
      </w:r>
      <w:r w:rsidR="00FC5351">
        <w:t xml:space="preserve"> </w:t>
      </w:r>
      <w:r w:rsidR="0008410C">
        <w:t>z </w:t>
      </w:r>
      <w:r w:rsidR="00FC5351">
        <w:t xml:space="preserve">kontroly (dále </w:t>
      </w:r>
      <w:r w:rsidR="006B4D45">
        <w:t xml:space="preserve">jen </w:t>
      </w:r>
      <w:r w:rsidR="00FC5351">
        <w:t>„Zápis“)</w:t>
      </w:r>
      <w:r w:rsidRPr="00E25F3B">
        <w:t>/Protokol</w:t>
      </w:r>
      <w:r w:rsidR="0008410C">
        <w:t xml:space="preserve"> o kontrole</w:t>
      </w:r>
      <w:r w:rsidR="00A54E97">
        <w:t xml:space="preserve"> </w:t>
      </w:r>
      <w:r w:rsidRPr="00E25F3B">
        <w:t xml:space="preserve">(dle režimu kontroly) ve </w:t>
      </w:r>
      <w:r w:rsidR="00E9170F">
        <w:t>dvou</w:t>
      </w:r>
      <w:r w:rsidRPr="00E25F3B">
        <w:t xml:space="preserve"> </w:t>
      </w:r>
      <w:r w:rsidR="0008410C">
        <w:t xml:space="preserve">stejnopisech. </w:t>
      </w:r>
      <w:r w:rsidRPr="00E25F3B">
        <w:t xml:space="preserve">které podepíší všichni </w:t>
      </w:r>
      <w:r w:rsidR="0008410C">
        <w:t xml:space="preserve">kontrolující. </w:t>
      </w:r>
      <w:r w:rsidRPr="00E25F3B">
        <w:t xml:space="preserve">Jeden </w:t>
      </w:r>
      <w:r w:rsidR="0008410C">
        <w:t xml:space="preserve">stejnopis </w:t>
      </w:r>
      <w:r w:rsidRPr="00E25F3B">
        <w:t xml:space="preserve">Zápisu/Protokolu </w:t>
      </w:r>
      <w:r w:rsidR="0008410C">
        <w:t xml:space="preserve">o kontrole bude doručen/předán </w:t>
      </w:r>
      <w:r w:rsidR="00E9170F">
        <w:t>kontrolovan</w:t>
      </w:r>
      <w:r w:rsidR="0008410C">
        <w:t xml:space="preserve">é osobě. </w:t>
      </w:r>
    </w:p>
    <w:p w:rsidR="00DF2653" w:rsidRPr="00DE02A7" w:rsidRDefault="00AB5BC1" w:rsidP="00DF2653">
      <w:pPr>
        <w:rPr>
          <w:rFonts w:ascii="Tahoma" w:hAnsi="Tahoma" w:cs="Tahoma"/>
          <w:lang w:eastAsia="en-US"/>
        </w:rPr>
      </w:pPr>
      <w:r>
        <w:rPr>
          <w:rFonts w:cs="Arial"/>
        </w:rPr>
        <w:t>Veřejno</w:t>
      </w:r>
      <w:r w:rsidR="00FB308E">
        <w:rPr>
          <w:rFonts w:cs="Arial"/>
        </w:rPr>
        <w:t>s</w:t>
      </w:r>
      <w:r>
        <w:rPr>
          <w:rFonts w:cs="Arial"/>
        </w:rPr>
        <w:t>právní k</w:t>
      </w:r>
      <w:r w:rsidR="00ED2E83" w:rsidRPr="00646DE5">
        <w:rPr>
          <w:rFonts w:cs="Arial"/>
        </w:rPr>
        <w:t xml:space="preserve">ontrola je </w:t>
      </w:r>
      <w:r>
        <w:rPr>
          <w:rFonts w:cs="Arial"/>
        </w:rPr>
        <w:t xml:space="preserve">pak </w:t>
      </w:r>
      <w:r w:rsidR="00ED2E83" w:rsidRPr="00646DE5">
        <w:rPr>
          <w:rFonts w:cs="Arial"/>
        </w:rPr>
        <w:t>ukončena</w:t>
      </w:r>
      <w:r w:rsidR="0012050A">
        <w:rPr>
          <w:rFonts w:cs="Arial"/>
        </w:rPr>
        <w:t xml:space="preserve"> </w:t>
      </w:r>
      <w:r w:rsidR="0012050A">
        <w:rPr>
          <w:rFonts w:ascii="Tahoma" w:hAnsi="Tahoma" w:cs="Tahoma"/>
          <w:lang w:eastAsia="en-US"/>
        </w:rPr>
        <w:t xml:space="preserve">mj. marným uplynutím lhůty pro podání námitek nebo vzdáním se práva podat námitky. Další způsoby ukončení kontroly upravuje § 18 </w:t>
      </w:r>
      <w:proofErr w:type="spellStart"/>
      <w:r w:rsidR="0012050A">
        <w:rPr>
          <w:rFonts w:ascii="Tahoma" w:hAnsi="Tahoma" w:cs="Tahoma"/>
          <w:lang w:eastAsia="en-US"/>
        </w:rPr>
        <w:t>ZoK</w:t>
      </w:r>
      <w:proofErr w:type="spellEnd"/>
      <w:r w:rsidR="0012050A">
        <w:rPr>
          <w:rFonts w:ascii="Tahoma" w:hAnsi="Tahoma" w:cs="Tahoma"/>
          <w:lang w:eastAsia="en-US"/>
        </w:rPr>
        <w:t>.</w:t>
      </w:r>
      <w:r w:rsidR="0012050A" w:rsidRPr="00CC6A09">
        <w:rPr>
          <w:rFonts w:ascii="Tahoma" w:hAnsi="Tahoma" w:cs="Tahoma"/>
          <w:lang w:eastAsia="en-US"/>
        </w:rPr>
        <w:t xml:space="preserve"> </w:t>
      </w:r>
      <w:r w:rsidR="00DF2653">
        <w:t>Postup pro podání námitek je upraven v kap. 6.</w:t>
      </w:r>
      <w:r w:rsidR="00DF2653">
        <w:rPr>
          <w:rFonts w:ascii="Tahoma" w:hAnsi="Tahoma" w:cs="Tahoma"/>
          <w:lang w:eastAsia="en-US"/>
        </w:rPr>
        <w:t xml:space="preserve">  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9" w:name="_Toc243199653"/>
      <w:bookmarkStart w:id="170" w:name="_Toc418076358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9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70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pPr>
        <w:rPr>
          <w:rFonts w:cs="Arial"/>
          <w:szCs w:val="22"/>
        </w:rPr>
      </w:pPr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</w:t>
      </w:r>
      <w:proofErr w:type="spellStart"/>
      <w:r w:rsidRPr="008B2A83">
        <w:rPr>
          <w:rFonts w:cs="Arial"/>
          <w:szCs w:val="22"/>
        </w:rPr>
        <w:t>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</w:t>
      </w:r>
      <w:proofErr w:type="spellEnd"/>
      <w:r w:rsidRPr="008B2A83">
        <w:rPr>
          <w:rFonts w:cs="Arial"/>
          <w:szCs w:val="22"/>
        </w:rPr>
        <w:t xml:space="preserve">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</w:t>
      </w:r>
      <w:r w:rsidRPr="008B2A83">
        <w:rPr>
          <w:rFonts w:cs="Arial"/>
          <w:szCs w:val="22"/>
        </w:rPr>
        <w:lastRenderedPageBreak/>
        <w:t>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F425B" w:rsidRPr="00E4728F" w:rsidRDefault="00146836">
      <w:r w:rsidRPr="00146836">
        <w:t xml:space="preserve">Pokud jsou již v projektové žádosti nebo na základě výsledků z ex-ante kontroly vyčísleny nezpůsobilé výdaje a příjemcem je OSS nebo </w:t>
      </w:r>
      <w:r w:rsidR="00E4728F">
        <w:t>příspěvková organizace</w:t>
      </w:r>
      <w:r w:rsidRPr="00146836">
        <w:t xml:space="preserve"> OSS, musí daná </w:t>
      </w:r>
      <w:r w:rsidR="00E4728F">
        <w:t xml:space="preserve">rozpočtová </w:t>
      </w:r>
      <w:r w:rsidRPr="00146836">
        <w:t>kapitola v souladu se svými interními postupy zajistit dofinancování těchto nezpůsobilých výdajů ze státního rozpočtu dle kap. 2.4. PŽP.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1" w:name="_Toc418076359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</w:t>
      </w:r>
      <w:r w:rsidR="007C038C">
        <w:rPr>
          <w:lang w:eastAsia="en-US"/>
        </w:rPr>
        <w:t>yní</w:t>
      </w:r>
      <w:r w:rsidRPr="00AF5447">
        <w:rPr>
          <w:lang w:eastAsia="en-US"/>
        </w:rPr>
        <w:t xml:space="preserve"> pro místní rozvoj</w:t>
      </w:r>
      <w:bookmarkEnd w:id="171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</w:t>
      </w:r>
      <w:r w:rsidR="007C038C">
        <w:rPr>
          <w:rFonts w:cs="Arial"/>
        </w:rPr>
        <w:t>yni</w:t>
      </w:r>
      <w:r w:rsidRPr="00BB459A">
        <w:rPr>
          <w:rFonts w:cs="Arial"/>
        </w:rPr>
        <w:t xml:space="preserve"> pro místní rozvoj ke schválení.</w:t>
      </w:r>
      <w:r w:rsidR="00495C24">
        <w:rPr>
          <w:rFonts w:cs="Arial"/>
        </w:rPr>
        <w:t xml:space="preserve"> </w:t>
      </w:r>
      <w:r w:rsidR="0054443B">
        <w:rPr>
          <w:rFonts w:cs="Arial"/>
        </w:rPr>
        <w:t>Do 20</w:t>
      </w:r>
      <w:r w:rsidR="00495C24">
        <w:rPr>
          <w:rFonts w:cs="Arial"/>
        </w:rPr>
        <w:t xml:space="preserve"> pracovních dnů od </w:t>
      </w:r>
      <w:r w:rsidR="0054443B">
        <w:rPr>
          <w:rFonts w:cs="Arial"/>
        </w:rPr>
        <w:t>schválení zápisu z jednání VK OPTP je</w:t>
      </w:r>
      <w:r w:rsidR="00A60D20">
        <w:rPr>
          <w:rFonts w:cs="Arial"/>
        </w:rPr>
        <w:t xml:space="preserve"> vydáno </w:t>
      </w:r>
      <w:r w:rsidR="0054443B">
        <w:rPr>
          <w:rFonts w:cs="Arial"/>
        </w:rPr>
        <w:t>Rozhodnutí ministr</w:t>
      </w:r>
      <w:r w:rsidR="007C038C">
        <w:rPr>
          <w:rFonts w:cs="Arial"/>
        </w:rPr>
        <w:t>yně</w:t>
      </w:r>
      <w:r w:rsidR="0054443B">
        <w:rPr>
          <w:rFonts w:cs="Arial"/>
        </w:rPr>
        <w:t xml:space="preserve"> pro místní rozvoj</w:t>
      </w:r>
      <w:r w:rsidR="00A60D20">
        <w:rPr>
          <w:rFonts w:cs="Arial"/>
        </w:rPr>
        <w:t xml:space="preserve"> o poskytnutí podpory ze státního rozpočtu a strukturálních fondů EU včetně Seznamu projektů.</w:t>
      </w:r>
      <w:r w:rsidRPr="00BB459A">
        <w:rPr>
          <w:rFonts w:cs="Arial"/>
        </w:rPr>
        <w:t xml:space="preserve"> V případě rozhodnutí ministr</w:t>
      </w:r>
      <w:r w:rsidR="007C038C">
        <w:rPr>
          <w:rFonts w:cs="Arial"/>
        </w:rPr>
        <w:t>yně</w:t>
      </w:r>
      <w:r w:rsidRPr="00BB459A">
        <w:rPr>
          <w:rFonts w:cs="Arial"/>
        </w:rPr>
        <w:t xml:space="preserve"> pro místní rozvoj o neposkytnutí podpory ze státního rozpočtu a fondů EU, bude žadateli do 10 pracovních dnů od vydání Rozhodnutí ministr</w:t>
      </w:r>
      <w:r w:rsidR="007C038C">
        <w:rPr>
          <w:rFonts w:cs="Arial"/>
        </w:rPr>
        <w:t>yně</w:t>
      </w:r>
      <w:r w:rsidRPr="00BB459A">
        <w:rPr>
          <w:rFonts w:cs="Arial"/>
        </w:rPr>
        <w:t xml:space="preserve">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</w:t>
      </w:r>
      <w:r w:rsidR="00416E2E">
        <w:rPr>
          <w:rFonts w:cs="Arial"/>
        </w:rPr>
        <w:t xml:space="preserve"> a projekty nositelů integrovaných strategií</w:t>
      </w:r>
      <w:r w:rsidRPr="00BB459A">
        <w:rPr>
          <w:rFonts w:cs="Arial"/>
        </w:rPr>
        <w:t>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</w:t>
      </w:r>
      <w:r w:rsidR="001A25E6">
        <w:rPr>
          <w:rFonts w:cs="Arial"/>
        </w:rPr>
        <w:t xml:space="preserve"> </w:t>
      </w:r>
      <w:r w:rsidR="00274BC5">
        <w:rPr>
          <w:rFonts w:cs="Arial"/>
        </w:rPr>
        <w:t>(v případě projektů MF</w:t>
      </w:r>
      <w:r w:rsidR="001D59FF">
        <w:rPr>
          <w:rFonts w:cs="Arial"/>
        </w:rPr>
        <w:t>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>říd</w:t>
      </w:r>
      <w:r w:rsidR="00BA4CD9">
        <w:rPr>
          <w:rFonts w:cs="Arial"/>
        </w:rPr>
        <w:t>i</w:t>
      </w:r>
      <w:r w:rsidR="006A5D2E" w:rsidRPr="00BB459A">
        <w:rPr>
          <w:rFonts w:cs="Arial"/>
        </w:rPr>
        <w:t xml:space="preserve">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</w:t>
      </w:r>
      <w:r w:rsidR="00BA4CD9">
        <w:rPr>
          <w:rFonts w:cs="Arial"/>
          <w:u w:val="single"/>
        </w:rPr>
        <w:t>i</w:t>
      </w:r>
      <w:r w:rsidRPr="00E25F3B">
        <w:rPr>
          <w:rFonts w:cs="Arial"/>
          <w:u w:val="single"/>
        </w:rPr>
        <w:t>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 </w:t>
      </w:r>
      <w:r w:rsidR="00532B84">
        <w:rPr>
          <w:rFonts w:cs="Arial"/>
          <w:u w:val="single"/>
        </w:rPr>
        <w:t>a projekty nositel</w:t>
      </w:r>
      <w:r w:rsidR="00416E2E">
        <w:rPr>
          <w:rFonts w:cs="Arial"/>
          <w:u w:val="single"/>
        </w:rPr>
        <w:t>ů</w:t>
      </w:r>
      <w:r w:rsidR="00532B84">
        <w:rPr>
          <w:rFonts w:cs="Arial"/>
          <w:u w:val="single"/>
        </w:rPr>
        <w:t xml:space="preserve"> integrovaných strategií </w:t>
      </w:r>
      <w:r w:rsidR="002C376D" w:rsidRPr="00E25F3B">
        <w:rPr>
          <w:rFonts w:cs="Arial"/>
          <w:u w:val="single"/>
        </w:rPr>
        <w:t>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>ředitel</w:t>
      </w:r>
      <w:r w:rsidR="00510F2F">
        <w:rPr>
          <w:rFonts w:cs="Arial"/>
          <w:b/>
        </w:rPr>
        <w:t>e</w:t>
      </w:r>
      <w:r w:rsidR="00CE3747" w:rsidRPr="007F25A4">
        <w:rPr>
          <w:rFonts w:cs="Arial"/>
          <w:b/>
        </w:rPr>
        <w:t xml:space="preserve"> </w:t>
      </w:r>
      <w:r w:rsidR="005B19F3" w:rsidRPr="007F25A4">
        <w:rPr>
          <w:rFonts w:cs="Arial"/>
          <w:b/>
        </w:rPr>
        <w:t>Říd</w:t>
      </w:r>
      <w:r w:rsidR="00BA4CD9">
        <w:rPr>
          <w:rFonts w:cs="Arial"/>
          <w:b/>
        </w:rPr>
        <w:t>i</w:t>
      </w:r>
      <w:r w:rsidR="005B19F3" w:rsidRPr="007F25A4">
        <w:rPr>
          <w:rFonts w:cs="Arial"/>
          <w:b/>
        </w:rPr>
        <w:t xml:space="preserve">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3276FD" w:rsidRPr="00C05036" w:rsidRDefault="003276FD" w:rsidP="00EA2549">
      <w:pPr>
        <w:spacing w:before="240" w:after="120"/>
        <w:rPr>
          <w:rFonts w:cs="Arial"/>
          <w:snapToGrid w:val="0"/>
          <w:szCs w:val="24"/>
        </w:rPr>
      </w:pPr>
      <w:r w:rsidRPr="00C05036">
        <w:rPr>
          <w:rFonts w:cs="Arial"/>
          <w:snapToGrid w:val="0"/>
          <w:szCs w:val="24"/>
        </w:rPr>
        <w:lastRenderedPageBreak/>
        <w:t>Pro urychlení administrace projektů se vydává sloučen</w:t>
      </w:r>
      <w:r>
        <w:rPr>
          <w:rFonts w:cs="Arial"/>
          <w:snapToGrid w:val="0"/>
          <w:szCs w:val="24"/>
        </w:rPr>
        <w:t>ý</w:t>
      </w:r>
      <w:r w:rsidRPr="00C05036">
        <w:rPr>
          <w:rFonts w:cs="Arial"/>
          <w:snapToGrid w:val="0"/>
          <w:szCs w:val="24"/>
        </w:rPr>
        <w:t xml:space="preserve"> </w:t>
      </w:r>
      <w:r w:rsidR="007534BD" w:rsidRPr="00C05036">
        <w:rPr>
          <w:rFonts w:cs="Arial"/>
          <w:snapToGrid w:val="0"/>
          <w:szCs w:val="24"/>
        </w:rPr>
        <w:t>říd</w:t>
      </w:r>
      <w:r w:rsidR="007534BD">
        <w:rPr>
          <w:rFonts w:cs="Arial"/>
          <w:snapToGrid w:val="0"/>
          <w:szCs w:val="24"/>
        </w:rPr>
        <w:t>i</w:t>
      </w:r>
      <w:r w:rsidR="007534BD" w:rsidRPr="00C05036">
        <w:rPr>
          <w:rFonts w:cs="Arial"/>
          <w:snapToGrid w:val="0"/>
          <w:szCs w:val="24"/>
        </w:rPr>
        <w:t xml:space="preserve">cí </w:t>
      </w:r>
      <w:r w:rsidRPr="00C05036">
        <w:rPr>
          <w:rFonts w:cs="Arial"/>
          <w:snapToGrid w:val="0"/>
          <w:szCs w:val="24"/>
        </w:rPr>
        <w:t xml:space="preserve">dokument, který je kompletován s Podmínkami realizace projektu platnými pro danou výzvu.  </w:t>
      </w:r>
    </w:p>
    <w:p w:rsidR="003276FD" w:rsidRPr="00E25F3B" w:rsidRDefault="003276FD" w:rsidP="00EA2549">
      <w:pPr>
        <w:spacing w:after="240"/>
        <w:rPr>
          <w:rFonts w:cs="Arial"/>
        </w:rPr>
      </w:pPr>
      <w:r w:rsidRPr="00C05036">
        <w:rPr>
          <w:rFonts w:cs="Arial"/>
          <w:snapToGrid w:val="0"/>
          <w:szCs w:val="24"/>
        </w:rPr>
        <w:t xml:space="preserve">Sloučený </w:t>
      </w:r>
      <w:r>
        <w:rPr>
          <w:rFonts w:cs="Arial"/>
          <w:snapToGrid w:val="0"/>
          <w:szCs w:val="24"/>
        </w:rPr>
        <w:t>řídící dokument</w:t>
      </w:r>
      <w:r w:rsidRPr="00C05036">
        <w:rPr>
          <w:rFonts w:cs="Arial"/>
          <w:snapToGrid w:val="0"/>
          <w:szCs w:val="24"/>
        </w:rPr>
        <w:t xml:space="preserve"> je zpracován bezprostředně po vydání </w:t>
      </w:r>
      <w:r>
        <w:rPr>
          <w:rFonts w:cs="Arial"/>
          <w:snapToGrid w:val="0"/>
          <w:szCs w:val="24"/>
        </w:rPr>
        <w:t>Rozhodnutí ministryně pro místní rozvoj</w:t>
      </w:r>
      <w:r w:rsidRPr="00C05036">
        <w:rPr>
          <w:rFonts w:cs="Arial"/>
          <w:snapToGrid w:val="0"/>
          <w:szCs w:val="24"/>
        </w:rPr>
        <w:t xml:space="preserve"> a zaslán ŘO OPTP ke schválení.</w:t>
      </w: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</w:t>
      </w:r>
      <w:r w:rsidR="00207DFF">
        <w:rPr>
          <w:rFonts w:cs="Arial"/>
        </w:rPr>
        <w:t>e</w:t>
      </w:r>
      <w:r w:rsidRPr="00E25F3B">
        <w:rPr>
          <w:rFonts w:cs="Arial"/>
        </w:rPr>
        <w:t> </w:t>
      </w:r>
      <w:r w:rsidR="00207DFF">
        <w:rPr>
          <w:rFonts w:cs="Arial"/>
        </w:rPr>
        <w:t>čtyřech</w:t>
      </w:r>
      <w:r w:rsidR="00207DFF" w:rsidRPr="00E25F3B">
        <w:rPr>
          <w:rFonts w:cs="Arial"/>
        </w:rPr>
        <w:t xml:space="preserve">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příjemce, jeden obdrží ZS a </w:t>
      </w:r>
      <w:r w:rsidR="00207DFF">
        <w:rPr>
          <w:rFonts w:cs="Arial"/>
        </w:rPr>
        <w:t>dva</w:t>
      </w:r>
      <w:r w:rsidR="00207DFF" w:rsidRPr="00E25F3B">
        <w:rPr>
          <w:rFonts w:cs="Arial"/>
        </w:rPr>
        <w:t xml:space="preserve"> </w:t>
      </w:r>
      <w:r w:rsidRPr="00E25F3B">
        <w:rPr>
          <w:rFonts w:cs="Arial"/>
        </w:rPr>
        <w:t>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> případě, že j</w:t>
      </w:r>
      <w:r w:rsidR="009055F8">
        <w:rPr>
          <w:rFonts w:cs="Arial"/>
        </w:rPr>
        <w:t>sou</w:t>
      </w:r>
      <w:r w:rsidRPr="00E25F3B">
        <w:rPr>
          <w:rFonts w:cs="Arial"/>
        </w:rPr>
        <w:t xml:space="preserve"> příjemcem CRR</w:t>
      </w:r>
      <w:r w:rsidR="00F25F76">
        <w:rPr>
          <w:rFonts w:cs="Arial"/>
        </w:rPr>
        <w:t xml:space="preserve"> nebo nositelé integrovaných strategií</w:t>
      </w:r>
      <w:r w:rsidRPr="00E25F3B">
        <w:rPr>
          <w:rFonts w:cs="Arial"/>
        </w:rPr>
        <w:t xml:space="preserve">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 xml:space="preserve">vyhotoveno ve </w:t>
      </w:r>
      <w:r w:rsidR="00207DFF">
        <w:rPr>
          <w:rFonts w:cs="Arial"/>
        </w:rPr>
        <w:t>třech</w:t>
      </w:r>
      <w:r w:rsidR="00207DFF" w:rsidRPr="00E25F3B">
        <w:rPr>
          <w:rFonts w:cs="Arial"/>
        </w:rPr>
        <w:t xml:space="preserve">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 a </w:t>
      </w:r>
      <w:r w:rsidR="00207DFF">
        <w:rPr>
          <w:rFonts w:cs="Arial"/>
        </w:rPr>
        <w:t>dva</w:t>
      </w:r>
      <w:r w:rsidR="00207DFF" w:rsidRPr="00E25F3B">
        <w:rPr>
          <w:rFonts w:cs="Arial"/>
        </w:rPr>
        <w:t xml:space="preserve"> </w:t>
      </w:r>
      <w:r w:rsidRPr="00E25F3B">
        <w:rPr>
          <w:rFonts w:cs="Arial"/>
        </w:rPr>
        <w:t>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207DFF">
        <w:rPr>
          <w:rFonts w:cs="Arial"/>
        </w:rPr>
        <w:t xml:space="preserve">třech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příjemce, </w:t>
      </w:r>
      <w:r w:rsidR="00207DFF">
        <w:rPr>
          <w:rFonts w:cs="Arial"/>
        </w:rPr>
        <w:t xml:space="preserve">jeden </w:t>
      </w:r>
      <w:r w:rsidRPr="00E25F3B">
        <w:rPr>
          <w:rFonts w:cs="Arial"/>
        </w:rPr>
        <w:t xml:space="preserve">stejnopis obdrží ŘO OPTP, jeden stejnopis obdrží ZS). </w:t>
      </w:r>
      <w:r w:rsidR="00203CEE">
        <w:rPr>
          <w:rFonts w:cs="Arial"/>
        </w:rPr>
        <w:t>Pro projekty nositelů integrovaných strategií vystaví ŘO OPTP řídicí dokument, který příjemci zašle dopisem ředitele ŘO OPTP v</w:t>
      </w:r>
      <w:r w:rsidR="00F25F76">
        <w:rPr>
          <w:rFonts w:cs="Arial"/>
        </w:rPr>
        <w:t>e</w:t>
      </w:r>
      <w:r w:rsidR="00203CEE">
        <w:rPr>
          <w:rFonts w:cs="Arial"/>
        </w:rPr>
        <w:t> </w:t>
      </w:r>
      <w:r w:rsidR="009A4167">
        <w:rPr>
          <w:rFonts w:cs="Arial"/>
        </w:rPr>
        <w:t xml:space="preserve">třech </w:t>
      </w:r>
      <w:proofErr w:type="spellStart"/>
      <w:r w:rsidR="00203CEE">
        <w:rPr>
          <w:rFonts w:cs="Arial"/>
        </w:rPr>
        <w:t>paré</w:t>
      </w:r>
      <w:proofErr w:type="spellEnd"/>
      <w:r w:rsidR="00203CEE">
        <w:rPr>
          <w:rFonts w:cs="Arial"/>
        </w:rPr>
        <w:t xml:space="preserve"> </w:t>
      </w:r>
      <w:r w:rsidR="00203CEE" w:rsidRPr="00E25F3B">
        <w:rPr>
          <w:rFonts w:cs="Arial"/>
        </w:rPr>
        <w:t xml:space="preserve">(jeden stejnopis </w:t>
      </w:r>
      <w:r w:rsidR="00203CEE">
        <w:rPr>
          <w:rFonts w:cs="Arial"/>
        </w:rPr>
        <w:t>si ponechá příjemce a</w:t>
      </w:r>
      <w:r w:rsidR="00203CEE" w:rsidRPr="00E25F3B">
        <w:rPr>
          <w:rFonts w:cs="Arial"/>
        </w:rPr>
        <w:t xml:space="preserve"> </w:t>
      </w:r>
      <w:r w:rsidR="009A4167">
        <w:rPr>
          <w:rFonts w:cs="Arial"/>
        </w:rPr>
        <w:t>dva</w:t>
      </w:r>
      <w:r w:rsidR="009A4167" w:rsidRPr="00E25F3B">
        <w:rPr>
          <w:rFonts w:cs="Arial"/>
        </w:rPr>
        <w:t xml:space="preserve"> </w:t>
      </w:r>
      <w:r w:rsidR="00203CEE">
        <w:rPr>
          <w:rFonts w:cs="Arial"/>
        </w:rPr>
        <w:t xml:space="preserve">podepsané </w:t>
      </w:r>
      <w:r w:rsidR="00203CEE" w:rsidRPr="00E25F3B">
        <w:rPr>
          <w:rFonts w:cs="Arial"/>
        </w:rPr>
        <w:t xml:space="preserve">stejnopisy </w:t>
      </w:r>
      <w:r w:rsidR="00203CEE">
        <w:rPr>
          <w:rFonts w:cs="Arial"/>
        </w:rPr>
        <w:t xml:space="preserve">příjemce předá zpět </w:t>
      </w:r>
      <w:r w:rsidR="00203CEE" w:rsidRPr="00E25F3B">
        <w:rPr>
          <w:rFonts w:cs="Arial"/>
        </w:rPr>
        <w:t>ŘO OPTP)</w:t>
      </w:r>
      <w:r w:rsidR="00203CEE">
        <w:rPr>
          <w:rFonts w:cs="Arial"/>
        </w:rPr>
        <w:t>.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E25F3B">
        <w:rPr>
          <w:lang w:val="cs-CZ"/>
        </w:rPr>
        <w:t>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</w:t>
            </w:r>
            <w:r w:rsidR="007C038C">
              <w:rPr>
                <w:b/>
                <w:bCs/>
                <w:sz w:val="18"/>
                <w:szCs w:val="18"/>
              </w:rPr>
              <w:t>yně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203CEE">
              <w:rPr>
                <w:b/>
                <w:bCs/>
                <w:sz w:val="18"/>
                <w:szCs w:val="18"/>
              </w:rPr>
              <w:t>z řad MMR, CRR, MF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2" w:name="_Toc190584483"/>
      <w:bookmarkStart w:id="173" w:name="_Toc190587032"/>
      <w:bookmarkStart w:id="174" w:name="_Toc190587101"/>
      <w:bookmarkStart w:id="175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6" w:name="_Toc239845515"/>
      <w:bookmarkStart w:id="177" w:name="_Toc239845786"/>
      <w:bookmarkStart w:id="178" w:name="_Toc190584484"/>
      <w:bookmarkStart w:id="179" w:name="_Toc190587033"/>
      <w:bookmarkStart w:id="180" w:name="_Toc190587102"/>
      <w:bookmarkStart w:id="181" w:name="_Toc204065684"/>
      <w:bookmarkStart w:id="182" w:name="_Toc243199654"/>
      <w:bookmarkStart w:id="183" w:name="_Toc418076360"/>
      <w:bookmarkEnd w:id="172"/>
      <w:bookmarkEnd w:id="173"/>
      <w:bookmarkEnd w:id="174"/>
      <w:bookmarkEnd w:id="175"/>
      <w:bookmarkEnd w:id="176"/>
      <w:bookmarkEnd w:id="177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4" w:name="_Toc223408184"/>
      <w:bookmarkStart w:id="185" w:name="_Toc239845523"/>
      <w:bookmarkStart w:id="186" w:name="_Toc239845794"/>
      <w:bookmarkStart w:id="187" w:name="_Toc239845525"/>
      <w:bookmarkStart w:id="188" w:name="_Toc239845796"/>
      <w:bookmarkStart w:id="189" w:name="_Toc239845527"/>
      <w:bookmarkStart w:id="190" w:name="_Toc239845798"/>
      <w:bookmarkStart w:id="191" w:name="_Toc239845528"/>
      <w:bookmarkStart w:id="192" w:name="_Toc239845799"/>
      <w:bookmarkStart w:id="193" w:name="_Toc239845529"/>
      <w:bookmarkStart w:id="194" w:name="_Toc239845800"/>
      <w:bookmarkStart w:id="195" w:name="_Toc239845530"/>
      <w:bookmarkStart w:id="196" w:name="_Toc239845801"/>
      <w:bookmarkStart w:id="197" w:name="_Toc239845531"/>
      <w:bookmarkStart w:id="198" w:name="_Toc239845802"/>
      <w:bookmarkStart w:id="199" w:name="_Toc239845532"/>
      <w:bookmarkStart w:id="200" w:name="_Toc239845803"/>
      <w:bookmarkStart w:id="201" w:name="_Toc239845534"/>
      <w:bookmarkStart w:id="202" w:name="_Toc239845805"/>
      <w:bookmarkStart w:id="203" w:name="_Toc239845536"/>
      <w:bookmarkStart w:id="204" w:name="_Toc239845807"/>
      <w:bookmarkStart w:id="205" w:name="_Toc239845537"/>
      <w:bookmarkStart w:id="206" w:name="_Toc239845808"/>
      <w:bookmarkStart w:id="207" w:name="_Toc239845538"/>
      <w:bookmarkStart w:id="208" w:name="_Toc239845809"/>
      <w:bookmarkStart w:id="209" w:name="_Toc239845540"/>
      <w:bookmarkStart w:id="210" w:name="_Toc239845811"/>
      <w:bookmarkStart w:id="211" w:name="_Toc239845542"/>
      <w:bookmarkStart w:id="212" w:name="_Toc239845813"/>
      <w:bookmarkStart w:id="213" w:name="_Toc239845544"/>
      <w:bookmarkStart w:id="214" w:name="_Toc239845815"/>
      <w:bookmarkStart w:id="215" w:name="_Toc239845545"/>
      <w:bookmarkStart w:id="216" w:name="_Toc239845816"/>
      <w:bookmarkStart w:id="217" w:name="_Toc190584490"/>
      <w:bookmarkStart w:id="218" w:name="_Toc190587039"/>
      <w:bookmarkStart w:id="219" w:name="_Toc190587108"/>
      <w:bookmarkStart w:id="220" w:name="_Toc204065691"/>
      <w:bookmarkEnd w:id="178"/>
      <w:bookmarkEnd w:id="179"/>
      <w:bookmarkEnd w:id="180"/>
      <w:bookmarkEnd w:id="181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 w:rsidR="00DA5289" w:rsidRPr="00E25F3B">
        <w:rPr>
          <w:rFonts w:cs="Arial"/>
        </w:rPr>
        <w:t>Realizace projektu</w:t>
      </w:r>
      <w:bookmarkEnd w:id="182"/>
      <w:bookmarkEnd w:id="217"/>
      <w:bookmarkEnd w:id="218"/>
      <w:bookmarkEnd w:id="219"/>
      <w:bookmarkEnd w:id="220"/>
      <w:bookmarkEnd w:id="183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>říd</w:t>
      </w:r>
      <w:r w:rsidR="00BA4CD9">
        <w:rPr>
          <w:rFonts w:cs="Arial"/>
          <w:szCs w:val="24"/>
        </w:rPr>
        <w:t>i</w:t>
      </w:r>
      <w:r w:rsidR="00C023BC" w:rsidRPr="00E25F3B">
        <w:rPr>
          <w:rFonts w:cs="Arial"/>
          <w:szCs w:val="24"/>
        </w:rPr>
        <w:t xml:space="preserve">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1" w:name="_Toc243199655"/>
      <w:bookmarkStart w:id="222" w:name="_Toc226357156"/>
      <w:bookmarkStart w:id="223" w:name="_Toc418076361"/>
      <w:bookmarkStart w:id="224" w:name="_Toc191456835"/>
      <w:r w:rsidRPr="00E25F3B">
        <w:rPr>
          <w:rFonts w:cs="Arial"/>
        </w:rPr>
        <w:lastRenderedPageBreak/>
        <w:t>5.1.</w:t>
      </w:r>
      <w:bookmarkEnd w:id="221"/>
      <w:r w:rsidRPr="00E25F3B">
        <w:rPr>
          <w:rFonts w:cs="Arial"/>
        </w:rPr>
        <w:tab/>
      </w:r>
      <w:bookmarkStart w:id="225" w:name="_Toc243199656"/>
      <w:bookmarkEnd w:id="222"/>
      <w:r w:rsidR="00F239D4" w:rsidRPr="00E25F3B">
        <w:rPr>
          <w:lang w:eastAsia="en-US"/>
        </w:rPr>
        <w:t>Monitorování postupu projektů</w:t>
      </w:r>
      <w:bookmarkEnd w:id="225"/>
      <w:bookmarkEnd w:id="223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 xml:space="preserve">Příjemce zároveň doručí </w:t>
      </w:r>
      <w:proofErr w:type="spellStart"/>
      <w:r w:rsidR="00D92CBC" w:rsidRPr="00E25F3B">
        <w:rPr>
          <w:rFonts w:cs="Arial"/>
        </w:rPr>
        <w:t>finalizovanou</w:t>
      </w:r>
      <w:proofErr w:type="spellEnd"/>
      <w:r w:rsidR="00D92CBC" w:rsidRPr="00E25F3B">
        <w:rPr>
          <w:rFonts w:cs="Arial"/>
        </w:rPr>
        <w:t xml:space="preserve">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Finanční údaje v </w:t>
      </w:r>
      <w:proofErr w:type="spellStart"/>
      <w:r w:rsidRPr="00E25F3B">
        <w:rPr>
          <w:rFonts w:cs="Arial"/>
          <w:snapToGrid w:val="0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 xml:space="preserve"> a EMZ/ZMZ se uvádějí zaokrouhlené </w:t>
      </w:r>
      <w:r w:rsidR="00C1715B">
        <w:rPr>
          <w:rFonts w:cs="Arial"/>
          <w:snapToGrid w:val="0"/>
          <w:szCs w:val="22"/>
        </w:rPr>
        <w:t>na dvě desetinná místa</w:t>
      </w:r>
      <w:r w:rsidRPr="00E25F3B">
        <w:rPr>
          <w:rFonts w:cs="Arial"/>
          <w:snapToGrid w:val="0"/>
          <w:szCs w:val="22"/>
        </w:rPr>
        <w:t xml:space="preserve">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</w:t>
      </w:r>
      <w:r w:rsidR="00C1715B">
        <w:rPr>
          <w:rFonts w:cs="Arial"/>
          <w:snapToGrid w:val="0"/>
          <w:szCs w:val="22"/>
        </w:rPr>
        <w:t>dvě desetinná místa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</w:t>
      </w:r>
      <w:r w:rsidR="00FF5AAB">
        <w:rPr>
          <w:rFonts w:cs="Arial"/>
          <w:snapToGrid w:val="0"/>
          <w:szCs w:val="22"/>
        </w:rPr>
        <w:t>-</w:t>
      </w:r>
      <w:r w:rsidRPr="00C90DDD">
        <w:rPr>
          <w:rFonts w:cs="Arial"/>
          <w:snapToGrid w:val="0"/>
          <w:szCs w:val="22"/>
        </w:rPr>
        <w:t>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>V případě, že je realizace etapy projektu ukončena před schválením říd</w:t>
      </w:r>
      <w:r w:rsidR="00BA4CD9">
        <w:rPr>
          <w:rFonts w:cs="Arial"/>
        </w:rPr>
        <w:t>i</w:t>
      </w:r>
      <w:r w:rsidR="008B2A83" w:rsidRPr="008B2A83">
        <w:rPr>
          <w:rFonts w:cs="Arial"/>
        </w:rPr>
        <w:t xml:space="preserve">cího dokumentu či právního aktu o poskytnutí podpory, je příjemce povinen předložit etapovou monitorovací zprávu do 20 pracovních dnů od </w:t>
      </w:r>
      <w:r w:rsidR="008B2A83" w:rsidRPr="008B2A83">
        <w:rPr>
          <w:rFonts w:cs="Arial"/>
        </w:rPr>
        <w:lastRenderedPageBreak/>
        <w:t>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, i pro výše uvedené následné počítání sledovaného období pro další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</w:t>
      </w:r>
      <w:r w:rsidR="003E20FA" w:rsidRPr="00E25F3B">
        <w:rPr>
          <w:rFonts w:cs="Arial"/>
          <w:szCs w:val="22"/>
        </w:rPr>
        <w:lastRenderedPageBreak/>
        <w:t xml:space="preserve">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</w:t>
      </w:r>
      <w:proofErr w:type="spellStart"/>
      <w:r w:rsidR="00BF1318">
        <w:t>ZŽoP</w:t>
      </w:r>
      <w:proofErr w:type="spellEnd"/>
      <w:r w:rsidR="00BF1318">
        <w:t xml:space="preserve">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</w:t>
      </w:r>
      <w:proofErr w:type="spellStart"/>
      <w:r w:rsidR="00BF1318">
        <w:t>ZŽoP</w:t>
      </w:r>
      <w:proofErr w:type="spellEnd"/>
      <w:r w:rsidR="00BF1318">
        <w:t xml:space="preserve"> budou konzultovat s Odborem rozpočtu MMR. </w:t>
      </w:r>
      <w:r w:rsidR="00BF1318" w:rsidRPr="008A42ED">
        <w:t>U projektů CRR příjemce uvede rozpočtovou položku druhovou 5336 (</w:t>
      </w:r>
      <w:proofErr w:type="spellStart"/>
      <w:r w:rsidR="00BF1318" w:rsidRPr="008A42ED">
        <w:t>neinvestice</w:t>
      </w:r>
      <w:proofErr w:type="spellEnd"/>
      <w:r w:rsidR="00BF1318" w:rsidRPr="008A42ED">
        <w:t xml:space="preserve">) nebo 6351 (investice). </w:t>
      </w:r>
      <w:r w:rsidR="00DE10A0" w:rsidRPr="00DE10A0">
        <w:t xml:space="preserve">Nositelé integrovaných strategií </w:t>
      </w:r>
      <w:r w:rsidR="009740F2" w:rsidRPr="00F84266">
        <w:t xml:space="preserve">uvedou do soupisky následující rozpočtové položky druhové: </w:t>
      </w:r>
      <w:r w:rsidR="00F84266">
        <w:t>5221 (</w:t>
      </w:r>
      <w:proofErr w:type="spellStart"/>
      <w:r w:rsidR="00F84266">
        <w:t>neinvestice</w:t>
      </w:r>
      <w:proofErr w:type="spellEnd"/>
      <w:r w:rsidR="00F84266">
        <w:t xml:space="preserve"> – obecně prospěšná společnost), 5222</w:t>
      </w:r>
      <w:r w:rsidR="009740F2" w:rsidRPr="00F84266">
        <w:t xml:space="preserve"> (</w:t>
      </w:r>
      <w:proofErr w:type="spellStart"/>
      <w:r w:rsidR="00F84266">
        <w:t>neinvestice</w:t>
      </w:r>
      <w:proofErr w:type="spellEnd"/>
      <w:r w:rsidR="00F84266">
        <w:t xml:space="preserve"> – občanské sdružení</w:t>
      </w:r>
      <w:r w:rsidR="009740F2" w:rsidRPr="00F84266">
        <w:t>)</w:t>
      </w:r>
      <w:r w:rsidR="00F84266">
        <w:t>, 5339 (</w:t>
      </w:r>
      <w:proofErr w:type="spellStart"/>
      <w:r w:rsidR="00F84266">
        <w:t>neinvestice</w:t>
      </w:r>
      <w:proofErr w:type="spellEnd"/>
      <w:r w:rsidR="00F84266">
        <w:t xml:space="preserve"> – příspěvková organizace), 5229 (</w:t>
      </w:r>
      <w:proofErr w:type="spellStart"/>
      <w:r w:rsidR="00F84266">
        <w:t>neinvestice</w:t>
      </w:r>
      <w:proofErr w:type="spellEnd"/>
      <w:r w:rsidR="00F84266">
        <w:t xml:space="preserve"> – sdružení právnických osob a</w:t>
      </w:r>
      <w:r w:rsidR="00F84266" w:rsidRPr="00F84266">
        <w:t xml:space="preserve"> </w:t>
      </w:r>
      <w:r w:rsidR="00F84266">
        <w:t>Svaz měst a obcí), 5329 (</w:t>
      </w:r>
      <w:proofErr w:type="spellStart"/>
      <w:r w:rsidR="00F84266">
        <w:t>neinvestice</w:t>
      </w:r>
      <w:proofErr w:type="spellEnd"/>
      <w:r w:rsidR="00F84266">
        <w:t xml:space="preserve"> – dobrovolné sdružení obcí), </w:t>
      </w:r>
      <w:r w:rsidR="00F84266" w:rsidRPr="00F84266">
        <w:t>Inve</w:t>
      </w:r>
      <w:r w:rsidR="00F84266">
        <w:t>stice nejsou relevantní.</w:t>
      </w:r>
      <w:r w:rsidR="00BF1318">
        <w:t xml:space="preserve">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</w:t>
      </w:r>
      <w:proofErr w:type="spellStart"/>
      <w:r w:rsidR="008303DD">
        <w:rPr>
          <w:rFonts w:cs="Arial"/>
          <w:szCs w:val="22"/>
        </w:rPr>
        <w:t>ých</w:t>
      </w:r>
      <w:proofErr w:type="spellEnd"/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</w:t>
      </w:r>
      <w:proofErr w:type="spellStart"/>
      <w:r w:rsidR="003E20FA" w:rsidRPr="00E25F3B">
        <w:rPr>
          <w:rFonts w:cs="Arial"/>
          <w:szCs w:val="22"/>
        </w:rPr>
        <w:t>timesheety</w:t>
      </w:r>
      <w:proofErr w:type="spellEnd"/>
      <w:r w:rsidR="003E20FA" w:rsidRPr="00E25F3B">
        <w:rPr>
          <w:rFonts w:cs="Arial"/>
          <w:szCs w:val="22"/>
        </w:rPr>
        <w:t>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</w:t>
      </w:r>
      <w:r w:rsidR="00CF503C">
        <w:rPr>
          <w:rFonts w:cs="Arial"/>
          <w:szCs w:val="22"/>
        </w:rPr>
        <w:lastRenderedPageBreak/>
        <w:t>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 xml:space="preserve">Podklady prokazující dodržení pravidel pro publicitu (fotodokumentace, </w:t>
      </w:r>
      <w:proofErr w:type="spellStart"/>
      <w:r w:rsidRPr="00E25F3B">
        <w:rPr>
          <w:rFonts w:cs="Arial"/>
          <w:szCs w:val="22"/>
        </w:rPr>
        <w:t>printscreeny</w:t>
      </w:r>
      <w:proofErr w:type="spellEnd"/>
      <w:r w:rsidRPr="00E25F3B">
        <w:rPr>
          <w:rFonts w:cs="Arial"/>
          <w:szCs w:val="22"/>
        </w:rPr>
        <w:t>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2" w:history="1">
        <w:r w:rsidR="0072157E" w:rsidRPr="007C1612">
          <w:rPr>
            <w:rStyle w:val="Hypertextovodkaz"/>
            <w:rFonts w:cs="Arial"/>
            <w:lang w:val="cs-CZ"/>
          </w:rPr>
          <w:t>http://www.strukturalni-fondy.cz/cs/Microsites/op-technicka-pomoc/Dokumenty</w:t>
        </w:r>
      </w:hyperlink>
      <w:r w:rsidR="0072157E" w:rsidRPr="00D73E80">
        <w:rPr>
          <w:rFonts w:ascii="Tahoma" w:hAnsi="Tahoma" w:cs="Arial"/>
          <w:color w:val="0000FF"/>
          <w:u w:val="single"/>
          <w:lang w:eastAsia="en-US"/>
        </w:rPr>
        <w:t>.</w:t>
      </w: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6" w:name="_Toc243199657"/>
      <w:bookmarkStart w:id="227" w:name="_Toc418076362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6"/>
      <w:bookmarkEnd w:id="227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5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Default="001A1272" w:rsidP="0060616B">
      <w:pPr>
        <w:spacing w:before="0"/>
        <w:ind w:left="360"/>
        <w:rPr>
          <w:rFonts w:cs="Arial"/>
          <w:szCs w:val="22"/>
        </w:rPr>
      </w:pPr>
    </w:p>
    <w:p w:rsidR="000017C3" w:rsidRPr="00E25F3B" w:rsidRDefault="000017C3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8" w:name="_Toc243199658"/>
      <w:r w:rsidRPr="001A1272">
        <w:rPr>
          <w:b/>
        </w:rPr>
        <w:t>Identifikace účetních dokladů</w:t>
      </w:r>
      <w:bookmarkEnd w:id="228"/>
      <w:r w:rsidR="00DE5557">
        <w:rPr>
          <w:rStyle w:val="Znakapoznpodarou"/>
          <w:b/>
        </w:rPr>
        <w:footnoteReference w:id="6"/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7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</w:t>
      </w:r>
      <w:proofErr w:type="spellStart"/>
      <w:r w:rsidR="007C6D3F">
        <w:rPr>
          <w:rFonts w:cs="Arial"/>
        </w:rPr>
        <w:t>ZŽoP</w:t>
      </w:r>
      <w:proofErr w:type="spellEnd"/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9" w:name="_Toc243199659"/>
      <w:bookmarkStart w:id="230" w:name="_Toc418076363"/>
      <w:r w:rsidRPr="00E25F3B">
        <w:rPr>
          <w:lang w:eastAsia="en-US"/>
        </w:rPr>
        <w:lastRenderedPageBreak/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9"/>
      <w:bookmarkEnd w:id="230"/>
    </w:p>
    <w:p w:rsidR="000C0EBA" w:rsidRPr="00361F90" w:rsidRDefault="000C0EBA" w:rsidP="000C0EBA">
      <w:pPr>
        <w:pStyle w:val="Zkladntext2"/>
        <w:spacing w:after="120"/>
      </w:pPr>
      <w:r w:rsidRPr="00E25F3B">
        <w:t xml:space="preserve">Administraci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</w:t>
      </w:r>
      <w:r w:rsidR="00361F90">
        <w:t xml:space="preserve">. </w:t>
      </w:r>
      <w:r w:rsidR="00361F90" w:rsidRPr="00D73E80">
        <w:t xml:space="preserve">Projektový manažer ŘO OPTP kontroluje projektovou část </w:t>
      </w:r>
      <w:proofErr w:type="spellStart"/>
      <w:r w:rsidR="00361F90" w:rsidRPr="00D73E80">
        <w:t>ŽoP</w:t>
      </w:r>
      <w:proofErr w:type="spellEnd"/>
      <w:r w:rsidR="00361F90">
        <w:t>,</w:t>
      </w:r>
      <w:r w:rsidR="00361F90" w:rsidRPr="00D73E80">
        <w:t xml:space="preserve"> EMZ a MZ</w:t>
      </w:r>
      <w:r w:rsidRPr="00E25F3B">
        <w:t>.</w:t>
      </w:r>
      <w:r w:rsidR="00995C50" w:rsidRPr="00D73E80">
        <w:t xml:space="preserve"> 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proofErr w:type="spellStart"/>
      <w:r>
        <w:rPr>
          <w:rFonts w:cs="Arial"/>
          <w:szCs w:val="22"/>
        </w:rPr>
        <w:t>ZŽoP</w:t>
      </w:r>
      <w:proofErr w:type="spellEnd"/>
      <w:r>
        <w:rPr>
          <w:rFonts w:cs="Arial"/>
          <w:szCs w:val="22"/>
        </w:rPr>
        <w:t xml:space="preserve">/závěrečnou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</w:t>
      </w:r>
      <w:r w:rsidR="001C6F48" w:rsidRPr="00E25F3B">
        <w:rPr>
          <w:rFonts w:cs="Arial"/>
        </w:rPr>
        <w:t xml:space="preserve">Před předložením </w:t>
      </w:r>
      <w:proofErr w:type="spellStart"/>
      <w:r>
        <w:rPr>
          <w:rFonts w:cs="Arial"/>
          <w:szCs w:val="22"/>
        </w:rPr>
        <w:t>ZŽoP</w:t>
      </w:r>
      <w:proofErr w:type="spellEnd"/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3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</w:t>
      </w:r>
      <w:proofErr w:type="spellStart"/>
      <w:r w:rsidR="006B4D25">
        <w:rPr>
          <w:rFonts w:cs="Arial"/>
          <w:szCs w:val="22"/>
        </w:rPr>
        <w:t>paré</w:t>
      </w:r>
      <w:proofErr w:type="spellEnd"/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</w:t>
      </w:r>
      <w:proofErr w:type="spellStart"/>
      <w:r w:rsidR="000E060F" w:rsidRPr="00E25F3B">
        <w:rPr>
          <w:rFonts w:cs="Arial"/>
        </w:rPr>
        <w:t>nefinalizovaná</w:t>
      </w:r>
      <w:proofErr w:type="spellEnd"/>
      <w:r w:rsidR="000E060F" w:rsidRPr="00E25F3B">
        <w:rPr>
          <w:rFonts w:cs="Arial"/>
        </w:rPr>
        <w:t>) tištěná verze</w:t>
      </w:r>
      <w:r w:rsidR="00F11683" w:rsidRPr="00E25F3B">
        <w:rPr>
          <w:rFonts w:cs="Arial"/>
        </w:rPr>
        <w:t xml:space="preserve">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</w:t>
      </w:r>
      <w:proofErr w:type="spellStart"/>
      <w:r w:rsidR="005A59C1" w:rsidRPr="00E25F3B">
        <w:t>ZŽoP</w:t>
      </w:r>
      <w:proofErr w:type="spellEnd"/>
      <w:r w:rsidR="005A59C1" w:rsidRPr="00E25F3B">
        <w:t xml:space="preserve">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schválena či zamítnuta, nebude možné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</w:t>
      </w:r>
      <w:proofErr w:type="spellStart"/>
      <w:r w:rsidR="000C2E5E" w:rsidRPr="00E25F3B">
        <w:rPr>
          <w:rFonts w:cs="Arial"/>
        </w:rPr>
        <w:t>ŽoP</w:t>
      </w:r>
      <w:proofErr w:type="spellEnd"/>
      <w:r w:rsidR="000C2E5E" w:rsidRPr="00E25F3B">
        <w:rPr>
          <w:rFonts w:cs="Arial"/>
        </w:rPr>
        <w:t xml:space="preserve"> za etapu „n+1“ předloží ve finální tištěné i elektronické verzi. FÚ1 informuje příjemce po schválení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, že data v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 xml:space="preserve">v jednom </w:t>
      </w:r>
      <w:proofErr w:type="spellStart"/>
      <w:r w:rsidR="006B4D25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vytiskne, nechá podepsat oprávněným zástupcem a předloží ZS/FÚ1. </w:t>
      </w:r>
    </w:p>
    <w:p w:rsidR="00CB65BC" w:rsidRDefault="00CB65BC" w:rsidP="00CB65BC">
      <w:pPr>
        <w:pStyle w:val="Zkladntext2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Výsledky administrativní kontroly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>/závěrečné</w:t>
      </w:r>
      <w:r w:rsidRPr="00995C5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 xml:space="preserve"> zasílá ZS (HQ CRR) příjemcům, u projektů CRR je zasílá FÚ1.</w:t>
      </w:r>
    </w:p>
    <w:p w:rsidR="00CB65BC" w:rsidRDefault="00CB65BC" w:rsidP="00CB65BC">
      <w:pPr>
        <w:pStyle w:val="Zkladntext2"/>
        <w:spacing w:after="120"/>
        <w:rPr>
          <w:rFonts w:cs="Arial"/>
        </w:rPr>
      </w:pPr>
      <w:r>
        <w:rPr>
          <w:rFonts w:ascii="Tahoma" w:hAnsi="Tahoma" w:cs="Tahoma"/>
        </w:rPr>
        <w:lastRenderedPageBreak/>
        <w:t>P</w:t>
      </w:r>
      <w:r w:rsidRPr="00DE02A7">
        <w:rPr>
          <w:rFonts w:ascii="Tahoma" w:hAnsi="Tahoma" w:cs="Tahoma"/>
        </w:rPr>
        <w:t xml:space="preserve">ři kontrole </w:t>
      </w:r>
      <w:proofErr w:type="spellStart"/>
      <w:r>
        <w:rPr>
          <w:rFonts w:ascii="Tahoma" w:hAnsi="Tahoma" w:cs="Tahoma"/>
        </w:rPr>
        <w:t>ZŽoP</w:t>
      </w:r>
      <w:proofErr w:type="spellEnd"/>
      <w:r w:rsidRPr="00DE02A7">
        <w:rPr>
          <w:rFonts w:ascii="Tahoma" w:hAnsi="Tahoma" w:cs="Tahoma"/>
        </w:rPr>
        <w:t xml:space="preserve"> se mohou zjistit výdaje vynaložené nebo uhrazené způsobem, který neodpovídá pravidlům programu nebo Podmínkám</w:t>
      </w:r>
      <w:r>
        <w:rPr>
          <w:rFonts w:ascii="Tahoma" w:hAnsi="Tahoma" w:cs="Tahoma"/>
        </w:rPr>
        <w:t xml:space="preserve"> realizace projektu</w:t>
      </w:r>
      <w:r w:rsidRPr="00DE02A7">
        <w:rPr>
          <w:rFonts w:ascii="Tahoma" w:hAnsi="Tahoma" w:cs="Tahoma"/>
        </w:rPr>
        <w:t>. Tento výdaj je označen za nezpůsobilý a o jeho částku jsou sníženy celkové způsobilé výdaje projektu, resp. způsobilé výdaje dané etapy. ZS/FÚ1 provede korekci v Soupisce faktur a</w:t>
      </w:r>
      <w:r>
        <w:rPr>
          <w:rFonts w:ascii="Tahoma" w:hAnsi="Tahoma" w:cs="Tahoma"/>
        </w:rPr>
        <w:t> </w:t>
      </w:r>
      <w:r w:rsidRPr="00DE02A7">
        <w:rPr>
          <w:rFonts w:ascii="Tahoma" w:hAnsi="Tahoma" w:cs="Tahoma"/>
        </w:rPr>
        <w:t>informuje příjemce včetně stručného odůvodnění nezpůsobilosti výdajů.</w:t>
      </w:r>
      <w:r>
        <w:rPr>
          <w:rFonts w:ascii="Tahoma" w:hAnsi="Tahoma" w:cs="Tahoma"/>
        </w:rPr>
        <w:t xml:space="preserve"> V případě, že příjemce nesouhlasí s provedenou korekcí v Soupisce faktur, předloží námitky (e-mailem) do 10 pracovních dnů na ZS/FÚ1.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>
        <w:rPr>
          <w:rFonts w:cs="Arial"/>
          <w:szCs w:val="22"/>
        </w:rPr>
        <w:t>ZŽoP</w:t>
      </w:r>
      <w:proofErr w:type="spellEnd"/>
      <w:r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B546B8">
        <w:rPr>
          <w:rFonts w:cs="Arial"/>
          <w:szCs w:val="22"/>
        </w:rPr>
        <w:t>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</w:t>
      </w:r>
      <w:proofErr w:type="spellStart"/>
      <w:r w:rsidR="00ED3FD9">
        <w:rPr>
          <w:rFonts w:cs="Arial"/>
          <w:snapToGrid w:val="0"/>
          <w:szCs w:val="22"/>
        </w:rPr>
        <w:t>nou</w:t>
      </w:r>
      <w:proofErr w:type="spellEnd"/>
      <w:r w:rsidR="00ED3FD9">
        <w:rPr>
          <w:rFonts w:cs="Arial"/>
          <w:snapToGrid w:val="0"/>
          <w:szCs w:val="22"/>
        </w:rPr>
        <w:t xml:space="preserve">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), tak doklad/fakturu vystavený/</w:t>
      </w:r>
      <w:proofErr w:type="spellStart"/>
      <w:r w:rsidR="00ED3FD9">
        <w:rPr>
          <w:rFonts w:cs="Arial"/>
          <w:snapToGrid w:val="0"/>
          <w:szCs w:val="22"/>
        </w:rPr>
        <w:t>nou</w:t>
      </w:r>
      <w:proofErr w:type="spellEnd"/>
      <w:r w:rsidR="00ED3FD9">
        <w:rPr>
          <w:rFonts w:cs="Arial"/>
          <w:snapToGrid w:val="0"/>
          <w:szCs w:val="22"/>
        </w:rPr>
        <w:t xml:space="preserve">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4D7809" w:rsidRDefault="004D7809">
      <w:pPr>
        <w:widowControl w:val="0"/>
        <w:spacing w:after="120"/>
        <w:ind w:left="720"/>
        <w:rPr>
          <w:rFonts w:cs="Arial"/>
          <w:snapToGrid w:val="0"/>
          <w:szCs w:val="22"/>
        </w:rPr>
      </w:pPr>
    </w:p>
    <w:p w:rsidR="00BE78F0" w:rsidRPr="00D73E80" w:rsidRDefault="00BE78F0" w:rsidP="00BE78F0">
      <w:pPr>
        <w:pStyle w:val="NORMALNIOM"/>
        <w:rPr>
          <w:b/>
          <w:sz w:val="22"/>
          <w:szCs w:val="22"/>
          <w:lang w:eastAsia="en-US"/>
        </w:rPr>
      </w:pPr>
      <w:r w:rsidRPr="00D73E80">
        <w:rPr>
          <w:b/>
          <w:sz w:val="22"/>
          <w:szCs w:val="22"/>
          <w:lang w:eastAsia="en-US"/>
        </w:rPr>
        <w:lastRenderedPageBreak/>
        <w:t xml:space="preserve">Zálohové faktury </w:t>
      </w:r>
    </w:p>
    <w:p w:rsidR="00BE78F0" w:rsidRPr="00D73E80" w:rsidRDefault="00BE78F0" w:rsidP="00BE78F0">
      <w:pPr>
        <w:pStyle w:val="NORMALNIOM"/>
        <w:rPr>
          <w:sz w:val="22"/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>V případě zahrnutí zálohov</w:t>
      </w:r>
      <w:r w:rsidR="00F2466B" w:rsidRPr="00D73E80">
        <w:rPr>
          <w:sz w:val="22"/>
          <w:szCs w:val="22"/>
          <w:lang w:eastAsia="en-US"/>
        </w:rPr>
        <w:t>é</w:t>
      </w:r>
      <w:r w:rsidRPr="00D73E80">
        <w:rPr>
          <w:sz w:val="22"/>
          <w:szCs w:val="22"/>
          <w:lang w:eastAsia="en-US"/>
        </w:rPr>
        <w:t xml:space="preserve"> faktur</w:t>
      </w:r>
      <w:r w:rsidR="00F2466B" w:rsidRPr="00D73E80">
        <w:rPr>
          <w:sz w:val="22"/>
          <w:szCs w:val="22"/>
          <w:lang w:eastAsia="en-US"/>
        </w:rPr>
        <w:t>y</w:t>
      </w:r>
      <w:r w:rsidRPr="00D73E80">
        <w:rPr>
          <w:sz w:val="22"/>
          <w:szCs w:val="22"/>
          <w:lang w:eastAsia="en-US"/>
        </w:rPr>
        <w:t xml:space="preserve"> do zjednodušené žádosti o platbu jsou příjemci typu OSS povinni postupovat dle </w:t>
      </w:r>
      <w:r w:rsidR="006F6F46" w:rsidRPr="00D73E80">
        <w:rPr>
          <w:sz w:val="22"/>
          <w:szCs w:val="22"/>
          <w:lang w:eastAsia="en-US"/>
        </w:rPr>
        <w:t>odst. 2</w:t>
      </w:r>
      <w:r w:rsidR="0021191F" w:rsidRPr="00D73E80">
        <w:rPr>
          <w:sz w:val="22"/>
          <w:szCs w:val="22"/>
          <w:lang w:eastAsia="en-US"/>
        </w:rPr>
        <w:t>,</w:t>
      </w:r>
      <w:r w:rsidR="006F6F46" w:rsidRPr="00D73E80">
        <w:rPr>
          <w:sz w:val="22"/>
          <w:szCs w:val="22"/>
          <w:lang w:eastAsia="en-US"/>
        </w:rPr>
        <w:t xml:space="preserve"> </w:t>
      </w:r>
      <w:r w:rsidRPr="00D73E80">
        <w:rPr>
          <w:color w:val="0D0D0D"/>
          <w:sz w:val="22"/>
          <w:szCs w:val="22"/>
        </w:rPr>
        <w:t>§ 49 zákona č. 218/2000 Sb.</w:t>
      </w:r>
      <w:r w:rsidRPr="00D73E80">
        <w:rPr>
          <w:sz w:val="22"/>
          <w:szCs w:val="22"/>
          <w:lang w:eastAsia="en-US"/>
        </w:rPr>
        <w:t>, o rozpočtových pravidlech a o změně některých souvisejících zákonů (rozpočtová pravidla)</w:t>
      </w:r>
      <w:r w:rsidR="006F6F46" w:rsidRPr="00D73E80">
        <w:rPr>
          <w:sz w:val="22"/>
          <w:szCs w:val="22"/>
          <w:lang w:eastAsia="en-US"/>
        </w:rPr>
        <w:t xml:space="preserve"> v platném znění</w:t>
      </w:r>
      <w:r w:rsidRPr="00D73E80">
        <w:rPr>
          <w:sz w:val="22"/>
          <w:szCs w:val="22"/>
          <w:lang w:eastAsia="en-US"/>
        </w:rPr>
        <w:t xml:space="preserve">. </w:t>
      </w:r>
    </w:p>
    <w:p w:rsidR="00BE78F0" w:rsidRPr="00D73E80" w:rsidRDefault="00BE78F0" w:rsidP="00BE78F0">
      <w:pPr>
        <w:pStyle w:val="NORMALNIOM"/>
        <w:rPr>
          <w:sz w:val="22"/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>Pro certifikaci zálohových faktur vystavených dodavatelem a proplacených příjemcem OSS je nutné dodržet následující podmínky:</w:t>
      </w:r>
    </w:p>
    <w:p w:rsidR="00BE78F0" w:rsidRPr="00D73E80" w:rsidRDefault="00BE78F0" w:rsidP="00BE78F0">
      <w:pPr>
        <w:pStyle w:val="Odstavecseseznamem"/>
        <w:numPr>
          <w:ilvl w:val="1"/>
          <w:numId w:val="78"/>
        </w:numPr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color w:val="0D0D0D"/>
          <w:szCs w:val="22"/>
        </w:rPr>
        <w:t>Zálohová faktura musí být vyúčtována do konce stejného kalendářního roku, ve kterém byla vyfakturována a pokud výše zálohy přesahuj</w:t>
      </w:r>
      <w:r w:rsidR="0074504E" w:rsidRPr="00D73E80">
        <w:rPr>
          <w:rFonts w:cs="Arial"/>
          <w:color w:val="0D0D0D"/>
          <w:szCs w:val="22"/>
        </w:rPr>
        <w:t>í</w:t>
      </w:r>
      <w:r w:rsidRPr="00D73E80">
        <w:rPr>
          <w:rFonts w:cs="Arial"/>
          <w:color w:val="0D0D0D"/>
          <w:szCs w:val="22"/>
        </w:rPr>
        <w:t xml:space="preserve"> výši měsíčního plnění, musí být vráceny do rozpočtu</w:t>
      </w:r>
      <w:r w:rsidR="003506FA" w:rsidRPr="00D73E80">
        <w:rPr>
          <w:rFonts w:cs="Arial"/>
          <w:color w:val="0D0D0D"/>
          <w:szCs w:val="22"/>
        </w:rPr>
        <w:t xml:space="preserve"> OSS</w:t>
      </w:r>
      <w:r w:rsidRPr="00D73E80">
        <w:rPr>
          <w:rFonts w:cs="Arial"/>
          <w:color w:val="0D0D0D"/>
          <w:szCs w:val="22"/>
        </w:rPr>
        <w:t>.</w:t>
      </w:r>
      <w:r w:rsidRPr="00D73E80">
        <w:rPr>
          <w:rFonts w:cs="Arial"/>
          <w:szCs w:val="22"/>
          <w:lang w:eastAsia="en-US"/>
        </w:rPr>
        <w:t xml:space="preserve"> Vyúčtování ke konci rozpočtového roku nemusí být provedeno u záloh za dodávky elektřiny, plynu, vody, tepla, u záloh mobilním operátorům, u záloh na pohonné hmoty poskytovaných prostřednictvím platebních karet, u záloh poskytovaných ke splnění povinnosti uložené zvláštním právním předpisem a u předplatného novin a časopisů</w:t>
      </w:r>
      <w:r w:rsidR="004647D6" w:rsidRPr="00D73E80">
        <w:rPr>
          <w:rFonts w:cs="Arial"/>
          <w:szCs w:val="22"/>
          <w:lang w:eastAsia="en-US"/>
        </w:rPr>
        <w:t>;</w:t>
      </w:r>
    </w:p>
    <w:p w:rsidR="00BE78F0" w:rsidRPr="00D73E80" w:rsidRDefault="00BE78F0" w:rsidP="00BE78F0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color w:val="0D0D0D"/>
          <w:szCs w:val="22"/>
        </w:rPr>
        <w:t>Záloha může být poskytnuta nejvýše na období 3 měsíců, a to v závislosti na věcném plnění dodávek výrobků a služeb</w:t>
      </w:r>
      <w:r w:rsidR="004514B9" w:rsidRPr="00D73E80">
        <w:rPr>
          <w:rFonts w:cs="Arial"/>
          <w:color w:val="0D0D0D"/>
          <w:szCs w:val="22"/>
        </w:rPr>
        <w:t>;</w:t>
      </w:r>
    </w:p>
    <w:p w:rsidR="004514B9" w:rsidRPr="00D73E80" w:rsidRDefault="004514B9" w:rsidP="00BE78F0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color w:val="0D0D0D"/>
          <w:szCs w:val="22"/>
        </w:rPr>
        <w:t>Zálohová faktura musí být vyúčtována do konce stejného kalendářního roku, ve kterém byla vyfakturována, jinak se bude jednat o nezpůsobilé výdaje resp. o porušení rozpočtové kázně;</w:t>
      </w:r>
    </w:p>
    <w:p w:rsidR="004514B9" w:rsidRPr="00D73E80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szCs w:val="22"/>
          <w:lang w:eastAsia="en-US"/>
        </w:rPr>
        <w:t>Zálohová faktura musí být vystavena v souladu se smlouvou (ve smlouvě musí být uvedená výše zálohy). Zálohová faktura musí být vystavena na nižší částku, než je celková částka uvedená ve smlouvě;</w:t>
      </w:r>
    </w:p>
    <w:p w:rsidR="004514B9" w:rsidRPr="00D73E80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szCs w:val="22"/>
          <w:lang w:eastAsia="en-US"/>
        </w:rPr>
        <w:t>V zadávací dokumentaci k veřejné zakázce musí být uvedena možnost využití zálohových faktur;</w:t>
      </w:r>
    </w:p>
    <w:p w:rsidR="004514B9" w:rsidRPr="00D73E80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cs="Arial"/>
          <w:color w:val="0D0D0D"/>
          <w:szCs w:val="22"/>
        </w:rPr>
      </w:pPr>
      <w:r w:rsidRPr="00D73E80">
        <w:rPr>
          <w:rFonts w:cs="Arial"/>
          <w:szCs w:val="22"/>
          <w:lang w:eastAsia="en-US"/>
        </w:rPr>
        <w:t>Vyúčtovací faktura se všemi přílohami (viz Náležitosti dokladování) musí být předložena v nejbližší možné zjednodušené žádosti o platbu, vč. uvedení, ke kterým zálohovým fakturám se vztahuje.</w:t>
      </w:r>
    </w:p>
    <w:p w:rsidR="004514B9" w:rsidRPr="00D73E80" w:rsidRDefault="004514B9" w:rsidP="00EF0379">
      <w:pPr>
        <w:pStyle w:val="Odstavecseseznamem"/>
        <w:spacing w:before="0"/>
        <w:ind w:left="964"/>
        <w:rPr>
          <w:rFonts w:cs="Arial"/>
          <w:color w:val="0D0D0D"/>
          <w:szCs w:val="22"/>
        </w:rPr>
      </w:pPr>
    </w:p>
    <w:p w:rsidR="00B7285F" w:rsidRPr="00D73E80" w:rsidRDefault="00B7285F" w:rsidP="00EF0379">
      <w:pPr>
        <w:pStyle w:val="NORMALNIOM"/>
        <w:spacing w:after="120"/>
        <w:rPr>
          <w:sz w:val="22"/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>Pro certifikaci zálohových faktur vystavených dodavatelem a proplacených ostatními příjemci (mimo OSS) je nutné dodržet následující podmínky:</w:t>
      </w:r>
    </w:p>
    <w:p w:rsidR="00BE78F0" w:rsidRPr="00D73E80" w:rsidRDefault="00BE78F0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 xml:space="preserve">Zálohová faktura musí být vystavena v souladu se smlouvou (ve smlouvě musí být uvedená výše zálohy). Zálohová faktura musí být vystavena na nižší částku, než je celková částka </w:t>
      </w:r>
      <w:r w:rsidR="004647D6" w:rsidRPr="00D73E80">
        <w:rPr>
          <w:sz w:val="22"/>
          <w:szCs w:val="22"/>
          <w:lang w:eastAsia="en-US"/>
        </w:rPr>
        <w:t xml:space="preserve">uvedená </w:t>
      </w:r>
      <w:r w:rsidRPr="00D73E80">
        <w:rPr>
          <w:sz w:val="22"/>
          <w:szCs w:val="22"/>
          <w:lang w:eastAsia="en-US"/>
        </w:rPr>
        <w:t>ve smlouvě;</w:t>
      </w:r>
    </w:p>
    <w:p w:rsidR="00BE78F0" w:rsidRPr="00D73E80" w:rsidRDefault="00BE78F0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>V zadávací dokumentaci k veřejné zakázce musí být uvedena možnost využití zálohových faktur;</w:t>
      </w:r>
    </w:p>
    <w:p w:rsidR="004647D6" w:rsidRPr="00D73E80" w:rsidRDefault="004647D6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szCs w:val="22"/>
          <w:lang w:eastAsia="en-US"/>
        </w:rPr>
      </w:pPr>
      <w:r w:rsidRPr="00D73E80">
        <w:rPr>
          <w:sz w:val="22"/>
          <w:szCs w:val="22"/>
          <w:lang w:eastAsia="en-US"/>
        </w:rPr>
        <w:t>Vyúčtovací faktura se všemi přílohami (viz Náležitosti dokladování) musí být předložena v nejbližší možné zjednodušené žádosti o platbu, vč. uvedení, ke kterým zálohovým fakturám se vztahuje.</w:t>
      </w:r>
    </w:p>
    <w:p w:rsidR="004647D6" w:rsidRPr="00EF0379" w:rsidRDefault="004647D6" w:rsidP="00EF0379">
      <w:pPr>
        <w:spacing w:before="0"/>
        <w:ind w:left="737"/>
        <w:rPr>
          <w:rFonts w:ascii="Tahoma" w:hAnsi="Tahoma" w:cs="Tahoma"/>
          <w:color w:val="0D0D0D"/>
          <w:szCs w:val="22"/>
        </w:rPr>
      </w:pPr>
    </w:p>
    <w:p w:rsidR="005117A5" w:rsidRPr="00D73E80" w:rsidRDefault="00BB5FAB" w:rsidP="005117A5">
      <w:pPr>
        <w:pStyle w:val="NORMALNIOM"/>
      </w:pPr>
      <w:r w:rsidRPr="00D73E80">
        <w:rPr>
          <w:sz w:val="22"/>
          <w:szCs w:val="22"/>
        </w:rPr>
        <w:t>Říd</w:t>
      </w:r>
      <w:r w:rsidR="006E62D1" w:rsidRPr="00D73E80">
        <w:rPr>
          <w:sz w:val="22"/>
          <w:szCs w:val="22"/>
        </w:rPr>
        <w:t>i</w:t>
      </w:r>
      <w:r w:rsidRPr="00D73E80">
        <w:rPr>
          <w:sz w:val="22"/>
          <w:szCs w:val="22"/>
        </w:rPr>
        <w:t xml:space="preserve">cí orgán provede u všech projektů využívajících zálohové faktury </w:t>
      </w:r>
      <w:r w:rsidR="00B7285F" w:rsidRPr="00D73E80">
        <w:rPr>
          <w:sz w:val="22"/>
          <w:szCs w:val="22"/>
        </w:rPr>
        <w:t>u obou typů příjemc</w:t>
      </w:r>
      <w:r w:rsidR="00C61820" w:rsidRPr="00D73E80">
        <w:rPr>
          <w:sz w:val="22"/>
          <w:szCs w:val="22"/>
        </w:rPr>
        <w:t>ů</w:t>
      </w:r>
      <w:r w:rsidR="00B7285F" w:rsidRPr="00D73E80">
        <w:rPr>
          <w:sz w:val="22"/>
          <w:szCs w:val="22"/>
        </w:rPr>
        <w:t xml:space="preserve"> </w:t>
      </w:r>
      <w:r w:rsidR="00EB63B3" w:rsidRPr="00D73E80">
        <w:rPr>
          <w:sz w:val="22"/>
          <w:szCs w:val="22"/>
        </w:rPr>
        <w:t xml:space="preserve">nejpozději </w:t>
      </w:r>
      <w:r w:rsidR="00B7285F" w:rsidRPr="00D73E80">
        <w:rPr>
          <w:sz w:val="22"/>
          <w:szCs w:val="22"/>
        </w:rPr>
        <w:t xml:space="preserve">před závěrečnou platbou kontrolu na místě </w:t>
      </w:r>
      <w:r w:rsidRPr="00D73E80">
        <w:rPr>
          <w:sz w:val="22"/>
          <w:szCs w:val="22"/>
        </w:rPr>
        <w:t>(kontrolu fyzické realizace projektu)</w:t>
      </w:r>
      <w:r w:rsidR="003E0E93" w:rsidRPr="00D73E80">
        <w:rPr>
          <w:sz w:val="22"/>
          <w:szCs w:val="22"/>
        </w:rPr>
        <w:t>, nejlépe</w:t>
      </w:r>
      <w:r w:rsidR="005117A5" w:rsidRPr="00D73E80">
        <w:rPr>
          <w:szCs w:val="22"/>
        </w:rPr>
        <w:t xml:space="preserve"> </w:t>
      </w:r>
      <w:r w:rsidR="005117A5" w:rsidRPr="00D73E80">
        <w:rPr>
          <w:sz w:val="22"/>
          <w:szCs w:val="22"/>
        </w:rPr>
        <w:t>v etapě, ve které bude uplatněna vyúčtovací faktura</w:t>
      </w:r>
      <w:r w:rsidR="003E0E93" w:rsidRPr="00D73E80">
        <w:rPr>
          <w:sz w:val="22"/>
          <w:szCs w:val="22"/>
        </w:rPr>
        <w:t>,</w:t>
      </w:r>
      <w:r w:rsidR="00B7285F" w:rsidRPr="00D73E80">
        <w:rPr>
          <w:sz w:val="22"/>
          <w:szCs w:val="22"/>
        </w:rPr>
        <w:t xml:space="preserve"> a o provedených kontrolách, výsledcích a příp. nápravných opatřeních budou vedeny prokazatelné záznamy</w:t>
      </w:r>
      <w:r w:rsidR="005117A5" w:rsidRPr="00D73E80">
        <w:rPr>
          <w:sz w:val="22"/>
          <w:szCs w:val="22"/>
        </w:rPr>
        <w:t>.</w:t>
      </w:r>
    </w:p>
    <w:p w:rsidR="00BE78F0" w:rsidRDefault="00BE78F0" w:rsidP="00EF0379">
      <w:pPr>
        <w:pStyle w:val="NORMALNIOM"/>
        <w:rPr>
          <w:snapToGrid w:val="0"/>
          <w:szCs w:val="22"/>
        </w:rPr>
      </w:pP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1" w:name="_Toc239845552"/>
      <w:bookmarkStart w:id="232" w:name="_Toc239845823"/>
      <w:bookmarkStart w:id="233" w:name="_Toc239845553"/>
      <w:bookmarkStart w:id="234" w:name="_Toc239845824"/>
      <w:bookmarkStart w:id="235" w:name="_Toc239845554"/>
      <w:bookmarkStart w:id="236" w:name="_Toc239845825"/>
      <w:bookmarkStart w:id="237" w:name="_Toc239845555"/>
      <w:bookmarkStart w:id="238" w:name="_Toc239845826"/>
      <w:bookmarkStart w:id="239" w:name="_Toc239845556"/>
      <w:bookmarkStart w:id="240" w:name="_Toc239845827"/>
      <w:bookmarkStart w:id="241" w:name="_Toc239845557"/>
      <w:bookmarkStart w:id="242" w:name="_Toc239845828"/>
      <w:bookmarkStart w:id="243" w:name="_Toc239845558"/>
      <w:bookmarkStart w:id="244" w:name="_Toc239845829"/>
      <w:bookmarkStart w:id="245" w:name="_Toc239845560"/>
      <w:bookmarkStart w:id="246" w:name="_Toc239845831"/>
      <w:bookmarkStart w:id="247" w:name="_Toc239845561"/>
      <w:bookmarkStart w:id="248" w:name="_Toc239845832"/>
      <w:bookmarkStart w:id="249" w:name="_Toc239845563"/>
      <w:bookmarkStart w:id="250" w:name="_Toc239845834"/>
      <w:bookmarkStart w:id="251" w:name="_Toc239845570"/>
      <w:bookmarkStart w:id="252" w:name="_Toc239845841"/>
      <w:bookmarkStart w:id="253" w:name="_Toc239845576"/>
      <w:bookmarkStart w:id="254" w:name="_Toc239845847"/>
      <w:bookmarkStart w:id="255" w:name="_Toc239845578"/>
      <w:bookmarkStart w:id="256" w:name="_Toc239845849"/>
      <w:bookmarkStart w:id="257" w:name="_Toc239845579"/>
      <w:bookmarkStart w:id="258" w:name="_Toc239845850"/>
      <w:bookmarkStart w:id="259" w:name="_Toc239845587"/>
      <w:bookmarkStart w:id="260" w:name="_Toc239845858"/>
      <w:bookmarkStart w:id="261" w:name="_Toc239845589"/>
      <w:bookmarkStart w:id="262" w:name="_Toc239845860"/>
      <w:bookmarkStart w:id="263" w:name="_Toc239845596"/>
      <w:bookmarkStart w:id="264" w:name="_Toc239845867"/>
      <w:bookmarkStart w:id="265" w:name="_Toc239845597"/>
      <w:bookmarkStart w:id="266" w:name="_Toc239845868"/>
      <w:bookmarkStart w:id="267" w:name="_Toc239845598"/>
      <w:bookmarkStart w:id="268" w:name="_Toc239845869"/>
      <w:bookmarkStart w:id="269" w:name="_Toc239845599"/>
      <w:bookmarkStart w:id="270" w:name="_Toc239845870"/>
      <w:bookmarkStart w:id="271" w:name="_Toc239845600"/>
      <w:bookmarkStart w:id="272" w:name="_Toc239845871"/>
      <w:bookmarkStart w:id="273" w:name="_Toc239845602"/>
      <w:bookmarkStart w:id="274" w:name="_Toc239845873"/>
      <w:bookmarkStart w:id="275" w:name="_Toc239845603"/>
      <w:bookmarkStart w:id="276" w:name="_Toc239845874"/>
      <w:bookmarkStart w:id="277" w:name="_Toc239845604"/>
      <w:bookmarkStart w:id="278" w:name="_Toc239845875"/>
      <w:bookmarkStart w:id="279" w:name="_Toc239845606"/>
      <w:bookmarkStart w:id="280" w:name="_Toc239845877"/>
      <w:bookmarkStart w:id="281" w:name="_Toc239845607"/>
      <w:bookmarkStart w:id="282" w:name="_Toc239845878"/>
      <w:bookmarkStart w:id="283" w:name="_Toc239845608"/>
      <w:bookmarkStart w:id="284" w:name="_Toc239845879"/>
      <w:bookmarkStart w:id="285" w:name="_Toc239845609"/>
      <w:bookmarkStart w:id="286" w:name="_Toc239845880"/>
      <w:bookmarkStart w:id="287" w:name="_Toc239845610"/>
      <w:bookmarkStart w:id="288" w:name="_Toc239845881"/>
      <w:bookmarkStart w:id="289" w:name="_Toc239845613"/>
      <w:bookmarkStart w:id="290" w:name="_Toc239845884"/>
      <w:bookmarkStart w:id="291" w:name="_Toc239845614"/>
      <w:bookmarkStart w:id="292" w:name="_Toc239845885"/>
      <w:bookmarkStart w:id="293" w:name="_Toc239845615"/>
      <w:bookmarkStart w:id="294" w:name="_Toc239845886"/>
      <w:bookmarkStart w:id="295" w:name="_Toc239845616"/>
      <w:bookmarkStart w:id="296" w:name="_Toc239845887"/>
      <w:bookmarkStart w:id="297" w:name="_Toc239845617"/>
      <w:bookmarkStart w:id="298" w:name="_Toc239845888"/>
      <w:bookmarkStart w:id="299" w:name="_Toc239845618"/>
      <w:bookmarkStart w:id="300" w:name="_Toc239845889"/>
      <w:bookmarkStart w:id="301" w:name="_Toc239845619"/>
      <w:bookmarkStart w:id="302" w:name="_Toc239845890"/>
      <w:bookmarkStart w:id="303" w:name="_Toc239845620"/>
      <w:bookmarkStart w:id="304" w:name="_Toc239845891"/>
      <w:bookmarkStart w:id="305" w:name="_Toc239845622"/>
      <w:bookmarkStart w:id="306" w:name="_Toc239845893"/>
      <w:bookmarkStart w:id="307" w:name="_Toc239845623"/>
      <w:bookmarkStart w:id="308" w:name="_Toc239845894"/>
      <w:bookmarkStart w:id="309" w:name="_Toc239845624"/>
      <w:bookmarkStart w:id="310" w:name="_Toc239845895"/>
      <w:bookmarkStart w:id="311" w:name="_Toc239845626"/>
      <w:bookmarkStart w:id="312" w:name="_Toc239845897"/>
      <w:bookmarkStart w:id="313" w:name="_Toc239845627"/>
      <w:bookmarkStart w:id="314" w:name="_Toc239845898"/>
      <w:bookmarkStart w:id="315" w:name="_Toc239845628"/>
      <w:bookmarkStart w:id="316" w:name="_Toc239845899"/>
      <w:bookmarkStart w:id="317" w:name="_Toc239845633"/>
      <w:bookmarkStart w:id="318" w:name="_Toc239845904"/>
      <w:bookmarkStart w:id="319" w:name="_Toc239845635"/>
      <w:bookmarkStart w:id="320" w:name="_Toc239845906"/>
      <w:bookmarkStart w:id="321" w:name="_Toc239845637"/>
      <w:bookmarkStart w:id="322" w:name="_Toc239845908"/>
      <w:bookmarkStart w:id="323" w:name="_Toc239845638"/>
      <w:bookmarkStart w:id="324" w:name="_Toc239845909"/>
      <w:bookmarkStart w:id="325" w:name="_Toc239845648"/>
      <w:bookmarkStart w:id="326" w:name="_Toc239845919"/>
      <w:bookmarkStart w:id="327" w:name="_Toc239845650"/>
      <w:bookmarkStart w:id="328" w:name="_Toc239845921"/>
      <w:bookmarkStart w:id="329" w:name="_Toc239845652"/>
      <w:bookmarkStart w:id="330" w:name="_Toc239845923"/>
      <w:bookmarkStart w:id="331" w:name="_Toc239845655"/>
      <w:bookmarkStart w:id="332" w:name="_Toc239845926"/>
      <w:bookmarkStart w:id="333" w:name="_Toc239845656"/>
      <w:bookmarkStart w:id="334" w:name="_Toc239845927"/>
      <w:bookmarkStart w:id="335" w:name="_Toc239845658"/>
      <w:bookmarkStart w:id="336" w:name="_Toc239845929"/>
      <w:bookmarkStart w:id="337" w:name="_Toc239845660"/>
      <w:bookmarkStart w:id="338" w:name="_Toc239845931"/>
      <w:bookmarkStart w:id="339" w:name="_Toc239845663"/>
      <w:bookmarkStart w:id="340" w:name="_Toc239845934"/>
      <w:bookmarkStart w:id="341" w:name="_Toc239845664"/>
      <w:bookmarkStart w:id="342" w:name="_Toc239845935"/>
      <w:bookmarkStart w:id="343" w:name="_Toc239845665"/>
      <w:bookmarkStart w:id="344" w:name="_Toc239845936"/>
      <w:bookmarkStart w:id="345" w:name="_Toc239845669"/>
      <w:bookmarkStart w:id="346" w:name="_Toc239845940"/>
      <w:bookmarkStart w:id="347" w:name="_Toc239845672"/>
      <w:bookmarkStart w:id="348" w:name="_Toc239845943"/>
      <w:bookmarkStart w:id="349" w:name="_Toc239845673"/>
      <w:bookmarkStart w:id="350" w:name="_Toc239845944"/>
      <w:bookmarkStart w:id="351" w:name="_Toc239845675"/>
      <w:bookmarkStart w:id="352" w:name="_Toc239845946"/>
      <w:bookmarkStart w:id="353" w:name="_Toc190584494"/>
      <w:bookmarkStart w:id="354" w:name="_Toc190587043"/>
      <w:bookmarkStart w:id="355" w:name="_Toc190587112"/>
      <w:bookmarkStart w:id="356" w:name="_Toc204065695"/>
      <w:bookmarkStart w:id="357" w:name="_Toc243199660"/>
      <w:bookmarkStart w:id="358" w:name="_Toc418076364"/>
      <w:bookmarkEnd w:id="224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E25F3B">
        <w:rPr>
          <w:rFonts w:cs="Arial"/>
        </w:rPr>
        <w:lastRenderedPageBreak/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3"/>
      <w:bookmarkEnd w:id="354"/>
      <w:bookmarkEnd w:id="355"/>
      <w:bookmarkEnd w:id="356"/>
      <w:r w:rsidR="00FF59E3" w:rsidRPr="00E25F3B">
        <w:rPr>
          <w:rStyle w:val="Znakapoznpodarou"/>
          <w:rFonts w:cs="Arial"/>
          <w:lang w:val="cs-CZ"/>
        </w:rPr>
        <w:footnoteReference w:id="8"/>
      </w:r>
      <w:bookmarkEnd w:id="357"/>
      <w:bookmarkEnd w:id="358"/>
      <w:r w:rsidR="002F4505">
        <w:rPr>
          <w:rFonts w:cs="Arial"/>
        </w:rPr>
        <w:t xml:space="preserve">  </w:t>
      </w:r>
    </w:p>
    <w:p w:rsidR="005337B4" w:rsidRPr="00D73E80" w:rsidRDefault="00BC03F8" w:rsidP="005337B4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</w:t>
      </w:r>
      <w:r w:rsidR="002E0A35">
        <w:rPr>
          <w:rFonts w:cs="Arial"/>
          <w:szCs w:val="22"/>
        </w:rPr>
        <w:t>222</w:t>
      </w:r>
      <w:r w:rsidRPr="00E25F3B">
        <w:rPr>
          <w:rFonts w:cs="Arial"/>
          <w:szCs w:val="22"/>
        </w:rPr>
        <w:t>/20</w:t>
      </w:r>
      <w:r w:rsidR="002E0A35">
        <w:rPr>
          <w:rFonts w:cs="Arial"/>
          <w:szCs w:val="22"/>
        </w:rPr>
        <w:t>10</w:t>
      </w:r>
      <w:r w:rsidRPr="00E25F3B">
        <w:rPr>
          <w:rFonts w:cs="Arial"/>
          <w:szCs w:val="22"/>
        </w:rPr>
        <w:t xml:space="preserve"> Sb., </w:t>
      </w:r>
      <w:r w:rsidR="002E0A35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</w:t>
      </w:r>
      <w:r w:rsidR="005337B4" w:rsidRPr="00D73E80">
        <w:rPr>
          <w:rFonts w:cs="Arial"/>
          <w:szCs w:val="22"/>
        </w:rPr>
        <w:t xml:space="preserve">Nicméně zaměstnanci spadající od 1. 7. 2015 pod Zákon č. 234/2014 Sb., o státní službě, jsou zároveň podle tohoto zákona odměňováni. </w:t>
      </w:r>
    </w:p>
    <w:p w:rsidR="00251D81" w:rsidRPr="00EF0379" w:rsidRDefault="00BC03F8" w:rsidP="00EF0379">
      <w:pPr>
        <w:shd w:val="clear" w:color="auto" w:fill="FFFFFF" w:themeFill="background1"/>
        <w:spacing w:after="120"/>
        <w:ind w:right="1"/>
        <w:rPr>
          <w:rFonts w:ascii="Tahoma" w:hAnsi="Tahoma" w:cs="Tahoma"/>
          <w:szCs w:val="22"/>
        </w:rPr>
      </w:pPr>
      <w:r w:rsidRPr="00EF0379">
        <w:rPr>
          <w:rFonts w:ascii="Tahoma" w:hAnsi="Tahoma" w:cs="Tahoma"/>
          <w:szCs w:val="22"/>
        </w:rPr>
        <w:t xml:space="preserve">Vláda svým usnesením č. </w:t>
      </w:r>
      <w:r w:rsidR="00814F6E" w:rsidRPr="00EF0379">
        <w:rPr>
          <w:rFonts w:ascii="Tahoma" w:hAnsi="Tahoma" w:cs="Tahoma"/>
          <w:szCs w:val="22"/>
        </w:rPr>
        <w:t xml:space="preserve">444 </w:t>
      </w:r>
      <w:r w:rsidRPr="00EF0379">
        <w:rPr>
          <w:rFonts w:ascii="Tahoma" w:hAnsi="Tahoma" w:cs="Tahoma"/>
          <w:szCs w:val="22"/>
        </w:rPr>
        <w:t xml:space="preserve">ze dne </w:t>
      </w:r>
      <w:r w:rsidR="00814F6E" w:rsidRPr="00EF0379">
        <w:rPr>
          <w:rFonts w:ascii="Tahoma" w:hAnsi="Tahoma" w:cs="Tahoma"/>
          <w:szCs w:val="22"/>
        </w:rPr>
        <w:t>1</w:t>
      </w:r>
      <w:r w:rsidRPr="00EF0379">
        <w:rPr>
          <w:rFonts w:ascii="Tahoma" w:hAnsi="Tahoma" w:cs="Tahoma"/>
          <w:szCs w:val="22"/>
        </w:rPr>
        <w:t xml:space="preserve">6. </w:t>
      </w:r>
      <w:r w:rsidR="00814F6E" w:rsidRPr="00EF0379">
        <w:rPr>
          <w:rFonts w:ascii="Tahoma" w:hAnsi="Tahoma" w:cs="Tahoma"/>
          <w:szCs w:val="22"/>
        </w:rPr>
        <w:t>června</w:t>
      </w:r>
      <w:r w:rsidRPr="00EF0379">
        <w:rPr>
          <w:rFonts w:ascii="Tahoma" w:hAnsi="Tahoma" w:cs="Tahoma"/>
          <w:szCs w:val="22"/>
        </w:rPr>
        <w:t xml:space="preserve"> 20</w:t>
      </w:r>
      <w:r w:rsidR="00814F6E" w:rsidRPr="00EF0379">
        <w:rPr>
          <w:rFonts w:ascii="Tahoma" w:hAnsi="Tahoma" w:cs="Tahoma"/>
          <w:szCs w:val="22"/>
        </w:rPr>
        <w:t>14</w:t>
      </w:r>
      <w:r w:rsidRPr="00EF0379">
        <w:rPr>
          <w:rFonts w:ascii="Tahoma" w:hAnsi="Tahoma" w:cs="Tahoma"/>
          <w:szCs w:val="22"/>
        </w:rPr>
        <w:t xml:space="preserve"> schválila </w:t>
      </w:r>
      <w:r w:rsidR="00814F6E" w:rsidRPr="001440C7">
        <w:rPr>
          <w:rFonts w:ascii="Tahoma" w:hAnsi="Tahoma" w:cs="Tahoma"/>
          <w:szCs w:val="22"/>
        </w:rPr>
        <w:t>Metodick</w:t>
      </w:r>
      <w:r w:rsidR="00814F6E">
        <w:rPr>
          <w:rFonts w:ascii="Tahoma" w:hAnsi="Tahoma" w:cs="Tahoma"/>
          <w:szCs w:val="22"/>
        </w:rPr>
        <w:t>ý</w:t>
      </w:r>
      <w:r w:rsidR="00814F6E" w:rsidRPr="001440C7">
        <w:rPr>
          <w:rFonts w:ascii="Tahoma" w:hAnsi="Tahoma" w:cs="Tahoma"/>
          <w:szCs w:val="22"/>
        </w:rPr>
        <w:t xml:space="preserve"> pokyn k rozvoji lidských zdrojů v programovém období let 2014 až 2020 a v programovém </w:t>
      </w:r>
      <w:r w:rsidR="00814F6E" w:rsidRPr="00A95131">
        <w:rPr>
          <w:rFonts w:ascii="Tahoma" w:hAnsi="Tahoma" w:cs="Tahoma"/>
          <w:szCs w:val="22"/>
        </w:rPr>
        <w:t>období 2007 až 2013</w:t>
      </w:r>
      <w:r w:rsidR="00D84C0F" w:rsidRPr="00EF0379">
        <w:rPr>
          <w:rFonts w:ascii="Tahoma" w:hAnsi="Tahoma" w:cs="Tahoma"/>
          <w:szCs w:val="22"/>
        </w:rPr>
        <w:t xml:space="preserve"> (dále jen „</w:t>
      </w:r>
      <w:r w:rsidR="00575B5A" w:rsidRPr="00EF0379">
        <w:rPr>
          <w:rFonts w:ascii="Tahoma" w:hAnsi="Tahoma" w:cs="Tahoma"/>
          <w:szCs w:val="22"/>
        </w:rPr>
        <w:t xml:space="preserve">MP </w:t>
      </w:r>
      <w:r w:rsidR="00814F6E" w:rsidRPr="00EF0379">
        <w:rPr>
          <w:rFonts w:ascii="Tahoma" w:hAnsi="Tahoma" w:cs="Tahoma"/>
          <w:szCs w:val="22"/>
        </w:rPr>
        <w:t>RLZ</w:t>
      </w:r>
      <w:r w:rsidR="00D84C0F" w:rsidRPr="00EF0379">
        <w:rPr>
          <w:rFonts w:ascii="Tahoma" w:hAnsi="Tahoma" w:cs="Tahoma"/>
          <w:szCs w:val="22"/>
        </w:rPr>
        <w:t>“)</w:t>
      </w:r>
      <w:r w:rsidRPr="00EF0379">
        <w:rPr>
          <w:rFonts w:ascii="Tahoma" w:hAnsi="Tahoma" w:cs="Tahoma"/>
          <w:szCs w:val="22"/>
        </w:rPr>
        <w:t>. V souladu s</w:t>
      </w:r>
      <w:r w:rsidR="006B2734" w:rsidRPr="00EF0379">
        <w:rPr>
          <w:rFonts w:ascii="Tahoma" w:hAnsi="Tahoma" w:cs="Tahoma"/>
          <w:szCs w:val="22"/>
        </w:rPr>
        <w:t xml:space="preserve"> touto </w:t>
      </w:r>
      <w:r w:rsidRPr="00EF0379">
        <w:rPr>
          <w:rFonts w:ascii="Tahoma" w:hAnsi="Tahoma" w:cs="Tahoma"/>
          <w:szCs w:val="22"/>
        </w:rPr>
        <w:t xml:space="preserve">Metodikou </w:t>
      </w:r>
      <w:r w:rsidR="00A170E5" w:rsidRPr="00EF0379">
        <w:rPr>
          <w:rFonts w:ascii="Tahoma" w:hAnsi="Tahoma" w:cs="Tahoma"/>
          <w:szCs w:val="22"/>
        </w:rPr>
        <w:t xml:space="preserve">postupují pracovníci </w:t>
      </w:r>
      <w:r w:rsidR="0005298F" w:rsidRPr="00EF0379">
        <w:rPr>
          <w:rFonts w:ascii="Tahoma" w:hAnsi="Tahoma" w:cs="Tahoma"/>
          <w:szCs w:val="22"/>
        </w:rPr>
        <w:t>implementační struktur</w:t>
      </w:r>
      <w:r w:rsidR="00A170E5" w:rsidRPr="00EF0379">
        <w:rPr>
          <w:rFonts w:ascii="Tahoma" w:hAnsi="Tahoma" w:cs="Tahoma"/>
          <w:szCs w:val="22"/>
        </w:rPr>
        <w:t>y</w:t>
      </w:r>
      <w:r w:rsidR="0005298F" w:rsidRPr="00EF0379">
        <w:rPr>
          <w:rFonts w:ascii="Tahoma" w:hAnsi="Tahoma" w:cs="Tahoma"/>
          <w:szCs w:val="22"/>
        </w:rPr>
        <w:t xml:space="preserve"> i </w:t>
      </w:r>
      <w:r w:rsidRPr="00EF0379">
        <w:rPr>
          <w:rFonts w:ascii="Tahoma" w:hAnsi="Tahoma" w:cs="Tahoma"/>
          <w:szCs w:val="22"/>
        </w:rPr>
        <w:t>příjemci od</w:t>
      </w:r>
      <w:r w:rsidR="00D84C0F" w:rsidRPr="00EF0379">
        <w:rPr>
          <w:rFonts w:ascii="Tahoma" w:hAnsi="Tahoma" w:cs="Tahoma"/>
          <w:szCs w:val="22"/>
        </w:rPr>
        <w:t xml:space="preserve"> </w:t>
      </w:r>
      <w:r w:rsidRPr="00EF0379">
        <w:rPr>
          <w:rFonts w:ascii="Tahoma" w:hAnsi="Tahoma" w:cs="Tahoma"/>
          <w:szCs w:val="22"/>
        </w:rPr>
        <w:t>1.</w:t>
      </w:r>
      <w:r w:rsidR="00E84368" w:rsidRPr="00EF0379">
        <w:rPr>
          <w:rFonts w:ascii="Tahoma" w:hAnsi="Tahoma" w:cs="Tahoma"/>
          <w:szCs w:val="22"/>
        </w:rPr>
        <w:t xml:space="preserve"> </w:t>
      </w:r>
      <w:r w:rsidR="00814F6E" w:rsidRPr="00EF0379">
        <w:rPr>
          <w:rFonts w:ascii="Tahoma" w:hAnsi="Tahoma" w:cs="Tahoma"/>
          <w:szCs w:val="22"/>
        </w:rPr>
        <w:t>září</w:t>
      </w:r>
      <w:r w:rsidRPr="00EF0379">
        <w:rPr>
          <w:rFonts w:ascii="Tahoma" w:hAnsi="Tahoma" w:cs="Tahoma"/>
          <w:szCs w:val="22"/>
        </w:rPr>
        <w:t xml:space="preserve"> 201</w:t>
      </w:r>
      <w:r w:rsidR="00814F6E" w:rsidRPr="00EF0379">
        <w:rPr>
          <w:rFonts w:ascii="Tahoma" w:hAnsi="Tahoma" w:cs="Tahoma"/>
          <w:szCs w:val="22"/>
        </w:rPr>
        <w:t>4</w:t>
      </w:r>
      <w:r w:rsidRPr="00EF0379">
        <w:rPr>
          <w:rFonts w:ascii="Tahoma" w:hAnsi="Tahoma" w:cs="Tahoma"/>
          <w:szCs w:val="22"/>
        </w:rPr>
        <w:t xml:space="preserve">. </w:t>
      </w:r>
      <w:r w:rsidR="0004411E">
        <w:rPr>
          <w:rFonts w:ascii="Tahoma" w:hAnsi="Tahoma" w:cs="Tahoma"/>
          <w:szCs w:val="22"/>
        </w:rPr>
        <w:t>Metodika se mj.</w:t>
      </w:r>
      <w:r w:rsidR="00A71540">
        <w:rPr>
          <w:rFonts w:ascii="Tahoma" w:hAnsi="Tahoma" w:cs="Tahoma"/>
          <w:szCs w:val="22"/>
        </w:rPr>
        <w:t xml:space="preserve"> </w:t>
      </w:r>
      <w:r w:rsidR="0004411E">
        <w:rPr>
          <w:rFonts w:ascii="Tahoma" w:hAnsi="Tahoma" w:cs="Tahoma"/>
          <w:szCs w:val="22"/>
        </w:rPr>
        <w:t xml:space="preserve">zabývá </w:t>
      </w:r>
      <w:r w:rsidR="00251D81" w:rsidRPr="00FF771E">
        <w:rPr>
          <w:rFonts w:ascii="Tahoma" w:hAnsi="Tahoma" w:cs="Tahoma"/>
          <w:szCs w:val="22"/>
        </w:rPr>
        <w:t>nenárokov</w:t>
      </w:r>
      <w:r w:rsidR="0004411E">
        <w:rPr>
          <w:rFonts w:ascii="Tahoma" w:hAnsi="Tahoma" w:cs="Tahoma"/>
          <w:szCs w:val="22"/>
        </w:rPr>
        <w:t>ými</w:t>
      </w:r>
      <w:r w:rsidR="00251D81" w:rsidRPr="00FF771E">
        <w:rPr>
          <w:rFonts w:ascii="Tahoma" w:hAnsi="Tahoma" w:cs="Tahoma"/>
          <w:szCs w:val="22"/>
        </w:rPr>
        <w:t xml:space="preserve"> složk</w:t>
      </w:r>
      <w:r w:rsidR="0004411E">
        <w:rPr>
          <w:rFonts w:ascii="Tahoma" w:hAnsi="Tahoma" w:cs="Tahoma"/>
          <w:szCs w:val="22"/>
        </w:rPr>
        <w:t>ami</w:t>
      </w:r>
      <w:r w:rsidR="00251D81" w:rsidRPr="00FF771E">
        <w:rPr>
          <w:rFonts w:ascii="Tahoma" w:hAnsi="Tahoma" w:cs="Tahoma"/>
          <w:szCs w:val="22"/>
        </w:rPr>
        <w:t xml:space="preserve"> mzdy/platu. </w:t>
      </w:r>
    </w:p>
    <w:p w:rsidR="00961306" w:rsidRPr="00493A4B" w:rsidRDefault="00961306" w:rsidP="00961306">
      <w:pPr>
        <w:rPr>
          <w:rFonts w:cs="Arial"/>
          <w:szCs w:val="22"/>
          <w:lang w:val="pt-BR"/>
        </w:rPr>
      </w:pPr>
      <w:r w:rsidRPr="00326C19">
        <w:rPr>
          <w:rFonts w:cs="Arial"/>
          <w:szCs w:val="22"/>
          <w:lang w:val="pt-BR"/>
        </w:rPr>
        <w:t>V souladu s čl. II</w:t>
      </w:r>
      <w:r w:rsidR="00326C19" w:rsidRPr="00EF0379">
        <w:rPr>
          <w:rFonts w:cs="Arial"/>
          <w:szCs w:val="22"/>
          <w:lang w:val="pt-BR"/>
        </w:rPr>
        <w:t>I MP RLZ</w:t>
      </w:r>
      <w:r w:rsidRPr="00326C19">
        <w:rPr>
          <w:rFonts w:cs="Arial"/>
          <w:szCs w:val="22"/>
          <w:lang w:val="pt-BR"/>
        </w:rPr>
        <w:t>, ŘO OPTP stanovuje následující rozdělení příjemců pro účel způsobu vy</w:t>
      </w:r>
      <w:r w:rsidRPr="00493A4B">
        <w:rPr>
          <w:rFonts w:cs="Arial"/>
          <w:szCs w:val="22"/>
          <w:lang w:val="pt-BR"/>
        </w:rPr>
        <w:t>kazování osobních výdajů:</w:t>
      </w:r>
    </w:p>
    <w:p w:rsidR="00961306" w:rsidRPr="00326C19" w:rsidRDefault="00326C19" w:rsidP="00EF0379">
      <w:pPr>
        <w:numPr>
          <w:ilvl w:val="0"/>
          <w:numId w:val="50"/>
        </w:numPr>
        <w:tabs>
          <w:tab w:val="clear" w:pos="1800"/>
          <w:tab w:val="num" w:pos="1418"/>
        </w:tabs>
        <w:spacing w:before="0" w:after="120"/>
        <w:ind w:left="1417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Za každého zaměstnance </w:t>
      </w:r>
      <w:r w:rsidR="00961306" w:rsidRPr="00326C19">
        <w:rPr>
          <w:rFonts w:cs="Arial"/>
          <w:szCs w:val="22"/>
          <w:lang w:val="pt-BR"/>
        </w:rPr>
        <w:t>implement</w:t>
      </w:r>
      <w:r>
        <w:rPr>
          <w:rFonts w:cs="Arial"/>
          <w:szCs w:val="22"/>
          <w:lang w:val="pt-BR"/>
        </w:rPr>
        <w:t>ujícího</w:t>
      </w:r>
      <w:r w:rsidR="00961306" w:rsidRPr="00326C19">
        <w:rPr>
          <w:rFonts w:cs="Arial"/>
          <w:szCs w:val="22"/>
          <w:lang w:val="pt-BR"/>
        </w:rPr>
        <w:t xml:space="preserve"> NSRR</w:t>
      </w:r>
      <w:r w:rsidRPr="00EF0379">
        <w:rPr>
          <w:rFonts w:cs="Arial"/>
          <w:szCs w:val="22"/>
          <w:lang w:val="pt-BR"/>
        </w:rPr>
        <w:t>/DoP</w:t>
      </w:r>
      <w:r w:rsidR="00961306" w:rsidRPr="00326C19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>je vystaveno</w:t>
      </w:r>
      <w:r w:rsidRPr="00326C19">
        <w:rPr>
          <w:rFonts w:cs="Arial"/>
          <w:szCs w:val="22"/>
          <w:lang w:val="pt-BR"/>
        </w:rPr>
        <w:t xml:space="preserve"> </w:t>
      </w:r>
      <w:r w:rsidRPr="00EF0379">
        <w:rPr>
          <w:rFonts w:cs="Arial"/>
          <w:szCs w:val="22"/>
          <w:lang w:val="pt-BR"/>
        </w:rPr>
        <w:t>“</w:t>
      </w:r>
      <w:r w:rsidR="00961306" w:rsidRPr="00326C19">
        <w:rPr>
          <w:rFonts w:cs="Arial"/>
          <w:szCs w:val="22"/>
          <w:lang w:val="pt-BR"/>
        </w:rPr>
        <w:t xml:space="preserve">Prohlášení k vyplácení osobních nákladů </w:t>
      </w:r>
      <w:r w:rsidR="002155E0" w:rsidRPr="00326C19">
        <w:rPr>
          <w:rFonts w:cs="Arial"/>
          <w:szCs w:val="22"/>
          <w:lang w:val="pt-BR"/>
        </w:rPr>
        <w:t>zaměstnanc</w:t>
      </w:r>
      <w:r w:rsidR="002155E0">
        <w:rPr>
          <w:rFonts w:cs="Arial"/>
          <w:szCs w:val="22"/>
          <w:lang w:val="pt-BR"/>
        </w:rPr>
        <w:t>e</w:t>
      </w:r>
      <w:r w:rsidR="002155E0" w:rsidRPr="00326C19">
        <w:rPr>
          <w:rFonts w:cs="Arial"/>
          <w:szCs w:val="22"/>
          <w:lang w:val="pt-BR"/>
        </w:rPr>
        <w:t xml:space="preserve"> implementující</w:t>
      </w:r>
      <w:r w:rsidR="002155E0">
        <w:rPr>
          <w:rFonts w:cs="Arial"/>
          <w:szCs w:val="22"/>
          <w:lang w:val="pt-BR"/>
        </w:rPr>
        <w:t>ho</w:t>
      </w:r>
      <w:r w:rsidR="002155E0" w:rsidRPr="00326C19">
        <w:rPr>
          <w:rFonts w:cs="Arial"/>
          <w:szCs w:val="22"/>
          <w:lang w:val="pt-BR"/>
        </w:rPr>
        <w:t xml:space="preserve"> </w:t>
      </w:r>
      <w:r w:rsidR="002155E0" w:rsidRPr="00EF0379">
        <w:rPr>
          <w:rFonts w:cs="Arial"/>
          <w:szCs w:val="22"/>
          <w:lang w:val="pt-BR"/>
        </w:rPr>
        <w:t>DoP</w:t>
      </w:r>
      <w:r w:rsidR="002155E0">
        <w:rPr>
          <w:rFonts w:cs="Arial"/>
          <w:szCs w:val="22"/>
          <w:lang w:val="pt-BR"/>
        </w:rPr>
        <w:t>/</w:t>
      </w:r>
      <w:r w:rsidR="00961306" w:rsidRPr="00326C19">
        <w:rPr>
          <w:rFonts w:cs="Arial"/>
          <w:szCs w:val="22"/>
          <w:lang w:val="pt-BR"/>
        </w:rPr>
        <w:t>NSRR</w:t>
      </w:r>
      <w:r w:rsidR="002155E0">
        <w:rPr>
          <w:rFonts w:cs="Arial"/>
          <w:szCs w:val="22"/>
          <w:lang w:val="pt-BR"/>
        </w:rPr>
        <w:t>”</w:t>
      </w:r>
      <w:r w:rsidR="00961306" w:rsidRPr="00326C19">
        <w:rPr>
          <w:rFonts w:cs="Arial"/>
          <w:szCs w:val="22"/>
          <w:lang w:val="pt-BR"/>
        </w:rPr>
        <w:t xml:space="preserve"> (příloha č. </w:t>
      </w:r>
      <w:r w:rsidRPr="00EF0379">
        <w:rPr>
          <w:rFonts w:cs="Arial"/>
          <w:szCs w:val="22"/>
          <w:lang w:val="pt-BR"/>
        </w:rPr>
        <w:t>5</w:t>
      </w:r>
      <w:r w:rsidR="00961306" w:rsidRPr="00326C19">
        <w:rPr>
          <w:rFonts w:cs="Arial"/>
          <w:szCs w:val="22"/>
          <w:lang w:val="pt-BR"/>
        </w:rPr>
        <w:t xml:space="preserve">  </w:t>
      </w:r>
      <w:r w:rsidRPr="00EF0379">
        <w:rPr>
          <w:rFonts w:cs="Arial"/>
          <w:szCs w:val="22"/>
          <w:lang w:val="pt-BR"/>
        </w:rPr>
        <w:t>MP RLZ</w:t>
      </w:r>
      <w:r w:rsidR="00961306" w:rsidRPr="00326C19">
        <w:rPr>
          <w:rFonts w:cs="Arial"/>
          <w:szCs w:val="22"/>
          <w:lang w:val="pt-BR"/>
        </w:rPr>
        <w:t xml:space="preserve">, dále jen </w:t>
      </w:r>
      <w:r w:rsidR="00457672" w:rsidRPr="00326C19">
        <w:rPr>
          <w:rFonts w:cs="Arial"/>
          <w:szCs w:val="22"/>
          <w:lang w:val="pt-BR"/>
        </w:rPr>
        <w:t>“</w:t>
      </w:r>
      <w:r w:rsidR="00961306" w:rsidRPr="00326C19">
        <w:rPr>
          <w:rFonts w:cs="Arial"/>
          <w:szCs w:val="22"/>
          <w:lang w:val="pt-BR"/>
        </w:rPr>
        <w:t>Prohlášení</w:t>
      </w:r>
      <w:r w:rsidR="00457672" w:rsidRPr="00326C19">
        <w:rPr>
          <w:rFonts w:cs="Arial"/>
          <w:szCs w:val="22"/>
          <w:lang w:val="pt-BR"/>
        </w:rPr>
        <w:t>”</w:t>
      </w:r>
      <w:r w:rsidR="00961306" w:rsidRPr="00326C19">
        <w:rPr>
          <w:rFonts w:cs="Arial"/>
          <w:szCs w:val="22"/>
          <w:lang w:val="pt-BR"/>
        </w:rPr>
        <w:t>).</w:t>
      </w:r>
      <w:r w:rsidRPr="00EF0379">
        <w:rPr>
          <w:rFonts w:cs="Arial"/>
          <w:szCs w:val="22"/>
          <w:lang w:val="pt-BR"/>
        </w:rPr>
        <w:t xml:space="preserve"> Součástí této přílohy je i prohlášení zaměstnance ohledně zdroje financování jeho osobních nákladů.</w:t>
      </w:r>
    </w:p>
    <w:p w:rsidR="00961306" w:rsidRPr="00BD045E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 w:rsidRPr="00BD045E">
        <w:rPr>
          <w:rFonts w:cs="Arial"/>
          <w:szCs w:val="22"/>
          <w:lang w:val="pt-BR"/>
        </w:rPr>
        <w:t xml:space="preserve">Zaměstnanci </w:t>
      </w:r>
      <w:r w:rsidR="00493A4B" w:rsidRPr="00660BD4">
        <w:rPr>
          <w:rFonts w:cs="Arial"/>
          <w:szCs w:val="22"/>
          <w:lang w:val="pt-BR"/>
        </w:rPr>
        <w:t>hrazení ze</w:t>
      </w:r>
      <w:r w:rsidRPr="00BD045E">
        <w:rPr>
          <w:rFonts w:cs="Arial"/>
          <w:szCs w:val="22"/>
          <w:lang w:val="pt-BR"/>
        </w:rPr>
        <w:t xml:space="preserve"> dvou a více </w:t>
      </w:r>
      <w:r w:rsidR="00493A4B" w:rsidRPr="00660BD4">
        <w:rPr>
          <w:rFonts w:cs="Arial"/>
          <w:szCs w:val="22"/>
          <w:lang w:val="pt-BR"/>
        </w:rPr>
        <w:t xml:space="preserve">projektů (zdrojů financování), u kterých zároveň není podíl pracovní činnosti pro </w:t>
      </w:r>
      <w:r w:rsidR="002155E0" w:rsidRPr="00660BD4">
        <w:rPr>
          <w:rFonts w:cs="Arial"/>
          <w:szCs w:val="22"/>
          <w:lang w:val="pt-BR"/>
        </w:rPr>
        <w:t>DoP</w:t>
      </w:r>
      <w:r w:rsidR="002155E0">
        <w:rPr>
          <w:rFonts w:cs="Arial"/>
          <w:szCs w:val="22"/>
          <w:lang w:val="pt-BR"/>
        </w:rPr>
        <w:t>/</w:t>
      </w:r>
      <w:r w:rsidR="00493A4B" w:rsidRPr="00660BD4">
        <w:rPr>
          <w:rFonts w:cs="Arial"/>
          <w:szCs w:val="22"/>
          <w:lang w:val="pt-BR"/>
        </w:rPr>
        <w:t>NSRR pevně stanoven v popisu pracovního místa (pracovní náplni),</w:t>
      </w:r>
      <w:r w:rsidRPr="00BD045E">
        <w:rPr>
          <w:rFonts w:cs="Arial"/>
          <w:szCs w:val="22"/>
          <w:lang w:val="pt-BR"/>
        </w:rPr>
        <w:t xml:space="preserve"> dokládají v souladu s </w:t>
      </w:r>
      <w:r w:rsidR="00493A4B" w:rsidRPr="00660BD4">
        <w:rPr>
          <w:rFonts w:cs="Arial"/>
          <w:szCs w:val="22"/>
          <w:lang w:val="pt-BR"/>
        </w:rPr>
        <w:t>MP RLZ</w:t>
      </w:r>
      <w:r w:rsidR="00493A4B" w:rsidRPr="00BD045E">
        <w:rPr>
          <w:rFonts w:cs="Arial"/>
          <w:szCs w:val="22"/>
          <w:lang w:val="pt-BR"/>
        </w:rPr>
        <w:t xml:space="preserve"> </w:t>
      </w:r>
      <w:r w:rsidR="00493A4B" w:rsidRPr="00660BD4">
        <w:rPr>
          <w:rFonts w:cs="Arial"/>
          <w:szCs w:val="22"/>
          <w:lang w:val="pt-BR"/>
        </w:rPr>
        <w:t>“Souhrnný pracovní list denní” (příloha č. 6 MP RLZ)</w:t>
      </w:r>
      <w:r w:rsidRPr="00BD045E">
        <w:rPr>
          <w:rFonts w:cs="Arial"/>
          <w:szCs w:val="22"/>
          <w:lang w:val="pt-BR"/>
        </w:rPr>
        <w:t>.</w:t>
      </w:r>
    </w:p>
    <w:p w:rsidR="00961306" w:rsidRDefault="00961306" w:rsidP="00EF0379">
      <w:pPr>
        <w:rPr>
          <w:rFonts w:cs="Arial"/>
          <w:szCs w:val="22"/>
          <w:lang w:val="pt-BR"/>
        </w:rPr>
      </w:pPr>
      <w:r w:rsidRPr="00456461">
        <w:rPr>
          <w:rFonts w:cs="Arial"/>
          <w:szCs w:val="22"/>
          <w:lang w:val="pt-BR"/>
        </w:rPr>
        <w:t>V souladu s čl. II</w:t>
      </w:r>
      <w:r w:rsidR="00DD2ADA">
        <w:rPr>
          <w:rFonts w:cs="Arial"/>
          <w:szCs w:val="22"/>
          <w:lang w:val="pt-BR"/>
        </w:rPr>
        <w:t>, kap.13</w:t>
      </w:r>
      <w:r w:rsidR="00432552" w:rsidRPr="00EF0379">
        <w:rPr>
          <w:rFonts w:cs="Arial"/>
          <w:szCs w:val="22"/>
          <w:lang w:val="pt-BR"/>
        </w:rPr>
        <w:t>. MP RLZ,</w:t>
      </w:r>
      <w:r w:rsidRPr="00456461">
        <w:rPr>
          <w:rFonts w:cs="Arial"/>
          <w:szCs w:val="22"/>
          <w:lang w:val="pt-BR"/>
        </w:rPr>
        <w:t xml:space="preserve"> musí mít všichni zaměstnanci implementující NSRR činnost trvale uvedenou v pracovní náplni a musí být v souladu s náplní činnosti příslušného útvaru. Procentuální podíl je vykazován na Prohlášení (viz Příloha </w:t>
      </w:r>
      <w:r w:rsidR="00D84C0F" w:rsidRPr="00456461">
        <w:rPr>
          <w:rFonts w:cs="Arial"/>
          <w:szCs w:val="22"/>
          <w:lang w:val="pt-BR"/>
        </w:rPr>
        <w:t xml:space="preserve">č. </w:t>
      </w:r>
      <w:r w:rsidR="00456461" w:rsidRPr="00EF0379">
        <w:rPr>
          <w:rFonts w:cs="Arial"/>
          <w:szCs w:val="22"/>
          <w:lang w:val="pt-BR"/>
        </w:rPr>
        <w:t>5</w:t>
      </w:r>
      <w:r w:rsidRPr="00456461">
        <w:rPr>
          <w:rFonts w:cs="Arial"/>
          <w:szCs w:val="22"/>
          <w:lang w:val="pt-BR"/>
        </w:rPr>
        <w:t xml:space="preserve"> Metodiky). Pro zařazení do systému finanční motivace platí pásma uvedená v tabulce </w:t>
      </w:r>
      <w:r w:rsidR="00456461">
        <w:rPr>
          <w:rFonts w:cs="Arial"/>
          <w:szCs w:val="22"/>
          <w:lang w:val="pt-BR"/>
        </w:rPr>
        <w:t xml:space="preserve">“Podíl činnosti související s implementací DoP/NSRR” </w:t>
      </w:r>
      <w:r w:rsidR="00905201">
        <w:rPr>
          <w:rFonts w:cs="Arial"/>
          <w:szCs w:val="22"/>
          <w:lang w:val="pt-BR"/>
        </w:rPr>
        <w:t xml:space="preserve">v kapitole 13 </w:t>
      </w:r>
      <w:r w:rsidR="00456461" w:rsidRPr="00EF0379">
        <w:rPr>
          <w:rFonts w:cs="Arial"/>
          <w:szCs w:val="22"/>
          <w:lang w:val="pt-BR"/>
        </w:rPr>
        <w:t>MP RLZ</w:t>
      </w:r>
      <w:r w:rsidRPr="00456461">
        <w:rPr>
          <w:rFonts w:cs="Arial"/>
          <w:szCs w:val="22"/>
          <w:lang w:val="pt-BR"/>
        </w:rPr>
        <w:t>.</w:t>
      </w:r>
      <w:r w:rsidR="009D6F0C">
        <w:rPr>
          <w:rFonts w:cs="Arial"/>
          <w:szCs w:val="22"/>
          <w:lang w:val="pt-BR"/>
        </w:rPr>
        <w:t xml:space="preserve"> P</w:t>
      </w:r>
      <w:r w:rsidR="005C37D3">
        <w:rPr>
          <w:rFonts w:cs="Arial"/>
          <w:szCs w:val="22"/>
          <w:lang w:val="pt-BR"/>
        </w:rPr>
        <w:t xml:space="preserve">ři vyplácení odměny za lektorskou činnost a cílové/mimořádné odměny postupuje příjemce dle </w:t>
      </w:r>
      <w:r w:rsidR="005D6165">
        <w:rPr>
          <w:rFonts w:cs="Arial"/>
          <w:szCs w:val="22"/>
          <w:lang w:val="pt-BR"/>
        </w:rPr>
        <w:t>kapito</w:t>
      </w:r>
      <w:r w:rsidR="00BA2325">
        <w:rPr>
          <w:rFonts w:cs="Arial"/>
          <w:szCs w:val="22"/>
          <w:lang w:val="pt-BR"/>
        </w:rPr>
        <w:t>ly</w:t>
      </w:r>
      <w:r w:rsidR="005D6165">
        <w:rPr>
          <w:rFonts w:cs="Arial"/>
          <w:szCs w:val="22"/>
          <w:lang w:val="pt-BR"/>
        </w:rPr>
        <w:t xml:space="preserve"> 13. </w:t>
      </w:r>
      <w:r w:rsidR="005C37D3">
        <w:rPr>
          <w:rFonts w:cs="Arial"/>
          <w:szCs w:val="22"/>
          <w:lang w:val="pt-BR"/>
        </w:rPr>
        <w:t>MP RLZ.</w:t>
      </w:r>
    </w:p>
    <w:p w:rsidR="00E46CFF" w:rsidRPr="00456461" w:rsidRDefault="00E46CFF" w:rsidP="00EF0379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 MP RLZ zároveň vycházejí Vnitřní pravidla MMR k postupu pro hrazení osobních nákladů zamě</w:t>
      </w:r>
      <w:r w:rsidR="00067998">
        <w:rPr>
          <w:rFonts w:cs="Arial"/>
          <w:szCs w:val="22"/>
          <w:lang w:val="pt-BR"/>
        </w:rPr>
        <w:t>s</w:t>
      </w:r>
      <w:r>
        <w:rPr>
          <w:rFonts w:cs="Arial"/>
          <w:szCs w:val="22"/>
          <w:lang w:val="pt-BR"/>
        </w:rPr>
        <w:t>tnanců implementujících DoP a NSRR v rámci OPTP v programovém období 2007-2013 a v programovém období 2014-2020, která se týkají pouze zaměstnanců, jejichž osobní náklady jsou hrazeny z OPTP.</w:t>
      </w:r>
    </w:p>
    <w:p w:rsidR="00BC03F8" w:rsidRPr="00EF0379" w:rsidRDefault="00BC03F8" w:rsidP="00EF0379">
      <w:pPr>
        <w:rPr>
          <w:rFonts w:cs="Arial"/>
          <w:szCs w:val="22"/>
          <w:lang w:val="pt-BR"/>
        </w:rPr>
      </w:pPr>
      <w:r w:rsidRPr="00EF0379">
        <w:rPr>
          <w:rFonts w:cs="Arial"/>
          <w:szCs w:val="22"/>
          <w:lang w:val="pt-BR"/>
        </w:rPr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9D6F0C" w:rsidRPr="00EF0379" w:rsidRDefault="00304600" w:rsidP="00EF0379">
      <w:pPr>
        <w:rPr>
          <w:rFonts w:cs="Arial"/>
          <w:szCs w:val="22"/>
          <w:lang w:val="pt-BR"/>
        </w:rPr>
      </w:pPr>
      <w:r w:rsidRPr="00EF0379">
        <w:rPr>
          <w:rFonts w:cs="Arial"/>
          <w:szCs w:val="22"/>
          <w:lang w:val="pt-BR"/>
        </w:rPr>
        <w:t xml:space="preserve">Příjemce je povinen při výběru nových zaměstnanců implementujících fondy EU postupovat podle </w:t>
      </w:r>
      <w:r w:rsidR="00456461" w:rsidRPr="00EF0379">
        <w:rPr>
          <w:rFonts w:cs="Arial"/>
          <w:szCs w:val="22"/>
          <w:lang w:val="pt-BR"/>
        </w:rPr>
        <w:t>MP RLZ</w:t>
      </w:r>
      <w:r w:rsidRPr="00EF0379">
        <w:rPr>
          <w:rFonts w:cs="Arial"/>
          <w:szCs w:val="22"/>
          <w:lang w:val="pt-BR"/>
        </w:rPr>
        <w:t xml:space="preserve"> schválené</w:t>
      </w:r>
      <w:r w:rsidR="00456461" w:rsidRPr="00EF0379">
        <w:rPr>
          <w:rFonts w:cs="Arial"/>
          <w:szCs w:val="22"/>
          <w:lang w:val="pt-BR"/>
        </w:rPr>
        <w:t>ho</w:t>
      </w:r>
      <w:r w:rsidRPr="00EF0379">
        <w:rPr>
          <w:rFonts w:cs="Arial"/>
          <w:szCs w:val="22"/>
          <w:lang w:val="pt-BR"/>
        </w:rPr>
        <w:t xml:space="preserve"> usnesením vlády č. </w:t>
      </w:r>
      <w:r w:rsidR="00456461" w:rsidRPr="00EF0379">
        <w:rPr>
          <w:rFonts w:cs="Arial"/>
          <w:szCs w:val="22"/>
          <w:lang w:val="pt-BR"/>
        </w:rPr>
        <w:t>444</w:t>
      </w:r>
      <w:r w:rsidRPr="00EF0379">
        <w:rPr>
          <w:rFonts w:cs="Arial"/>
          <w:szCs w:val="22"/>
          <w:lang w:val="pt-BR"/>
        </w:rPr>
        <w:t xml:space="preserve"> ze dne </w:t>
      </w:r>
      <w:r w:rsidR="00456461" w:rsidRPr="00EF0379">
        <w:rPr>
          <w:rFonts w:cs="Arial"/>
          <w:szCs w:val="22"/>
          <w:lang w:val="pt-BR"/>
        </w:rPr>
        <w:t>16</w:t>
      </w:r>
      <w:r w:rsidRPr="00EF0379">
        <w:rPr>
          <w:rFonts w:cs="Arial"/>
          <w:szCs w:val="22"/>
          <w:lang w:val="pt-BR"/>
        </w:rPr>
        <w:t xml:space="preserve">. </w:t>
      </w:r>
      <w:r w:rsidR="00456461" w:rsidRPr="00EF0379">
        <w:rPr>
          <w:rFonts w:cs="Arial"/>
          <w:szCs w:val="22"/>
          <w:lang w:val="pt-BR"/>
        </w:rPr>
        <w:t>června</w:t>
      </w:r>
      <w:r w:rsidRPr="00EF0379">
        <w:rPr>
          <w:rFonts w:cs="Arial"/>
          <w:szCs w:val="22"/>
          <w:lang w:val="pt-BR"/>
        </w:rPr>
        <w:t xml:space="preserve"> 201</w:t>
      </w:r>
      <w:r w:rsidR="00456461" w:rsidRPr="00EF0379">
        <w:rPr>
          <w:rFonts w:cs="Arial"/>
          <w:szCs w:val="22"/>
          <w:lang w:val="pt-BR"/>
        </w:rPr>
        <w:t>4</w:t>
      </w:r>
      <w:r w:rsidRPr="00EF0379">
        <w:rPr>
          <w:rFonts w:cs="Arial"/>
          <w:szCs w:val="22"/>
          <w:lang w:val="pt-BR"/>
        </w:rPr>
        <w:t>.</w:t>
      </w:r>
    </w:p>
    <w:p w:rsidR="00BC03F8" w:rsidRPr="00575B5A" w:rsidRDefault="00BC03F8" w:rsidP="00BC03F8">
      <w:pPr>
        <w:spacing w:after="120"/>
        <w:ind w:right="1"/>
        <w:rPr>
          <w:rFonts w:cs="Arial"/>
          <w:szCs w:val="22"/>
        </w:rPr>
      </w:pPr>
      <w:r w:rsidRPr="00575B5A">
        <w:rPr>
          <w:rFonts w:cs="Arial"/>
          <w:szCs w:val="22"/>
        </w:rPr>
        <w:t xml:space="preserve">Spolu s předložením </w:t>
      </w:r>
      <w:r w:rsidR="006B2734" w:rsidRPr="00575B5A">
        <w:rPr>
          <w:rFonts w:cs="Arial"/>
          <w:szCs w:val="22"/>
        </w:rPr>
        <w:t xml:space="preserve">MZ se </w:t>
      </w:r>
      <w:proofErr w:type="spellStart"/>
      <w:r w:rsidR="006B2734" w:rsidRPr="00575B5A">
        <w:rPr>
          <w:rFonts w:cs="Arial"/>
          <w:szCs w:val="22"/>
        </w:rPr>
        <w:t>ZŽoP</w:t>
      </w:r>
      <w:proofErr w:type="spellEnd"/>
      <w:r w:rsidR="00491AFD" w:rsidRPr="00575B5A">
        <w:rPr>
          <w:rFonts w:cs="Arial"/>
          <w:szCs w:val="22"/>
        </w:rPr>
        <w:t xml:space="preserve"> za první etapu projektu</w:t>
      </w:r>
      <w:r w:rsidRPr="00575B5A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575B5A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lastRenderedPageBreak/>
        <w:t>Kopie pracovní smlouvy</w:t>
      </w:r>
      <w:r w:rsidR="00BC03F8" w:rsidRPr="00575B5A">
        <w:rPr>
          <w:rFonts w:cs="Arial"/>
          <w:szCs w:val="22"/>
        </w:rPr>
        <w:t>, jmenování (za splnění podmínek předepsaných zákonem), dohody o práci konané mimo pracovní poměr;</w:t>
      </w:r>
    </w:p>
    <w:p w:rsidR="00DF03A8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t>Kopie popisu pracovní činnosti</w:t>
      </w:r>
      <w:r w:rsidR="00BC03F8" w:rsidRPr="00575B5A">
        <w:rPr>
          <w:rFonts w:cs="Arial"/>
          <w:szCs w:val="22"/>
        </w:rPr>
        <w:t xml:space="preserve"> v souladu se schváleným projektem</w:t>
      </w:r>
      <w:r w:rsidR="00DF03A8">
        <w:rPr>
          <w:rFonts w:cs="Arial"/>
          <w:szCs w:val="22"/>
        </w:rPr>
        <w:t>;</w:t>
      </w:r>
    </w:p>
    <w:p w:rsidR="00BC03F8" w:rsidRPr="00A75E75" w:rsidRDefault="00462221" w:rsidP="00A75E75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Kopie </w:t>
      </w:r>
      <w:r w:rsidR="00DF03A8">
        <w:rPr>
          <w:rFonts w:cs="Arial"/>
          <w:szCs w:val="22"/>
        </w:rPr>
        <w:t>Etick</w:t>
      </w:r>
      <w:r>
        <w:rPr>
          <w:rFonts w:cs="Arial"/>
          <w:szCs w:val="22"/>
        </w:rPr>
        <w:t>ého</w:t>
      </w:r>
      <w:r w:rsidR="00DF03A8">
        <w:rPr>
          <w:rFonts w:cs="Arial"/>
          <w:szCs w:val="22"/>
        </w:rPr>
        <w:t xml:space="preserve"> kodex</w:t>
      </w:r>
      <w:r>
        <w:rPr>
          <w:rFonts w:cs="Arial"/>
          <w:szCs w:val="22"/>
        </w:rPr>
        <w:t>u včetně doložení seznámení se s ním těch, jejichž pracovní smlouvy</w:t>
      </w:r>
      <w:r w:rsidRPr="00A75E75">
        <w:rPr>
          <w:rFonts w:cs="Arial"/>
          <w:szCs w:val="22"/>
        </w:rPr>
        <w:t xml:space="preserve"> atp.  - viz odrážka výše – jsou předkládány.</w:t>
      </w:r>
    </w:p>
    <w:p w:rsidR="00BC03F8" w:rsidRPr="00EF0379" w:rsidRDefault="00BC03F8" w:rsidP="00575B5A">
      <w:pPr>
        <w:spacing w:before="240" w:after="120"/>
        <w:rPr>
          <w:rFonts w:cs="Arial"/>
          <w:b/>
          <w:szCs w:val="22"/>
        </w:rPr>
      </w:pPr>
      <w:r w:rsidRPr="00EF0379">
        <w:rPr>
          <w:rFonts w:cs="Arial"/>
          <w:b/>
          <w:szCs w:val="22"/>
        </w:rPr>
        <w:t xml:space="preserve">Při každém předložení </w:t>
      </w:r>
      <w:r w:rsidR="006B2734" w:rsidRPr="00EF0379">
        <w:rPr>
          <w:rFonts w:cs="Arial"/>
          <w:b/>
          <w:szCs w:val="22"/>
        </w:rPr>
        <w:t xml:space="preserve">MZ se </w:t>
      </w:r>
      <w:proofErr w:type="spellStart"/>
      <w:r w:rsidR="006B2734" w:rsidRPr="00EF0379">
        <w:rPr>
          <w:rFonts w:cs="Arial"/>
          <w:b/>
          <w:szCs w:val="22"/>
        </w:rPr>
        <w:t>ZŽoP</w:t>
      </w:r>
      <w:proofErr w:type="spellEnd"/>
      <w:r w:rsidR="00EE44F3" w:rsidRPr="00EF0379">
        <w:rPr>
          <w:rFonts w:cs="Arial"/>
          <w:b/>
          <w:szCs w:val="22"/>
        </w:rPr>
        <w:t xml:space="preserve"> </w:t>
      </w:r>
      <w:r w:rsidRPr="00EF0379">
        <w:rPr>
          <w:rFonts w:cs="Arial"/>
          <w:b/>
          <w:szCs w:val="22"/>
        </w:rPr>
        <w:t>bude doloženo následující:</w:t>
      </w:r>
    </w:p>
    <w:p w:rsidR="00BC03F8" w:rsidRPr="00575B5A" w:rsidRDefault="006B2734" w:rsidP="0009534D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t>D</w:t>
      </w:r>
      <w:r w:rsidR="00BC03F8" w:rsidRPr="00575B5A">
        <w:rPr>
          <w:rFonts w:cs="Arial"/>
          <w:szCs w:val="22"/>
        </w:rPr>
        <w:t>oklad o úhradě mzdových výdajů - bankovní výpis z účtu nebo čestn</w:t>
      </w:r>
      <w:r w:rsidRPr="00575B5A">
        <w:rPr>
          <w:rFonts w:cs="Arial"/>
          <w:szCs w:val="22"/>
        </w:rPr>
        <w:t>é</w:t>
      </w:r>
      <w:r w:rsidR="00BC03F8" w:rsidRPr="00575B5A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62716" w:rsidRDefault="00FF1682" w:rsidP="00D73E80">
      <w:pPr>
        <w:numPr>
          <w:ilvl w:val="0"/>
          <w:numId w:val="23"/>
        </w:numPr>
        <w:tabs>
          <w:tab w:val="clear" w:pos="720"/>
        </w:tabs>
        <w:ind w:left="714" w:hanging="357"/>
        <w:rPr>
          <w:rFonts w:cs="Arial"/>
          <w:szCs w:val="22"/>
        </w:rPr>
      </w:pPr>
      <w:r w:rsidRPr="00E62716">
        <w:rPr>
          <w:rFonts w:cs="Arial"/>
          <w:szCs w:val="22"/>
        </w:rPr>
        <w:t>S</w:t>
      </w:r>
      <w:r w:rsidR="008B2A83" w:rsidRPr="00E62716">
        <w:rPr>
          <w:rFonts w:cs="Arial"/>
          <w:szCs w:val="22"/>
        </w:rPr>
        <w:t>umární rekapitulace mzdových výdaj</w:t>
      </w:r>
      <w:r w:rsidR="008B2A83" w:rsidRPr="00E62716">
        <w:rPr>
          <w:rFonts w:cs="Arial" w:hint="eastAsia"/>
          <w:szCs w:val="22"/>
        </w:rPr>
        <w:t>ů</w:t>
      </w:r>
      <w:r w:rsidR="008B2A83" w:rsidRPr="00E62716">
        <w:rPr>
          <w:rFonts w:cs="Arial"/>
          <w:szCs w:val="22"/>
        </w:rPr>
        <w:t xml:space="preserve"> – (viz Náležitosti dokladování:</w:t>
      </w:r>
      <w:r w:rsidR="0072157E" w:rsidRPr="00E62716">
        <w:t xml:space="preserve"> </w:t>
      </w:r>
      <w:hyperlink r:id="rId34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D73E80">
        <w:rPr>
          <w:rFonts w:ascii="Tahoma" w:hAnsi="Tahoma" w:cs="Arial"/>
          <w:color w:val="0000FF"/>
          <w:szCs w:val="22"/>
          <w:u w:val="single"/>
          <w:lang w:eastAsia="en-US"/>
        </w:rPr>
        <w:t>)</w:t>
      </w:r>
      <w:r w:rsidR="00ED6493" w:rsidRPr="00E62716">
        <w:rPr>
          <w:rFonts w:cs="Arial"/>
          <w:szCs w:val="22"/>
        </w:rPr>
        <w:t xml:space="preserve"> </w:t>
      </w:r>
      <w:r w:rsidR="008B2A83" w:rsidRPr="00E62716">
        <w:rPr>
          <w:rFonts w:cs="Arial"/>
          <w:szCs w:val="22"/>
        </w:rPr>
        <w:t>podepsaná statutárním zástupcem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nebo jím pov</w:t>
      </w:r>
      <w:r w:rsidR="008B2A83" w:rsidRPr="00E62716">
        <w:rPr>
          <w:rFonts w:cs="Arial" w:hint="eastAsia"/>
          <w:szCs w:val="22"/>
        </w:rPr>
        <w:t>ěř</w:t>
      </w:r>
      <w:r w:rsidR="008B2A83" w:rsidRPr="00E62716">
        <w:rPr>
          <w:rFonts w:cs="Arial"/>
          <w:szCs w:val="22"/>
        </w:rPr>
        <w:t>enou osobou. Sumární rekapitulaci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vykazuje souhrnn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za etapu projektu (doporu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ená délka etapy je 3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síce) v 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len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ní po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edkládá tišt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nou i elektronickou verzi Sumární rekapitulace mezd za etapu projektu po jednotlivých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je povinen popsat metodu agregace a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i kontrole na míst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doložit, jak byla agregovaná </w:t>
      </w:r>
      <w:r w:rsidR="008B2A83" w:rsidRPr="00E62716">
        <w:rPr>
          <w:rFonts w:cs="Arial" w:hint="eastAsia"/>
          <w:szCs w:val="22"/>
        </w:rPr>
        <w:t>čí</w:t>
      </w:r>
      <w:r w:rsidR="008B2A83" w:rsidRPr="00E62716">
        <w:rPr>
          <w:rFonts w:cs="Arial"/>
          <w:szCs w:val="22"/>
        </w:rPr>
        <w:t>sla kalkulována a prokázat jejich vazbu na prvotní údaje v ú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etním systému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vede i tabulku po zam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stnancích/pozicích po jednotlivých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sících, která je ov</w:t>
      </w:r>
      <w:r w:rsidR="008B2A83" w:rsidRPr="00E62716">
        <w:rPr>
          <w:rFonts w:cs="Arial" w:hint="eastAsia"/>
          <w:szCs w:val="22"/>
        </w:rPr>
        <w:t>ěř</w:t>
      </w:r>
      <w:r w:rsidR="008B2A83" w:rsidRPr="00E62716">
        <w:rPr>
          <w:rFonts w:cs="Arial"/>
          <w:szCs w:val="22"/>
        </w:rPr>
        <w:t>ována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i kontrole na míst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(viz  Náležitosti dokladování:</w:t>
      </w:r>
      <w:r w:rsidR="0072157E" w:rsidRPr="00E62716">
        <w:t xml:space="preserve"> </w:t>
      </w:r>
      <w:hyperlink r:id="rId35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D73E80">
        <w:rPr>
          <w:rFonts w:ascii="Tahoma" w:hAnsi="Tahoma" w:cs="Arial"/>
          <w:color w:val="0000FF"/>
          <w:szCs w:val="22"/>
          <w:u w:val="single"/>
          <w:lang w:eastAsia="en-US"/>
        </w:rPr>
        <w:t>);</w:t>
      </w:r>
    </w:p>
    <w:p w:rsidR="00BC6374" w:rsidRPr="00E62716" w:rsidRDefault="008B2A83" w:rsidP="00D73E80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estné prohlášení p</w:t>
      </w:r>
      <w:r w:rsidRPr="00E62716">
        <w:rPr>
          <w:rFonts w:cs="Arial" w:hint="eastAsia"/>
          <w:szCs w:val="22"/>
        </w:rPr>
        <w:t>ří</w:t>
      </w:r>
      <w:r w:rsidRPr="00E62716">
        <w:rPr>
          <w:rFonts w:cs="Arial"/>
          <w:szCs w:val="22"/>
        </w:rPr>
        <w:t>jemce o zp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>sobilosti mzdových výdaj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 xml:space="preserve"> a k výpo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 xml:space="preserve">tu alikvotní </w:t>
      </w:r>
      <w:r w:rsidRPr="00E62716">
        <w:rPr>
          <w:rFonts w:cs="Arial" w:hint="eastAsia"/>
          <w:szCs w:val="22"/>
        </w:rPr>
        <w:t>čá</w:t>
      </w:r>
      <w:r w:rsidRPr="00E62716">
        <w:rPr>
          <w:rFonts w:cs="Arial"/>
          <w:szCs w:val="22"/>
        </w:rPr>
        <w:t>sti mzdových výdaj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 xml:space="preserve"> – (viz Náležitosti dokladování:</w:t>
      </w:r>
      <w:r w:rsidR="0072157E" w:rsidRPr="00E62716">
        <w:t xml:space="preserve"> </w:t>
      </w:r>
      <w:hyperlink r:id="rId36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D73E80">
        <w:rPr>
          <w:rFonts w:ascii="Tahoma" w:hAnsi="Tahoma" w:cs="Arial"/>
          <w:color w:val="0000FF"/>
          <w:szCs w:val="22"/>
          <w:u w:val="single"/>
          <w:lang w:eastAsia="en-US"/>
        </w:rPr>
        <w:t>).</w:t>
      </w:r>
      <w:r w:rsidRPr="00E62716">
        <w:rPr>
          <w:rFonts w:cs="Arial"/>
          <w:szCs w:val="22"/>
        </w:rPr>
        <w:t xml:space="preserve"> Veškeré alikvotní </w:t>
      </w:r>
      <w:r w:rsidRPr="00E62716">
        <w:rPr>
          <w:rFonts w:cs="Arial" w:hint="eastAsia"/>
          <w:szCs w:val="22"/>
        </w:rPr>
        <w:t>čá</w:t>
      </w:r>
      <w:r w:rsidRPr="00E62716">
        <w:rPr>
          <w:rFonts w:cs="Arial"/>
          <w:szCs w:val="22"/>
        </w:rPr>
        <w:t>sti budou vypo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teny z pom</w:t>
      </w:r>
      <w:r w:rsidRPr="00E62716">
        <w:rPr>
          <w:rFonts w:cs="Arial" w:hint="eastAsia"/>
          <w:szCs w:val="22"/>
        </w:rPr>
        <w:t>ě</w:t>
      </w:r>
      <w:r w:rsidRPr="00E62716">
        <w:rPr>
          <w:rFonts w:cs="Arial"/>
          <w:szCs w:val="22"/>
        </w:rPr>
        <w:t>ru: skute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n</w:t>
      </w:r>
      <w:r w:rsidRPr="00E62716">
        <w:rPr>
          <w:rFonts w:cs="Arial" w:hint="eastAsia"/>
          <w:szCs w:val="22"/>
        </w:rPr>
        <w:t>ě</w:t>
      </w:r>
      <w:r w:rsidRPr="00E62716">
        <w:rPr>
          <w:rFonts w:cs="Arial"/>
          <w:szCs w:val="22"/>
        </w:rPr>
        <w:t xml:space="preserve"> odpracovaná</w:t>
      </w:r>
      <w:r w:rsidR="003A7627" w:rsidRPr="00E62716">
        <w:rPr>
          <w:rFonts w:cs="Arial"/>
          <w:szCs w:val="22"/>
        </w:rPr>
        <w:t xml:space="preserve"> doba pro projekt za etapu/celkový fond pracovní doby </w:t>
      </w:r>
      <w:r w:rsidR="00BE6454" w:rsidRPr="00E62716">
        <w:rPr>
          <w:rFonts w:cs="Arial"/>
          <w:szCs w:val="22"/>
        </w:rPr>
        <w:t>za etapu bez svátků.</w:t>
      </w:r>
      <w:r w:rsidR="00D84C0F" w:rsidRPr="00E62716">
        <w:rPr>
          <w:rFonts w:cs="Arial"/>
          <w:szCs w:val="22"/>
        </w:rPr>
        <w:t xml:space="preserve"> </w:t>
      </w:r>
      <w:r w:rsidR="00BC03F8" w:rsidRPr="00E62716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62716">
        <w:rPr>
          <w:rFonts w:cs="Arial"/>
          <w:szCs w:val="22"/>
        </w:rPr>
        <w:t xml:space="preserve"> a uvedená alikvotní část mzdových výdajů odpovídá pracovnímu vytížení zaměstnance na daném projektu</w:t>
      </w:r>
      <w:r w:rsidR="00BC03F8" w:rsidRPr="00E62716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 w:rsidRPr="00E62716">
        <w:rPr>
          <w:rFonts w:cs="Arial"/>
          <w:szCs w:val="22"/>
        </w:rPr>
        <w:t>-</w:t>
      </w:r>
      <w:r w:rsidR="00BC03F8" w:rsidRPr="00E62716">
        <w:rPr>
          <w:rFonts w:cs="Arial"/>
          <w:szCs w:val="22"/>
        </w:rPr>
        <w:t>2013;</w:t>
      </w:r>
    </w:p>
    <w:p w:rsidR="00802405" w:rsidRPr="00CE4BA5" w:rsidRDefault="004259BE" w:rsidP="00D73E80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D73E80">
        <w:t>K</w:t>
      </w:r>
      <w:r w:rsidR="00802405" w:rsidRPr="00D73E80">
        <w:t> </w:t>
      </w:r>
      <w:proofErr w:type="spellStart"/>
      <w:r w:rsidR="00802405" w:rsidRPr="00D73E80">
        <w:t>ZŽoP</w:t>
      </w:r>
      <w:proofErr w:type="spellEnd"/>
      <w:r w:rsidR="00802405" w:rsidRPr="00D73E80">
        <w:t xml:space="preserve"> za etapu, ve které </w:t>
      </w:r>
      <w:r w:rsidR="000C07A5" w:rsidRPr="00D73E80">
        <w:t>bude</w:t>
      </w:r>
      <w:r w:rsidR="00802405" w:rsidRPr="00D73E80">
        <w:t xml:space="preserve"> zaměstnanec poprvé hrazen</w:t>
      </w:r>
      <w:r w:rsidR="008C5565" w:rsidRPr="00D73E80">
        <w:t>,</w:t>
      </w:r>
      <w:r w:rsidR="00802405" w:rsidRPr="00D73E80">
        <w:t xml:space="preserve"> nebo </w:t>
      </w:r>
      <w:r w:rsidR="008C5565" w:rsidRPr="00D73E80">
        <w:t xml:space="preserve">k </w:t>
      </w:r>
      <w:proofErr w:type="spellStart"/>
      <w:r w:rsidR="008C5565" w:rsidRPr="00D73E80">
        <w:t>ZŽoP</w:t>
      </w:r>
      <w:proofErr w:type="spellEnd"/>
      <w:r w:rsidR="008C5565" w:rsidRPr="00D73E80">
        <w:t xml:space="preserve"> </w:t>
      </w:r>
      <w:r w:rsidR="00802405" w:rsidRPr="00D73E80">
        <w:t>v případě změny (změna projektu, změna procentního zapojení, změna pozice)</w:t>
      </w:r>
      <w:r w:rsidRPr="00D73E80">
        <w:t xml:space="preserve"> bude přiloženo Prohlášení k vyplácení osobních nákladů zaměstnanci implementujícího DoP/NSRR – příloha č. 5 MP RLZ</w:t>
      </w:r>
      <w:r w:rsidR="005A597C" w:rsidRPr="00D73E80">
        <w:t>;</w:t>
      </w:r>
    </w:p>
    <w:p w:rsidR="005F1F4E" w:rsidRPr="00E62716" w:rsidRDefault="00BC03F8" w:rsidP="00D73E80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E62716">
        <w:rPr>
          <w:rFonts w:cs="Arial"/>
          <w:szCs w:val="22"/>
        </w:rPr>
        <w:t>Oznámení o změnách v</w:t>
      </w:r>
      <w:r w:rsidR="00657A11" w:rsidRPr="00E62716">
        <w:rPr>
          <w:rFonts w:cs="Arial"/>
          <w:szCs w:val="22"/>
        </w:rPr>
        <w:t> projektové žádosti/</w:t>
      </w:r>
      <w:r w:rsidRPr="00E62716">
        <w:rPr>
          <w:rFonts w:cs="Arial"/>
          <w:szCs w:val="22"/>
        </w:rPr>
        <w:t>projektu, pokud je to relevantní</w:t>
      </w:r>
      <w:r w:rsidR="005F1F4E" w:rsidRPr="00E62716">
        <w:rPr>
          <w:rFonts w:cs="Arial"/>
          <w:szCs w:val="22"/>
        </w:rPr>
        <w:t>;</w:t>
      </w:r>
    </w:p>
    <w:p w:rsidR="00BC03F8" w:rsidRPr="00E62716" w:rsidRDefault="005F1F4E" w:rsidP="00D73E80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E62716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E62716">
        <w:rPr>
          <w:rFonts w:cs="Arial"/>
          <w:szCs w:val="22"/>
        </w:rPr>
        <w:t>48.31.01 Počet trval</w:t>
      </w:r>
      <w:r w:rsidR="006F42BA" w:rsidRPr="00E62716">
        <w:rPr>
          <w:rFonts w:cs="Arial"/>
          <w:szCs w:val="22"/>
        </w:rPr>
        <w:t>e</w:t>
      </w:r>
      <w:r w:rsidR="007D102B" w:rsidRPr="00E62716">
        <w:rPr>
          <w:rFonts w:cs="Arial"/>
          <w:szCs w:val="22"/>
        </w:rPr>
        <w:t xml:space="preserve"> zaměstnaných pracovníků</w:t>
      </w:r>
      <w:r w:rsidR="006F42BA" w:rsidRPr="00E62716">
        <w:rPr>
          <w:rFonts w:cs="Arial"/>
          <w:szCs w:val="22"/>
        </w:rPr>
        <w:t xml:space="preserve"> implementační struktury</w:t>
      </w:r>
      <w:r w:rsidRPr="00E62716"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D73E80" w:rsidRDefault="00BC03F8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EF0379">
        <w:rPr>
          <w:b/>
          <w:lang w:val="cs-CZ"/>
        </w:rPr>
        <w:t xml:space="preserve">ŘO OPTP/ZS je oprávněn vyžádat si jakékoli další </w:t>
      </w:r>
      <w:r w:rsidR="00491AFD" w:rsidRPr="00EF0379">
        <w:rPr>
          <w:b/>
          <w:lang w:val="cs-CZ"/>
        </w:rPr>
        <w:t>podklady</w:t>
      </w:r>
      <w:r w:rsidRPr="00EF0379">
        <w:rPr>
          <w:b/>
          <w:lang w:val="cs-CZ"/>
        </w:rPr>
        <w:t xml:space="preserve"> k předloženým dokladům, pokud to bude z hlediska posouzení způsobilosti výdajů žádoucí.</w:t>
      </w:r>
    </w:p>
    <w:p w:rsidR="006E1294" w:rsidRPr="00D73E80" w:rsidRDefault="00BC03F8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F0379">
        <w:rPr>
          <w:rFonts w:cs="Arial"/>
          <w:szCs w:val="24"/>
          <w:lang w:val="cs-CZ"/>
        </w:rPr>
        <w:t xml:space="preserve">V rámci kontroly předložené </w:t>
      </w:r>
      <w:proofErr w:type="spellStart"/>
      <w:r w:rsidR="00491AFD" w:rsidRPr="00EF0379">
        <w:rPr>
          <w:rFonts w:cs="Arial"/>
          <w:szCs w:val="24"/>
          <w:lang w:val="cs-CZ"/>
        </w:rPr>
        <w:t>ZŽoP</w:t>
      </w:r>
      <w:proofErr w:type="spellEnd"/>
      <w:r w:rsidR="00FC22F0" w:rsidRPr="00EF0379">
        <w:rPr>
          <w:rFonts w:cs="Arial"/>
          <w:szCs w:val="24"/>
          <w:lang w:val="cs-CZ"/>
        </w:rPr>
        <w:t xml:space="preserve"> </w:t>
      </w:r>
      <w:r w:rsidRPr="00EF0379">
        <w:rPr>
          <w:rFonts w:cs="Arial"/>
          <w:szCs w:val="24"/>
          <w:lang w:val="cs-CZ"/>
        </w:rPr>
        <w:t xml:space="preserve">za první etapu provede ZS/ŘO </w:t>
      </w:r>
      <w:r w:rsidR="00491AFD" w:rsidRPr="00EF0379">
        <w:rPr>
          <w:rFonts w:cs="Arial"/>
          <w:szCs w:val="24"/>
          <w:lang w:val="cs-CZ"/>
        </w:rPr>
        <w:t xml:space="preserve">OPTP </w:t>
      </w:r>
      <w:r w:rsidRPr="00EF0379">
        <w:rPr>
          <w:rFonts w:cs="Arial"/>
          <w:szCs w:val="24"/>
          <w:lang w:val="cs-CZ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</w:t>
      </w:r>
    </w:p>
    <w:p w:rsidR="00BC03F8" w:rsidRPr="00D73E80" w:rsidRDefault="00374D9A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C839E7">
        <w:rPr>
          <w:rFonts w:cs="Arial"/>
          <w:szCs w:val="24"/>
          <w:lang w:val="cs-CZ"/>
        </w:rPr>
        <w:t xml:space="preserve">Dále budou </w:t>
      </w:r>
      <w:r w:rsidR="006E1294">
        <w:rPr>
          <w:rFonts w:cs="Arial"/>
          <w:szCs w:val="24"/>
          <w:lang w:val="cs-CZ"/>
        </w:rPr>
        <w:t xml:space="preserve">za každou etapu projektu ověřovány </w:t>
      </w:r>
      <w:r w:rsidRPr="00C839E7">
        <w:rPr>
          <w:rFonts w:cs="Arial"/>
          <w:szCs w:val="24"/>
          <w:lang w:val="cs-CZ"/>
        </w:rPr>
        <w:t xml:space="preserve">postupy a podklady </w:t>
      </w:r>
      <w:r w:rsidRPr="00C839E7">
        <w:rPr>
          <w:rFonts w:cs="Arial"/>
          <w:szCs w:val="22"/>
          <w:lang w:val="cs-CZ"/>
        </w:rPr>
        <w:t>k výběro</w:t>
      </w:r>
      <w:r w:rsidR="00C839E7" w:rsidRPr="00C839E7">
        <w:rPr>
          <w:rFonts w:cs="Arial"/>
          <w:szCs w:val="22"/>
          <w:lang w:val="cs-CZ"/>
        </w:rPr>
        <w:t>vým</w:t>
      </w:r>
      <w:r w:rsidRPr="00C839E7">
        <w:rPr>
          <w:rFonts w:cs="Arial"/>
          <w:szCs w:val="22"/>
          <w:lang w:val="cs-CZ"/>
        </w:rPr>
        <w:t xml:space="preserve"> řízení</w:t>
      </w:r>
      <w:r w:rsidR="00C839E7" w:rsidRPr="00C839E7">
        <w:rPr>
          <w:rFonts w:cs="Arial"/>
          <w:szCs w:val="22"/>
          <w:lang w:val="cs-CZ"/>
        </w:rPr>
        <w:t>m</w:t>
      </w:r>
      <w:r w:rsidRPr="00C839E7">
        <w:rPr>
          <w:rFonts w:cs="Arial"/>
          <w:szCs w:val="22"/>
          <w:lang w:val="cs-CZ"/>
        </w:rPr>
        <w:t xml:space="preserve"> na voln</w:t>
      </w:r>
      <w:r w:rsidR="00C839E7" w:rsidRPr="00C839E7">
        <w:rPr>
          <w:rFonts w:cs="Arial"/>
          <w:szCs w:val="22"/>
          <w:lang w:val="cs-CZ"/>
        </w:rPr>
        <w:t>é</w:t>
      </w:r>
      <w:r w:rsidRPr="00C839E7">
        <w:rPr>
          <w:rFonts w:cs="Arial"/>
          <w:szCs w:val="22"/>
          <w:lang w:val="cs-CZ"/>
        </w:rPr>
        <w:t xml:space="preserve"> pracovní pozic</w:t>
      </w:r>
      <w:r w:rsidR="00C839E7" w:rsidRPr="00C839E7">
        <w:rPr>
          <w:rFonts w:cs="Arial"/>
          <w:szCs w:val="22"/>
          <w:lang w:val="cs-CZ"/>
        </w:rPr>
        <w:t>e</w:t>
      </w:r>
      <w:r w:rsidRPr="00C839E7">
        <w:rPr>
          <w:rFonts w:cs="Arial"/>
          <w:szCs w:val="22"/>
          <w:lang w:val="cs-CZ"/>
        </w:rPr>
        <w:t xml:space="preserve"> v souladu s</w:t>
      </w:r>
      <w:r w:rsidR="00C839E7">
        <w:rPr>
          <w:rFonts w:cs="Arial"/>
          <w:szCs w:val="22"/>
          <w:lang w:val="cs-CZ"/>
        </w:rPr>
        <w:t> </w:t>
      </w:r>
      <w:r w:rsidRPr="00C839E7">
        <w:rPr>
          <w:rFonts w:cs="Arial"/>
          <w:szCs w:val="22"/>
          <w:lang w:val="cs-CZ"/>
        </w:rPr>
        <w:t>čl. I, kap. 10., MP RLZ</w:t>
      </w:r>
      <w:r w:rsidR="00C839E7" w:rsidRPr="00D73E80">
        <w:rPr>
          <w:rFonts w:cs="Arial"/>
          <w:szCs w:val="22"/>
          <w:lang w:val="cs-CZ"/>
        </w:rPr>
        <w:t>.</w:t>
      </w:r>
      <w:r w:rsidR="006E1294" w:rsidRPr="00D73E80">
        <w:rPr>
          <w:rFonts w:cs="Arial"/>
          <w:szCs w:val="22"/>
          <w:lang w:val="cs-CZ"/>
        </w:rPr>
        <w:t xml:space="preserve"> </w:t>
      </w:r>
      <w:r w:rsidR="00681552" w:rsidRPr="00D73E80">
        <w:rPr>
          <w:rFonts w:cs="Arial"/>
          <w:szCs w:val="22"/>
          <w:lang w:val="cs-CZ"/>
        </w:rPr>
        <w:t>Rov</w:t>
      </w:r>
      <w:r w:rsidR="00C16B1D">
        <w:rPr>
          <w:rFonts w:cs="Arial"/>
          <w:szCs w:val="22"/>
          <w:lang w:val="cs-CZ"/>
        </w:rPr>
        <w:t>n</w:t>
      </w:r>
      <w:r w:rsidR="00681552" w:rsidRPr="00D73E80">
        <w:rPr>
          <w:rFonts w:cs="Arial"/>
          <w:szCs w:val="22"/>
          <w:lang w:val="cs-CZ"/>
        </w:rPr>
        <w:t xml:space="preserve">ěž </w:t>
      </w:r>
      <w:r w:rsidR="006E1294" w:rsidRPr="00D73E80">
        <w:rPr>
          <w:rFonts w:cs="Arial"/>
          <w:szCs w:val="22"/>
          <w:lang w:val="cs-CZ"/>
        </w:rPr>
        <w:t xml:space="preserve">bude </w:t>
      </w:r>
      <w:r w:rsidR="006E1294" w:rsidRPr="00D73E80">
        <w:rPr>
          <w:rFonts w:cs="Arial"/>
          <w:szCs w:val="22"/>
          <w:lang w:val="cs-CZ"/>
        </w:rPr>
        <w:lastRenderedPageBreak/>
        <w:t xml:space="preserve">ověřováno prokazatelné seznámení nových zaměstnanců s Etickým kodexem (čl. II., kap. 10 MP RLZ). </w:t>
      </w:r>
      <w:r w:rsidR="00BC03F8" w:rsidRPr="00EF0379">
        <w:rPr>
          <w:rFonts w:cs="Arial"/>
          <w:szCs w:val="24"/>
          <w:lang w:val="cs-CZ"/>
        </w:rPr>
        <w:t xml:space="preserve">I v následujících etapách může ZS/ŘO OPTP provést kontrolu na místě, kdy kontrolou </w:t>
      </w:r>
      <w:r w:rsidR="00657A11" w:rsidRPr="00EF0379">
        <w:rPr>
          <w:rFonts w:cs="Arial"/>
          <w:szCs w:val="24"/>
          <w:lang w:val="cs-CZ"/>
        </w:rPr>
        <w:t xml:space="preserve">na vybraném vzorku z </w:t>
      </w:r>
      <w:r w:rsidR="00BC03F8" w:rsidRPr="00EF0379">
        <w:rPr>
          <w:rFonts w:cs="Arial"/>
          <w:szCs w:val="24"/>
          <w:lang w:val="cs-CZ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9" w:name="_Toc190584495"/>
      <w:bookmarkStart w:id="360" w:name="_Toc190587044"/>
      <w:bookmarkStart w:id="361" w:name="_Toc190587113"/>
      <w:bookmarkStart w:id="362" w:name="_Toc204065696"/>
      <w:bookmarkStart w:id="363" w:name="_Toc243199661"/>
      <w:bookmarkStart w:id="364" w:name="_Toc418076365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9"/>
      <w:bookmarkEnd w:id="360"/>
      <w:bookmarkEnd w:id="361"/>
      <w:bookmarkEnd w:id="362"/>
      <w:bookmarkEnd w:id="363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4"/>
    </w:p>
    <w:p w:rsidR="000026C2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</w:t>
      </w:r>
      <w:r w:rsidR="00BA4CD9">
        <w:rPr>
          <w:rFonts w:cs="Arial"/>
          <w:szCs w:val="24"/>
          <w:lang w:val="cs-CZ"/>
        </w:rPr>
        <w:t>i</w:t>
      </w:r>
      <w:r w:rsidR="00C023BC" w:rsidRPr="00E25F3B">
        <w:rPr>
          <w:rFonts w:cs="Arial"/>
          <w:szCs w:val="24"/>
          <w:lang w:val="cs-CZ"/>
        </w:rPr>
        <w:t xml:space="preserve">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5E76A6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 xml:space="preserve">Příjemce ohlašuje změny 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</w:p>
    <w:p w:rsidR="005E76A6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projektové žádosti</w:t>
      </w:r>
      <w:r>
        <w:rPr>
          <w:lang w:val="cs-CZ"/>
        </w:rPr>
        <w:t xml:space="preserve"> je formulář Oznámení příjemce o změnách v projektové žádosti zasílán na ZS (v případě projektů CRR na ŘO OPTP). </w:t>
      </w:r>
    </w:p>
    <w:p w:rsidR="00C624E4" w:rsidRPr="00D73E80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ascii="Tahoma" w:hAnsi="Tahoma" w:cs="Tahoma"/>
          <w:lang w:val="cs-CZ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projektu</w:t>
      </w:r>
      <w:r>
        <w:rPr>
          <w:lang w:val="cs-CZ"/>
        </w:rPr>
        <w:t xml:space="preserve"> je </w:t>
      </w:r>
      <w:r w:rsidR="00C624E4">
        <w:rPr>
          <w:lang w:val="cs-CZ"/>
        </w:rPr>
        <w:t xml:space="preserve">statutárním zástupcem podepsaný </w:t>
      </w:r>
      <w:r>
        <w:rPr>
          <w:lang w:val="cs-CZ"/>
        </w:rPr>
        <w:t xml:space="preserve">formulář Oznámení příjemce o změnách v projektu </w:t>
      </w:r>
      <w:r w:rsidR="00430006">
        <w:rPr>
          <w:lang w:val="cs-CZ"/>
        </w:rPr>
        <w:t xml:space="preserve">zasílán emailem </w:t>
      </w:r>
      <w:r w:rsidR="00430006" w:rsidRPr="00430006">
        <w:rPr>
          <w:rFonts w:ascii="Tahoma" w:hAnsi="Tahoma" w:cs="Tahoma"/>
          <w:lang w:val="cs-CZ"/>
        </w:rPr>
        <w:t xml:space="preserve">ve formě </w:t>
      </w:r>
      <w:proofErr w:type="spellStart"/>
      <w:r w:rsidR="00430006" w:rsidRPr="00430006">
        <w:rPr>
          <w:rFonts w:ascii="Tahoma" w:hAnsi="Tahoma" w:cs="Tahoma"/>
          <w:lang w:val="cs-CZ"/>
        </w:rPr>
        <w:t>skenu</w:t>
      </w:r>
      <w:proofErr w:type="spellEnd"/>
      <w:r w:rsidR="00430006" w:rsidRPr="00430006">
        <w:rPr>
          <w:rFonts w:ascii="Tahoma" w:hAnsi="Tahoma" w:cs="Tahoma"/>
          <w:lang w:val="cs-CZ"/>
        </w:rPr>
        <w:t xml:space="preserve"> na </w:t>
      </w:r>
      <w:r w:rsidR="00CB65BC">
        <w:rPr>
          <w:rFonts w:ascii="Tahoma" w:hAnsi="Tahoma" w:cs="Tahoma"/>
          <w:lang w:val="cs-CZ"/>
        </w:rPr>
        <w:t xml:space="preserve">mailovou </w:t>
      </w:r>
      <w:r w:rsidR="00430006" w:rsidRPr="00430006">
        <w:rPr>
          <w:rFonts w:ascii="Tahoma" w:hAnsi="Tahoma" w:cs="Tahoma"/>
          <w:lang w:val="cs-CZ"/>
        </w:rPr>
        <w:t>adresu vedoucího od</w:t>
      </w:r>
      <w:r w:rsidR="00430006">
        <w:rPr>
          <w:rFonts w:ascii="Tahoma" w:hAnsi="Tahoma" w:cs="Tahoma"/>
          <w:lang w:val="cs-CZ"/>
        </w:rPr>
        <w:t>dělení řízení a evaluace OPTP (jedná-li se o projekt ŘO OPTP</w:t>
      </w:r>
      <w:r w:rsidR="00CB65BC">
        <w:rPr>
          <w:rFonts w:ascii="Tahoma" w:hAnsi="Tahoma" w:cs="Tahoma"/>
          <w:lang w:val="cs-CZ"/>
        </w:rPr>
        <w:t>,</w:t>
      </w:r>
      <w:r w:rsidR="00430006">
        <w:rPr>
          <w:rFonts w:ascii="Tahoma" w:hAnsi="Tahoma" w:cs="Tahoma"/>
          <w:lang w:val="cs-CZ"/>
        </w:rPr>
        <w:t xml:space="preserve"> je formulář zaslán na FÚ1)</w:t>
      </w:r>
      <w:r w:rsidR="00430006" w:rsidRPr="00430006">
        <w:rPr>
          <w:rFonts w:ascii="Tahoma" w:hAnsi="Tahoma" w:cs="Tahoma"/>
          <w:lang w:val="cs-CZ"/>
        </w:rPr>
        <w:t>.</w:t>
      </w:r>
      <w:r w:rsidR="00430006" w:rsidRPr="00D73E80">
        <w:rPr>
          <w:rFonts w:ascii="Tahoma" w:hAnsi="Tahoma" w:cs="Tahoma"/>
          <w:lang w:val="cs-CZ"/>
        </w:rPr>
        <w:t xml:space="preserve"> </w:t>
      </w:r>
    </w:p>
    <w:p w:rsidR="00F40820" w:rsidRDefault="007F17E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Pr="007F17E6">
        <w:rPr>
          <w:lang w:val="cs-CZ"/>
        </w:rPr>
        <w:t>uvedena původní a požadovaná nová hodnota</w:t>
      </w:r>
      <w:r>
        <w:rPr>
          <w:lang w:val="cs-CZ"/>
        </w:rPr>
        <w:t>.</w:t>
      </w:r>
      <w:r w:rsidRPr="007F17E6">
        <w:rPr>
          <w:lang w:val="cs-CZ"/>
        </w:rPr>
        <w:t xml:space="preserve"> </w:t>
      </w:r>
      <w:r w:rsidR="00DA5289" w:rsidRPr="007F17E6">
        <w:rPr>
          <w:lang w:val="cs-CZ"/>
        </w:rPr>
        <w:t>Popis</w:t>
      </w:r>
      <w:r w:rsidR="00DA5289"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="00DA5289"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</w:t>
      </w:r>
      <w:r w:rsidR="00BD4485">
        <w:rPr>
          <w:rFonts w:cs="Arial"/>
          <w:szCs w:val="22"/>
        </w:rPr>
        <w:t xml:space="preserve">předložení </w:t>
      </w:r>
      <w:r w:rsidRPr="00D87FF3">
        <w:rPr>
          <w:rFonts w:cs="Arial"/>
          <w:szCs w:val="22"/>
        </w:rPr>
        <w:t xml:space="preserve">projektové žádosti </w:t>
      </w:r>
      <w:r w:rsidR="00BD4485">
        <w:rPr>
          <w:rFonts w:cs="Arial"/>
          <w:szCs w:val="22"/>
        </w:rPr>
        <w:t>na ZS/ŘO OPTP</w:t>
      </w:r>
      <w:r w:rsidRPr="00D87FF3">
        <w:rPr>
          <w:rFonts w:cs="Arial"/>
          <w:szCs w:val="22"/>
        </w:rPr>
        <w:t xml:space="preserve">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</w:t>
      </w:r>
      <w:r w:rsidR="00BA4CD9">
        <w:rPr>
          <w:rFonts w:cs="Arial"/>
          <w:szCs w:val="22"/>
        </w:rPr>
        <w:t>i</w:t>
      </w:r>
      <w:r w:rsidR="0083180A" w:rsidRPr="00D87FF3">
        <w:rPr>
          <w:rFonts w:cs="Arial"/>
          <w:szCs w:val="22"/>
        </w:rPr>
        <w:t>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</w:t>
      </w:r>
      <w:r w:rsidR="00BD4485">
        <w:rPr>
          <w:rFonts w:cs="Arial"/>
          <w:szCs w:val="22"/>
        </w:rPr>
        <w:t>projektovou žádost</w:t>
      </w:r>
      <w:r w:rsidR="00BD4485" w:rsidRPr="00D87FF3">
        <w:rPr>
          <w:rFonts w:cs="Arial"/>
          <w:szCs w:val="22"/>
        </w:rPr>
        <w:t xml:space="preserve"> </w:t>
      </w:r>
      <w:r w:rsidR="00ED5FA3" w:rsidRPr="00D87FF3">
        <w:rPr>
          <w:rFonts w:cs="Arial"/>
          <w:szCs w:val="22"/>
        </w:rPr>
        <w:t>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</w:t>
      </w:r>
      <w:r w:rsidR="00BA4CD9">
        <w:rPr>
          <w:rFonts w:cs="Arial"/>
          <w:szCs w:val="22"/>
        </w:rPr>
        <w:t>i</w:t>
      </w:r>
      <w:r w:rsidRPr="00D87FF3">
        <w:rPr>
          <w:rFonts w:cs="Arial"/>
          <w:szCs w:val="22"/>
        </w:rPr>
        <w:t>cího dokumentu (tj. Stanovení výdajů nebo Rozhodnutí)</w:t>
      </w:r>
      <w:r w:rsidR="00B37990" w:rsidRPr="00D87FF3">
        <w:rPr>
          <w:rFonts w:cs="Arial"/>
          <w:szCs w:val="22"/>
        </w:rPr>
        <w:t xml:space="preserve"> do </w:t>
      </w:r>
      <w:r w:rsidR="00942E6D">
        <w:rPr>
          <w:rFonts w:cs="Arial"/>
          <w:szCs w:val="22"/>
        </w:rPr>
        <w:t xml:space="preserve">ukončení </w:t>
      </w:r>
      <w:r w:rsidR="00942E6D" w:rsidRPr="00D87FF3">
        <w:rPr>
          <w:rFonts w:cs="Arial"/>
          <w:szCs w:val="22"/>
        </w:rPr>
        <w:t xml:space="preserve"> </w:t>
      </w:r>
      <w:r w:rsidR="00942E6D">
        <w:rPr>
          <w:rFonts w:cs="Arial"/>
          <w:szCs w:val="22"/>
        </w:rPr>
        <w:t>realizace projektu</w:t>
      </w:r>
      <w:r w:rsidR="00B37990" w:rsidRPr="00D87FF3">
        <w:rPr>
          <w:rFonts w:cs="Arial"/>
          <w:szCs w:val="22"/>
        </w:rPr>
        <w:t xml:space="preserve">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</w:t>
      </w:r>
      <w:r w:rsidR="0010668B">
        <w:rPr>
          <w:lang w:val="cs-CZ"/>
        </w:rPr>
        <w:t xml:space="preserve"> na </w:t>
      </w:r>
      <w:r w:rsidR="00863997">
        <w:rPr>
          <w:lang w:val="cs-CZ"/>
        </w:rPr>
        <w:t>dvě desetinná místa</w:t>
      </w:r>
      <w:r w:rsidR="0010668B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</w:t>
      </w:r>
      <w:r w:rsidR="00E46741">
        <w:rPr>
          <w:lang w:val="cs-CZ"/>
        </w:rPr>
        <w:t> </w:t>
      </w:r>
      <w:r w:rsidR="00BC4111">
        <w:rPr>
          <w:lang w:val="cs-CZ"/>
        </w:rPr>
        <w:t>haléřích</w:t>
      </w:r>
      <w:r w:rsidR="00E46741">
        <w:rPr>
          <w:lang w:val="cs-CZ"/>
        </w:rPr>
        <w:t xml:space="preserve"> </w:t>
      </w:r>
      <w:r w:rsidR="00411B81">
        <w:rPr>
          <w:lang w:val="cs-CZ"/>
        </w:rPr>
        <w:t>v rámci</w:t>
      </w:r>
      <w:r w:rsidR="00E46741">
        <w:rPr>
          <w:lang w:val="cs-CZ"/>
        </w:rPr>
        <w:t xml:space="preserve"> projekt</w:t>
      </w:r>
      <w:r w:rsidR="00411B81">
        <w:rPr>
          <w:lang w:val="cs-CZ"/>
        </w:rPr>
        <w:t>ů</w:t>
      </w:r>
      <w:r w:rsidR="00E46741">
        <w:rPr>
          <w:lang w:val="cs-CZ"/>
        </w:rPr>
        <w:t xml:space="preserve"> MMR a CRR</w:t>
      </w:r>
      <w:r w:rsidR="00BC4111">
        <w:rPr>
          <w:lang w:val="cs-CZ"/>
        </w:rPr>
        <w:t>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příjemce zjistí, že nemůže zabezpečit realizaci akce (projektu) v souladu s říd</w:t>
      </w:r>
      <w:r w:rsidR="00BA4CD9">
        <w:rPr>
          <w:lang w:val="cs-CZ"/>
        </w:rPr>
        <w:t>i</w:t>
      </w:r>
      <w:r w:rsidRPr="003C70F9">
        <w:rPr>
          <w:lang w:val="cs-CZ"/>
        </w:rPr>
        <w:t xml:space="preserve">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 a požádá ho, aby rozhodl o schválení změny projektu a vydal nový dokument. </w:t>
      </w:r>
    </w:p>
    <w:p w:rsidR="00CB3CCF" w:rsidRPr="003C70F9" w:rsidRDefault="000A2BF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O změnách </w:t>
      </w:r>
      <w:r w:rsidR="008A40AA" w:rsidRPr="008A40AA">
        <w:rPr>
          <w:b/>
          <w:lang w:val="cs-CZ"/>
        </w:rPr>
        <w:t>v projektové žádosti</w:t>
      </w:r>
      <w:r>
        <w:rPr>
          <w:lang w:val="cs-CZ"/>
        </w:rPr>
        <w:t xml:space="preserve"> rozhoduje ŘO OPTP</w:t>
      </w:r>
      <w:r w:rsidR="00CB65BC">
        <w:rPr>
          <w:lang w:val="cs-CZ"/>
        </w:rPr>
        <w:t xml:space="preserve"> (u projektů CRR)</w:t>
      </w:r>
      <w:r>
        <w:rPr>
          <w:lang w:val="cs-CZ"/>
        </w:rPr>
        <w:t>/</w:t>
      </w:r>
      <w:r w:rsidR="00CB65BC">
        <w:rPr>
          <w:lang w:val="cs-CZ"/>
        </w:rPr>
        <w:t xml:space="preserve"> </w:t>
      </w:r>
      <w:r>
        <w:rPr>
          <w:lang w:val="cs-CZ"/>
        </w:rPr>
        <w:t>ZS/FÚ1</w:t>
      </w:r>
      <w:r w:rsidR="00CB65BC">
        <w:rPr>
          <w:lang w:val="cs-CZ"/>
        </w:rPr>
        <w:t xml:space="preserve">. </w:t>
      </w:r>
      <w:r w:rsidR="00CB65BC">
        <w:rPr>
          <w:b/>
          <w:lang w:val="cs-CZ"/>
        </w:rPr>
        <w:t>Z</w:t>
      </w:r>
      <w:r w:rsidR="008A40AA" w:rsidRPr="008A40AA">
        <w:rPr>
          <w:b/>
          <w:lang w:val="cs-CZ"/>
        </w:rPr>
        <w:t>měny projektu</w:t>
      </w:r>
      <w:r w:rsidR="00DA5289" w:rsidRPr="003C70F9">
        <w:rPr>
          <w:lang w:val="cs-CZ"/>
        </w:rPr>
        <w:t xml:space="preserve"> je možno provádět p</w:t>
      </w:r>
      <w:r w:rsidR="00927017" w:rsidRPr="003C70F9">
        <w:rPr>
          <w:lang w:val="cs-CZ"/>
        </w:rPr>
        <w:t>ouze se souhlasem ŘO OPTP</w:t>
      </w:r>
      <w:r w:rsidR="00CB65BC">
        <w:rPr>
          <w:lang w:val="cs-CZ"/>
        </w:rPr>
        <w:t>;</w:t>
      </w:r>
      <w:r w:rsidR="00780406" w:rsidRPr="003C70F9">
        <w:rPr>
          <w:lang w:val="cs-CZ"/>
        </w:rPr>
        <w:t xml:space="preserve">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změně </w:t>
      </w:r>
      <w:r w:rsidR="00133C20">
        <w:rPr>
          <w:lang w:val="cs-CZ"/>
        </w:rPr>
        <w:t>FÚ1</w:t>
      </w:r>
      <w:r w:rsidR="00912650" w:rsidRPr="003C70F9">
        <w:rPr>
          <w:lang w:val="cs-CZ"/>
        </w:rPr>
        <w:t>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Kroky k provedení změny </w:t>
      </w:r>
      <w:r w:rsidR="00133C20">
        <w:rPr>
          <w:lang w:val="cs-CZ"/>
        </w:rPr>
        <w:t>a</w:t>
      </w:r>
      <w:r w:rsidR="00133C20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komunikaci s příjemcem zajistí </w:t>
      </w:r>
      <w:r w:rsidR="00133C20">
        <w:rPr>
          <w:lang w:val="cs-CZ"/>
        </w:rPr>
        <w:t>ŘO OPTP ve spolupráci s</w:t>
      </w:r>
      <w:r>
        <w:rPr>
          <w:lang w:val="cs-CZ"/>
        </w:rPr>
        <w:t xml:space="preserve"> FÚ1 a </w:t>
      </w:r>
      <w:r w:rsidR="00935B4D" w:rsidRPr="003C70F9">
        <w:rPr>
          <w:lang w:val="cs-CZ"/>
        </w:rPr>
        <w:t>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lastRenderedPageBreak/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3C70F9">
        <w:rPr>
          <w:lang w:val="cs-CZ"/>
        </w:rPr>
        <w:t>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O OPTP </w:t>
      </w:r>
      <w:proofErr w:type="spellStart"/>
      <w:r w:rsidRPr="006A1E2B">
        <w:rPr>
          <w:rFonts w:cs="Arial"/>
          <w:szCs w:val="22"/>
        </w:rPr>
        <w:t>zadministrovat</w:t>
      </w:r>
      <w:proofErr w:type="spellEnd"/>
      <w:r w:rsidRPr="006A1E2B">
        <w:rPr>
          <w:rFonts w:cs="Arial"/>
          <w:szCs w:val="22"/>
        </w:rPr>
        <w:t>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Pr="004032B9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</w:t>
      </w:r>
      <w:r w:rsidR="00361DFD">
        <w:rPr>
          <w:rFonts w:cs="Arial"/>
          <w:szCs w:val="22"/>
        </w:rPr>
        <w:t xml:space="preserve"> </w:t>
      </w:r>
      <w:r w:rsidR="00F67DB8" w:rsidRPr="00F67DB8">
        <w:rPr>
          <w:rFonts w:cs="Arial"/>
          <w:szCs w:val="22"/>
        </w:rPr>
        <w:t xml:space="preserve">tuto změnu </w:t>
      </w:r>
      <w:r w:rsidR="00361DFD">
        <w:rPr>
          <w:rFonts w:cs="Arial"/>
          <w:szCs w:val="22"/>
        </w:rPr>
        <w:t xml:space="preserve">je třeba </w:t>
      </w:r>
      <w:r w:rsidR="00F67DB8" w:rsidRPr="00F67DB8">
        <w:rPr>
          <w:rFonts w:cs="Arial"/>
          <w:szCs w:val="22"/>
        </w:rPr>
        <w:t xml:space="preserve">oznámit </w:t>
      </w:r>
      <w:r w:rsidR="00361DFD">
        <w:rPr>
          <w:rFonts w:cs="Arial"/>
          <w:szCs w:val="22"/>
        </w:rPr>
        <w:t>dle této kapitoly</w:t>
      </w:r>
      <w:r w:rsidR="00F67DB8" w:rsidRPr="00F67DB8">
        <w:rPr>
          <w:rFonts w:cs="Arial"/>
          <w:szCs w:val="22"/>
        </w:rPr>
        <w:t>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 xml:space="preserve">změna </w:t>
      </w:r>
      <w:r w:rsidR="00133C20">
        <w:rPr>
          <w:rFonts w:cs="Arial"/>
          <w:szCs w:val="22"/>
        </w:rPr>
        <w:t xml:space="preserve">příjmového </w:t>
      </w:r>
      <w:r w:rsidRPr="0090591D">
        <w:rPr>
          <w:rFonts w:cs="Arial"/>
          <w:szCs w:val="22"/>
        </w:rPr>
        <w:t>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361DFD" w:rsidRPr="00D73E80" w:rsidRDefault="00361DFD" w:rsidP="00361DFD">
      <w:pPr>
        <w:spacing w:before="60"/>
        <w:rPr>
          <w:rFonts w:cs="Arial"/>
        </w:rPr>
      </w:pPr>
      <w:r w:rsidRPr="00D73E80">
        <w:rPr>
          <w:rFonts w:cs="Arial"/>
        </w:rPr>
        <w:t>Upřesnění k bodu 9. Příjemce neohlašuje změny prostřednictvím Oznámení příjemce o změnách v projektové žádosti/projektu, pokud se jedná o zadávání veřejné zakázky na základě  rámcové smlouvy uzavřené pouze s jedním uchazečem dle § 92 odst. 1 písm. b) zákona č. 137/2006 Sb., o veřejných zakázkách, ve znění pozdějších předpisů (dále „ZVZ“). Tuto změnu stačí uvést až při předložení EMZ. Pokud se jedná o zadávání veřejné zakázky na základě rámcové smlouvy</w:t>
      </w:r>
      <w:r w:rsidR="00853BEF" w:rsidRPr="00D73E80">
        <w:rPr>
          <w:rFonts w:cs="Arial"/>
        </w:rPr>
        <w:t xml:space="preserve"> </w:t>
      </w:r>
      <w:r w:rsidRPr="00D73E80">
        <w:rPr>
          <w:rFonts w:cs="Arial"/>
        </w:rPr>
        <w:t>uzavřené s více uchazeči dle § 92 odst. 2 a 3 ZVZ. Oznámení příjemce o změnách v projektové žádosti/projektu příjemce předkládá v souladu s touto kapitolou PŽP. V případě VZMR se postupuje analogicky.</w:t>
      </w:r>
    </w:p>
    <w:p w:rsidR="00361DFD" w:rsidRPr="00CE4BA5" w:rsidRDefault="00A408BF" w:rsidP="00931C95">
      <w:pPr>
        <w:spacing w:before="60"/>
        <w:rPr>
          <w:rFonts w:cs="Arial"/>
          <w:szCs w:val="22"/>
          <w:lang w:eastAsia="en-US"/>
        </w:rPr>
      </w:pPr>
      <w:r w:rsidRPr="00CE4BA5">
        <w:rPr>
          <w:rFonts w:cs="Arial"/>
          <w:szCs w:val="22"/>
          <w:lang w:eastAsia="en-US"/>
        </w:rPr>
        <w:t>P</w:t>
      </w:r>
      <w:r w:rsidR="00853BEF" w:rsidRPr="00CE4BA5">
        <w:rPr>
          <w:rFonts w:cs="Arial"/>
          <w:szCs w:val="22"/>
          <w:lang w:eastAsia="en-US"/>
        </w:rPr>
        <w:t>lnění z RS dle §</w:t>
      </w:r>
      <w:r w:rsidR="009F7804" w:rsidRPr="00CE4BA5">
        <w:rPr>
          <w:rFonts w:cs="Arial"/>
          <w:szCs w:val="22"/>
          <w:lang w:eastAsia="en-US"/>
        </w:rPr>
        <w:t xml:space="preserve"> </w:t>
      </w:r>
      <w:r w:rsidR="00853BEF" w:rsidRPr="00CE4BA5">
        <w:rPr>
          <w:rFonts w:cs="Arial"/>
          <w:szCs w:val="22"/>
          <w:lang w:eastAsia="en-US"/>
        </w:rPr>
        <w:t>92 odst. 1) písm. a) není v IS M7</w:t>
      </w:r>
      <w:r w:rsidR="009F7804" w:rsidRPr="00CE4BA5">
        <w:rPr>
          <w:rFonts w:cs="Arial"/>
          <w:szCs w:val="22"/>
          <w:lang w:eastAsia="en-US"/>
        </w:rPr>
        <w:t>+</w:t>
      </w:r>
      <w:r w:rsidR="00853BEF" w:rsidRPr="00CE4BA5">
        <w:rPr>
          <w:rFonts w:cs="Arial"/>
          <w:szCs w:val="22"/>
          <w:lang w:eastAsia="en-US"/>
        </w:rPr>
        <w:t xml:space="preserve"> sledováno a nezadává se jako samostatné VŘ</w:t>
      </w:r>
      <w:r w:rsidRPr="00CE4BA5">
        <w:rPr>
          <w:rFonts w:cs="Arial"/>
          <w:szCs w:val="22"/>
          <w:lang w:eastAsia="en-US"/>
        </w:rPr>
        <w:t>.</w:t>
      </w:r>
    </w:p>
    <w:p w:rsidR="009F7804" w:rsidRDefault="009F7804" w:rsidP="00931C95">
      <w:pPr>
        <w:spacing w:before="60"/>
        <w:rPr>
          <w:rFonts w:cs="Arial"/>
          <w:szCs w:val="22"/>
        </w:rPr>
      </w:pPr>
    </w:p>
    <w:p w:rsidR="00495543" w:rsidRDefault="00CD11D7" w:rsidP="00EF0379">
      <w:pPr>
        <w:spacing w:before="60" w:after="12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</w:t>
      </w:r>
      <w:proofErr w:type="spellStart"/>
      <w:r w:rsidR="00495543">
        <w:t>narozpočtovaných</w:t>
      </w:r>
      <w:proofErr w:type="spellEnd"/>
      <w:r w:rsidR="00495543">
        <w:t xml:space="preserve"> pro jeho odbor v rámci OPTP je dostačující k provedení požadované změny. V případě potřeby navýšení </w:t>
      </w:r>
      <w:r w:rsidR="00495543">
        <w:lastRenderedPageBreak/>
        <w:t>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BC6374" w:rsidRDefault="008B2A83" w:rsidP="00EF0379">
      <w:pPr>
        <w:spacing w:before="60" w:after="12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</w:t>
      </w:r>
      <w:r w:rsidR="00BA4CD9">
        <w:t>i</w:t>
      </w:r>
      <w:r w:rsidRPr="008B2A83">
        <w:t>cího dokumentu, kdy příjemce nepodává Oznámení příjemce o změně</w:t>
      </w:r>
      <w:r w:rsidR="000A2BF3">
        <w:t xml:space="preserve"> v projektu</w:t>
      </w:r>
      <w:r w:rsidRPr="008B2A83">
        <w:t>, ale e-mailem žádá FÚ1 o úpravu</w:t>
      </w:r>
      <w:r w:rsidR="00FE0A42">
        <w:t xml:space="preserve"> </w:t>
      </w:r>
      <w:r w:rsidRPr="008B2A83">
        <w:t>v DIS a v rozpočtu odboru. Změnu v rozdělení investičních/neinvestičních nákladů, lze technickým změnovým říd</w:t>
      </w:r>
      <w:r w:rsidR="00BA4CD9">
        <w:t>i</w:t>
      </w:r>
      <w:r w:rsidRPr="008B2A83">
        <w:t xml:space="preserve">cím dokumentem řešit pouze při podání </w:t>
      </w:r>
      <w:proofErr w:type="spellStart"/>
      <w:r w:rsidRPr="008B2A83">
        <w:t>ZŽoP</w:t>
      </w:r>
      <w:proofErr w:type="spellEnd"/>
      <w:r w:rsidRPr="008B2A83">
        <w:t xml:space="preserve">. </w:t>
      </w:r>
      <w:r w:rsidR="00F777A7" w:rsidRPr="0053053E">
        <w:t>Technický změnový říd</w:t>
      </w:r>
      <w:r w:rsidR="00BA4CD9">
        <w:t>i</w:t>
      </w:r>
      <w:r w:rsidR="00F777A7" w:rsidRPr="0053053E">
        <w:t>cí dokument je vydáván na základě Pokynu MF č. R1-2010 čl. 2 písmene p) a q).</w:t>
      </w:r>
    </w:p>
    <w:p w:rsidR="00127D82" w:rsidRDefault="008B2A83" w:rsidP="00EF0379">
      <w:pPr>
        <w:spacing w:before="60" w:after="12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C624E4" w:rsidRDefault="008A40AA" w:rsidP="00EF0379">
      <w:pPr>
        <w:spacing w:before="60" w:after="120"/>
        <w:rPr>
          <w:rFonts w:ascii="Tahoma" w:hAnsi="Tahoma" w:cs="Tahoma"/>
        </w:rPr>
      </w:pPr>
      <w:r w:rsidRPr="008A40AA">
        <w:rPr>
          <w:rFonts w:cs="Arial"/>
        </w:rPr>
        <w:t>V případě schválení požadované změny v projektu je tato změna popsána v Protokolu o provedení změny v IS MONIT 7+, který je společně s průvodním dopisem odeslán pobočkou CRR příjemci pro informaci.</w:t>
      </w:r>
    </w:p>
    <w:p w:rsidR="00C624E4" w:rsidRPr="00D26272" w:rsidRDefault="008A40AA">
      <w:pPr>
        <w:spacing w:before="60"/>
      </w:pPr>
      <w:r w:rsidRPr="008A40AA">
        <w:rPr>
          <w:rFonts w:cs="Arial"/>
        </w:rPr>
        <w:t xml:space="preserve">V případě neschválení požadované změny v projektu je o této skutečnosti příjemce emailem informován vedoucím řízení a evaluace OPTP (u projektů ŘO OPTP vedoucím oddělení administrace programů EU – FÚ1). </w:t>
      </w:r>
    </w:p>
    <w:p w:rsidR="00D60020" w:rsidRDefault="00D60020">
      <w:pPr>
        <w:spacing w:before="60"/>
      </w:pPr>
    </w:p>
    <w:p w:rsidR="00CF7F52" w:rsidRPr="00D26272" w:rsidRDefault="008A40AA" w:rsidP="00CF7F52">
      <w:pPr>
        <w:rPr>
          <w:iCs/>
        </w:rPr>
      </w:pPr>
      <w:r w:rsidRPr="008A40AA">
        <w:rPr>
          <w:b/>
          <w:bCs/>
          <w:iCs/>
        </w:rPr>
        <w:t>Nedočerpání rozpočtu etapy bez žádosti příjemce o převod do etap následujících</w:t>
      </w:r>
    </w:p>
    <w:p w:rsidR="00CF7F52" w:rsidRDefault="00CF7F52" w:rsidP="00CF7F52"/>
    <w:p w:rsidR="00CF7F52" w:rsidRPr="00D73E80" w:rsidRDefault="00CF7F52" w:rsidP="00EF0379">
      <w:pPr>
        <w:spacing w:before="60" w:after="120"/>
        <w:rPr>
          <w:rFonts w:cs="Arial"/>
        </w:rPr>
      </w:pPr>
      <w:r w:rsidRPr="00D73E80">
        <w:rPr>
          <w:rFonts w:cs="Arial"/>
        </w:rPr>
        <w:t xml:space="preserve">V případě, že si příjemce, který je z řad MMR, nepožádá o převod nevyčerpaných finančních prostředků </w:t>
      </w:r>
      <w:r w:rsidR="00D26272" w:rsidRPr="00D73E80">
        <w:rPr>
          <w:rFonts w:cs="Arial"/>
        </w:rPr>
        <w:t xml:space="preserve">z </w:t>
      </w:r>
      <w:r w:rsidRPr="00D73E80">
        <w:rPr>
          <w:rFonts w:cs="Arial"/>
        </w:rPr>
        <w:t xml:space="preserve">aktuální etapy do etap následujících, CRR bez žádosti příjemce upraví etapu projektu, čímž dojde ke snížení celkového rozpočtu projektu. CRR v emailu se zasláním naskenované podepsané </w:t>
      </w:r>
      <w:proofErr w:type="spellStart"/>
      <w:r w:rsidRPr="00D73E80">
        <w:rPr>
          <w:rFonts w:cs="Arial"/>
        </w:rPr>
        <w:t>ŽoP</w:t>
      </w:r>
      <w:proofErr w:type="spellEnd"/>
      <w:r w:rsidRPr="00D73E80">
        <w:rPr>
          <w:rFonts w:cs="Arial"/>
        </w:rPr>
        <w:t xml:space="preserve"> zároveň požádá  ŘO OPTP o vydání technického Stanovení výdajů na financování akce OSS na sníženou částku rozpočtu a zároveň o úpravách informuje příjemce.</w:t>
      </w:r>
    </w:p>
    <w:p w:rsidR="00CF7F52" w:rsidRPr="00D73E80" w:rsidRDefault="00CF7F52" w:rsidP="00EF0379">
      <w:pPr>
        <w:spacing w:before="60" w:after="120"/>
        <w:rPr>
          <w:rFonts w:cs="Arial"/>
        </w:rPr>
      </w:pPr>
      <w:r w:rsidRPr="00D73E80">
        <w:rPr>
          <w:rFonts w:cs="Arial"/>
        </w:rPr>
        <w:t xml:space="preserve">Je-li příjemcem CRR, vyzve ŘO OPTP příjemce k podání Oznámení o změně na snížení rozpočtu etapy (projektu) dle </w:t>
      </w:r>
      <w:r w:rsidR="00926774" w:rsidRPr="00D73E80">
        <w:rPr>
          <w:rFonts w:cs="Arial"/>
        </w:rPr>
        <w:t>finanční hodnoty</w:t>
      </w:r>
      <w:r w:rsidRPr="00D73E80">
        <w:rPr>
          <w:rFonts w:cs="Arial"/>
        </w:rPr>
        <w:t xml:space="preserve"> předložené Žádosti o platbu. Poté ŘO OPTP provede snížení rozpočtu etapy a požádá emailem </w:t>
      </w:r>
      <w:r w:rsidR="00D26272" w:rsidRPr="00D73E80">
        <w:rPr>
          <w:rFonts w:cs="Arial"/>
        </w:rPr>
        <w:t>FÚ1</w:t>
      </w:r>
      <w:r w:rsidRPr="00D73E80">
        <w:rPr>
          <w:rFonts w:cs="Arial"/>
        </w:rPr>
        <w:t xml:space="preserve"> o vydání Rozhodnutí o poskytnutí dotace na sníženou částku rozpočtu. Pokud příjemce CRR žádost o snížení rozpočtu nepředloží, zůstává rozpočet projektu v původní výši.</w:t>
      </w:r>
    </w:p>
    <w:p w:rsidR="00CF7F52" w:rsidRPr="00D73E80" w:rsidRDefault="00CF7F52" w:rsidP="00CF7F52">
      <w:pPr>
        <w:spacing w:before="60"/>
        <w:rPr>
          <w:rFonts w:cs="Arial"/>
        </w:rPr>
      </w:pPr>
      <w:r w:rsidRPr="00D73E80">
        <w:rPr>
          <w:rFonts w:cs="Arial"/>
        </w:rPr>
        <w:t>V případě nedočerpání etapy u příjemců z řad OSS, kterým vydává ŘO OPTP Dopis</w:t>
      </w:r>
      <w:r w:rsidR="00926774" w:rsidRPr="00D73E80">
        <w:rPr>
          <w:rFonts w:cs="Arial"/>
        </w:rPr>
        <w:t xml:space="preserve"> ředitel</w:t>
      </w:r>
      <w:r w:rsidR="002001CB" w:rsidRPr="00D73E80">
        <w:rPr>
          <w:rFonts w:cs="Arial"/>
        </w:rPr>
        <w:t>e</w:t>
      </w:r>
      <w:r w:rsidR="00926774" w:rsidRPr="00D73E80">
        <w:rPr>
          <w:rFonts w:cs="Arial"/>
        </w:rPr>
        <w:t xml:space="preserve"> ŘO OPTP</w:t>
      </w:r>
      <w:r w:rsidRPr="00D73E80">
        <w:rPr>
          <w:rFonts w:cs="Arial"/>
        </w:rPr>
        <w:t xml:space="preserve">, provede CRR snížení rozpočtu etapy dle </w:t>
      </w:r>
      <w:r w:rsidR="00926774" w:rsidRPr="00D73E80">
        <w:rPr>
          <w:rFonts w:cs="Arial"/>
        </w:rPr>
        <w:t>finanční hodnoty</w:t>
      </w:r>
      <w:r w:rsidRPr="00D73E80">
        <w:rPr>
          <w:rFonts w:cs="Arial"/>
        </w:rPr>
        <w:t xml:space="preserve"> </w:t>
      </w:r>
      <w:r w:rsidR="00416E2E" w:rsidRPr="00D73E80">
        <w:rPr>
          <w:rFonts w:cs="Arial"/>
        </w:rPr>
        <w:t xml:space="preserve">schválené </w:t>
      </w:r>
      <w:r w:rsidRPr="00D73E80">
        <w:rPr>
          <w:rFonts w:cs="Arial"/>
        </w:rPr>
        <w:t xml:space="preserve">Žádosti o platbu, čímž dojde ke snížení celkového rozpočtu projektu. Zároveň CRR v emailu se zasláním naskenované podepsané </w:t>
      </w:r>
      <w:proofErr w:type="spellStart"/>
      <w:r w:rsidRPr="00D73E80">
        <w:rPr>
          <w:rFonts w:cs="Arial"/>
        </w:rPr>
        <w:t>ŽoP</w:t>
      </w:r>
      <w:proofErr w:type="spellEnd"/>
      <w:r w:rsidRPr="00D73E80">
        <w:rPr>
          <w:rFonts w:cs="Arial"/>
        </w:rPr>
        <w:t xml:space="preserve"> požádá ŘO OPTP o vydání změnového Dopisu na částku sníženou o nedočerpání.</w:t>
      </w:r>
    </w:p>
    <w:p w:rsidR="00BC6374" w:rsidRPr="00CE4BA5" w:rsidRDefault="008B2A83">
      <w:pPr>
        <w:spacing w:before="60"/>
        <w:rPr>
          <w:rFonts w:cs="Arial"/>
        </w:rPr>
      </w:pPr>
      <w:r w:rsidRPr="00CE4BA5">
        <w:rPr>
          <w:rFonts w:cs="Arial"/>
        </w:rPr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5" w:name="_Toc243199662"/>
      <w:bookmarkStart w:id="366" w:name="_Toc418076366"/>
      <w:bookmarkStart w:id="367" w:name="_Toc190584496"/>
      <w:bookmarkStart w:id="368" w:name="_Toc190587045"/>
      <w:bookmarkStart w:id="369" w:name="_Toc190587114"/>
      <w:bookmarkStart w:id="370" w:name="_Toc204065697"/>
      <w:r w:rsidRPr="00E25F3B">
        <w:rPr>
          <w:rFonts w:cs="Arial"/>
        </w:rPr>
        <w:t>Předčasné ukončení realizace projektu</w:t>
      </w:r>
      <w:bookmarkEnd w:id="365"/>
      <w:bookmarkEnd w:id="366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> říd</w:t>
      </w:r>
      <w:r w:rsidR="00BA4CD9">
        <w:rPr>
          <w:rFonts w:cs="Arial"/>
          <w:szCs w:val="22"/>
        </w:rPr>
        <w:t>i</w:t>
      </w:r>
      <w:r w:rsidR="00C023BC" w:rsidRPr="00E25F3B">
        <w:rPr>
          <w:rFonts w:cs="Arial"/>
          <w:szCs w:val="22"/>
        </w:rPr>
        <w:t xml:space="preserve">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1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1"/>
    </w:p>
    <w:p w:rsidR="0044285E" w:rsidRPr="0044285E" w:rsidRDefault="00F97689" w:rsidP="0044285E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2" w:name="_Toc243199664"/>
      <w:bookmarkStart w:id="373" w:name="_Toc418076367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2"/>
      <w:bookmarkEnd w:id="373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EF0379">
      <w:pPr>
        <w:spacing w:after="120"/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 xml:space="preserve">do tohoto termínu musí být uhrazeny všechny výdaje a musí být ukončeno financování ze všech zdrojů. Ukončení financování projektu je šest měsíců po ukončení realizace projektu (akce), </w:t>
      </w:r>
      <w:r w:rsidR="008064AF">
        <w:rPr>
          <w:rFonts w:cs="Arial"/>
          <w:szCs w:val="24"/>
        </w:rPr>
        <w:t>nejpozději však do 31.</w:t>
      </w:r>
      <w:r w:rsidR="001D391D">
        <w:rPr>
          <w:rFonts w:cs="Arial"/>
          <w:szCs w:val="24"/>
        </w:rPr>
        <w:t xml:space="preserve"> </w:t>
      </w:r>
      <w:r w:rsidR="008064AF">
        <w:rPr>
          <w:rFonts w:cs="Arial"/>
          <w:szCs w:val="24"/>
        </w:rPr>
        <w:t>12.</w:t>
      </w:r>
      <w:r w:rsidR="001D391D">
        <w:rPr>
          <w:rFonts w:cs="Arial"/>
          <w:szCs w:val="24"/>
        </w:rPr>
        <w:t xml:space="preserve"> </w:t>
      </w:r>
      <w:r w:rsidR="008064AF">
        <w:rPr>
          <w:rFonts w:cs="Arial"/>
          <w:szCs w:val="24"/>
        </w:rPr>
        <w:t>2015. T</w:t>
      </w:r>
      <w:r w:rsidRPr="00E25F3B">
        <w:rPr>
          <w:rFonts w:cs="Arial"/>
          <w:szCs w:val="24"/>
        </w:rPr>
        <w:t>ermín je stanoven v říd</w:t>
      </w:r>
      <w:r w:rsidR="00BA4CD9">
        <w:rPr>
          <w:rFonts w:cs="Arial"/>
          <w:szCs w:val="24"/>
        </w:rPr>
        <w:t>i</w:t>
      </w:r>
      <w:r w:rsidRPr="00E25F3B">
        <w:rPr>
          <w:rFonts w:cs="Arial"/>
          <w:szCs w:val="24"/>
        </w:rPr>
        <w:t>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</w:t>
      </w:r>
      <w:r w:rsidR="00D3536D" w:rsidRPr="007C0D0F">
        <w:rPr>
          <w:rFonts w:cs="Arial"/>
          <w:szCs w:val="24"/>
        </w:rPr>
        <w:t xml:space="preserve">na </w:t>
      </w:r>
      <w:r w:rsidR="00B7111A">
        <w:rPr>
          <w:rFonts w:cs="Arial"/>
          <w:szCs w:val="24"/>
        </w:rPr>
        <w:t>3</w:t>
      </w:r>
      <w:r w:rsidR="008A40AA" w:rsidRPr="008A40AA">
        <w:rPr>
          <w:rFonts w:cs="Arial"/>
          <w:szCs w:val="24"/>
        </w:rPr>
        <w:t>1</w:t>
      </w:r>
      <w:r w:rsidR="00B7111A">
        <w:rPr>
          <w:rFonts w:cs="Arial"/>
          <w:szCs w:val="24"/>
        </w:rPr>
        <w:t>. 0</w:t>
      </w:r>
      <w:r w:rsidR="008A40AA" w:rsidRPr="008A40AA">
        <w:rPr>
          <w:rFonts w:cs="Arial"/>
          <w:szCs w:val="24"/>
        </w:rPr>
        <w:t>3</w:t>
      </w:r>
      <w:r w:rsidR="00531631" w:rsidRPr="007C0D0F">
        <w:rPr>
          <w:rFonts w:cs="Arial"/>
          <w:szCs w:val="24"/>
        </w:rPr>
        <w:t>. 201</w:t>
      </w:r>
      <w:r w:rsidR="008A40AA" w:rsidRPr="008A40AA">
        <w:rPr>
          <w:rFonts w:cs="Arial"/>
          <w:szCs w:val="24"/>
        </w:rPr>
        <w:t>6</w:t>
      </w:r>
      <w:r w:rsidR="00531631" w:rsidRPr="007C0D0F">
        <w:rPr>
          <w:rFonts w:cs="Arial"/>
          <w:szCs w:val="24"/>
        </w:rPr>
        <w:t>.</w:t>
      </w:r>
    </w:p>
    <w:p w:rsidR="004B3E03" w:rsidRPr="004B3E03" w:rsidRDefault="00620908" w:rsidP="00EF0379">
      <w:pPr>
        <w:spacing w:after="120"/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>je příjemce povinen provést do termínu uvedeného v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</w:t>
      </w:r>
      <w:r w:rsidR="00BA4CD9">
        <w:rPr>
          <w:rFonts w:cs="Arial"/>
          <w:snapToGrid w:val="0"/>
        </w:rPr>
        <w:t>ic</w:t>
      </w:r>
      <w:r w:rsidR="004B3E03" w:rsidRPr="004B3E03">
        <w:rPr>
          <w:rFonts w:cs="Arial"/>
          <w:snapToGrid w:val="0"/>
        </w:rPr>
        <w:t xml:space="preserve">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Pokud je projekt financován z jiné kapitoly SR, než 317-MMR, jsou příjemci povinni </w:t>
      </w:r>
      <w:r w:rsidR="008064AF">
        <w:rPr>
          <w:rFonts w:cs="Arial"/>
          <w:snapToGrid w:val="0"/>
        </w:rPr>
        <w:t>předložit</w:t>
      </w:r>
      <w:r w:rsidR="008064AF" w:rsidRPr="004B3E03">
        <w:rPr>
          <w:rFonts w:cs="Arial"/>
          <w:snapToGrid w:val="0"/>
        </w:rPr>
        <w:t xml:space="preserve"> </w:t>
      </w:r>
      <w:r w:rsidRPr="004B3E03">
        <w:rPr>
          <w:rFonts w:cs="Arial"/>
          <w:snapToGrid w:val="0"/>
        </w:rPr>
        <w:t xml:space="preserve">formulář Zpráva pro závěrečné vyhodnocení akce (příloha č. 12a) do termínu </w:t>
      </w:r>
      <w:r w:rsidRPr="004B3E03">
        <w:rPr>
          <w:rFonts w:cs="Arial"/>
          <w:snapToGrid w:val="0"/>
        </w:rPr>
        <w:lastRenderedPageBreak/>
        <w:t>uvedeném v právním aktu (Dopis ředitel</w:t>
      </w:r>
      <w:r w:rsidR="002001CB">
        <w:rPr>
          <w:rFonts w:cs="Arial"/>
          <w:snapToGrid w:val="0"/>
        </w:rPr>
        <w:t>e</w:t>
      </w:r>
      <w:r w:rsidRPr="004B3E03">
        <w:rPr>
          <w:rFonts w:cs="Arial"/>
          <w:snapToGrid w:val="0"/>
        </w:rPr>
        <w:t xml:space="preserve">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</w:t>
      </w:r>
      <w:r w:rsidR="008064AF">
        <w:rPr>
          <w:rFonts w:cs="Arial"/>
          <w:snapToGrid w:val="0"/>
        </w:rPr>
        <w:t>na finanční útvar financující kapitoly. Je-li projekt evidován v EDS/SMVS vystaví následně financující kapitola řídicí dokument ZVA a zajistí</w:t>
      </w:r>
      <w:r w:rsidRPr="004B3E03">
        <w:rPr>
          <w:rFonts w:cs="Arial"/>
          <w:snapToGrid w:val="0"/>
        </w:rPr>
        <w:t xml:space="preserve"> jeho odsouhlasení dle vyhlášky </w:t>
      </w:r>
      <w:r w:rsidR="00FF17EB">
        <w:rPr>
          <w:rFonts w:cs="Arial"/>
          <w:snapToGrid w:val="0"/>
        </w:rPr>
        <w:t xml:space="preserve">č. </w:t>
      </w:r>
      <w:r w:rsidRPr="004B3E03">
        <w:rPr>
          <w:rFonts w:cs="Arial"/>
          <w:snapToGrid w:val="0"/>
        </w:rPr>
        <w:t xml:space="preserve">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</w:t>
      </w:r>
      <w:r w:rsidR="00BA4CD9">
        <w:rPr>
          <w:rFonts w:cs="Arial"/>
          <w:snapToGrid w:val="0"/>
        </w:rPr>
        <w:t>i</w:t>
      </w:r>
      <w:r w:rsidRPr="004B3E03">
        <w:rPr>
          <w:rFonts w:cs="Arial"/>
          <w:snapToGrid w:val="0"/>
        </w:rPr>
        <w:t>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4" w:name="_Toc243199665"/>
      <w:bookmarkStart w:id="375" w:name="_Toc418076368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4"/>
      <w:bookmarkEnd w:id="375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6" w:name="_Toc418076369"/>
      <w:bookmarkStart w:id="377" w:name="_Toc243199666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</w:t>
      </w:r>
      <w:r w:rsidR="00F81741">
        <w:rPr>
          <w:rFonts w:cs="Arial"/>
        </w:rPr>
        <w:t>lateb</w:t>
      </w:r>
      <w:bookmarkEnd w:id="376"/>
      <w:r w:rsidR="00F81741">
        <w:rPr>
          <w:rFonts w:cs="Arial"/>
        </w:rPr>
        <w:t xml:space="preserve"> </w:t>
      </w:r>
      <w:bookmarkEnd w:id="367"/>
      <w:bookmarkEnd w:id="368"/>
      <w:bookmarkEnd w:id="369"/>
      <w:bookmarkEnd w:id="370"/>
      <w:bookmarkEnd w:id="377"/>
    </w:p>
    <w:p w:rsidR="00CF0A6C" w:rsidRDefault="00CF0A6C">
      <w:pPr>
        <w:spacing w:after="120"/>
      </w:pPr>
      <w:bookmarkStart w:id="378" w:name="_Toc243199667"/>
      <w:r>
        <w:t>Řešení nesrovnalostí včetně pozastavení plateb a certifikace</w:t>
      </w:r>
      <w:r w:rsidR="00D5579B">
        <w:t xml:space="preserve"> i vymáhání prostředků bez nesrovnalosti u</w:t>
      </w:r>
      <w:r>
        <w:t xml:space="preserve">pravuje Metodika finančních toků a kontroly programů spolufinancovaných ze SF/CF/EFF na programové období 2007 – 2013. </w:t>
      </w:r>
    </w:p>
    <w:p w:rsidR="00FE0CAD" w:rsidRDefault="00CF0A6C" w:rsidP="00FE0CAD">
      <w:pPr>
        <w:spacing w:after="120"/>
        <w:rPr>
          <w:rFonts w:cs="Arial"/>
          <w:szCs w:val="22"/>
        </w:rPr>
      </w:pPr>
      <w:r>
        <w:t xml:space="preserve">V případě podezření na nesrovnalost </w:t>
      </w:r>
      <w:r w:rsidR="00A06421">
        <w:t>mohou být platby na daný projekt pozastaveny Ř</w:t>
      </w:r>
      <w:r w:rsidR="00A16800">
        <w:t>íd</w:t>
      </w:r>
      <w:r w:rsidR="00BA4CD9">
        <w:t>i</w:t>
      </w:r>
      <w:r w:rsidR="00A16800">
        <w:t xml:space="preserve">cím orgánem </w:t>
      </w:r>
      <w:r w:rsidR="00A06421">
        <w:t xml:space="preserve">OPTP. </w:t>
      </w:r>
      <w:r w:rsidR="00A16800">
        <w:t>ŘO může neproplatit část výdajů, které považuje za nezpůsobilé, a to i v případě, kdy nebylo podezření na nesrovnalost potvrzeno ze strany příslušných orgánů (ÚOHS, F</w:t>
      </w:r>
      <w:r w:rsidR="009F7ABA">
        <w:t>inanční úřad</w:t>
      </w:r>
      <w:r w:rsidR="00A16800">
        <w:t xml:space="preserve"> apod.). </w:t>
      </w:r>
      <w:r w:rsidR="00961564">
        <w:t>V</w:t>
      </w:r>
      <w:r w:rsidR="00A16800">
        <w:t xml:space="preserve"> těchto případech není ŘO rozhodnutími těchto orgánů vázán a může trvat na stanovisku, že k nesrovnalosti došlo.  </w:t>
      </w:r>
      <w:bookmarkEnd w:id="378"/>
    </w:p>
    <w:p w:rsidR="00D5579B" w:rsidRDefault="00A16800" w:rsidP="007C0105">
      <w:r>
        <w:t xml:space="preserve">V případě odhalení nezpůsobilých výdajů v žádosti o platbu </w:t>
      </w:r>
      <w:r w:rsidR="001D6ED3">
        <w:t xml:space="preserve">se </w:t>
      </w:r>
      <w:r w:rsidR="00D5579B">
        <w:t>snižuje maximální částka podpory na daný projekt o částku předložených nezpůsobilých výdajů</w:t>
      </w:r>
      <w:r w:rsidR="00961564">
        <w:t>.</w:t>
      </w:r>
      <w:r w:rsidR="00D5579B">
        <w:t xml:space="preserve"> Obdobně se postupuje v případě provádění finančních oprav za porušení pravidel pro zadávání veřejných zakázek před proplacením. </w:t>
      </w:r>
      <w:r w:rsidR="00961564">
        <w:t xml:space="preserve">Pro eliminaci nezpůsobilých výdajů má příjemce možnost před předložením </w:t>
      </w:r>
      <w:proofErr w:type="spellStart"/>
      <w:r w:rsidR="00961564">
        <w:t>ŽoP</w:t>
      </w:r>
      <w:proofErr w:type="spellEnd"/>
      <w:r w:rsidR="00961564">
        <w:t xml:space="preserve"> ji s </w:t>
      </w:r>
      <w:r w:rsidR="00503DE9">
        <w:t>CRR</w:t>
      </w:r>
      <w:r w:rsidR="00961564">
        <w:t xml:space="preserve">/ŘO konzultovat.  </w:t>
      </w:r>
    </w:p>
    <w:p w:rsidR="00D5579B" w:rsidRDefault="00D0605A" w:rsidP="007C0105">
      <w:r w:rsidRPr="008918F1">
        <w:t xml:space="preserve">O </w:t>
      </w:r>
      <w:r w:rsidR="00961564">
        <w:t xml:space="preserve">všech relevantních </w:t>
      </w:r>
      <w:r w:rsidR="00D5579B">
        <w:t>skutečnostech vždy ŘO OPTP příjemce inform</w:t>
      </w:r>
      <w:r w:rsidR="00961564">
        <w:t>uje</w:t>
      </w:r>
      <w:r w:rsidR="00D5579B">
        <w:t xml:space="preserve">. </w:t>
      </w:r>
    </w:p>
    <w:p w:rsidR="00CA21F4" w:rsidRDefault="00D5579B" w:rsidP="00EF0379">
      <w:pPr>
        <w:spacing w:after="120"/>
        <w:rPr>
          <w:rFonts w:cs="Arial"/>
          <w:b/>
          <w:szCs w:val="22"/>
        </w:rPr>
      </w:pPr>
      <w:r>
        <w:t>V</w:t>
      </w:r>
      <w:r w:rsidR="00204180" w:rsidRPr="008918F1">
        <w:t> případě, že se ne</w:t>
      </w:r>
      <w:r>
        <w:t>bude j</w:t>
      </w:r>
      <w:r w:rsidR="00204180" w:rsidRPr="008918F1">
        <w:t>edn</w:t>
      </w:r>
      <w:r>
        <w:t>at</w:t>
      </w:r>
      <w:r w:rsidR="00204180" w:rsidRPr="008918F1">
        <w:t xml:space="preserve"> o</w:t>
      </w:r>
      <w:r w:rsidR="007913C7">
        <w:t> </w:t>
      </w:r>
      <w:r w:rsidR="00204180" w:rsidRPr="008918F1">
        <w:t xml:space="preserve">nesrovnalost, bude dále </w:t>
      </w:r>
      <w:r w:rsidR="00E10296" w:rsidRPr="008918F1">
        <w:t>ŘO</w:t>
      </w:r>
      <w:r w:rsidR="00204180"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="00204180" w:rsidRPr="008918F1">
        <w:t>nápravě, učiní</w:t>
      </w:r>
      <w:r w:rsidR="007C0105" w:rsidRPr="008918F1">
        <w:t xml:space="preserve"> </w:t>
      </w:r>
      <w:r w:rsidR="00204180" w:rsidRPr="008918F1">
        <w:t>preventivní opatření k minimalizaci podobných porušení</w:t>
      </w:r>
      <w:r w:rsidR="00117AD4" w:rsidRPr="008918F1">
        <w:t>)</w:t>
      </w:r>
      <w:r w:rsidR="00204180" w:rsidRPr="008918F1">
        <w:t xml:space="preserve">. </w:t>
      </w: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79" w:name="_Toc418076370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79"/>
    </w:p>
    <w:p w:rsidR="005A1C38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86073B" w:rsidRPr="0086073B" w:rsidRDefault="0086073B" w:rsidP="007C0105">
      <w:pPr>
        <w:rPr>
          <w:rFonts w:cs="Arial"/>
          <w:szCs w:val="22"/>
          <w:u w:val="single"/>
        </w:rPr>
      </w:pPr>
      <w:r w:rsidRPr="0086073B">
        <w:rPr>
          <w:rFonts w:cs="Arial"/>
          <w:szCs w:val="22"/>
          <w:u w:val="single"/>
        </w:rPr>
        <w:t>Výjimka z postupů uvedených v Příloze č. 8:</w:t>
      </w:r>
    </w:p>
    <w:p w:rsidR="0086073B" w:rsidRPr="00272DC8" w:rsidRDefault="0086073B" w:rsidP="00EF0379">
      <w:pPr>
        <w:spacing w:after="120"/>
      </w:pPr>
      <w:r w:rsidRPr="005512C8">
        <w:t>Vzhledem k aplikování zpětné uznatelnosti výdajů pro schválené projekty příjemců – nositelů integrovaných strategií</w:t>
      </w:r>
      <w:r w:rsidRPr="00272DC8">
        <w:t xml:space="preserve"> lze za způsobilé výdaje zpětně uznat jen takové výdaje:</w:t>
      </w:r>
    </w:p>
    <w:p w:rsidR="0086073B" w:rsidRPr="0086073B" w:rsidRDefault="0086073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t xml:space="preserve">v rámci I. kategorie - veřejné zakázky na služby, jejichž předpokládaná hodnota bez DPH nedosahuje 500 000 Kč, pokud bude doložen průzkum trhu dle bodu 13.1.1 Přílohy č. 8 Veřejné zakázky PŽP. </w:t>
      </w:r>
    </w:p>
    <w:p w:rsidR="0086073B" w:rsidRDefault="0086073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t xml:space="preserve">v rámci II: kategorie – veřejné zakázky na služby, jejichž předpokládaná hodnota bez DPH činí nejméně 500 000 Kč, ale nedosahuje 1 000 000 Kč, pokud bylo postupováno v rámci interních předpisů organizace příjemce pro zadávání </w:t>
      </w:r>
      <w:r w:rsidRPr="0086073B">
        <w:rPr>
          <w:rFonts w:cs="Arial"/>
          <w:szCs w:val="22"/>
        </w:rPr>
        <w:lastRenderedPageBreak/>
        <w:t xml:space="preserve">veřejných zakázek mimo režim zákona (pokud takové předpisy existují) a zároveň lze prokázat splnění bodů 13.2.4, 13.2.5, 13.2.6, 13.2.8, 13.2.9. a 13.2.11. Na ostatní požadavky požadované ŘO OPTP v rámci Přílohy č. 8 PŽP v části 13.2. je pro zpětně uznatelné výdaje udělena výjimka, nebude zpětně požadováno jejich splnění. </w:t>
      </w:r>
    </w:p>
    <w:p w:rsidR="00683F5B" w:rsidRPr="00EA2549" w:rsidRDefault="00683F5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EA2549">
        <w:rPr>
          <w:rFonts w:cs="Arial"/>
          <w:szCs w:val="22"/>
        </w:rPr>
        <w:t>v rámci veřejné zakázky zadávané dle Zákona, pokud bylo postupováno v rámci interních předpisů organizace příjemce pro zadávání veřejných zakázek v režimu Zákona. Na požadavky vyplývající z přílohy č. 8 PŽP v části 16 je udělena výjimka, nebude zpětně požadováno jejich splnění.</w:t>
      </w:r>
    </w:p>
    <w:p w:rsidR="00683F5B" w:rsidRPr="0086073B" w:rsidRDefault="00683F5B" w:rsidP="00EA2549">
      <w:pPr>
        <w:pStyle w:val="Odstavecseseznamem"/>
        <w:spacing w:before="0" w:after="200"/>
        <w:ind w:left="714"/>
        <w:contextualSpacing/>
        <w:rPr>
          <w:rFonts w:cs="Arial"/>
          <w:szCs w:val="22"/>
        </w:rPr>
      </w:pPr>
    </w:p>
    <w:p w:rsidR="0086073B" w:rsidRPr="002508EB" w:rsidRDefault="0086073B" w:rsidP="007C0105"/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80" w:name="_Toc292703931"/>
      <w:bookmarkStart w:id="381" w:name="_Toc292704171"/>
      <w:bookmarkStart w:id="382" w:name="_Toc292704411"/>
      <w:bookmarkStart w:id="383" w:name="_Toc292703934"/>
      <w:bookmarkStart w:id="384" w:name="_Toc292704174"/>
      <w:bookmarkStart w:id="385" w:name="_Toc292704414"/>
      <w:bookmarkStart w:id="386" w:name="_Toc292703942"/>
      <w:bookmarkStart w:id="387" w:name="_Toc292704182"/>
      <w:bookmarkStart w:id="388" w:name="_Toc292704422"/>
      <w:bookmarkStart w:id="389" w:name="_Toc292703944"/>
      <w:bookmarkStart w:id="390" w:name="_Toc292704184"/>
      <w:bookmarkStart w:id="391" w:name="_Toc292704424"/>
      <w:bookmarkStart w:id="392" w:name="_Toc292703951"/>
      <w:bookmarkStart w:id="393" w:name="_Toc292704191"/>
      <w:bookmarkStart w:id="394" w:name="_Toc292704431"/>
      <w:bookmarkStart w:id="395" w:name="_Toc292703952"/>
      <w:bookmarkStart w:id="396" w:name="_Toc292704192"/>
      <w:bookmarkStart w:id="397" w:name="_Toc292704432"/>
      <w:bookmarkStart w:id="398" w:name="_Toc292703953"/>
      <w:bookmarkStart w:id="399" w:name="_Toc292704193"/>
      <w:bookmarkStart w:id="400" w:name="_Toc292704433"/>
      <w:bookmarkStart w:id="401" w:name="_Toc292703969"/>
      <w:bookmarkStart w:id="402" w:name="_Toc292704209"/>
      <w:bookmarkStart w:id="403" w:name="_Toc292704449"/>
      <w:bookmarkStart w:id="404" w:name="_Toc292704020"/>
      <w:bookmarkStart w:id="405" w:name="_Toc292704260"/>
      <w:bookmarkStart w:id="406" w:name="_Toc292704500"/>
      <w:bookmarkStart w:id="407" w:name="_Toc292704021"/>
      <w:bookmarkStart w:id="408" w:name="_Toc292704261"/>
      <w:bookmarkStart w:id="409" w:name="_Toc292704501"/>
      <w:bookmarkStart w:id="410" w:name="_Toc292704024"/>
      <w:bookmarkStart w:id="411" w:name="_Toc292704264"/>
      <w:bookmarkStart w:id="412" w:name="_Toc292704504"/>
      <w:bookmarkStart w:id="413" w:name="_Toc292704025"/>
      <w:bookmarkStart w:id="414" w:name="_Toc292704265"/>
      <w:bookmarkStart w:id="415" w:name="_Toc292704505"/>
      <w:bookmarkStart w:id="416" w:name="_Toc292704033"/>
      <w:bookmarkStart w:id="417" w:name="_Toc292704273"/>
      <w:bookmarkStart w:id="418" w:name="_Toc292704513"/>
      <w:bookmarkStart w:id="419" w:name="_Toc292704034"/>
      <w:bookmarkStart w:id="420" w:name="_Toc292704274"/>
      <w:bookmarkStart w:id="421" w:name="_Toc292704514"/>
      <w:bookmarkStart w:id="422" w:name="_Toc292704044"/>
      <w:bookmarkStart w:id="423" w:name="_Toc292704284"/>
      <w:bookmarkStart w:id="424" w:name="_Toc292704524"/>
      <w:bookmarkStart w:id="425" w:name="_Toc292704045"/>
      <w:bookmarkStart w:id="426" w:name="_Toc292704285"/>
      <w:bookmarkStart w:id="427" w:name="_Toc292704525"/>
      <w:bookmarkStart w:id="428" w:name="_Toc292704046"/>
      <w:bookmarkStart w:id="429" w:name="_Toc292704286"/>
      <w:bookmarkStart w:id="430" w:name="_Toc292704526"/>
      <w:bookmarkStart w:id="431" w:name="_Toc292704047"/>
      <w:bookmarkStart w:id="432" w:name="_Toc292704287"/>
      <w:bookmarkStart w:id="433" w:name="_Toc292704527"/>
      <w:bookmarkStart w:id="434" w:name="_Toc292704048"/>
      <w:bookmarkStart w:id="435" w:name="_Toc292704288"/>
      <w:bookmarkStart w:id="436" w:name="_Toc292704528"/>
      <w:bookmarkStart w:id="437" w:name="_Toc292704049"/>
      <w:bookmarkStart w:id="438" w:name="_Toc292704289"/>
      <w:bookmarkStart w:id="439" w:name="_Toc292704529"/>
      <w:bookmarkStart w:id="440" w:name="_Toc292704050"/>
      <w:bookmarkStart w:id="441" w:name="_Toc292704290"/>
      <w:bookmarkStart w:id="442" w:name="_Toc292704530"/>
      <w:bookmarkStart w:id="443" w:name="_Toc292704051"/>
      <w:bookmarkStart w:id="444" w:name="_Toc292704291"/>
      <w:bookmarkStart w:id="445" w:name="_Toc292704531"/>
      <w:bookmarkStart w:id="446" w:name="_Toc292704052"/>
      <w:bookmarkStart w:id="447" w:name="_Toc292704292"/>
      <w:bookmarkStart w:id="448" w:name="_Toc292704532"/>
      <w:bookmarkStart w:id="449" w:name="_Toc292704053"/>
      <w:bookmarkStart w:id="450" w:name="_Toc292704293"/>
      <w:bookmarkStart w:id="451" w:name="_Toc292704533"/>
      <w:bookmarkStart w:id="452" w:name="_Toc292704054"/>
      <w:bookmarkStart w:id="453" w:name="_Toc292704294"/>
      <w:bookmarkStart w:id="454" w:name="_Toc292704534"/>
      <w:bookmarkStart w:id="455" w:name="_Toc292704055"/>
      <w:bookmarkStart w:id="456" w:name="_Toc292704295"/>
      <w:bookmarkStart w:id="457" w:name="_Toc292704535"/>
      <w:bookmarkStart w:id="458" w:name="_Toc292704056"/>
      <w:bookmarkStart w:id="459" w:name="_Toc292704296"/>
      <w:bookmarkStart w:id="460" w:name="_Toc292704536"/>
      <w:bookmarkStart w:id="461" w:name="_Toc292704078"/>
      <w:bookmarkStart w:id="462" w:name="_Toc292704318"/>
      <w:bookmarkStart w:id="463" w:name="_Toc292704558"/>
      <w:bookmarkStart w:id="464" w:name="_Toc292704079"/>
      <w:bookmarkStart w:id="465" w:name="_Toc292704319"/>
      <w:bookmarkStart w:id="466" w:name="_Toc292704559"/>
      <w:bookmarkStart w:id="467" w:name="_Toc292704080"/>
      <w:bookmarkStart w:id="468" w:name="_Toc292704320"/>
      <w:bookmarkStart w:id="469" w:name="_Toc292704560"/>
      <w:bookmarkStart w:id="470" w:name="_Toc292704081"/>
      <w:bookmarkStart w:id="471" w:name="_Toc292704321"/>
      <w:bookmarkStart w:id="472" w:name="_Toc292704561"/>
      <w:bookmarkStart w:id="473" w:name="_Toc292704082"/>
      <w:bookmarkStart w:id="474" w:name="_Toc292704322"/>
      <w:bookmarkStart w:id="475" w:name="_Toc292704562"/>
      <w:bookmarkStart w:id="476" w:name="_Toc292704083"/>
      <w:bookmarkStart w:id="477" w:name="_Toc292704323"/>
      <w:bookmarkStart w:id="478" w:name="_Toc292704563"/>
      <w:bookmarkStart w:id="479" w:name="_Toc292704084"/>
      <w:bookmarkStart w:id="480" w:name="_Toc292704324"/>
      <w:bookmarkStart w:id="481" w:name="_Toc292704564"/>
      <w:bookmarkStart w:id="482" w:name="_Toc292704086"/>
      <w:bookmarkStart w:id="483" w:name="_Toc292704326"/>
      <w:bookmarkStart w:id="484" w:name="_Toc292704566"/>
      <w:bookmarkStart w:id="485" w:name="_Toc292704087"/>
      <w:bookmarkStart w:id="486" w:name="_Toc292704327"/>
      <w:bookmarkStart w:id="487" w:name="_Toc292704567"/>
      <w:bookmarkStart w:id="488" w:name="_Toc292704101"/>
      <w:bookmarkStart w:id="489" w:name="_Toc292704341"/>
      <w:bookmarkStart w:id="490" w:name="_Toc292704581"/>
      <w:bookmarkStart w:id="491" w:name="_Toc292704102"/>
      <w:bookmarkStart w:id="492" w:name="_Toc292704342"/>
      <w:bookmarkStart w:id="493" w:name="_Toc292704582"/>
      <w:bookmarkStart w:id="494" w:name="_Toc292704103"/>
      <w:bookmarkStart w:id="495" w:name="_Toc292704343"/>
      <w:bookmarkStart w:id="496" w:name="_Toc292704583"/>
      <w:bookmarkStart w:id="497" w:name="_Toc292704109"/>
      <w:bookmarkStart w:id="498" w:name="_Toc292704349"/>
      <w:bookmarkStart w:id="499" w:name="_Toc292704589"/>
      <w:bookmarkStart w:id="500" w:name="_Toc292704111"/>
      <w:bookmarkStart w:id="501" w:name="_Toc292704351"/>
      <w:bookmarkStart w:id="502" w:name="_Toc292704591"/>
      <w:bookmarkStart w:id="503" w:name="_Toc292704116"/>
      <w:bookmarkStart w:id="504" w:name="_Toc292704356"/>
      <w:bookmarkStart w:id="505" w:name="_Toc292704596"/>
      <w:bookmarkStart w:id="506" w:name="_Toc292704122"/>
      <w:bookmarkStart w:id="507" w:name="_Toc292704362"/>
      <w:bookmarkStart w:id="508" w:name="_Toc292704602"/>
      <w:bookmarkStart w:id="509" w:name="_Toc243199675"/>
      <w:bookmarkStart w:id="510" w:name="_Toc243199676"/>
      <w:bookmarkStart w:id="511" w:name="_Toc243199679"/>
      <w:bookmarkStart w:id="512" w:name="_Toc243199680"/>
      <w:bookmarkStart w:id="513" w:name="_Toc418076371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r w:rsidRPr="00E25F3B">
        <w:rPr>
          <w:rFonts w:cs="Arial"/>
        </w:rPr>
        <w:lastRenderedPageBreak/>
        <w:t>kontroly realizace projektu</w:t>
      </w:r>
      <w:bookmarkEnd w:id="512"/>
      <w:bookmarkEnd w:id="513"/>
      <w:r w:rsidRPr="00E25F3B">
        <w:rPr>
          <w:rFonts w:cs="Arial"/>
        </w:rPr>
        <w:t xml:space="preserve"> </w:t>
      </w:r>
    </w:p>
    <w:p w:rsidR="0090776C" w:rsidRPr="00EA2549" w:rsidRDefault="00592A0F" w:rsidP="00A459FC">
      <w:bookmarkStart w:id="514" w:name="_Toc243199681"/>
      <w:r w:rsidRPr="00EA2549">
        <w:t>Příjemce je</w:t>
      </w:r>
      <w:r w:rsidR="00A459FC" w:rsidRPr="00EA2549">
        <w:t xml:space="preserve"> povinen </w:t>
      </w:r>
      <w:r w:rsidR="0024789E" w:rsidRPr="00EA2549">
        <w:t>poskytovat požadované informace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A2549">
        <w:t xml:space="preserve"> za účelem ověřování plnění povinností vyplývajících z</w:t>
      </w:r>
      <w:r w:rsidR="00C023BC" w:rsidRPr="00EA2549">
        <w:t> říd</w:t>
      </w:r>
      <w:r w:rsidR="00BA4CD9" w:rsidRPr="00EA2549">
        <w:t>i</w:t>
      </w:r>
      <w:r w:rsidR="00C023BC" w:rsidRPr="00EA2549">
        <w:t xml:space="preserve">cího dokumentu či </w:t>
      </w:r>
      <w:r w:rsidR="004A08AC" w:rsidRPr="00EA2549">
        <w:t>právního aktu o poskytnutí podpory a Podmínek realizace projektu.</w:t>
      </w:r>
      <w:bookmarkEnd w:id="514"/>
    </w:p>
    <w:p w:rsidR="00C44E19" w:rsidRPr="00EA2549" w:rsidRDefault="0024789E" w:rsidP="00EA2549">
      <w:bookmarkStart w:id="515" w:name="_Toc243199682"/>
      <w:r w:rsidRPr="00EA2549">
        <w:t>Příjemce je povinen vytvořit uvedeným osobám podmínky k provedení kontroly vztahující se k realizaci projektu a poskytnout jim při provádění kontroly součinnost.</w:t>
      </w:r>
      <w:bookmarkEnd w:id="515"/>
      <w:r w:rsidRPr="00EA2549">
        <w:t xml:space="preserve"> </w:t>
      </w:r>
      <w:bookmarkStart w:id="516" w:name="_Toc200440773"/>
    </w:p>
    <w:p w:rsidR="00A35B44" w:rsidRPr="00E61E36" w:rsidRDefault="00A35B44" w:rsidP="00EA2549">
      <w:r w:rsidRPr="00E61E36">
        <w:t>ŘO OPTP provádí následující typy kontrol:</w:t>
      </w:r>
      <w:r w:rsidR="008935F0" w:rsidRPr="00E61E36">
        <w:t xml:space="preserve"> administrativní</w:t>
      </w:r>
      <w:r w:rsidR="00E23F92" w:rsidRPr="00E61E36">
        <w:t xml:space="preserve">, </w:t>
      </w:r>
      <w:r w:rsidR="008935F0" w:rsidRPr="00E61E36">
        <w:t>fyzickou</w:t>
      </w:r>
      <w:r w:rsidR="00E23F92" w:rsidRPr="00E61E36">
        <w:t xml:space="preserve"> (</w:t>
      </w:r>
      <w:r w:rsidR="00510F2F" w:rsidRPr="00E61E36">
        <w:t xml:space="preserve">obě mohou být </w:t>
      </w:r>
      <w:r w:rsidR="008935F0" w:rsidRPr="00E61E36">
        <w:t xml:space="preserve">buď v režimu </w:t>
      </w:r>
      <w:r w:rsidR="00510F2F" w:rsidRPr="00E61E36">
        <w:t>veřejno</w:t>
      </w:r>
      <w:r w:rsidR="00DF2653" w:rsidRPr="00E61E36">
        <w:t>s</w:t>
      </w:r>
      <w:r w:rsidR="00510F2F" w:rsidRPr="00E61E36">
        <w:t>právní kontroly</w:t>
      </w:r>
      <w:r w:rsidR="008935F0" w:rsidRPr="00E61E36">
        <w:t xml:space="preserve"> nebo mimo tento režim </w:t>
      </w:r>
      <w:r w:rsidR="00510F2F" w:rsidRPr="00E61E36">
        <w:t xml:space="preserve"> - </w:t>
      </w:r>
      <w:r w:rsidR="008935F0" w:rsidRPr="00E61E36">
        <w:t xml:space="preserve">dle příjemce) a monitorovací návštěvu.    </w:t>
      </w:r>
    </w:p>
    <w:p w:rsidR="00C44E19" w:rsidRPr="00E61E36" w:rsidRDefault="00F55EDC" w:rsidP="00EA2549">
      <w:r w:rsidRPr="00E61E36">
        <w:t>Vzhledem k fázi výkonu kontroly v</w:t>
      </w:r>
      <w:r w:rsidR="00AB5BC1" w:rsidRPr="00E61E36">
        <w:t> </w:t>
      </w:r>
      <w:r w:rsidRPr="00E61E36">
        <w:t>čase</w:t>
      </w:r>
      <w:r w:rsidR="00AB5BC1" w:rsidRPr="00E61E36">
        <w:t xml:space="preserve"> </w:t>
      </w:r>
      <w:r w:rsidR="00A35B44" w:rsidRPr="00E61E36">
        <w:t>mohou být prováděny ex-ante kon</w:t>
      </w:r>
      <w:r w:rsidR="008935F0" w:rsidRPr="00E61E36">
        <w:t>t</w:t>
      </w:r>
      <w:r w:rsidR="00A35B44" w:rsidRPr="00E61E36">
        <w:t>roly</w:t>
      </w:r>
      <w:r w:rsidR="00FB308E" w:rsidRPr="00E61E36">
        <w:t xml:space="preserve"> (více kap. 4.1), </w:t>
      </w:r>
      <w:r w:rsidR="00A35B44" w:rsidRPr="00E61E36">
        <w:t xml:space="preserve">interim </w:t>
      </w:r>
      <w:r w:rsidR="008935F0" w:rsidRPr="00E61E36">
        <w:t xml:space="preserve">kontroly </w:t>
      </w:r>
      <w:r w:rsidR="00A35B44" w:rsidRPr="00E61E36">
        <w:t>a ex-post kontroly</w:t>
      </w:r>
      <w:r w:rsidR="008935F0" w:rsidRPr="00E61E36">
        <w:t xml:space="preserve">.  </w:t>
      </w:r>
      <w:r w:rsidR="00FB308E" w:rsidRPr="00E61E36">
        <w:t xml:space="preserve"> </w:t>
      </w:r>
      <w:r w:rsidR="008935F0" w:rsidRPr="00E61E36">
        <w:t xml:space="preserve">   </w:t>
      </w:r>
    </w:p>
    <w:p w:rsidR="00A35B44" w:rsidRPr="00AB5BC1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</w:p>
    <w:p w:rsidR="0024789E" w:rsidRPr="0093073E" w:rsidRDefault="0024789E" w:rsidP="0093073E">
      <w:pPr>
        <w:rPr>
          <w:b/>
        </w:rPr>
      </w:pPr>
      <w:bookmarkStart w:id="517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6"/>
      <w:bookmarkEnd w:id="517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510F2F" w:rsidRPr="00EA2549" w:rsidRDefault="0024789E" w:rsidP="00EA2549">
      <w:r w:rsidRPr="00EA2549">
        <w:t>Veřejnosprávní kontrol</w:t>
      </w:r>
      <w:r w:rsidR="00510F2F" w:rsidRPr="00EA2549">
        <w:t>a</w:t>
      </w:r>
      <w:r w:rsidRPr="00EA2549">
        <w:t xml:space="preserve"> projektů </w:t>
      </w:r>
      <w:r w:rsidR="00FD686C" w:rsidRPr="00EA2549">
        <w:t xml:space="preserve">(dále „VSK“) </w:t>
      </w:r>
      <w:r w:rsidR="00510F2F" w:rsidRPr="00EA2549">
        <w:t xml:space="preserve">je </w:t>
      </w:r>
      <w:r w:rsidR="00C44E19" w:rsidRPr="00EA2549">
        <w:t>provád</w:t>
      </w:r>
      <w:r w:rsidR="00510F2F" w:rsidRPr="00EA2549">
        <w:t>ěna</w:t>
      </w:r>
      <w:r w:rsidR="00C44E19" w:rsidRPr="00EA2549">
        <w:t xml:space="preserve"> </w:t>
      </w:r>
      <w:r w:rsidR="0008410C" w:rsidRPr="00EA2549">
        <w:t xml:space="preserve">u příjemců mimo MMR </w:t>
      </w:r>
      <w:r w:rsidRPr="00EA2549">
        <w:t>v souladu se zákonem č.</w:t>
      </w:r>
      <w:r w:rsidR="00F72709" w:rsidRPr="00EA2549">
        <w:t> </w:t>
      </w:r>
      <w:r w:rsidRPr="00EA2549">
        <w:t>320/2001 Sb., o finanční kontrole ve veřejné správě a o změně některých zákonů, ve znění pozdějších předpisů</w:t>
      </w:r>
      <w:r w:rsidR="00FD686C" w:rsidRPr="00EA2549">
        <w:t>,</w:t>
      </w:r>
      <w:r w:rsidRPr="00EA2549">
        <w:t xml:space="preserve"> </w:t>
      </w:r>
      <w:r w:rsidR="00510F2F" w:rsidRPr="00EA2549">
        <w:t xml:space="preserve">dále v souladu s vyhláškou  č. 416/2004 Sb., kterou se ZFK provádí, </w:t>
      </w:r>
      <w:r w:rsidR="002F00E1" w:rsidRPr="00EA2549">
        <w:t xml:space="preserve">v souladu se </w:t>
      </w:r>
      <w:r w:rsidR="00510F2F" w:rsidRPr="00EA2549">
        <w:t xml:space="preserve">zákonem č. 255/2012 Sb., o kontrole (kontrolní řád), </w:t>
      </w:r>
      <w:r w:rsidR="00510F2F">
        <w:t xml:space="preserve"> zákonem č. 218/2000 Sb., o rozpočtových pravidlech a o změně některých souvisejících zákonů, ve znění pozdějších předpisů (dále jen „ZRP“) a zákonem č. 500/2004 Sb., správní řád, ve znění pozdějších předpisů.</w:t>
      </w:r>
    </w:p>
    <w:p w:rsidR="00DF2653" w:rsidRPr="00EA2549" w:rsidRDefault="0024789E" w:rsidP="000C0867">
      <w:r w:rsidRPr="00EA2549">
        <w:t>ŘO OPTP</w:t>
      </w:r>
      <w:r w:rsidR="002F00E1" w:rsidRPr="00EA2549">
        <w:t xml:space="preserve"> jako kontrolní orgán může</w:t>
      </w:r>
      <w:r w:rsidR="00FD686C" w:rsidRPr="00EA2549">
        <w:t xml:space="preserve"> VSK prov</w:t>
      </w:r>
      <w:r w:rsidR="00503DE9" w:rsidRPr="00EA2549">
        <w:t>ést</w:t>
      </w:r>
      <w:r w:rsidR="00FD686C" w:rsidRPr="00EA2549">
        <w:t xml:space="preserve"> v součinnosti s</w:t>
      </w:r>
      <w:r w:rsidR="00503DE9" w:rsidRPr="00EA2549">
        <w:t xml:space="preserve"> CRR</w:t>
      </w:r>
      <w:r w:rsidR="00FD686C" w:rsidRPr="00EA2549">
        <w:t>.</w:t>
      </w:r>
      <w:r w:rsidR="00FB308E" w:rsidRPr="00EA2549">
        <w:t xml:space="preserve"> </w:t>
      </w:r>
    </w:p>
    <w:p w:rsidR="00E23F92" w:rsidRPr="00EA2549" w:rsidRDefault="00DF2653" w:rsidP="00E23F92">
      <w:r w:rsidRPr="00E61E36">
        <w:t xml:space="preserve">Veřejnosprávní kontrola je ukončena </w:t>
      </w:r>
      <w:r w:rsidRPr="00EA2549">
        <w:t xml:space="preserve">mj. marným uplynutím lhůty pro podání námitek nebo vzdáním se práva podat námitky. Další způsoby ukončení kontroly upravuje § 18 </w:t>
      </w:r>
      <w:proofErr w:type="spellStart"/>
      <w:r w:rsidRPr="00EA2549">
        <w:t>ZoK</w:t>
      </w:r>
      <w:proofErr w:type="spellEnd"/>
      <w:r w:rsidRPr="00EA2549">
        <w:t xml:space="preserve">. </w:t>
      </w:r>
    </w:p>
    <w:p w:rsidR="00E23F92" w:rsidRPr="00EA2549" w:rsidRDefault="00E23F92" w:rsidP="00E23F92">
      <w:r w:rsidRPr="00EA2549">
        <w:t xml:space="preserve">Kontrolovaná osoba může podat kontrolnímu orgánu proti kontrolnímu zjištění uvedenému v protokolu o kontrole námitky ve lhůtě 15 dnů ode dne doručení protokolu o kontrole (§13 </w:t>
      </w:r>
      <w:proofErr w:type="spellStart"/>
      <w:r w:rsidRPr="00EA2549">
        <w:t>ZoK</w:t>
      </w:r>
      <w:proofErr w:type="spellEnd"/>
      <w:r w:rsidRPr="00EA2549">
        <w:t xml:space="preserve">). Více viz kap. 6. V protokolu může být stanovena i delší lhůta. Námitky se podávají písemně, musí z nich být zřejmé, proti jakému kontrolnímu zjištění směřují a musí obsahovat odůvodnění nesouhlasu s tímto kontrolním zjištěním. Vyřizování námitek upravuje § 14 </w:t>
      </w:r>
      <w:proofErr w:type="spellStart"/>
      <w:r w:rsidRPr="00EA2549">
        <w:t>ZoK</w:t>
      </w:r>
      <w:proofErr w:type="spellEnd"/>
      <w:r w:rsidRPr="00EA2549">
        <w:t xml:space="preserve">. Je-li to na základě podaných námitek zapotřebí, provede kontrolující došetření věci.  </w:t>
      </w:r>
    </w:p>
    <w:p w:rsidR="00DF2653" w:rsidRDefault="00DF2653" w:rsidP="000C0867">
      <w:pPr>
        <w:rPr>
          <w:rFonts w:cs="Arial"/>
          <w:snapToGrid w:val="0"/>
          <w:szCs w:val="22"/>
        </w:rPr>
      </w:pPr>
    </w:p>
    <w:p w:rsidR="00503DE9" w:rsidRDefault="00FD686C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</w:t>
      </w:r>
      <w:r w:rsidR="00F72709">
        <w:rPr>
          <w:rFonts w:cs="Arial"/>
          <w:snapToGrid w:val="0"/>
          <w:szCs w:val="22"/>
        </w:rPr>
        <w:t> </w:t>
      </w:r>
      <w:r w:rsidR="00E63369" w:rsidRPr="00E25F3B">
        <w:rPr>
          <w:rFonts w:cs="Arial"/>
          <w:snapToGrid w:val="0"/>
          <w:szCs w:val="22"/>
        </w:rPr>
        <w:t xml:space="preserve">případě příjemců MMR </w:t>
      </w:r>
      <w:r>
        <w:rPr>
          <w:rFonts w:cs="Arial"/>
          <w:snapToGrid w:val="0"/>
          <w:szCs w:val="22"/>
        </w:rPr>
        <w:t xml:space="preserve">jsou prováděny </w:t>
      </w:r>
      <w:r w:rsidR="00E63369" w:rsidRPr="00E25F3B">
        <w:rPr>
          <w:rFonts w:cs="Arial"/>
          <w:snapToGrid w:val="0"/>
          <w:szCs w:val="22"/>
        </w:rPr>
        <w:t>kontrol</w:t>
      </w:r>
      <w:r>
        <w:rPr>
          <w:rFonts w:cs="Arial"/>
          <w:snapToGrid w:val="0"/>
          <w:szCs w:val="22"/>
        </w:rPr>
        <w:t>y</w:t>
      </w:r>
      <w:r w:rsidR="00E63369" w:rsidRPr="00E25F3B">
        <w:rPr>
          <w:rFonts w:cs="Arial"/>
          <w:snapToGrid w:val="0"/>
          <w:szCs w:val="22"/>
        </w:rPr>
        <w:t xml:space="preserve">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</w:p>
    <w:p w:rsidR="00F64030" w:rsidRDefault="00927EE7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2F00E1" w:rsidRPr="00E25F3B" w:rsidRDefault="00F64030" w:rsidP="002F00E1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 případě potřeby může být provedena </w:t>
      </w:r>
      <w:r w:rsidR="004C39E6">
        <w:rPr>
          <w:rFonts w:cs="Arial"/>
          <w:snapToGrid w:val="0"/>
          <w:szCs w:val="22"/>
        </w:rPr>
        <w:t xml:space="preserve">ze strany </w:t>
      </w:r>
      <w:r w:rsidR="00503DE9">
        <w:rPr>
          <w:rFonts w:cs="Arial"/>
          <w:snapToGrid w:val="0"/>
          <w:szCs w:val="22"/>
        </w:rPr>
        <w:t>CRR</w:t>
      </w:r>
      <w:r w:rsidR="00FD686C">
        <w:rPr>
          <w:rFonts w:cs="Arial"/>
          <w:snapToGrid w:val="0"/>
          <w:szCs w:val="22"/>
        </w:rPr>
        <w:t xml:space="preserve">/ŘO OPTP </w:t>
      </w:r>
      <w:r w:rsidR="00DE10A0" w:rsidRPr="00DE10A0">
        <w:rPr>
          <w:rFonts w:cs="Arial"/>
          <w:b/>
          <w:snapToGrid w:val="0"/>
          <w:szCs w:val="22"/>
        </w:rPr>
        <w:t>monitorovací návštěva</w:t>
      </w:r>
      <w:r w:rsidR="002F00E1">
        <w:rPr>
          <w:rFonts w:cs="Arial"/>
          <w:b/>
          <w:snapToGrid w:val="0"/>
          <w:szCs w:val="22"/>
        </w:rPr>
        <w:t xml:space="preserve">, </w:t>
      </w:r>
      <w:r w:rsidR="00DE10A0" w:rsidRPr="00DE10A0">
        <w:rPr>
          <w:rFonts w:cs="Arial"/>
          <w:snapToGrid w:val="0"/>
          <w:szCs w:val="22"/>
        </w:rPr>
        <w:t>která</w:t>
      </w:r>
      <w:r w:rsidR="002F00E1">
        <w:rPr>
          <w:rFonts w:cs="Arial"/>
          <w:b/>
          <w:snapToGrid w:val="0"/>
          <w:szCs w:val="22"/>
        </w:rPr>
        <w:t xml:space="preserve"> </w:t>
      </w:r>
      <w:r w:rsidR="002F00E1" w:rsidRPr="00E25F3B">
        <w:rPr>
          <w:rFonts w:cs="Arial"/>
          <w:snapToGrid w:val="0"/>
          <w:szCs w:val="22"/>
        </w:rPr>
        <w:t xml:space="preserve">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</w:t>
      </w:r>
      <w:r w:rsidR="002F00E1">
        <w:rPr>
          <w:rFonts w:cs="Arial"/>
          <w:snapToGrid w:val="0"/>
          <w:szCs w:val="22"/>
        </w:rPr>
        <w:t>pracovník/</w:t>
      </w:r>
      <w:r w:rsidR="002F00E1" w:rsidRPr="00E25F3B">
        <w:rPr>
          <w:rFonts w:cs="Arial"/>
          <w:snapToGrid w:val="0"/>
          <w:szCs w:val="22"/>
        </w:rPr>
        <w:t xml:space="preserve">skupina </w:t>
      </w:r>
      <w:r w:rsidR="002F00E1">
        <w:rPr>
          <w:rFonts w:cs="Arial"/>
          <w:snapToGrid w:val="0"/>
          <w:szCs w:val="22"/>
        </w:rPr>
        <w:t xml:space="preserve">další postup </w:t>
      </w:r>
      <w:r w:rsidR="002F00E1" w:rsidRPr="00E25F3B">
        <w:rPr>
          <w:rFonts w:cs="Arial"/>
          <w:snapToGrid w:val="0"/>
          <w:szCs w:val="22"/>
        </w:rPr>
        <w:t>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8" w:name="_Toc72902230"/>
      <w:bookmarkStart w:id="519" w:name="_Toc86201993"/>
      <w:bookmarkStart w:id="520" w:name="_Toc155769604"/>
      <w:bookmarkStart w:id="521" w:name="_Toc222047163"/>
      <w:bookmarkStart w:id="522" w:name="_Toc230765187"/>
      <w:bookmarkStart w:id="523" w:name="_Toc243199684"/>
      <w:r w:rsidRPr="0093073E">
        <w:rPr>
          <w:b/>
        </w:rPr>
        <w:t>Kontrolovaný subjekt</w:t>
      </w:r>
      <w:bookmarkEnd w:id="518"/>
      <w:bookmarkEnd w:id="519"/>
      <w:bookmarkEnd w:id="520"/>
      <w:bookmarkEnd w:id="521"/>
      <w:bookmarkEnd w:id="522"/>
      <w:bookmarkEnd w:id="523"/>
    </w:p>
    <w:p w:rsidR="002F00E1" w:rsidRDefault="0024789E" w:rsidP="00EF0379">
      <w:pPr>
        <w:pStyle w:val="Seznamsodrkami"/>
        <w:rPr>
          <w:b/>
        </w:rPr>
      </w:pPr>
      <w:r w:rsidRPr="00117B15">
        <w:t xml:space="preserve">Kontrolovaný subjekt je na základě </w:t>
      </w:r>
      <w:r w:rsidR="00C023BC" w:rsidRPr="00117B15">
        <w:t>říd</w:t>
      </w:r>
      <w:r w:rsidR="00BA4CD9" w:rsidRPr="00117B15">
        <w:t>i</w:t>
      </w:r>
      <w:r w:rsidR="00C023BC" w:rsidRPr="00117B15">
        <w:t xml:space="preserve">cího dokumentu či </w:t>
      </w:r>
      <w:r w:rsidR="00C44E19" w:rsidRPr="00117B15">
        <w:t>právního aktu o poskytnutí podpory</w:t>
      </w:r>
      <w:r w:rsidRPr="00117B15">
        <w:t xml:space="preserve"> povinen umožnit </w:t>
      </w:r>
      <w:r w:rsidR="0023597C" w:rsidRPr="00117B15">
        <w:t xml:space="preserve">oprávněným osobám </w:t>
      </w:r>
      <w:r w:rsidR="00C44E19" w:rsidRPr="00117B15">
        <w:t xml:space="preserve">kontrolu </w:t>
      </w:r>
      <w:r w:rsidRPr="00117B15">
        <w:t>projekt</w:t>
      </w:r>
      <w:r w:rsidR="00C44E19" w:rsidRPr="00117B15">
        <w:t>u</w:t>
      </w:r>
      <w:r w:rsidRPr="00117B15">
        <w:t xml:space="preserve"> před realizací, po dobu realizace i po</w:t>
      </w:r>
      <w:r w:rsidR="00C44E19" w:rsidRPr="00117B15">
        <w:t xml:space="preserve"> ukončení</w:t>
      </w:r>
      <w:r w:rsidRPr="00117B15">
        <w:t xml:space="preserve"> realizac</w:t>
      </w:r>
      <w:r w:rsidR="00C44E19" w:rsidRPr="00117B15">
        <w:t>e</w:t>
      </w:r>
      <w:r w:rsidRPr="00117B15">
        <w:t>.</w:t>
      </w:r>
      <w:bookmarkStart w:id="524" w:name="_Toc155769605"/>
      <w:bookmarkStart w:id="525" w:name="_Toc222047164"/>
      <w:bookmarkStart w:id="526" w:name="_Toc230765188"/>
    </w:p>
    <w:p w:rsidR="00FD60FB" w:rsidRDefault="0024789E" w:rsidP="00EF0379">
      <w:pPr>
        <w:spacing w:after="120"/>
        <w:rPr>
          <w:rFonts w:cs="Arial"/>
          <w:szCs w:val="22"/>
        </w:rPr>
      </w:pPr>
      <w:r w:rsidRPr="005803EE">
        <w:rPr>
          <w:b/>
        </w:rPr>
        <w:t xml:space="preserve">Práva </w:t>
      </w:r>
      <w:r w:rsidR="00EE4AD1">
        <w:rPr>
          <w:b/>
        </w:rPr>
        <w:t xml:space="preserve">a povinnosti </w:t>
      </w:r>
      <w:r w:rsidRPr="005803EE">
        <w:rPr>
          <w:b/>
        </w:rPr>
        <w:t>kontrol</w:t>
      </w:r>
      <w:r w:rsidR="00EE4AD1">
        <w:rPr>
          <w:b/>
        </w:rPr>
        <w:t>ujícího i kontrol</w:t>
      </w:r>
      <w:r w:rsidRPr="005803EE">
        <w:rPr>
          <w:b/>
        </w:rPr>
        <w:t>ované</w:t>
      </w:r>
      <w:r w:rsidR="00EE4AD1">
        <w:rPr>
          <w:b/>
        </w:rPr>
        <w:t xml:space="preserve"> osoby </w:t>
      </w:r>
      <w:r w:rsidR="00DE10A0" w:rsidRPr="00DE10A0">
        <w:t xml:space="preserve">v případě kontroly v režimu VSK upravují ustanovení §7 až 10 </w:t>
      </w:r>
      <w:proofErr w:type="spellStart"/>
      <w:r w:rsidR="00DE10A0" w:rsidRPr="00DE10A0">
        <w:t>ZoK</w:t>
      </w:r>
      <w:proofErr w:type="spellEnd"/>
      <w:r w:rsidR="00DE10A0" w:rsidRPr="00DE10A0">
        <w:t xml:space="preserve">.  </w:t>
      </w:r>
      <w:proofErr w:type="spellStart"/>
      <w:r w:rsidR="00DE10A0" w:rsidRPr="00DE10A0">
        <w:t>M.j</w:t>
      </w:r>
      <w:proofErr w:type="spellEnd"/>
      <w:r w:rsidR="00DE10A0" w:rsidRPr="00DE10A0">
        <w:t xml:space="preserve">. je kontrolovaná  osoba </w:t>
      </w:r>
      <w:r w:rsidR="00EE4AD1">
        <w:t xml:space="preserve">oprávněna </w:t>
      </w:r>
      <w:bookmarkEnd w:id="524"/>
      <w:bookmarkEnd w:id="525"/>
      <w:bookmarkEnd w:id="526"/>
      <w:r w:rsidRPr="00EE4AD1">
        <w:rPr>
          <w:rFonts w:cs="Arial"/>
          <w:szCs w:val="22"/>
        </w:rPr>
        <w:t>požadovat po kontrol</w:t>
      </w:r>
      <w:r w:rsidR="00EE4AD1" w:rsidRPr="00EE4AD1">
        <w:rPr>
          <w:rFonts w:cs="Arial"/>
          <w:szCs w:val="22"/>
        </w:rPr>
        <w:t xml:space="preserve">ujícím </w:t>
      </w:r>
      <w:r w:rsidRPr="00EE4AD1">
        <w:rPr>
          <w:rFonts w:cs="Arial"/>
          <w:szCs w:val="22"/>
        </w:rPr>
        <w:t xml:space="preserve">předložení písemného </w:t>
      </w:r>
      <w:r w:rsidR="00FD686C" w:rsidRPr="00EE4AD1">
        <w:rPr>
          <w:rFonts w:cs="Arial"/>
          <w:szCs w:val="22"/>
        </w:rPr>
        <w:t xml:space="preserve">pověření </w:t>
      </w:r>
      <w:r w:rsidRPr="00EE4AD1">
        <w:rPr>
          <w:rFonts w:cs="Arial"/>
          <w:szCs w:val="22"/>
        </w:rPr>
        <w:t>ke kontrole,</w:t>
      </w:r>
      <w:r w:rsidR="00EE4AD1">
        <w:rPr>
          <w:rFonts w:cs="Arial"/>
          <w:szCs w:val="22"/>
        </w:rPr>
        <w:t xml:space="preserve"> nam</w:t>
      </w:r>
      <w:r w:rsidR="00EE4AD1" w:rsidRPr="00EE4AD1">
        <w:rPr>
          <w:rFonts w:cs="Arial"/>
          <w:szCs w:val="22"/>
        </w:rPr>
        <w:t>ítat podjatost kon</w:t>
      </w:r>
      <w:r w:rsidR="008763FB">
        <w:rPr>
          <w:rFonts w:cs="Arial"/>
          <w:szCs w:val="22"/>
        </w:rPr>
        <w:t>t</w:t>
      </w:r>
      <w:r w:rsidR="00EE4AD1" w:rsidRPr="00EE4AD1">
        <w:rPr>
          <w:rFonts w:cs="Arial"/>
          <w:szCs w:val="22"/>
        </w:rPr>
        <w:t>rolujícího nebo přizvané osoby</w:t>
      </w:r>
      <w:r w:rsidR="008763FB">
        <w:rPr>
          <w:rFonts w:cs="Arial"/>
          <w:szCs w:val="22"/>
        </w:rPr>
        <w:t xml:space="preserve"> a </w:t>
      </w:r>
      <w:r w:rsidR="00EE4AD1" w:rsidRPr="00EE4AD1">
        <w:rPr>
          <w:rFonts w:cs="Arial"/>
          <w:szCs w:val="22"/>
        </w:rPr>
        <w:t>seznámit se s obsahem prot</w:t>
      </w:r>
      <w:r w:rsidR="008763FB">
        <w:rPr>
          <w:rFonts w:cs="Arial"/>
          <w:szCs w:val="22"/>
        </w:rPr>
        <w:t>o</w:t>
      </w:r>
      <w:r w:rsidR="00EE4AD1" w:rsidRPr="00EE4AD1">
        <w:rPr>
          <w:rFonts w:cs="Arial"/>
          <w:szCs w:val="22"/>
        </w:rPr>
        <w:t>kolu o kontrole</w:t>
      </w:r>
      <w:r w:rsidR="008763FB">
        <w:rPr>
          <w:rFonts w:cs="Arial"/>
          <w:szCs w:val="22"/>
        </w:rPr>
        <w:t xml:space="preserve">. Mezi povinnosti kontrolované osoby patří </w:t>
      </w:r>
      <w:proofErr w:type="spellStart"/>
      <w:r w:rsidR="008763FB">
        <w:rPr>
          <w:rFonts w:cs="Arial"/>
          <w:szCs w:val="22"/>
        </w:rPr>
        <w:t>m.j</w:t>
      </w:r>
      <w:proofErr w:type="spellEnd"/>
      <w:r w:rsidR="008763FB">
        <w:rPr>
          <w:rFonts w:cs="Arial"/>
          <w:szCs w:val="22"/>
        </w:rPr>
        <w:t xml:space="preserve">. vytvoření podmínek pro výkon kontroly, poskytnutí součinnosti potřebné k výkonu kontroly a podat ve stanovené lhůtě písemnou zprávu o odstranění nebo prevenci nedostatků zjištěných kontrolou, pokud o to kontrolující požádá. </w:t>
      </w:r>
    </w:p>
    <w:p w:rsidR="0024789E" w:rsidRPr="005803EE" w:rsidRDefault="0024789E" w:rsidP="005803EE">
      <w:pPr>
        <w:rPr>
          <w:b/>
        </w:rPr>
      </w:pPr>
      <w:bookmarkStart w:id="527" w:name="_Toc200440774"/>
      <w:bookmarkStart w:id="528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27"/>
      <w:bookmarkEnd w:id="528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Tato administrativní kontrola </w:t>
      </w:r>
      <w:r w:rsidR="002F00E1">
        <w:rPr>
          <w:rFonts w:cs="Arial"/>
          <w:szCs w:val="22"/>
        </w:rPr>
        <w:t xml:space="preserve">může být prováděna v režimu veřejnosprávní kontroly i mimo tento režim, kdy je prováděna u příjemců v rámci MMR a může být prováděna i CRR. </w:t>
      </w:r>
    </w:p>
    <w:p w:rsidR="0024789E" w:rsidRDefault="0024789E" w:rsidP="00EF0379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Na základě výsledků administrativní kontroly projektů může být zahájena </w:t>
      </w:r>
      <w:r w:rsidR="0008410C">
        <w:rPr>
          <w:rFonts w:cs="Arial"/>
          <w:szCs w:val="22"/>
        </w:rPr>
        <w:t xml:space="preserve">ŘO OPTP </w:t>
      </w:r>
      <w:r w:rsidRPr="00E25F3B">
        <w:rPr>
          <w:rFonts w:cs="Arial"/>
          <w:szCs w:val="22"/>
        </w:rPr>
        <w:t xml:space="preserve">kontrola </w:t>
      </w:r>
      <w:r w:rsidR="002F00E1">
        <w:rPr>
          <w:rFonts w:cs="Arial"/>
          <w:szCs w:val="22"/>
        </w:rPr>
        <w:t xml:space="preserve">na místě, </w:t>
      </w:r>
      <w:r w:rsidR="0008410C">
        <w:rPr>
          <w:rFonts w:cs="Arial"/>
          <w:szCs w:val="22"/>
        </w:rPr>
        <w:t xml:space="preserve">a </w:t>
      </w:r>
      <w:r w:rsidR="002F00E1">
        <w:rPr>
          <w:rFonts w:cs="Arial"/>
          <w:szCs w:val="22"/>
        </w:rPr>
        <w:t xml:space="preserve">to </w:t>
      </w:r>
      <w:r w:rsidR="0008410C">
        <w:rPr>
          <w:rFonts w:cs="Arial"/>
          <w:szCs w:val="22"/>
        </w:rPr>
        <w:t xml:space="preserve">buď </w:t>
      </w:r>
      <w:r w:rsidR="002F00E1">
        <w:rPr>
          <w:rFonts w:cs="Arial"/>
          <w:szCs w:val="22"/>
        </w:rPr>
        <w:t xml:space="preserve">v režimu veřejnosprávní kontroly (u příjemců mimo MMR) a </w:t>
      </w:r>
      <w:r w:rsidR="0008410C">
        <w:rPr>
          <w:rFonts w:cs="Arial"/>
          <w:szCs w:val="22"/>
        </w:rPr>
        <w:t xml:space="preserve">nebo </w:t>
      </w:r>
      <w:r w:rsidR="002F00E1">
        <w:rPr>
          <w:rFonts w:cs="Arial"/>
          <w:szCs w:val="22"/>
        </w:rPr>
        <w:t>mimo tento režim</w:t>
      </w:r>
      <w:r w:rsidR="0008410C">
        <w:rPr>
          <w:rFonts w:cs="Arial"/>
          <w:szCs w:val="22"/>
        </w:rPr>
        <w:t xml:space="preserve"> </w:t>
      </w:r>
      <w:r w:rsidR="002F00E1">
        <w:rPr>
          <w:rFonts w:cs="Arial"/>
          <w:szCs w:val="22"/>
        </w:rPr>
        <w:t>ze strany ŘO OPTP i CRR</w:t>
      </w:r>
      <w:r w:rsidRPr="00E25F3B">
        <w:rPr>
          <w:rFonts w:cs="Arial"/>
          <w:szCs w:val="22"/>
        </w:rPr>
        <w:t>.</w:t>
      </w:r>
    </w:p>
    <w:p w:rsidR="00F8168C" w:rsidRDefault="00F8168C" w:rsidP="00EF0379">
      <w:pPr>
        <w:pStyle w:val="NORMALOM"/>
        <w:suppressAutoHyphens/>
        <w:spacing w:after="120"/>
        <w:rPr>
          <w:sz w:val="22"/>
        </w:rPr>
      </w:pPr>
      <w:r w:rsidRPr="008E3ADA">
        <w:rPr>
          <w:rFonts w:ascii="Tahoma" w:hAnsi="Tahoma" w:cs="Tahoma"/>
          <w:sz w:val="22"/>
        </w:rPr>
        <w:t xml:space="preserve">V případě kontrol prováděných dle </w:t>
      </w:r>
      <w:proofErr w:type="spellStart"/>
      <w:r w:rsidRPr="008E3ADA">
        <w:rPr>
          <w:rFonts w:ascii="Tahoma" w:hAnsi="Tahoma" w:cs="Tahoma"/>
          <w:sz w:val="22"/>
        </w:rPr>
        <w:t>ZoK</w:t>
      </w:r>
      <w:proofErr w:type="spellEnd"/>
      <w:r w:rsidRPr="008E3ADA">
        <w:rPr>
          <w:rFonts w:ascii="Tahoma" w:hAnsi="Tahoma" w:cs="Tahoma"/>
          <w:sz w:val="22"/>
        </w:rPr>
        <w:t xml:space="preserve"> může kontrolní orgán provádět úkony předcházející kontrole dle § 3 </w:t>
      </w:r>
      <w:proofErr w:type="spellStart"/>
      <w:r w:rsidRPr="008E3ADA">
        <w:rPr>
          <w:rFonts w:ascii="Tahoma" w:hAnsi="Tahoma" w:cs="Tahoma"/>
          <w:sz w:val="22"/>
        </w:rPr>
        <w:t>ZoK</w:t>
      </w:r>
      <w:proofErr w:type="spellEnd"/>
      <w:r w:rsidRPr="008E3ADA">
        <w:rPr>
          <w:rFonts w:ascii="Tahoma" w:hAnsi="Tahoma" w:cs="Tahoma"/>
          <w:sz w:val="22"/>
        </w:rPr>
        <w:t>.  O těchto úkonech pořídí záznam.</w:t>
      </w:r>
    </w:p>
    <w:p w:rsidR="00AB5BC1" w:rsidRPr="005512E0" w:rsidRDefault="00AB5BC1" w:rsidP="00AB5BC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AB5BC1" w:rsidRPr="00E25F3B" w:rsidRDefault="00AB5BC1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9" w:name="_Toc200440775"/>
      <w:bookmarkStart w:id="530" w:name="_Toc243199686"/>
      <w:r w:rsidRPr="005803EE">
        <w:rPr>
          <w:b/>
        </w:rPr>
        <w:t xml:space="preserve">Vnější kontrola, audit </w:t>
      </w:r>
      <w:bookmarkEnd w:id="529"/>
      <w:bookmarkEnd w:id="530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 příjemce mohou provést kontrolu</w:t>
      </w:r>
      <w:r w:rsidR="00503DE9">
        <w:rPr>
          <w:rFonts w:cs="Arial"/>
          <w:color w:val="000000"/>
          <w:szCs w:val="22"/>
        </w:rPr>
        <w:t>/audit</w:t>
      </w:r>
      <w:r w:rsidRPr="00E25F3B">
        <w:rPr>
          <w:rFonts w:cs="Arial"/>
          <w:color w:val="000000"/>
          <w:szCs w:val="22"/>
        </w:rPr>
        <w:t xml:space="preserve"> také orgány, provádějící vnější kontrolu či audit programu: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</w:t>
      </w:r>
      <w:r w:rsidR="00F72709">
        <w:rPr>
          <w:rFonts w:cs="Arial"/>
          <w:color w:val="000000"/>
          <w:szCs w:val="22"/>
        </w:rPr>
        <w:t xml:space="preserve"> – </w:t>
      </w:r>
      <w:r w:rsidR="00777D9A">
        <w:rPr>
          <w:rFonts w:cs="Arial"/>
          <w:color w:val="000000"/>
          <w:szCs w:val="22"/>
        </w:rPr>
        <w:t>SOIA,</w:t>
      </w:r>
    </w:p>
    <w:p w:rsidR="0024789E" w:rsidRPr="00E25F3B" w:rsidRDefault="00152F60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</w:t>
      </w:r>
      <w:r w:rsidR="0024789E" w:rsidRPr="00E25F3B">
        <w:rPr>
          <w:rFonts w:cs="Arial"/>
          <w:color w:val="000000"/>
          <w:szCs w:val="22"/>
        </w:rPr>
        <w:t xml:space="preserve">inanční </w:t>
      </w:r>
      <w:r w:rsidR="009F7ABA">
        <w:rPr>
          <w:rFonts w:cs="Arial"/>
          <w:color w:val="000000"/>
          <w:szCs w:val="22"/>
        </w:rPr>
        <w:t>úřad</w:t>
      </w:r>
      <w:r w:rsidR="0024789E" w:rsidRPr="00E25F3B">
        <w:rPr>
          <w:rFonts w:cs="Arial"/>
          <w:color w:val="000000"/>
          <w:szCs w:val="22"/>
        </w:rPr>
        <w:t>,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09534D">
      <w:pPr>
        <w:numPr>
          <w:ilvl w:val="1"/>
          <w:numId w:val="28"/>
        </w:numPr>
        <w:autoSpaceDE w:val="0"/>
        <w:autoSpaceDN w:val="0"/>
        <w:adjustRightInd w:val="0"/>
        <w:spacing w:before="60"/>
        <w:ind w:left="1434" w:hanging="357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bookmarkStart w:id="531" w:name="_Toc243199687"/>
      <w:r w:rsidRPr="00E25F3B">
        <w:t>Příjemce je povinen výkon takových kontrol umožnit a poskytnout při provádění těchto kontrol nezbytnou součinnost.</w:t>
      </w:r>
      <w:bookmarkStart w:id="532" w:name="_Toc223408209"/>
      <w:bookmarkEnd w:id="531"/>
      <w:bookmarkEnd w:id="532"/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3" w:name="_Toc243199691"/>
      <w:bookmarkStart w:id="534" w:name="_Toc243199692"/>
      <w:bookmarkStart w:id="535" w:name="_Toc243199693"/>
      <w:bookmarkStart w:id="536" w:name="_Toc239845688"/>
      <w:bookmarkStart w:id="537" w:name="_Toc239845959"/>
      <w:bookmarkStart w:id="538" w:name="_Toc239845689"/>
      <w:bookmarkStart w:id="539" w:name="_Toc239845960"/>
      <w:bookmarkStart w:id="540" w:name="_Toc239845690"/>
      <w:bookmarkStart w:id="541" w:name="_Toc239845961"/>
      <w:bookmarkStart w:id="542" w:name="_Toc239845692"/>
      <w:bookmarkStart w:id="543" w:name="_Toc239845963"/>
      <w:bookmarkStart w:id="544" w:name="_Toc239845693"/>
      <w:bookmarkStart w:id="545" w:name="_Toc239845964"/>
      <w:bookmarkStart w:id="546" w:name="_Toc239845694"/>
      <w:bookmarkStart w:id="547" w:name="_Toc239845965"/>
      <w:bookmarkStart w:id="548" w:name="_Toc239845695"/>
      <w:bookmarkStart w:id="549" w:name="_Toc239845966"/>
      <w:bookmarkStart w:id="550" w:name="_Toc239845696"/>
      <w:bookmarkStart w:id="551" w:name="_Toc239845967"/>
      <w:bookmarkStart w:id="552" w:name="_Toc243199698"/>
      <w:bookmarkStart w:id="553" w:name="_Toc239845698"/>
      <w:bookmarkStart w:id="554" w:name="_Toc239845969"/>
      <w:bookmarkStart w:id="555" w:name="_Toc198449221"/>
      <w:bookmarkStart w:id="556" w:name="_Toc198449222"/>
      <w:bookmarkStart w:id="557" w:name="_Toc198449223"/>
      <w:bookmarkStart w:id="558" w:name="_Toc190584503"/>
      <w:bookmarkStart w:id="559" w:name="_Toc190587052"/>
      <w:bookmarkStart w:id="560" w:name="_Toc190587121"/>
      <w:bookmarkStart w:id="561" w:name="_Toc204065704"/>
      <w:bookmarkStart w:id="562" w:name="_Toc243199699"/>
      <w:bookmarkStart w:id="563" w:name="_Toc41807637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 w:rsidRPr="00E25F3B">
        <w:lastRenderedPageBreak/>
        <w:t>Udržitelnost projektu</w:t>
      </w:r>
      <w:bookmarkEnd w:id="558"/>
      <w:bookmarkEnd w:id="559"/>
      <w:bookmarkEnd w:id="560"/>
      <w:bookmarkEnd w:id="561"/>
      <w:bookmarkEnd w:id="562"/>
      <w:r w:rsidR="001348FE" w:rsidRPr="00E25F3B">
        <w:t xml:space="preserve"> a archivace dokumentace</w:t>
      </w:r>
      <w:bookmarkEnd w:id="563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4" w:name="_Toc418076373"/>
      <w:r w:rsidRPr="00E25F3B">
        <w:rPr>
          <w:rFonts w:cs="Arial"/>
        </w:rPr>
        <w:t>Udržitelnost projektu</w:t>
      </w:r>
      <w:bookmarkEnd w:id="564"/>
      <w:r w:rsidRPr="00E25F3B">
        <w:rPr>
          <w:rFonts w:cs="Arial"/>
        </w:rPr>
        <w:t xml:space="preserve"> </w:t>
      </w:r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AC2A35">
        <w:t xml:space="preserve">realizace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 xml:space="preserve">Příjemce zašle ZS/ŘO OPTP do 11 měsíců </w:t>
      </w:r>
      <w:r w:rsidR="00A01AAC">
        <w:rPr>
          <w:rFonts w:cs="Arial"/>
          <w:szCs w:val="22"/>
        </w:rPr>
        <w:t xml:space="preserve">od data </w:t>
      </w:r>
      <w:r w:rsidRPr="00067707">
        <w:rPr>
          <w:rFonts w:cs="Arial"/>
          <w:szCs w:val="22"/>
        </w:rPr>
        <w:t xml:space="preserve">ukončení </w:t>
      </w:r>
      <w:r w:rsidR="007B25EA">
        <w:rPr>
          <w:rFonts w:cs="Arial"/>
          <w:szCs w:val="22"/>
        </w:rPr>
        <w:t xml:space="preserve">realizace </w:t>
      </w:r>
      <w:r w:rsidRPr="00067707">
        <w:rPr>
          <w:rFonts w:cs="Arial"/>
          <w:szCs w:val="22"/>
        </w:rPr>
        <w:t>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 xml:space="preserve">o udržitelnosti projektu do jednoho roku od </w:t>
      </w:r>
      <w:r w:rsidR="00A01AAC">
        <w:rPr>
          <w:rFonts w:cs="Arial"/>
          <w:szCs w:val="22"/>
        </w:rPr>
        <w:t xml:space="preserve">data </w:t>
      </w:r>
      <w:r w:rsidRPr="00067707">
        <w:rPr>
          <w:rFonts w:cs="Arial"/>
          <w:szCs w:val="22"/>
        </w:rPr>
        <w:t xml:space="preserve">ukončení </w:t>
      </w:r>
      <w:r w:rsidR="007B25EA">
        <w:rPr>
          <w:rFonts w:cs="Arial"/>
          <w:szCs w:val="22"/>
        </w:rPr>
        <w:t xml:space="preserve">realizace </w:t>
      </w:r>
      <w:r w:rsidRPr="00E25F3B">
        <w:rPr>
          <w:rFonts w:cs="Arial"/>
          <w:szCs w:val="22"/>
        </w:rPr>
        <w:t>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</w:t>
      </w:r>
      <w:r w:rsidR="00A01AAC">
        <w:rPr>
          <w:rFonts w:cs="Arial"/>
          <w:szCs w:val="22"/>
        </w:rPr>
        <w:t>od data</w:t>
      </w:r>
      <w:r w:rsidR="00A01AAC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ukončení </w:t>
      </w:r>
      <w:r w:rsidR="007B25EA">
        <w:rPr>
          <w:rFonts w:cs="Arial"/>
          <w:szCs w:val="22"/>
        </w:rPr>
        <w:t>realizace</w:t>
      </w:r>
      <w:r w:rsidRPr="00E25F3B">
        <w:rPr>
          <w:rFonts w:cs="Arial"/>
          <w:szCs w:val="22"/>
        </w:rPr>
        <w:t xml:space="preserve"> projektu.</w:t>
      </w:r>
    </w:p>
    <w:p w:rsidR="00A97695" w:rsidRDefault="00174C4B" w:rsidP="00410448">
      <w:pPr>
        <w:rPr>
          <w:rFonts w:cs="Arial"/>
          <w:lang w:eastAsia="en-US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>(tj. u projektů, kde nebyly vynaloženy finanční prostředky na investice), neprovádí ZS/ŘO OPTP ex-post kontrolu projektu, což ovšem neznamená, že příjemce není povinen poskytovat požadované informace, dokumentaci a součinnost při provádění následných kontrol vztahujícím se k projektu jiným relevantním orgánům (EK, EÚD, NKÚ, F</w:t>
      </w:r>
      <w:r w:rsidR="009F7ABA">
        <w:rPr>
          <w:rFonts w:cs="Arial"/>
          <w:lang w:eastAsia="en-US"/>
        </w:rPr>
        <w:t>inanční úřad</w:t>
      </w:r>
      <w:r w:rsidR="007D102B" w:rsidRPr="007D102B">
        <w:rPr>
          <w:rFonts w:cs="Arial"/>
          <w:lang w:eastAsia="en-US"/>
        </w:rPr>
        <w:t xml:space="preserve">, MF apod.) po dobu uvedenou v Podmínkách.  </w:t>
      </w:r>
    </w:p>
    <w:p w:rsidR="000017C3" w:rsidRPr="00EA2549" w:rsidRDefault="007957CF" w:rsidP="000017C3">
      <w:pPr>
        <w:rPr>
          <w:rFonts w:ascii="Tahoma" w:hAnsi="Tahoma" w:cs="Tahoma"/>
          <w:color w:val="1F497D"/>
          <w:lang w:eastAsia="en-US"/>
        </w:rPr>
      </w:pPr>
      <w:r w:rsidRPr="007957CF">
        <w:rPr>
          <w:rFonts w:cs="Arial"/>
          <w:lang w:eastAsia="en-US"/>
        </w:rPr>
        <w:t>Povinností příjemc</w:t>
      </w:r>
      <w:r w:rsidR="00482293">
        <w:rPr>
          <w:rFonts w:cs="Arial"/>
          <w:lang w:eastAsia="en-US"/>
        </w:rPr>
        <w:t>ů</w:t>
      </w:r>
      <w:r w:rsidRPr="007957CF">
        <w:rPr>
          <w:rFonts w:cs="Arial"/>
          <w:lang w:eastAsia="en-US"/>
        </w:rPr>
        <w:t xml:space="preserve"> podpory </w:t>
      </w:r>
      <w:r w:rsidR="00482293">
        <w:rPr>
          <w:rFonts w:cs="Arial"/>
          <w:lang w:eastAsia="en-US"/>
        </w:rPr>
        <w:t>pro p</w:t>
      </w:r>
      <w:r w:rsidRPr="007957CF">
        <w:rPr>
          <w:rFonts w:cs="Arial"/>
          <w:lang w:eastAsia="en-US"/>
        </w:rPr>
        <w:t xml:space="preserve">rojekty </w:t>
      </w:r>
      <w:r w:rsidR="00482293">
        <w:rPr>
          <w:rFonts w:cs="Arial"/>
          <w:lang w:eastAsia="en-US"/>
        </w:rPr>
        <w:t xml:space="preserve">nositelů integrovaných strategií je schválení </w:t>
      </w:r>
      <w:r w:rsidRPr="007957CF">
        <w:rPr>
          <w:rFonts w:cs="Arial"/>
          <w:lang w:eastAsia="en-US"/>
        </w:rPr>
        <w:t>integrovaných strategií pro ITI a IPRÚ a komunitně vedených strategií místního rozvoje</w:t>
      </w:r>
      <w:r w:rsidR="00683F5B" w:rsidRPr="00E91861">
        <w:rPr>
          <w:rFonts w:ascii="Tahoma" w:hAnsi="Tahoma" w:cs="Tahoma"/>
          <w:szCs w:val="22"/>
          <w:lang w:eastAsia="en-US"/>
        </w:rPr>
        <w:t>/strategií komunitně vedeného místního rozvoje</w:t>
      </w:r>
      <w:r w:rsidRPr="007957CF">
        <w:rPr>
          <w:rFonts w:cs="Arial"/>
          <w:lang w:eastAsia="en-US"/>
        </w:rPr>
        <w:t xml:space="preserve"> pro území MAS</w:t>
      </w:r>
      <w:r w:rsidR="00482293">
        <w:rPr>
          <w:rFonts w:cs="Arial"/>
          <w:lang w:eastAsia="en-US"/>
        </w:rPr>
        <w:t xml:space="preserve">. </w:t>
      </w:r>
      <w:r w:rsidRPr="007957CF">
        <w:rPr>
          <w:rFonts w:cs="Arial"/>
          <w:lang w:eastAsia="en-US"/>
        </w:rPr>
        <w:t>Konečný termín pro schválení strategie dle „Metodického pokynu pro využití integrovaných přístupů v programovém období 2014–2020", který je brán jako splnění podmínky udržitelnosti, je 31. 12. 2017.</w:t>
      </w:r>
      <w:r w:rsidR="000017C3">
        <w:rPr>
          <w:rFonts w:cs="Arial"/>
          <w:lang w:eastAsia="en-US"/>
        </w:rPr>
        <w:t xml:space="preserve"> </w:t>
      </w:r>
      <w:r w:rsidR="000017C3" w:rsidRPr="00EA2549">
        <w:rPr>
          <w:rFonts w:ascii="Tahoma" w:hAnsi="Tahoma" w:cs="Tahoma"/>
          <w:color w:val="0D0D0D" w:themeColor="text1" w:themeTint="F2"/>
          <w:lang w:eastAsia="en-US"/>
        </w:rPr>
        <w:t>Nositelé integrovaných strategií jsou zároveň povinni zaslat vyplněný formulář Hlášení o udržitelnosti projektu (Příloha č. 15 Příručky) nejpozději do 20 pracovních dnů po termínu schválení strategie.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5" w:name="_Toc418076374"/>
      <w:r w:rsidRPr="00E25F3B">
        <w:t>Archivace dokumentace</w:t>
      </w:r>
      <w:bookmarkEnd w:id="565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</w:t>
      </w:r>
      <w:r w:rsidR="00FE0F32">
        <w:rPr>
          <w:rFonts w:cs="Arial"/>
          <w:lang w:eastAsia="en-US"/>
        </w:rPr>
        <w:t xml:space="preserve">a </w:t>
      </w:r>
      <w:r w:rsidR="00D10F7C" w:rsidRPr="00E25F3B">
        <w:rPr>
          <w:rFonts w:cs="Arial"/>
          <w:lang w:eastAsia="en-US"/>
        </w:rPr>
        <w:t>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FE0F32">
        <w:rPr>
          <w:rFonts w:cs="Arial"/>
          <w:lang w:eastAsia="en-US"/>
        </w:rPr>
        <w:t xml:space="preserve"> po dobu tří let </w:t>
      </w:r>
      <w:r w:rsidR="00C317A1" w:rsidRPr="00D73E80">
        <w:rPr>
          <w:rFonts w:cs="Arial"/>
          <w:lang w:eastAsia="en-US"/>
        </w:rPr>
        <w:t>od uzavření programu</w:t>
      </w:r>
      <w:r w:rsidR="00C317A1">
        <w:rPr>
          <w:rFonts w:cs="Arial"/>
          <w:lang w:eastAsia="en-US"/>
        </w:rPr>
        <w:t xml:space="preserve"> avšak</w:t>
      </w:r>
      <w:r w:rsidR="00E42A57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 xml:space="preserve">MMR, MF, EK, Evropského kontrolního úřadu, NKÚ, příslušného finančního </w:t>
      </w:r>
      <w:r w:rsidR="009F7ABA">
        <w:t>úřadu</w:t>
      </w:r>
      <w:r w:rsidR="009F7ABA" w:rsidRPr="00E25F3B">
        <w:t xml:space="preserve"> </w:t>
      </w:r>
      <w:r w:rsidR="00E6064F" w:rsidRPr="00E25F3B">
        <w:t>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66" w:name="_Toc190584512"/>
      <w:bookmarkStart w:id="567" w:name="_Toc190587061"/>
      <w:bookmarkStart w:id="568" w:name="_Toc190587130"/>
      <w:bookmarkStart w:id="569" w:name="_Toc204065712"/>
      <w:bookmarkStart w:id="570" w:name="_Toc243199701"/>
      <w:bookmarkStart w:id="571" w:name="_Toc418076375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66"/>
      <w:bookmarkEnd w:id="567"/>
      <w:bookmarkEnd w:id="568"/>
      <w:r w:rsidRPr="00E25F3B">
        <w:rPr>
          <w:rFonts w:cs="Arial"/>
          <w:szCs w:val="28"/>
        </w:rPr>
        <w:t xml:space="preserve"> v OPTP</w:t>
      </w:r>
      <w:bookmarkEnd w:id="569"/>
      <w:bookmarkEnd w:id="570"/>
      <w:bookmarkEnd w:id="57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3276FD" w:rsidP="0052521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6CEA6B7" wp14:editId="20DEA8ED">
                      <wp:simplePos x="0" y="0"/>
                      <wp:positionH relativeFrom="margin">
                        <wp:posOffset>1479550</wp:posOffset>
                      </wp:positionH>
                      <wp:positionV relativeFrom="page">
                        <wp:posOffset>34290</wp:posOffset>
                      </wp:positionV>
                      <wp:extent cx="1285875" cy="8115300"/>
                      <wp:effectExtent l="3175" t="0" r="0" b="381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811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16.5pt;margin-top:2.7pt;width:101.25pt;height:63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" fillcolor="#9cf" stroked="f" strokecolor="blue">
                      <w10:wrap anchorx="margin" anchory="page"/>
                    </v:rect>
                  </w:pict>
                </mc:Fallback>
              </mc:AlternateConten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5846BF" w:rsidRPr="00E25F3B" w:rsidRDefault="005846BF" w:rsidP="0006067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3e2 Podmínky realizace projektu – Rozhodnutí o poskytnutí dotace pro Výzvu č. 02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2" w:name="_Toc190224762"/>
      <w:bookmarkStart w:id="573" w:name="_Toc190224764"/>
      <w:bookmarkStart w:id="574" w:name="_Toc190224765"/>
      <w:bookmarkStart w:id="575" w:name="_Toc190224766"/>
      <w:bookmarkStart w:id="576" w:name="_Toc190224767"/>
      <w:bookmarkStart w:id="577" w:name="_Toc190224768"/>
      <w:bookmarkStart w:id="578" w:name="_Toc190224775"/>
      <w:bookmarkStart w:id="579" w:name="_Toc190224783"/>
      <w:bookmarkStart w:id="580" w:name="_Toc190224787"/>
      <w:bookmarkStart w:id="581" w:name="_Toc190224788"/>
      <w:bookmarkStart w:id="582" w:name="_Toc190224789"/>
      <w:bookmarkStart w:id="583" w:name="_Toc190224790"/>
      <w:bookmarkStart w:id="584" w:name="_Toc190224791"/>
      <w:bookmarkStart w:id="585" w:name="_Toc190224792"/>
      <w:bookmarkStart w:id="586" w:name="_Toc190224798"/>
      <w:bookmarkStart w:id="587" w:name="_Toc190224800"/>
      <w:bookmarkStart w:id="588" w:name="_Toc190224812"/>
      <w:bookmarkStart w:id="589" w:name="_Toc190224816"/>
      <w:bookmarkStart w:id="590" w:name="_Toc189557703"/>
      <w:bookmarkStart w:id="591" w:name="_Toc189557923"/>
      <w:bookmarkStart w:id="592" w:name="_Toc189987104"/>
      <w:bookmarkStart w:id="593" w:name="_Toc189557704"/>
      <w:bookmarkStart w:id="594" w:name="_Toc189557924"/>
      <w:bookmarkStart w:id="595" w:name="_Toc189987105"/>
      <w:bookmarkStart w:id="596" w:name="_Toc189557705"/>
      <w:bookmarkStart w:id="597" w:name="_Toc189557925"/>
      <w:bookmarkStart w:id="598" w:name="_Toc189987106"/>
      <w:bookmarkStart w:id="599" w:name="_Toc190221973"/>
      <w:bookmarkStart w:id="600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="0072157E">
        <w:t xml:space="preserve"> </w:t>
      </w:r>
      <w:hyperlink r:id="rId37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t>.</w:t>
      </w:r>
    </w:p>
    <w:sectPr w:rsidR="00DA5289" w:rsidRPr="00E25F3B" w:rsidSect="007337C1">
      <w:footerReference w:type="even" r:id="rId38"/>
      <w:headerReference w:type="first" r:id="rId39"/>
      <w:footerReference w:type="first" r:id="rId40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B4" w:rsidRDefault="005337B4">
      <w:pPr>
        <w:spacing w:before="0"/>
      </w:pPr>
      <w:r>
        <w:separator/>
      </w:r>
    </w:p>
  </w:endnote>
  <w:endnote w:type="continuationSeparator" w:id="0">
    <w:p w:rsidR="005337B4" w:rsidRDefault="005337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5337B4" w:rsidRDefault="005337B4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49C1">
      <w:rPr>
        <w:rStyle w:val="slostrnky"/>
        <w:noProof/>
      </w:rPr>
      <w:t>11</w:t>
    </w:r>
    <w:r>
      <w:rPr>
        <w:rStyle w:val="slostrnky"/>
      </w:rPr>
      <w:fldChar w:fldCharType="end"/>
    </w:r>
  </w:p>
  <w:p w:rsidR="005337B4" w:rsidRPr="0008106D" w:rsidRDefault="005337B4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849C1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849C1">
      <w:rPr>
        <w:noProof/>
        <w:snapToGrid w:val="0"/>
      </w:rPr>
      <w:t>54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>
    <w:pPr>
      <w:pStyle w:val="Zpat"/>
    </w:pPr>
    <w:r>
      <w:rPr>
        <w:noProof/>
        <w:sz w:val="18"/>
      </w:rPr>
      <w:drawing>
        <wp:inline distT="0" distB="0" distL="0" distR="0" wp14:anchorId="64EEAFD0" wp14:editId="33DBAD75">
          <wp:extent cx="5438775" cy="514350"/>
          <wp:effectExtent l="19050" t="0" r="9525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5337B4" w:rsidRDefault="005337B4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Pr="0008106D" w:rsidRDefault="005337B4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666D2">
      <w:rPr>
        <w:noProof/>
        <w:snapToGrid w:val="0"/>
      </w:rPr>
      <w:t>19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666D2">
      <w:rPr>
        <w:noProof/>
        <w:snapToGrid w:val="0"/>
      </w:rPr>
      <w:t>54</w:t>
    </w:r>
    <w:r>
      <w:rPr>
        <w:snapToGrid w:val="0"/>
      </w:rPr>
      <w:fldChar w:fldCharType="end"/>
    </w:r>
    <w:r>
      <w:rPr>
        <w:snapToGrid w:val="0"/>
      </w:rPr>
      <w:t>)</w:t>
    </w:r>
  </w:p>
  <w:p w:rsidR="005337B4" w:rsidRDefault="005337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B4" w:rsidRDefault="005337B4">
      <w:pPr>
        <w:spacing w:before="0"/>
      </w:pPr>
      <w:r>
        <w:separator/>
      </w:r>
    </w:p>
  </w:footnote>
  <w:footnote w:type="continuationSeparator" w:id="0">
    <w:p w:rsidR="005337B4" w:rsidRDefault="005337B4">
      <w:pPr>
        <w:spacing w:before="0"/>
      </w:pPr>
      <w:r>
        <w:continuationSeparator/>
      </w:r>
    </w:p>
  </w:footnote>
  <w:footnote w:id="1">
    <w:p w:rsidR="005337B4" w:rsidRDefault="005337B4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PŽP OPTP některé přílohy PŽP nevyšly, zůstávají automaticky v platnosti verze předešlé.</w:t>
      </w:r>
    </w:p>
  </w:footnote>
  <w:footnote w:id="2">
    <w:p w:rsidR="005337B4" w:rsidRDefault="005337B4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5337B4" w:rsidRPr="00762A55" w:rsidRDefault="005337B4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5337B4" w:rsidRPr="009C3708" w:rsidRDefault="005337B4" w:rsidP="007268B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 poskytování stejné nebo obdobné služby v obvyklém obchodním styku v tuzemsku ke dni ocenění.</w:t>
      </w:r>
    </w:p>
    <w:p w:rsidR="005337B4" w:rsidRDefault="005337B4" w:rsidP="008D3AC0">
      <w:pPr>
        <w:pStyle w:val="Textpoznpodarou"/>
      </w:pPr>
    </w:p>
  </w:footnote>
  <w:footnote w:id="5">
    <w:p w:rsidR="005337B4" w:rsidRDefault="005337B4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6">
    <w:p w:rsidR="005337B4" w:rsidRDefault="005337B4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DE5557">
        <w:t>Vzhledem k aplikování zpětné uznatelnosti výdajů pro schválené projekty příjemců – nositelů</w:t>
      </w:r>
      <w:r>
        <w:t xml:space="preserve"> </w:t>
      </w:r>
      <w:r w:rsidRPr="00DE5557">
        <w:t>integrovaných strategií</w:t>
      </w:r>
      <w:r>
        <w:t xml:space="preserve"> lze doplnit označení souvisejících účetních dokladů s projektem zpětně.</w:t>
      </w:r>
    </w:p>
  </w:footnote>
  <w:footnote w:id="7">
    <w:p w:rsidR="005337B4" w:rsidRPr="00577468" w:rsidRDefault="005337B4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8">
    <w:p w:rsidR="005337B4" w:rsidRPr="0072157E" w:rsidRDefault="005337B4" w:rsidP="0072157E">
      <w:pPr>
        <w:spacing w:after="120"/>
        <w:ind w:right="1"/>
        <w:rPr>
          <w:rFonts w:cs="Arial"/>
          <w:sz w:val="18"/>
          <w:szCs w:val="18"/>
        </w:rPr>
      </w:pPr>
      <w:r w:rsidRPr="00F55EDC">
        <w:rPr>
          <w:rStyle w:val="Znakapoznpodarou"/>
          <w:sz w:val="18"/>
          <w:szCs w:val="18"/>
        </w:rPr>
        <w:footnoteRef/>
      </w:r>
      <w:r w:rsidRPr="00F55EDC">
        <w:rPr>
          <w:sz w:val="18"/>
          <w:szCs w:val="18"/>
        </w:rPr>
        <w:t xml:space="preserve"> Vzory formulá</w:t>
      </w:r>
      <w:r w:rsidRPr="00F55EDC">
        <w:rPr>
          <w:rFonts w:hint="eastAsia"/>
          <w:sz w:val="18"/>
          <w:szCs w:val="18"/>
        </w:rPr>
        <w:t>řů</w:t>
      </w:r>
      <w:r w:rsidRPr="00F55EDC">
        <w:rPr>
          <w:sz w:val="18"/>
          <w:szCs w:val="18"/>
        </w:rPr>
        <w:t xml:space="preserve"> k vykazování mzdových výdaj</w:t>
      </w:r>
      <w:r w:rsidRPr="00F55EDC">
        <w:rPr>
          <w:rFonts w:hint="eastAsia"/>
          <w:sz w:val="18"/>
          <w:szCs w:val="18"/>
        </w:rPr>
        <w:t>ů</w:t>
      </w:r>
      <w:r w:rsidRPr="00F55EDC">
        <w:rPr>
          <w:sz w:val="18"/>
          <w:szCs w:val="18"/>
        </w:rPr>
        <w:t xml:space="preserve"> jsou zve</w:t>
      </w:r>
      <w:r w:rsidRPr="00F55EDC">
        <w:rPr>
          <w:rFonts w:hint="eastAsia"/>
          <w:sz w:val="18"/>
          <w:szCs w:val="18"/>
        </w:rPr>
        <w:t>ř</w:t>
      </w:r>
      <w:r w:rsidRPr="00F55EDC">
        <w:rPr>
          <w:sz w:val="18"/>
          <w:szCs w:val="18"/>
        </w:rPr>
        <w:t>ejn</w:t>
      </w:r>
      <w:r w:rsidRPr="00F55EDC">
        <w:rPr>
          <w:rFonts w:hint="eastAsia"/>
          <w:sz w:val="18"/>
          <w:szCs w:val="18"/>
        </w:rPr>
        <w:t>ě</w:t>
      </w:r>
      <w:r w:rsidRPr="00F55EDC">
        <w:rPr>
          <w:sz w:val="18"/>
          <w:szCs w:val="18"/>
        </w:rPr>
        <w:t>ny na</w:t>
      </w:r>
      <w:hyperlink w:history="1"/>
      <w:r w:rsidRPr="00F55EDC">
        <w:rPr>
          <w:sz w:val="18"/>
          <w:szCs w:val="18"/>
        </w:rPr>
        <w:t xml:space="preserve">  </w:t>
      </w:r>
      <w:hyperlink r:id="rId1" w:history="1">
        <w:r w:rsidRPr="00F55EDC">
          <w:rPr>
            <w:rStyle w:val="Hypertextovodkaz"/>
            <w:rFonts w:ascii="Arial" w:hAnsi="Arial" w:cs="Arial"/>
            <w:sz w:val="18"/>
            <w:szCs w:val="18"/>
            <w:lang w:val="cs-CZ" w:eastAsia="cs-CZ"/>
          </w:rPr>
          <w:t>http://www.strukturalni-fondy.cz/cs/Microsites/op-technicka-pomoc/Dokumenty</w:t>
        </w:r>
      </w:hyperlink>
      <w:r w:rsidRPr="00F55EDC">
        <w:rPr>
          <w:rFonts w:cs="Arial"/>
          <w:sz w:val="18"/>
          <w:szCs w:val="18"/>
        </w:rPr>
        <w:t>.</w:t>
      </w:r>
    </w:p>
    <w:p w:rsidR="005337B4" w:rsidRPr="00C767D4" w:rsidRDefault="005337B4" w:rsidP="008462C8">
      <w:pPr>
        <w:pStyle w:val="Textpoznpodarou"/>
        <w:ind w:left="142" w:hanging="142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5337B4" w:rsidRDefault="005337B4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5337B4" w:rsidRDefault="005337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Pr="00BF0582" w:rsidRDefault="005337B4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603FB5"/>
  <w:p w:rsidR="005337B4" w:rsidRDefault="005337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4" w:rsidRDefault="005337B4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15pt;height:11.1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7770E0"/>
    <w:multiLevelType w:val="hybridMultilevel"/>
    <w:tmpl w:val="28E09658"/>
    <w:lvl w:ilvl="0" w:tplc="1ECE0BE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375ECB"/>
    <w:multiLevelType w:val="hybridMultilevel"/>
    <w:tmpl w:val="15E6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1CDF4C37"/>
    <w:multiLevelType w:val="hybridMultilevel"/>
    <w:tmpl w:val="95987BB8"/>
    <w:lvl w:ilvl="0" w:tplc="5E94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3F7B35"/>
    <w:multiLevelType w:val="hybridMultilevel"/>
    <w:tmpl w:val="F7E22F16"/>
    <w:lvl w:ilvl="0" w:tplc="CC8470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6043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2A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2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80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8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8A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E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1D761EB"/>
    <w:multiLevelType w:val="hybridMultilevel"/>
    <w:tmpl w:val="71D0B3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14A2B3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>
    <w:nsid w:val="24F508D4"/>
    <w:multiLevelType w:val="hybridMultilevel"/>
    <w:tmpl w:val="FA820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8154FB8"/>
    <w:multiLevelType w:val="hybridMultilevel"/>
    <w:tmpl w:val="2CB0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0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7D223A"/>
    <w:multiLevelType w:val="hybridMultilevel"/>
    <w:tmpl w:val="FFFABC2E"/>
    <w:lvl w:ilvl="0" w:tplc="5D4C9B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9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6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C83969"/>
    <w:multiLevelType w:val="hybridMultilevel"/>
    <w:tmpl w:val="7870F0E0"/>
    <w:lvl w:ilvl="0" w:tplc="314A2B3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885F80"/>
    <w:multiLevelType w:val="hybridMultilevel"/>
    <w:tmpl w:val="F766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71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4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3248B6"/>
    <w:multiLevelType w:val="hybridMultilevel"/>
    <w:tmpl w:val="C258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0B428A"/>
    <w:multiLevelType w:val="hybridMultilevel"/>
    <w:tmpl w:val="E4C2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1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3"/>
  </w:num>
  <w:num w:numId="4">
    <w:abstractNumId w:val="24"/>
  </w:num>
  <w:num w:numId="5">
    <w:abstractNumId w:val="59"/>
  </w:num>
  <w:num w:numId="6">
    <w:abstractNumId w:val="81"/>
  </w:num>
  <w:num w:numId="7">
    <w:abstractNumId w:val="5"/>
  </w:num>
  <w:num w:numId="8">
    <w:abstractNumId w:val="70"/>
  </w:num>
  <w:num w:numId="9">
    <w:abstractNumId w:val="80"/>
  </w:num>
  <w:num w:numId="10">
    <w:abstractNumId w:val="0"/>
  </w:num>
  <w:num w:numId="11">
    <w:abstractNumId w:val="55"/>
  </w:num>
  <w:num w:numId="12">
    <w:abstractNumId w:val="13"/>
  </w:num>
  <w:num w:numId="13">
    <w:abstractNumId w:val="7"/>
  </w:num>
  <w:num w:numId="14">
    <w:abstractNumId w:val="9"/>
  </w:num>
  <w:num w:numId="15">
    <w:abstractNumId w:val="43"/>
  </w:num>
  <w:num w:numId="16">
    <w:abstractNumId w:val="35"/>
  </w:num>
  <w:num w:numId="17">
    <w:abstractNumId w:val="10"/>
  </w:num>
  <w:num w:numId="18">
    <w:abstractNumId w:val="73"/>
  </w:num>
  <w:num w:numId="19">
    <w:abstractNumId w:val="23"/>
  </w:num>
  <w:num w:numId="20">
    <w:abstractNumId w:val="18"/>
  </w:num>
  <w:num w:numId="21">
    <w:abstractNumId w:val="54"/>
  </w:num>
  <w:num w:numId="22">
    <w:abstractNumId w:val="65"/>
  </w:num>
  <w:num w:numId="23">
    <w:abstractNumId w:val="40"/>
  </w:num>
  <w:num w:numId="24">
    <w:abstractNumId w:val="19"/>
  </w:num>
  <w:num w:numId="25">
    <w:abstractNumId w:val="60"/>
  </w:num>
  <w:num w:numId="26">
    <w:abstractNumId w:val="58"/>
  </w:num>
  <w:num w:numId="27">
    <w:abstractNumId w:val="67"/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4"/>
  </w:num>
  <w:num w:numId="31">
    <w:abstractNumId w:val="30"/>
  </w:num>
  <w:num w:numId="32">
    <w:abstractNumId w:val="47"/>
  </w:num>
  <w:num w:numId="33">
    <w:abstractNumId w:val="6"/>
  </w:num>
  <w:num w:numId="34">
    <w:abstractNumId w:val="75"/>
  </w:num>
  <w:num w:numId="35">
    <w:abstractNumId w:val="11"/>
  </w:num>
  <w:num w:numId="36">
    <w:abstractNumId w:val="49"/>
  </w:num>
  <w:num w:numId="37">
    <w:abstractNumId w:val="79"/>
  </w:num>
  <w:num w:numId="38">
    <w:abstractNumId w:val="72"/>
  </w:num>
  <w:num w:numId="39">
    <w:abstractNumId w:val="31"/>
  </w:num>
  <w:num w:numId="40">
    <w:abstractNumId w:val="25"/>
  </w:num>
  <w:num w:numId="41">
    <w:abstractNumId w:val="63"/>
  </w:num>
  <w:num w:numId="42">
    <w:abstractNumId w:val="66"/>
  </w:num>
  <w:num w:numId="43">
    <w:abstractNumId w:val="16"/>
  </w:num>
  <w:num w:numId="44">
    <w:abstractNumId w:val="15"/>
  </w:num>
  <w:num w:numId="45">
    <w:abstractNumId w:val="74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45"/>
  </w:num>
  <w:num w:numId="48">
    <w:abstractNumId w:val="57"/>
  </w:num>
  <w:num w:numId="49">
    <w:abstractNumId w:val="61"/>
  </w:num>
  <w:num w:numId="5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14"/>
  </w:num>
  <w:num w:numId="54">
    <w:abstractNumId w:val="39"/>
  </w:num>
  <w:num w:numId="55">
    <w:abstractNumId w:val="27"/>
  </w:num>
  <w:num w:numId="56">
    <w:abstractNumId w:val="44"/>
  </w:num>
  <w:num w:numId="57">
    <w:abstractNumId w:val="76"/>
  </w:num>
  <w:num w:numId="58">
    <w:abstractNumId w:val="12"/>
  </w:num>
  <w:num w:numId="59">
    <w:abstractNumId w:val="42"/>
  </w:num>
  <w:num w:numId="60">
    <w:abstractNumId w:val="71"/>
  </w:num>
  <w:num w:numId="61">
    <w:abstractNumId w:val="69"/>
  </w:num>
  <w:num w:numId="62">
    <w:abstractNumId w:val="55"/>
  </w:num>
  <w:num w:numId="63">
    <w:abstractNumId w:val="53"/>
  </w:num>
  <w:num w:numId="64">
    <w:abstractNumId w:val="52"/>
  </w:num>
  <w:num w:numId="65">
    <w:abstractNumId w:val="36"/>
  </w:num>
  <w:num w:numId="66">
    <w:abstractNumId w:val="34"/>
  </w:num>
  <w:num w:numId="67">
    <w:abstractNumId w:val="26"/>
  </w:num>
  <w:num w:numId="68">
    <w:abstractNumId w:val="77"/>
  </w:num>
  <w:num w:numId="69">
    <w:abstractNumId w:val="51"/>
  </w:num>
  <w:num w:numId="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50"/>
  </w:num>
  <w:num w:numId="73">
    <w:abstractNumId w:val="48"/>
  </w:num>
  <w:num w:numId="74">
    <w:abstractNumId w:val="22"/>
  </w:num>
  <w:num w:numId="75">
    <w:abstractNumId w:val="37"/>
  </w:num>
  <w:num w:numId="76">
    <w:abstractNumId w:val="28"/>
  </w:num>
  <w:num w:numId="77">
    <w:abstractNumId w:val="68"/>
  </w:num>
  <w:num w:numId="78">
    <w:abstractNumId w:val="32"/>
  </w:num>
  <w:num w:numId="79">
    <w:abstractNumId w:val="62"/>
  </w:num>
  <w:num w:numId="80">
    <w:abstractNumId w:val="7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89"/>
    <w:rsid w:val="00000232"/>
    <w:rsid w:val="000002C4"/>
    <w:rsid w:val="0000135B"/>
    <w:rsid w:val="00001467"/>
    <w:rsid w:val="000017C3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2C2"/>
    <w:rsid w:val="00012675"/>
    <w:rsid w:val="00012C61"/>
    <w:rsid w:val="00012F7C"/>
    <w:rsid w:val="00014180"/>
    <w:rsid w:val="0001446C"/>
    <w:rsid w:val="0001564D"/>
    <w:rsid w:val="00015817"/>
    <w:rsid w:val="00016914"/>
    <w:rsid w:val="0002029A"/>
    <w:rsid w:val="000203E8"/>
    <w:rsid w:val="000207AB"/>
    <w:rsid w:val="00020EF2"/>
    <w:rsid w:val="00020FBE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AD6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3935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11E"/>
    <w:rsid w:val="00044E03"/>
    <w:rsid w:val="00045972"/>
    <w:rsid w:val="00046630"/>
    <w:rsid w:val="00046975"/>
    <w:rsid w:val="00046A3A"/>
    <w:rsid w:val="00047DBC"/>
    <w:rsid w:val="000500AC"/>
    <w:rsid w:val="0005077A"/>
    <w:rsid w:val="00051082"/>
    <w:rsid w:val="00051A49"/>
    <w:rsid w:val="00051E57"/>
    <w:rsid w:val="000524AF"/>
    <w:rsid w:val="0005298F"/>
    <w:rsid w:val="000530B4"/>
    <w:rsid w:val="00053766"/>
    <w:rsid w:val="00053804"/>
    <w:rsid w:val="000538D0"/>
    <w:rsid w:val="00053E7C"/>
    <w:rsid w:val="000551DC"/>
    <w:rsid w:val="00055359"/>
    <w:rsid w:val="000555D4"/>
    <w:rsid w:val="000563A4"/>
    <w:rsid w:val="000577A7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7E6"/>
    <w:rsid w:val="00066EFA"/>
    <w:rsid w:val="00067707"/>
    <w:rsid w:val="000677B0"/>
    <w:rsid w:val="00067998"/>
    <w:rsid w:val="00067D6D"/>
    <w:rsid w:val="000701AC"/>
    <w:rsid w:val="0007033F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4AA4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410C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87BEB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34D"/>
    <w:rsid w:val="000954A7"/>
    <w:rsid w:val="00095B16"/>
    <w:rsid w:val="00095D13"/>
    <w:rsid w:val="00095E58"/>
    <w:rsid w:val="00096511"/>
    <w:rsid w:val="00096721"/>
    <w:rsid w:val="00097A53"/>
    <w:rsid w:val="000A041D"/>
    <w:rsid w:val="000A04BE"/>
    <w:rsid w:val="000A08A4"/>
    <w:rsid w:val="000A09D7"/>
    <w:rsid w:val="000A1872"/>
    <w:rsid w:val="000A2BF3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7A5"/>
    <w:rsid w:val="000C0867"/>
    <w:rsid w:val="000C0EBA"/>
    <w:rsid w:val="000C216A"/>
    <w:rsid w:val="000C231B"/>
    <w:rsid w:val="000C2BF0"/>
    <w:rsid w:val="000C2E5E"/>
    <w:rsid w:val="000C3664"/>
    <w:rsid w:val="000C3D0E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57B1"/>
    <w:rsid w:val="000D613F"/>
    <w:rsid w:val="000D643D"/>
    <w:rsid w:val="000D7347"/>
    <w:rsid w:val="000E060F"/>
    <w:rsid w:val="000E0729"/>
    <w:rsid w:val="000E2B12"/>
    <w:rsid w:val="000E397B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68B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17B15"/>
    <w:rsid w:val="0012042A"/>
    <w:rsid w:val="0012050A"/>
    <w:rsid w:val="00121F9D"/>
    <w:rsid w:val="00122B68"/>
    <w:rsid w:val="001231D9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27D82"/>
    <w:rsid w:val="001306E1"/>
    <w:rsid w:val="00130996"/>
    <w:rsid w:val="00130B76"/>
    <w:rsid w:val="00130CA3"/>
    <w:rsid w:val="0013116C"/>
    <w:rsid w:val="001313C8"/>
    <w:rsid w:val="00131431"/>
    <w:rsid w:val="0013143C"/>
    <w:rsid w:val="00132FBD"/>
    <w:rsid w:val="0013359E"/>
    <w:rsid w:val="0013392E"/>
    <w:rsid w:val="00133C20"/>
    <w:rsid w:val="00133DD6"/>
    <w:rsid w:val="001348FE"/>
    <w:rsid w:val="00135289"/>
    <w:rsid w:val="0013563B"/>
    <w:rsid w:val="00136A63"/>
    <w:rsid w:val="001373EE"/>
    <w:rsid w:val="00137BD3"/>
    <w:rsid w:val="00137F42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836"/>
    <w:rsid w:val="00146C50"/>
    <w:rsid w:val="00146DE5"/>
    <w:rsid w:val="00147AD9"/>
    <w:rsid w:val="00147CB6"/>
    <w:rsid w:val="00150235"/>
    <w:rsid w:val="0015105D"/>
    <w:rsid w:val="00151709"/>
    <w:rsid w:val="00151AA3"/>
    <w:rsid w:val="00151E21"/>
    <w:rsid w:val="001520DD"/>
    <w:rsid w:val="001523A3"/>
    <w:rsid w:val="00152E9C"/>
    <w:rsid w:val="00152F60"/>
    <w:rsid w:val="00152F91"/>
    <w:rsid w:val="00153533"/>
    <w:rsid w:val="00153879"/>
    <w:rsid w:val="00154351"/>
    <w:rsid w:val="00154763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66C36"/>
    <w:rsid w:val="00167F13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31B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6CD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4518"/>
    <w:rsid w:val="00185B54"/>
    <w:rsid w:val="00185CB3"/>
    <w:rsid w:val="001869A4"/>
    <w:rsid w:val="00187836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57A"/>
    <w:rsid w:val="00197A7B"/>
    <w:rsid w:val="00197AE8"/>
    <w:rsid w:val="001A0A8B"/>
    <w:rsid w:val="001A1272"/>
    <w:rsid w:val="001A129B"/>
    <w:rsid w:val="001A18A8"/>
    <w:rsid w:val="001A1C49"/>
    <w:rsid w:val="001A1D77"/>
    <w:rsid w:val="001A1D80"/>
    <w:rsid w:val="001A25E6"/>
    <w:rsid w:val="001A2E3A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1B7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91D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6ED3"/>
    <w:rsid w:val="001D795D"/>
    <w:rsid w:val="001D7AEC"/>
    <w:rsid w:val="001E0068"/>
    <w:rsid w:val="001E0FE0"/>
    <w:rsid w:val="001E14A5"/>
    <w:rsid w:val="001E2639"/>
    <w:rsid w:val="001E32B7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329C"/>
    <w:rsid w:val="001F4CD3"/>
    <w:rsid w:val="001F5018"/>
    <w:rsid w:val="001F6397"/>
    <w:rsid w:val="001F7585"/>
    <w:rsid w:val="001F7EBD"/>
    <w:rsid w:val="002001CB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3CEE"/>
    <w:rsid w:val="00203F79"/>
    <w:rsid w:val="00204180"/>
    <w:rsid w:val="002050F5"/>
    <w:rsid w:val="002052B6"/>
    <w:rsid w:val="00205577"/>
    <w:rsid w:val="00205DEB"/>
    <w:rsid w:val="00205FAF"/>
    <w:rsid w:val="0020668B"/>
    <w:rsid w:val="00206B26"/>
    <w:rsid w:val="00206BC1"/>
    <w:rsid w:val="00206F70"/>
    <w:rsid w:val="002071B0"/>
    <w:rsid w:val="002078A5"/>
    <w:rsid w:val="00207938"/>
    <w:rsid w:val="00207BF2"/>
    <w:rsid w:val="00207DFF"/>
    <w:rsid w:val="00210707"/>
    <w:rsid w:val="00210852"/>
    <w:rsid w:val="00210A32"/>
    <w:rsid w:val="00210BDE"/>
    <w:rsid w:val="00211451"/>
    <w:rsid w:val="00211549"/>
    <w:rsid w:val="0021191F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5E0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275C1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37A7B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3C5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1D81"/>
    <w:rsid w:val="002534BE"/>
    <w:rsid w:val="00253823"/>
    <w:rsid w:val="00254357"/>
    <w:rsid w:val="002545D9"/>
    <w:rsid w:val="00254950"/>
    <w:rsid w:val="00254FA3"/>
    <w:rsid w:val="00255881"/>
    <w:rsid w:val="002559C2"/>
    <w:rsid w:val="00255F5D"/>
    <w:rsid w:val="0025774E"/>
    <w:rsid w:val="00257933"/>
    <w:rsid w:val="0026055C"/>
    <w:rsid w:val="00260BCB"/>
    <w:rsid w:val="002611CE"/>
    <w:rsid w:val="00261336"/>
    <w:rsid w:val="00261813"/>
    <w:rsid w:val="00262273"/>
    <w:rsid w:val="002623A7"/>
    <w:rsid w:val="0026307B"/>
    <w:rsid w:val="00263464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2DC8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582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0F94"/>
    <w:rsid w:val="002A173C"/>
    <w:rsid w:val="002A19B4"/>
    <w:rsid w:val="002A2791"/>
    <w:rsid w:val="002A29B7"/>
    <w:rsid w:val="002A2A3B"/>
    <w:rsid w:val="002A3FE6"/>
    <w:rsid w:val="002A42EA"/>
    <w:rsid w:val="002A502B"/>
    <w:rsid w:val="002A535A"/>
    <w:rsid w:val="002A65ED"/>
    <w:rsid w:val="002A7295"/>
    <w:rsid w:val="002A7B52"/>
    <w:rsid w:val="002A7EAA"/>
    <w:rsid w:val="002B0135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132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3F2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0A35"/>
    <w:rsid w:val="002E1243"/>
    <w:rsid w:val="002E16F8"/>
    <w:rsid w:val="002E1A43"/>
    <w:rsid w:val="002E1C5D"/>
    <w:rsid w:val="002E1DDD"/>
    <w:rsid w:val="002E28C8"/>
    <w:rsid w:val="002E31C7"/>
    <w:rsid w:val="002E32C8"/>
    <w:rsid w:val="002E3A81"/>
    <w:rsid w:val="002E44FD"/>
    <w:rsid w:val="002E4D62"/>
    <w:rsid w:val="002F00E1"/>
    <w:rsid w:val="002F0713"/>
    <w:rsid w:val="002F0ECA"/>
    <w:rsid w:val="002F1BF0"/>
    <w:rsid w:val="002F1E52"/>
    <w:rsid w:val="002F1F03"/>
    <w:rsid w:val="002F2108"/>
    <w:rsid w:val="002F3650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242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6C19"/>
    <w:rsid w:val="0032730E"/>
    <w:rsid w:val="003276FD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8F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49B"/>
    <w:rsid w:val="00345503"/>
    <w:rsid w:val="00345C65"/>
    <w:rsid w:val="00346820"/>
    <w:rsid w:val="003468A5"/>
    <w:rsid w:val="00347BAA"/>
    <w:rsid w:val="00347C8C"/>
    <w:rsid w:val="00350076"/>
    <w:rsid w:val="003506FA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DFD"/>
    <w:rsid w:val="00361F90"/>
    <w:rsid w:val="00361FD3"/>
    <w:rsid w:val="00362EC0"/>
    <w:rsid w:val="0036310D"/>
    <w:rsid w:val="00363684"/>
    <w:rsid w:val="00363894"/>
    <w:rsid w:val="00363DEE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3FE2"/>
    <w:rsid w:val="00374A1E"/>
    <w:rsid w:val="00374D9A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947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4D9A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544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0F75"/>
    <w:rsid w:val="003C1112"/>
    <w:rsid w:val="003C1407"/>
    <w:rsid w:val="003C1A15"/>
    <w:rsid w:val="003C1E54"/>
    <w:rsid w:val="003C1F83"/>
    <w:rsid w:val="003C2314"/>
    <w:rsid w:val="003C3129"/>
    <w:rsid w:val="003C3D2B"/>
    <w:rsid w:val="003C3F17"/>
    <w:rsid w:val="003C3F9E"/>
    <w:rsid w:val="003C40B1"/>
    <w:rsid w:val="003C45B8"/>
    <w:rsid w:val="003C594E"/>
    <w:rsid w:val="003C60FD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17D1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14E"/>
    <w:rsid w:val="003E052C"/>
    <w:rsid w:val="003E0E93"/>
    <w:rsid w:val="003E14A8"/>
    <w:rsid w:val="003E20FA"/>
    <w:rsid w:val="003E3B63"/>
    <w:rsid w:val="003E4873"/>
    <w:rsid w:val="003E48F7"/>
    <w:rsid w:val="003E541D"/>
    <w:rsid w:val="003E5784"/>
    <w:rsid w:val="003E76DD"/>
    <w:rsid w:val="003E7985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32B9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1B81"/>
    <w:rsid w:val="00412F5B"/>
    <w:rsid w:val="00412F6C"/>
    <w:rsid w:val="004134A7"/>
    <w:rsid w:val="00414345"/>
    <w:rsid w:val="004143C9"/>
    <w:rsid w:val="00414C2F"/>
    <w:rsid w:val="00415035"/>
    <w:rsid w:val="00415084"/>
    <w:rsid w:val="00415097"/>
    <w:rsid w:val="004152B3"/>
    <w:rsid w:val="00416538"/>
    <w:rsid w:val="00416954"/>
    <w:rsid w:val="00416E2E"/>
    <w:rsid w:val="0041744F"/>
    <w:rsid w:val="00417844"/>
    <w:rsid w:val="00420036"/>
    <w:rsid w:val="0042096F"/>
    <w:rsid w:val="00420CDD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59BE"/>
    <w:rsid w:val="00427D46"/>
    <w:rsid w:val="00430006"/>
    <w:rsid w:val="00430A7D"/>
    <w:rsid w:val="0043136A"/>
    <w:rsid w:val="00432552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4B9"/>
    <w:rsid w:val="004515BB"/>
    <w:rsid w:val="00451E70"/>
    <w:rsid w:val="00452393"/>
    <w:rsid w:val="00452543"/>
    <w:rsid w:val="0045293D"/>
    <w:rsid w:val="004531D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461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221"/>
    <w:rsid w:val="00462639"/>
    <w:rsid w:val="0046284A"/>
    <w:rsid w:val="00462ABA"/>
    <w:rsid w:val="00462E43"/>
    <w:rsid w:val="00463E78"/>
    <w:rsid w:val="00463FF6"/>
    <w:rsid w:val="00464774"/>
    <w:rsid w:val="004647D6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3CB"/>
    <w:rsid w:val="004739FF"/>
    <w:rsid w:val="00474199"/>
    <w:rsid w:val="004757F7"/>
    <w:rsid w:val="00476818"/>
    <w:rsid w:val="00476FCC"/>
    <w:rsid w:val="00477659"/>
    <w:rsid w:val="00477CBE"/>
    <w:rsid w:val="0048123B"/>
    <w:rsid w:val="00481CF0"/>
    <w:rsid w:val="00481EAA"/>
    <w:rsid w:val="00482293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A4B"/>
    <w:rsid w:val="00493E96"/>
    <w:rsid w:val="00494271"/>
    <w:rsid w:val="004947EA"/>
    <w:rsid w:val="00494A80"/>
    <w:rsid w:val="00494BA5"/>
    <w:rsid w:val="00494E23"/>
    <w:rsid w:val="00495543"/>
    <w:rsid w:val="00495C24"/>
    <w:rsid w:val="0049694B"/>
    <w:rsid w:val="00496983"/>
    <w:rsid w:val="004A0252"/>
    <w:rsid w:val="004A08AC"/>
    <w:rsid w:val="004A2683"/>
    <w:rsid w:val="004A329F"/>
    <w:rsid w:val="004A4856"/>
    <w:rsid w:val="004A4FE2"/>
    <w:rsid w:val="004A5F34"/>
    <w:rsid w:val="004A617D"/>
    <w:rsid w:val="004A6F0F"/>
    <w:rsid w:val="004A73FD"/>
    <w:rsid w:val="004A7C1D"/>
    <w:rsid w:val="004B05F6"/>
    <w:rsid w:val="004B1020"/>
    <w:rsid w:val="004B11E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39E6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D7C"/>
    <w:rsid w:val="004D4E95"/>
    <w:rsid w:val="004D55B3"/>
    <w:rsid w:val="004D6474"/>
    <w:rsid w:val="004D6582"/>
    <w:rsid w:val="004D660D"/>
    <w:rsid w:val="004D7809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4B1"/>
    <w:rsid w:val="004E3985"/>
    <w:rsid w:val="004E4667"/>
    <w:rsid w:val="004E49C5"/>
    <w:rsid w:val="004E4E23"/>
    <w:rsid w:val="004E5185"/>
    <w:rsid w:val="004E519E"/>
    <w:rsid w:val="004E5638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3BE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3DE9"/>
    <w:rsid w:val="005040F6"/>
    <w:rsid w:val="00504515"/>
    <w:rsid w:val="00504EC3"/>
    <w:rsid w:val="00505685"/>
    <w:rsid w:val="00505815"/>
    <w:rsid w:val="005058B1"/>
    <w:rsid w:val="00507A02"/>
    <w:rsid w:val="00507F49"/>
    <w:rsid w:val="00510F2F"/>
    <w:rsid w:val="00511194"/>
    <w:rsid w:val="005112DF"/>
    <w:rsid w:val="005117A5"/>
    <w:rsid w:val="00511D02"/>
    <w:rsid w:val="005122E0"/>
    <w:rsid w:val="00512307"/>
    <w:rsid w:val="005123F4"/>
    <w:rsid w:val="00513DB6"/>
    <w:rsid w:val="00514514"/>
    <w:rsid w:val="0051467A"/>
    <w:rsid w:val="0051467F"/>
    <w:rsid w:val="00515311"/>
    <w:rsid w:val="005167C3"/>
    <w:rsid w:val="00516886"/>
    <w:rsid w:val="00516C04"/>
    <w:rsid w:val="005220BF"/>
    <w:rsid w:val="005224ED"/>
    <w:rsid w:val="00522780"/>
    <w:rsid w:val="005230F4"/>
    <w:rsid w:val="00523100"/>
    <w:rsid w:val="00523577"/>
    <w:rsid w:val="005235E7"/>
    <w:rsid w:val="005240B0"/>
    <w:rsid w:val="005244C8"/>
    <w:rsid w:val="0052474F"/>
    <w:rsid w:val="005248A6"/>
    <w:rsid w:val="00524A05"/>
    <w:rsid w:val="00525211"/>
    <w:rsid w:val="005274B6"/>
    <w:rsid w:val="00527723"/>
    <w:rsid w:val="0053010A"/>
    <w:rsid w:val="0053012A"/>
    <w:rsid w:val="00530440"/>
    <w:rsid w:val="0053053E"/>
    <w:rsid w:val="00530DD6"/>
    <w:rsid w:val="00531631"/>
    <w:rsid w:val="005318CF"/>
    <w:rsid w:val="00531CFD"/>
    <w:rsid w:val="0053213C"/>
    <w:rsid w:val="00532257"/>
    <w:rsid w:val="00532B84"/>
    <w:rsid w:val="00532C91"/>
    <w:rsid w:val="005337B4"/>
    <w:rsid w:val="00534BC5"/>
    <w:rsid w:val="00535607"/>
    <w:rsid w:val="005356EC"/>
    <w:rsid w:val="00535A56"/>
    <w:rsid w:val="00535C61"/>
    <w:rsid w:val="00536483"/>
    <w:rsid w:val="0053665C"/>
    <w:rsid w:val="005378DC"/>
    <w:rsid w:val="00537B13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43B"/>
    <w:rsid w:val="005448F1"/>
    <w:rsid w:val="00544AEE"/>
    <w:rsid w:val="00544E23"/>
    <w:rsid w:val="00545C9F"/>
    <w:rsid w:val="0054764A"/>
    <w:rsid w:val="005479EB"/>
    <w:rsid w:val="005500EE"/>
    <w:rsid w:val="005509D8"/>
    <w:rsid w:val="005512C8"/>
    <w:rsid w:val="005512E0"/>
    <w:rsid w:val="005514A8"/>
    <w:rsid w:val="00551F54"/>
    <w:rsid w:val="0055209B"/>
    <w:rsid w:val="0055245C"/>
    <w:rsid w:val="005530FA"/>
    <w:rsid w:val="00553441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5B5A"/>
    <w:rsid w:val="00576872"/>
    <w:rsid w:val="0057785F"/>
    <w:rsid w:val="00580392"/>
    <w:rsid w:val="005803EE"/>
    <w:rsid w:val="005807EA"/>
    <w:rsid w:val="00580FB1"/>
    <w:rsid w:val="00581388"/>
    <w:rsid w:val="005825FF"/>
    <w:rsid w:val="00583351"/>
    <w:rsid w:val="00583692"/>
    <w:rsid w:val="00583C75"/>
    <w:rsid w:val="0058402B"/>
    <w:rsid w:val="005841D3"/>
    <w:rsid w:val="005846BF"/>
    <w:rsid w:val="00585D4D"/>
    <w:rsid w:val="00587AA5"/>
    <w:rsid w:val="00590042"/>
    <w:rsid w:val="005910C0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394"/>
    <w:rsid w:val="005A4576"/>
    <w:rsid w:val="005A48CA"/>
    <w:rsid w:val="005A516F"/>
    <w:rsid w:val="005A597C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B7C7A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7D3"/>
    <w:rsid w:val="005C3AAE"/>
    <w:rsid w:val="005C3B8A"/>
    <w:rsid w:val="005C52E0"/>
    <w:rsid w:val="005C53AC"/>
    <w:rsid w:val="005C6B13"/>
    <w:rsid w:val="005C770E"/>
    <w:rsid w:val="005C7924"/>
    <w:rsid w:val="005D0137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4B3B"/>
    <w:rsid w:val="005D571D"/>
    <w:rsid w:val="005D6079"/>
    <w:rsid w:val="005D6165"/>
    <w:rsid w:val="005D62D0"/>
    <w:rsid w:val="005D6752"/>
    <w:rsid w:val="005D7913"/>
    <w:rsid w:val="005D7E1F"/>
    <w:rsid w:val="005E1693"/>
    <w:rsid w:val="005E2285"/>
    <w:rsid w:val="005E274D"/>
    <w:rsid w:val="005E2C03"/>
    <w:rsid w:val="005E406E"/>
    <w:rsid w:val="005E43E3"/>
    <w:rsid w:val="005E5E22"/>
    <w:rsid w:val="005E67E2"/>
    <w:rsid w:val="005E6B4F"/>
    <w:rsid w:val="005E76A6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5161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5495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370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090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953"/>
    <w:rsid w:val="00642A1F"/>
    <w:rsid w:val="0064490F"/>
    <w:rsid w:val="00644A24"/>
    <w:rsid w:val="006452B3"/>
    <w:rsid w:val="006458A2"/>
    <w:rsid w:val="00645DF9"/>
    <w:rsid w:val="00645FC1"/>
    <w:rsid w:val="006468AA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5BFE"/>
    <w:rsid w:val="0065601F"/>
    <w:rsid w:val="00656368"/>
    <w:rsid w:val="006563CD"/>
    <w:rsid w:val="006563FB"/>
    <w:rsid w:val="0065771D"/>
    <w:rsid w:val="00657A11"/>
    <w:rsid w:val="00657CAA"/>
    <w:rsid w:val="006600A9"/>
    <w:rsid w:val="00660BD4"/>
    <w:rsid w:val="00660C5C"/>
    <w:rsid w:val="00660FCC"/>
    <w:rsid w:val="0066185E"/>
    <w:rsid w:val="0066197A"/>
    <w:rsid w:val="00661F28"/>
    <w:rsid w:val="006620BF"/>
    <w:rsid w:val="006621B7"/>
    <w:rsid w:val="006624C5"/>
    <w:rsid w:val="00663C3D"/>
    <w:rsid w:val="0066467A"/>
    <w:rsid w:val="0066510E"/>
    <w:rsid w:val="006651D6"/>
    <w:rsid w:val="0066559F"/>
    <w:rsid w:val="006658C3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552"/>
    <w:rsid w:val="00681A8A"/>
    <w:rsid w:val="00681ED0"/>
    <w:rsid w:val="00682C73"/>
    <w:rsid w:val="006837B3"/>
    <w:rsid w:val="00683A95"/>
    <w:rsid w:val="00683F5B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598"/>
    <w:rsid w:val="00695BDE"/>
    <w:rsid w:val="00695EC3"/>
    <w:rsid w:val="00695ECC"/>
    <w:rsid w:val="006964DB"/>
    <w:rsid w:val="00696ABC"/>
    <w:rsid w:val="00696B38"/>
    <w:rsid w:val="006A0934"/>
    <w:rsid w:val="006A165E"/>
    <w:rsid w:val="006A1B8F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965"/>
    <w:rsid w:val="006A7FDC"/>
    <w:rsid w:val="006B0225"/>
    <w:rsid w:val="006B04D1"/>
    <w:rsid w:val="006B08E0"/>
    <w:rsid w:val="006B0AD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37A6"/>
    <w:rsid w:val="006B421F"/>
    <w:rsid w:val="006B4856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86D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294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2D1"/>
    <w:rsid w:val="006E63F2"/>
    <w:rsid w:val="006E7AEC"/>
    <w:rsid w:val="006F0160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664"/>
    <w:rsid w:val="006F5ED0"/>
    <w:rsid w:val="006F600B"/>
    <w:rsid w:val="006F61F6"/>
    <w:rsid w:val="006F62E4"/>
    <w:rsid w:val="006F650E"/>
    <w:rsid w:val="006F6858"/>
    <w:rsid w:val="006F6F46"/>
    <w:rsid w:val="006F70B8"/>
    <w:rsid w:val="006F718D"/>
    <w:rsid w:val="006F7769"/>
    <w:rsid w:val="00700D3E"/>
    <w:rsid w:val="00701060"/>
    <w:rsid w:val="0070119E"/>
    <w:rsid w:val="007012F1"/>
    <w:rsid w:val="007027F0"/>
    <w:rsid w:val="00702CFB"/>
    <w:rsid w:val="007037A9"/>
    <w:rsid w:val="007039B0"/>
    <w:rsid w:val="00705650"/>
    <w:rsid w:val="00705661"/>
    <w:rsid w:val="00705914"/>
    <w:rsid w:val="00705F6E"/>
    <w:rsid w:val="00707323"/>
    <w:rsid w:val="00707DF6"/>
    <w:rsid w:val="00710499"/>
    <w:rsid w:val="0071061F"/>
    <w:rsid w:val="00711E95"/>
    <w:rsid w:val="00711ECB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17FCE"/>
    <w:rsid w:val="00720065"/>
    <w:rsid w:val="00720464"/>
    <w:rsid w:val="00720DAF"/>
    <w:rsid w:val="0072157E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8BD"/>
    <w:rsid w:val="00726F8F"/>
    <w:rsid w:val="00727006"/>
    <w:rsid w:val="0072706B"/>
    <w:rsid w:val="00727429"/>
    <w:rsid w:val="00727C3B"/>
    <w:rsid w:val="0073011A"/>
    <w:rsid w:val="007305E5"/>
    <w:rsid w:val="00730735"/>
    <w:rsid w:val="0073093D"/>
    <w:rsid w:val="00730CEC"/>
    <w:rsid w:val="00730D4D"/>
    <w:rsid w:val="007310EB"/>
    <w:rsid w:val="0073115F"/>
    <w:rsid w:val="0073116E"/>
    <w:rsid w:val="0073131A"/>
    <w:rsid w:val="00731693"/>
    <w:rsid w:val="0073190F"/>
    <w:rsid w:val="007319BB"/>
    <w:rsid w:val="0073227B"/>
    <w:rsid w:val="0073254D"/>
    <w:rsid w:val="007326C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55A"/>
    <w:rsid w:val="0074280F"/>
    <w:rsid w:val="00742A05"/>
    <w:rsid w:val="00742B5C"/>
    <w:rsid w:val="00742E90"/>
    <w:rsid w:val="007430B1"/>
    <w:rsid w:val="0074391C"/>
    <w:rsid w:val="007446E2"/>
    <w:rsid w:val="0074504E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34BD"/>
    <w:rsid w:val="00755A5F"/>
    <w:rsid w:val="00756098"/>
    <w:rsid w:val="00757546"/>
    <w:rsid w:val="00757664"/>
    <w:rsid w:val="00760827"/>
    <w:rsid w:val="00762006"/>
    <w:rsid w:val="00762F67"/>
    <w:rsid w:val="00763F24"/>
    <w:rsid w:val="00764276"/>
    <w:rsid w:val="007648A3"/>
    <w:rsid w:val="007648A8"/>
    <w:rsid w:val="007650A8"/>
    <w:rsid w:val="007652DB"/>
    <w:rsid w:val="00765747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AA3"/>
    <w:rsid w:val="00776B28"/>
    <w:rsid w:val="00777AF4"/>
    <w:rsid w:val="00777D9A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49C1"/>
    <w:rsid w:val="00786B31"/>
    <w:rsid w:val="00786DA4"/>
    <w:rsid w:val="0078760F"/>
    <w:rsid w:val="007913C7"/>
    <w:rsid w:val="007913CF"/>
    <w:rsid w:val="007916A0"/>
    <w:rsid w:val="00791B1E"/>
    <w:rsid w:val="00792FC4"/>
    <w:rsid w:val="007940E6"/>
    <w:rsid w:val="007948E6"/>
    <w:rsid w:val="00794B94"/>
    <w:rsid w:val="00794F8D"/>
    <w:rsid w:val="0079542D"/>
    <w:rsid w:val="007957CF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5EA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38C"/>
    <w:rsid w:val="007C0990"/>
    <w:rsid w:val="007C0D0F"/>
    <w:rsid w:val="007C1612"/>
    <w:rsid w:val="007C193F"/>
    <w:rsid w:val="007C1D2D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08A7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2A12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1CC8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B28"/>
    <w:rsid w:val="007F5F62"/>
    <w:rsid w:val="007F6615"/>
    <w:rsid w:val="007F773D"/>
    <w:rsid w:val="007F7EA0"/>
    <w:rsid w:val="00800041"/>
    <w:rsid w:val="00800F70"/>
    <w:rsid w:val="00801A90"/>
    <w:rsid w:val="00801EE3"/>
    <w:rsid w:val="00802405"/>
    <w:rsid w:val="008026F0"/>
    <w:rsid w:val="00802765"/>
    <w:rsid w:val="00803461"/>
    <w:rsid w:val="00803B85"/>
    <w:rsid w:val="00805594"/>
    <w:rsid w:val="00805B23"/>
    <w:rsid w:val="008064AF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560"/>
    <w:rsid w:val="008129D1"/>
    <w:rsid w:val="00813CA2"/>
    <w:rsid w:val="00814BD9"/>
    <w:rsid w:val="00814F6E"/>
    <w:rsid w:val="00815142"/>
    <w:rsid w:val="0081547C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2997"/>
    <w:rsid w:val="0082324C"/>
    <w:rsid w:val="00823ADA"/>
    <w:rsid w:val="00824D72"/>
    <w:rsid w:val="00824E2B"/>
    <w:rsid w:val="00825040"/>
    <w:rsid w:val="0082581D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278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BEF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73B"/>
    <w:rsid w:val="00860AF3"/>
    <w:rsid w:val="00860C67"/>
    <w:rsid w:val="00861180"/>
    <w:rsid w:val="00861EFD"/>
    <w:rsid w:val="00862181"/>
    <w:rsid w:val="0086378C"/>
    <w:rsid w:val="00863997"/>
    <w:rsid w:val="00864363"/>
    <w:rsid w:val="008656D7"/>
    <w:rsid w:val="00865A72"/>
    <w:rsid w:val="008667AA"/>
    <w:rsid w:val="00866AAF"/>
    <w:rsid w:val="00867A4E"/>
    <w:rsid w:val="00867C4E"/>
    <w:rsid w:val="00870904"/>
    <w:rsid w:val="00870AE3"/>
    <w:rsid w:val="008713D9"/>
    <w:rsid w:val="008716EB"/>
    <w:rsid w:val="00871D78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3FB"/>
    <w:rsid w:val="00876D12"/>
    <w:rsid w:val="00877613"/>
    <w:rsid w:val="0087795C"/>
    <w:rsid w:val="00877B96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5F0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810"/>
    <w:rsid w:val="008A3B68"/>
    <w:rsid w:val="008A3E40"/>
    <w:rsid w:val="008A40AA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2D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4BD"/>
    <w:rsid w:val="008C18B4"/>
    <w:rsid w:val="008C21C4"/>
    <w:rsid w:val="008C2318"/>
    <w:rsid w:val="008C2A0C"/>
    <w:rsid w:val="008C36DE"/>
    <w:rsid w:val="008C3864"/>
    <w:rsid w:val="008C38B4"/>
    <w:rsid w:val="008C5565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AC0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E2A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1943"/>
    <w:rsid w:val="008F25A0"/>
    <w:rsid w:val="008F3259"/>
    <w:rsid w:val="008F3368"/>
    <w:rsid w:val="008F354C"/>
    <w:rsid w:val="008F425B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17BA"/>
    <w:rsid w:val="009023ED"/>
    <w:rsid w:val="009023F0"/>
    <w:rsid w:val="009038E1"/>
    <w:rsid w:val="00903D70"/>
    <w:rsid w:val="009040E9"/>
    <w:rsid w:val="009040FE"/>
    <w:rsid w:val="0090477F"/>
    <w:rsid w:val="00905201"/>
    <w:rsid w:val="009055F8"/>
    <w:rsid w:val="00906354"/>
    <w:rsid w:val="009065F3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903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B09"/>
    <w:rsid w:val="00924E32"/>
    <w:rsid w:val="00925619"/>
    <w:rsid w:val="009256BA"/>
    <w:rsid w:val="00926586"/>
    <w:rsid w:val="00926774"/>
    <w:rsid w:val="00926900"/>
    <w:rsid w:val="009269E1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48B"/>
    <w:rsid w:val="00932989"/>
    <w:rsid w:val="00933648"/>
    <w:rsid w:val="00933C0F"/>
    <w:rsid w:val="0093482A"/>
    <w:rsid w:val="00934DE7"/>
    <w:rsid w:val="0093581C"/>
    <w:rsid w:val="00935B4D"/>
    <w:rsid w:val="00935DE1"/>
    <w:rsid w:val="009366CB"/>
    <w:rsid w:val="0093749C"/>
    <w:rsid w:val="00940614"/>
    <w:rsid w:val="00940DC3"/>
    <w:rsid w:val="00940F73"/>
    <w:rsid w:val="00941973"/>
    <w:rsid w:val="00942642"/>
    <w:rsid w:val="009426E1"/>
    <w:rsid w:val="00942E6D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2F34"/>
    <w:rsid w:val="0095364B"/>
    <w:rsid w:val="00953E47"/>
    <w:rsid w:val="00954FB5"/>
    <w:rsid w:val="00954FBA"/>
    <w:rsid w:val="00955853"/>
    <w:rsid w:val="00957FF8"/>
    <w:rsid w:val="009600FD"/>
    <w:rsid w:val="009602E9"/>
    <w:rsid w:val="0096031C"/>
    <w:rsid w:val="009612AB"/>
    <w:rsid w:val="00961306"/>
    <w:rsid w:val="00961564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0F2"/>
    <w:rsid w:val="00974AB0"/>
    <w:rsid w:val="00974D3F"/>
    <w:rsid w:val="00974E87"/>
    <w:rsid w:val="0097551D"/>
    <w:rsid w:val="00975684"/>
    <w:rsid w:val="00975AA0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4BD"/>
    <w:rsid w:val="00985DE4"/>
    <w:rsid w:val="00987991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76F"/>
    <w:rsid w:val="00995BC8"/>
    <w:rsid w:val="00995C50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2833"/>
    <w:rsid w:val="009A3100"/>
    <w:rsid w:val="009A3761"/>
    <w:rsid w:val="009A4167"/>
    <w:rsid w:val="009A4AF0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AF5"/>
    <w:rsid w:val="009A7BD3"/>
    <w:rsid w:val="009B1420"/>
    <w:rsid w:val="009B2A87"/>
    <w:rsid w:val="009B3A30"/>
    <w:rsid w:val="009B400A"/>
    <w:rsid w:val="009B405E"/>
    <w:rsid w:val="009B53A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6F0C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52A"/>
    <w:rsid w:val="009F76D2"/>
    <w:rsid w:val="009F76DA"/>
    <w:rsid w:val="009F7804"/>
    <w:rsid w:val="009F7ABA"/>
    <w:rsid w:val="009F7EBB"/>
    <w:rsid w:val="00A005A4"/>
    <w:rsid w:val="00A01379"/>
    <w:rsid w:val="00A01AAC"/>
    <w:rsid w:val="00A02407"/>
    <w:rsid w:val="00A02C54"/>
    <w:rsid w:val="00A03261"/>
    <w:rsid w:val="00A03734"/>
    <w:rsid w:val="00A04B6B"/>
    <w:rsid w:val="00A0508D"/>
    <w:rsid w:val="00A05266"/>
    <w:rsid w:val="00A05308"/>
    <w:rsid w:val="00A05D0C"/>
    <w:rsid w:val="00A05F27"/>
    <w:rsid w:val="00A06421"/>
    <w:rsid w:val="00A065BC"/>
    <w:rsid w:val="00A06CAF"/>
    <w:rsid w:val="00A0738E"/>
    <w:rsid w:val="00A07522"/>
    <w:rsid w:val="00A07571"/>
    <w:rsid w:val="00A078B3"/>
    <w:rsid w:val="00A078CA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800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66FE"/>
    <w:rsid w:val="00A26BB8"/>
    <w:rsid w:val="00A27DAC"/>
    <w:rsid w:val="00A27F96"/>
    <w:rsid w:val="00A30349"/>
    <w:rsid w:val="00A303E4"/>
    <w:rsid w:val="00A305FA"/>
    <w:rsid w:val="00A30840"/>
    <w:rsid w:val="00A30948"/>
    <w:rsid w:val="00A31D91"/>
    <w:rsid w:val="00A33BDF"/>
    <w:rsid w:val="00A33BEC"/>
    <w:rsid w:val="00A3537E"/>
    <w:rsid w:val="00A35B44"/>
    <w:rsid w:val="00A36876"/>
    <w:rsid w:val="00A37050"/>
    <w:rsid w:val="00A37A47"/>
    <w:rsid w:val="00A408BF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4E97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20"/>
    <w:rsid w:val="00A60D3A"/>
    <w:rsid w:val="00A614B9"/>
    <w:rsid w:val="00A61695"/>
    <w:rsid w:val="00A61D73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67F95"/>
    <w:rsid w:val="00A70400"/>
    <w:rsid w:val="00A706BB"/>
    <w:rsid w:val="00A70BE7"/>
    <w:rsid w:val="00A71540"/>
    <w:rsid w:val="00A71633"/>
    <w:rsid w:val="00A72861"/>
    <w:rsid w:val="00A72CC8"/>
    <w:rsid w:val="00A72DF9"/>
    <w:rsid w:val="00A72F82"/>
    <w:rsid w:val="00A7336D"/>
    <w:rsid w:val="00A738C9"/>
    <w:rsid w:val="00A7502C"/>
    <w:rsid w:val="00A75E75"/>
    <w:rsid w:val="00A76BFA"/>
    <w:rsid w:val="00A77571"/>
    <w:rsid w:val="00A77CE2"/>
    <w:rsid w:val="00A77E78"/>
    <w:rsid w:val="00A8139B"/>
    <w:rsid w:val="00A815C1"/>
    <w:rsid w:val="00A816AB"/>
    <w:rsid w:val="00A82814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1BB2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5E9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5BC1"/>
    <w:rsid w:val="00AB68DA"/>
    <w:rsid w:val="00AB774D"/>
    <w:rsid w:val="00AB7DC5"/>
    <w:rsid w:val="00AC02F6"/>
    <w:rsid w:val="00AC1D8F"/>
    <w:rsid w:val="00AC1FDC"/>
    <w:rsid w:val="00AC237C"/>
    <w:rsid w:val="00AC2930"/>
    <w:rsid w:val="00AC2A35"/>
    <w:rsid w:val="00AC31B0"/>
    <w:rsid w:val="00AC3594"/>
    <w:rsid w:val="00AC41C2"/>
    <w:rsid w:val="00AC4314"/>
    <w:rsid w:val="00AC464F"/>
    <w:rsid w:val="00AC575B"/>
    <w:rsid w:val="00AC5909"/>
    <w:rsid w:val="00AC5A31"/>
    <w:rsid w:val="00AC64DA"/>
    <w:rsid w:val="00AC6B55"/>
    <w:rsid w:val="00AC7254"/>
    <w:rsid w:val="00AC7EB5"/>
    <w:rsid w:val="00AC7FDF"/>
    <w:rsid w:val="00AD0039"/>
    <w:rsid w:val="00AD0E7A"/>
    <w:rsid w:val="00AD1188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9C6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E7A46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109"/>
    <w:rsid w:val="00B04346"/>
    <w:rsid w:val="00B05D56"/>
    <w:rsid w:val="00B0707A"/>
    <w:rsid w:val="00B07374"/>
    <w:rsid w:val="00B102B3"/>
    <w:rsid w:val="00B10DF9"/>
    <w:rsid w:val="00B10FFE"/>
    <w:rsid w:val="00B122A4"/>
    <w:rsid w:val="00B124CD"/>
    <w:rsid w:val="00B1366B"/>
    <w:rsid w:val="00B1400D"/>
    <w:rsid w:val="00B145B2"/>
    <w:rsid w:val="00B15C5D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4AA0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6F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5D6F"/>
    <w:rsid w:val="00B563AA"/>
    <w:rsid w:val="00B5693C"/>
    <w:rsid w:val="00B57A4E"/>
    <w:rsid w:val="00B604C0"/>
    <w:rsid w:val="00B6077F"/>
    <w:rsid w:val="00B607BD"/>
    <w:rsid w:val="00B61ECC"/>
    <w:rsid w:val="00B6252C"/>
    <w:rsid w:val="00B628E8"/>
    <w:rsid w:val="00B62A05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111A"/>
    <w:rsid w:val="00B72147"/>
    <w:rsid w:val="00B72374"/>
    <w:rsid w:val="00B7285F"/>
    <w:rsid w:val="00B72CAC"/>
    <w:rsid w:val="00B73530"/>
    <w:rsid w:val="00B73828"/>
    <w:rsid w:val="00B73E6F"/>
    <w:rsid w:val="00B741CF"/>
    <w:rsid w:val="00B74361"/>
    <w:rsid w:val="00B75A3B"/>
    <w:rsid w:val="00B76A7E"/>
    <w:rsid w:val="00B771B4"/>
    <w:rsid w:val="00B77213"/>
    <w:rsid w:val="00B77A3F"/>
    <w:rsid w:val="00B77D4D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3E4"/>
    <w:rsid w:val="00B95989"/>
    <w:rsid w:val="00B95A74"/>
    <w:rsid w:val="00B979ED"/>
    <w:rsid w:val="00BA01B1"/>
    <w:rsid w:val="00BA03AB"/>
    <w:rsid w:val="00BA121E"/>
    <w:rsid w:val="00BA2182"/>
    <w:rsid w:val="00BA2325"/>
    <w:rsid w:val="00BA2DAE"/>
    <w:rsid w:val="00BA3491"/>
    <w:rsid w:val="00BA34AD"/>
    <w:rsid w:val="00BA3A72"/>
    <w:rsid w:val="00BA3E24"/>
    <w:rsid w:val="00BA402D"/>
    <w:rsid w:val="00BA47C7"/>
    <w:rsid w:val="00BA4CD9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C04"/>
    <w:rsid w:val="00BB3EB1"/>
    <w:rsid w:val="00BB447B"/>
    <w:rsid w:val="00BB459A"/>
    <w:rsid w:val="00BB4CE9"/>
    <w:rsid w:val="00BB4DE3"/>
    <w:rsid w:val="00BB5642"/>
    <w:rsid w:val="00BB5FAB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6B8"/>
    <w:rsid w:val="00BC4BB3"/>
    <w:rsid w:val="00BC6218"/>
    <w:rsid w:val="00BC6374"/>
    <w:rsid w:val="00BC6699"/>
    <w:rsid w:val="00BC6816"/>
    <w:rsid w:val="00BC6CD0"/>
    <w:rsid w:val="00BC727B"/>
    <w:rsid w:val="00BD045E"/>
    <w:rsid w:val="00BD0DD4"/>
    <w:rsid w:val="00BD0FA7"/>
    <w:rsid w:val="00BD1CAD"/>
    <w:rsid w:val="00BD2E2F"/>
    <w:rsid w:val="00BD313C"/>
    <w:rsid w:val="00BD315D"/>
    <w:rsid w:val="00BD3787"/>
    <w:rsid w:val="00BD4485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E78F0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6B1D"/>
    <w:rsid w:val="00C1715B"/>
    <w:rsid w:val="00C171C2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03F"/>
    <w:rsid w:val="00C306E0"/>
    <w:rsid w:val="00C30D6F"/>
    <w:rsid w:val="00C31739"/>
    <w:rsid w:val="00C317A1"/>
    <w:rsid w:val="00C31E0A"/>
    <w:rsid w:val="00C34086"/>
    <w:rsid w:val="00C3444F"/>
    <w:rsid w:val="00C3461A"/>
    <w:rsid w:val="00C3518C"/>
    <w:rsid w:val="00C3548F"/>
    <w:rsid w:val="00C3594B"/>
    <w:rsid w:val="00C360A0"/>
    <w:rsid w:val="00C3666D"/>
    <w:rsid w:val="00C3733C"/>
    <w:rsid w:val="00C3787D"/>
    <w:rsid w:val="00C37E72"/>
    <w:rsid w:val="00C40A81"/>
    <w:rsid w:val="00C414F6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820"/>
    <w:rsid w:val="00C61AF9"/>
    <w:rsid w:val="00C620E6"/>
    <w:rsid w:val="00C624E4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277"/>
    <w:rsid w:val="00C70553"/>
    <w:rsid w:val="00C70C92"/>
    <w:rsid w:val="00C71468"/>
    <w:rsid w:val="00C714F9"/>
    <w:rsid w:val="00C71754"/>
    <w:rsid w:val="00C722C9"/>
    <w:rsid w:val="00C726A2"/>
    <w:rsid w:val="00C7278E"/>
    <w:rsid w:val="00C72A18"/>
    <w:rsid w:val="00C72EB6"/>
    <w:rsid w:val="00C72EDE"/>
    <w:rsid w:val="00C737E1"/>
    <w:rsid w:val="00C738A6"/>
    <w:rsid w:val="00C73B15"/>
    <w:rsid w:val="00C74D9C"/>
    <w:rsid w:val="00C750D1"/>
    <w:rsid w:val="00C75310"/>
    <w:rsid w:val="00C7535F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9E7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3814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B4B"/>
    <w:rsid w:val="00CA3D77"/>
    <w:rsid w:val="00CA3EDB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5BC"/>
    <w:rsid w:val="00CB6C81"/>
    <w:rsid w:val="00CB6D54"/>
    <w:rsid w:val="00CB6EF6"/>
    <w:rsid w:val="00CB7618"/>
    <w:rsid w:val="00CC0701"/>
    <w:rsid w:val="00CC0E95"/>
    <w:rsid w:val="00CC10AE"/>
    <w:rsid w:val="00CC1130"/>
    <w:rsid w:val="00CC12C2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4BA5"/>
    <w:rsid w:val="00CE5193"/>
    <w:rsid w:val="00CE5328"/>
    <w:rsid w:val="00CE6ABD"/>
    <w:rsid w:val="00CE727D"/>
    <w:rsid w:val="00CE77D0"/>
    <w:rsid w:val="00CF01A9"/>
    <w:rsid w:val="00CF0A6C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CF7F52"/>
    <w:rsid w:val="00D00E10"/>
    <w:rsid w:val="00D0122F"/>
    <w:rsid w:val="00D01CB6"/>
    <w:rsid w:val="00D01E67"/>
    <w:rsid w:val="00D01E83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4AE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272"/>
    <w:rsid w:val="00D26CC4"/>
    <w:rsid w:val="00D30299"/>
    <w:rsid w:val="00D30DBE"/>
    <w:rsid w:val="00D30EDD"/>
    <w:rsid w:val="00D31CE1"/>
    <w:rsid w:val="00D33185"/>
    <w:rsid w:val="00D33954"/>
    <w:rsid w:val="00D33C7B"/>
    <w:rsid w:val="00D34678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6C1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79B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3E80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5D0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23C"/>
    <w:rsid w:val="00D968EB"/>
    <w:rsid w:val="00D969E3"/>
    <w:rsid w:val="00D977DF"/>
    <w:rsid w:val="00DA0850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53B"/>
    <w:rsid w:val="00DB162B"/>
    <w:rsid w:val="00DB16EE"/>
    <w:rsid w:val="00DB2BA1"/>
    <w:rsid w:val="00DB2F1E"/>
    <w:rsid w:val="00DB38AE"/>
    <w:rsid w:val="00DB445D"/>
    <w:rsid w:val="00DB479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ADA"/>
    <w:rsid w:val="00DD2F93"/>
    <w:rsid w:val="00DD3CDE"/>
    <w:rsid w:val="00DD4C82"/>
    <w:rsid w:val="00DD4FBE"/>
    <w:rsid w:val="00DD58BD"/>
    <w:rsid w:val="00DD5B27"/>
    <w:rsid w:val="00DD695C"/>
    <w:rsid w:val="00DD7127"/>
    <w:rsid w:val="00DD7CBC"/>
    <w:rsid w:val="00DD7E96"/>
    <w:rsid w:val="00DE0CCB"/>
    <w:rsid w:val="00DE10A0"/>
    <w:rsid w:val="00DE115C"/>
    <w:rsid w:val="00DE1F0C"/>
    <w:rsid w:val="00DE27FD"/>
    <w:rsid w:val="00DE2924"/>
    <w:rsid w:val="00DE36EA"/>
    <w:rsid w:val="00DE3810"/>
    <w:rsid w:val="00DE4660"/>
    <w:rsid w:val="00DE5557"/>
    <w:rsid w:val="00DE6C4F"/>
    <w:rsid w:val="00DE72CC"/>
    <w:rsid w:val="00DE7B73"/>
    <w:rsid w:val="00DF03A8"/>
    <w:rsid w:val="00DF0DC3"/>
    <w:rsid w:val="00DF0F52"/>
    <w:rsid w:val="00DF11F9"/>
    <w:rsid w:val="00DF171B"/>
    <w:rsid w:val="00DF181B"/>
    <w:rsid w:val="00DF1BA5"/>
    <w:rsid w:val="00DF20B0"/>
    <w:rsid w:val="00DF2653"/>
    <w:rsid w:val="00DF3242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48"/>
    <w:rsid w:val="00E00056"/>
    <w:rsid w:val="00E0036F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344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3F92"/>
    <w:rsid w:val="00E2413B"/>
    <w:rsid w:val="00E2474C"/>
    <w:rsid w:val="00E24FAA"/>
    <w:rsid w:val="00E25F3B"/>
    <w:rsid w:val="00E25FA7"/>
    <w:rsid w:val="00E26069"/>
    <w:rsid w:val="00E2616B"/>
    <w:rsid w:val="00E26385"/>
    <w:rsid w:val="00E264DE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7A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082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6741"/>
    <w:rsid w:val="00E46CFF"/>
    <w:rsid w:val="00E4728F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E36"/>
    <w:rsid w:val="00E61FC6"/>
    <w:rsid w:val="00E620A7"/>
    <w:rsid w:val="00E62716"/>
    <w:rsid w:val="00E62E41"/>
    <w:rsid w:val="00E632A1"/>
    <w:rsid w:val="00E63369"/>
    <w:rsid w:val="00E636EF"/>
    <w:rsid w:val="00E640FA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447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396C"/>
    <w:rsid w:val="00E940AA"/>
    <w:rsid w:val="00E9412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2549"/>
    <w:rsid w:val="00EA30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237C"/>
    <w:rsid w:val="00EB39E8"/>
    <w:rsid w:val="00EB3A0A"/>
    <w:rsid w:val="00EB3ACB"/>
    <w:rsid w:val="00EB426E"/>
    <w:rsid w:val="00EB4296"/>
    <w:rsid w:val="00EB4EFA"/>
    <w:rsid w:val="00EB52FE"/>
    <w:rsid w:val="00EB56DD"/>
    <w:rsid w:val="00EB5ABF"/>
    <w:rsid w:val="00EB5B0D"/>
    <w:rsid w:val="00EB6167"/>
    <w:rsid w:val="00EB63B3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C73F5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7DD"/>
    <w:rsid w:val="00EE2AD6"/>
    <w:rsid w:val="00EE3320"/>
    <w:rsid w:val="00EE44F3"/>
    <w:rsid w:val="00EE4A24"/>
    <w:rsid w:val="00EE4AD1"/>
    <w:rsid w:val="00EE4BC7"/>
    <w:rsid w:val="00EE5374"/>
    <w:rsid w:val="00EE554F"/>
    <w:rsid w:val="00EF008B"/>
    <w:rsid w:val="00EF0379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04C"/>
    <w:rsid w:val="00F04430"/>
    <w:rsid w:val="00F0445C"/>
    <w:rsid w:val="00F04534"/>
    <w:rsid w:val="00F05245"/>
    <w:rsid w:val="00F06E74"/>
    <w:rsid w:val="00F07008"/>
    <w:rsid w:val="00F07DF1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5D53"/>
    <w:rsid w:val="00F16578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466B"/>
    <w:rsid w:val="00F25180"/>
    <w:rsid w:val="00F25D47"/>
    <w:rsid w:val="00F25F76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08E"/>
    <w:rsid w:val="00F363A6"/>
    <w:rsid w:val="00F36A36"/>
    <w:rsid w:val="00F3710B"/>
    <w:rsid w:val="00F40103"/>
    <w:rsid w:val="00F401C6"/>
    <w:rsid w:val="00F40820"/>
    <w:rsid w:val="00F40B81"/>
    <w:rsid w:val="00F41460"/>
    <w:rsid w:val="00F4185F"/>
    <w:rsid w:val="00F41F21"/>
    <w:rsid w:val="00F42186"/>
    <w:rsid w:val="00F42630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945"/>
    <w:rsid w:val="00F54D7C"/>
    <w:rsid w:val="00F55421"/>
    <w:rsid w:val="00F55E6D"/>
    <w:rsid w:val="00F55EDC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1F37"/>
    <w:rsid w:val="00F6362F"/>
    <w:rsid w:val="00F64030"/>
    <w:rsid w:val="00F6445B"/>
    <w:rsid w:val="00F65D07"/>
    <w:rsid w:val="00F666D2"/>
    <w:rsid w:val="00F66A2B"/>
    <w:rsid w:val="00F67DB8"/>
    <w:rsid w:val="00F715F5"/>
    <w:rsid w:val="00F71F07"/>
    <w:rsid w:val="00F7239F"/>
    <w:rsid w:val="00F72709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68C"/>
    <w:rsid w:val="00F81741"/>
    <w:rsid w:val="00F8187A"/>
    <w:rsid w:val="00F81B94"/>
    <w:rsid w:val="00F826BE"/>
    <w:rsid w:val="00F82A72"/>
    <w:rsid w:val="00F82C63"/>
    <w:rsid w:val="00F8344B"/>
    <w:rsid w:val="00F83BC8"/>
    <w:rsid w:val="00F84266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0CAC"/>
    <w:rsid w:val="00F91937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DC1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08E"/>
    <w:rsid w:val="00FB336E"/>
    <w:rsid w:val="00FB3A0B"/>
    <w:rsid w:val="00FB4757"/>
    <w:rsid w:val="00FB4890"/>
    <w:rsid w:val="00FB48B9"/>
    <w:rsid w:val="00FB50D7"/>
    <w:rsid w:val="00FB5ECF"/>
    <w:rsid w:val="00FB5F39"/>
    <w:rsid w:val="00FB6015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4D9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0FB"/>
    <w:rsid w:val="00FD686C"/>
    <w:rsid w:val="00FD697F"/>
    <w:rsid w:val="00FD6F28"/>
    <w:rsid w:val="00FD714F"/>
    <w:rsid w:val="00FE0A42"/>
    <w:rsid w:val="00FE0B76"/>
    <w:rsid w:val="00FE0CAD"/>
    <w:rsid w:val="00FE0F32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7EB"/>
    <w:rsid w:val="00FF1B2B"/>
    <w:rsid w:val="00FF292B"/>
    <w:rsid w:val="00FF2A98"/>
    <w:rsid w:val="00FF32D6"/>
    <w:rsid w:val="00FF33D8"/>
    <w:rsid w:val="00FF3928"/>
    <w:rsid w:val="00FF3ED0"/>
    <w:rsid w:val="00FF4C36"/>
    <w:rsid w:val="00FF4F71"/>
    <w:rsid w:val="00FF538A"/>
    <w:rsid w:val="00FF59E3"/>
    <w:rsid w:val="00FF5AAB"/>
    <w:rsid w:val="00FF5BD9"/>
    <w:rsid w:val="00FF626A"/>
    <w:rsid w:val="00FF62E4"/>
    <w:rsid w:val="00FF695E"/>
    <w:rsid w:val="00FF6F1E"/>
    <w:rsid w:val="00FF70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117B15"/>
    <w:pPr>
      <w:spacing w:before="0" w:after="120"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semiHidden/>
    <w:locked/>
    <w:rsid w:val="008D3AC0"/>
    <w:rPr>
      <w:rFonts w:ascii="Arial" w:hAnsi="Arial"/>
      <w:sz w:val="18"/>
    </w:rPr>
  </w:style>
  <w:style w:type="paragraph" w:customStyle="1" w:styleId="NORMALNIOM">
    <w:name w:val="NORMALNI OM"/>
    <w:basedOn w:val="Normln"/>
    <w:rsid w:val="00BE78F0"/>
    <w:rPr>
      <w:rFonts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117B15"/>
    <w:pPr>
      <w:spacing w:before="0" w:after="120"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semiHidden/>
    <w:locked/>
    <w:rsid w:val="008D3AC0"/>
    <w:rPr>
      <w:rFonts w:ascii="Arial" w:hAnsi="Arial"/>
      <w:sz w:val="18"/>
    </w:rPr>
  </w:style>
  <w:style w:type="paragraph" w:customStyle="1" w:styleId="NORMALNIOM">
    <w:name w:val="NORMALNI OM"/>
    <w:basedOn w:val="Normln"/>
    <w:rsid w:val="00BE78F0"/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strukturalni-fondy.cz" TargetMode="External"/><Relationship Id="rId26" Type="http://schemas.openxmlformats.org/officeDocument/2006/relationships/hyperlink" Target="http://www.eu-zadost.cz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strukturalni-fondy.cz/cs/Microsites/op-technicka-pomoc/Dokumenty" TargetMode="External"/><Relationship Id="rId34" Type="http://schemas.openxmlformats.org/officeDocument/2006/relationships/hyperlink" Target="http://www.strukturalni-fondy.cz/cs/Microsites/op-technicka-pomoc/Dokumenty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eu-zadost.cz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mailto:praha@crr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ukturalni-fondy.cz" TargetMode="External"/><Relationship Id="rId24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2" Type="http://schemas.openxmlformats.org/officeDocument/2006/relationships/hyperlink" Target="http://www.strukturalni-fondy.cz/cs/Microsites/op-technicka-pomoc/Dokumenty" TargetMode="External"/><Relationship Id="rId37" Type="http://schemas.openxmlformats.org/officeDocument/2006/relationships/hyperlink" Target="http://www.strukturalni-fondy.cz/cs/Microsites/op-technicka-pomoc/Dokumenty" TargetMode="External"/><Relationship Id="rId40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strukturalni-fondy.cz" TargetMode="External"/><Relationship Id="rId28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6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hyperlink" Target="http://www..strukturalni-fondy.cz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www.crr.cz/cs/kontakt/hlavni-kancel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turalni-fondy.cz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mmr.cz" TargetMode="External"/><Relationship Id="rId27" Type="http://schemas.openxmlformats.org/officeDocument/2006/relationships/hyperlink" Target="http://www.eu-zadost.eu" TargetMode="External"/><Relationship Id="rId30" Type="http://schemas.openxmlformats.org/officeDocument/2006/relationships/hyperlink" Target="mailto:pobpha@crr.cz" TargetMode="External"/><Relationship Id="rId35" Type="http://schemas.openxmlformats.org/officeDocument/2006/relationships/hyperlink" Target="http://www.strukturalni-fondy.cz/cs/Microsites/op-technicka-pomoc/Dokument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ukturalni-fondy.cz/cs/Microsites/op-technicka-pomoc/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AA3-B4A2-4CC2-A135-5FFBE16B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18665</Words>
  <Characters>110127</Characters>
  <Application>Microsoft Office Word</Application>
  <DocSecurity>0</DocSecurity>
  <Lines>917</Lines>
  <Paragraphs>257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128535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mikhel</cp:lastModifiedBy>
  <cp:revision>3</cp:revision>
  <cp:lastPrinted>2015-05-29T07:45:00Z</cp:lastPrinted>
  <dcterms:created xsi:type="dcterms:W3CDTF">2015-06-25T11:55:00Z</dcterms:created>
  <dcterms:modified xsi:type="dcterms:W3CDTF">2015-06-25T11:56:00Z</dcterms:modified>
</cp:coreProperties>
</file>