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C6940">
      <w:pPr>
        <w:ind w:left="708" w:firstLine="708"/>
        <w:rPr>
          <w:rFonts w:ascii="Arial" w:hAnsi="Arial" w:cs="Arial"/>
          <w:b/>
          <w:sz w:val="44"/>
          <w:szCs w:val="44"/>
          <w:u w:val="single"/>
        </w:rPr>
      </w:pPr>
      <w:bookmarkStart w:id="0" w:name="_GoBack"/>
      <w:bookmarkEnd w:id="0"/>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7544E1"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573400" w:rsidP="00CC6940">
      <w:pPr>
        <w:jc w:val="center"/>
        <w:rPr>
          <w:rFonts w:ascii="Arial" w:hAnsi="Arial" w:cs="Arial"/>
          <w:b/>
          <w:caps/>
          <w:sz w:val="48"/>
          <w:szCs w:val="48"/>
          <w:u w:val="single"/>
        </w:rPr>
      </w:pPr>
      <w:r>
        <w:rPr>
          <w:noProof/>
        </w:rPr>
        <mc:AlternateContent>
          <mc:Choice Requires="wps">
            <w:drawing>
              <wp:anchor distT="0" distB="0" distL="114300" distR="114300" simplePos="0" relativeHeight="251658240" behindDoc="1" locked="0" layoutInCell="1" allowOverlap="1" wp14:anchorId="75E7EC7D" wp14:editId="5D6863FB">
                <wp:simplePos x="0" y="0"/>
                <wp:positionH relativeFrom="margin">
                  <wp:posOffset>2457450</wp:posOffset>
                </wp:positionH>
                <wp:positionV relativeFrom="page">
                  <wp:posOffset>1371600</wp:posOffset>
                </wp:positionV>
                <wp:extent cx="1285875" cy="83153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93.5pt;margin-top:108pt;width:101.25pt;height:6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Scql&#10;3o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7544E1">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726BFF">
      <w:pPr>
        <w:rPr>
          <w:b/>
          <w:sz w:val="28"/>
          <w:szCs w:val="28"/>
        </w:rPr>
      </w:pPr>
      <w:r w:rsidRPr="00D414E6">
        <w:rPr>
          <w:b/>
          <w:sz w:val="28"/>
          <w:szCs w:val="28"/>
        </w:rPr>
        <w:t xml:space="preserve">Vydání </w:t>
      </w:r>
      <w:r w:rsidR="0018297B">
        <w:rPr>
          <w:b/>
          <w:sz w:val="28"/>
          <w:szCs w:val="28"/>
        </w:rPr>
        <w:t>8/</w:t>
      </w:r>
      <w:r w:rsidR="00B23BB5">
        <w:rPr>
          <w:b/>
          <w:sz w:val="28"/>
          <w:szCs w:val="28"/>
        </w:rPr>
        <w:t>3</w:t>
      </w:r>
      <w:r w:rsidRPr="00D414E6">
        <w:rPr>
          <w:b/>
          <w:sz w:val="28"/>
          <w:szCs w:val="28"/>
        </w:rPr>
        <w:t>, platnost</w:t>
      </w:r>
      <w:r>
        <w:rPr>
          <w:b/>
          <w:sz w:val="28"/>
          <w:szCs w:val="28"/>
        </w:rPr>
        <w:t xml:space="preserve"> </w:t>
      </w:r>
      <w:r w:rsidR="00B23BB5">
        <w:rPr>
          <w:b/>
          <w:sz w:val="28"/>
          <w:szCs w:val="28"/>
        </w:rPr>
        <w:t>28</w:t>
      </w:r>
      <w:r w:rsidR="00AE2E26" w:rsidRPr="000D666D">
        <w:rPr>
          <w:b/>
          <w:sz w:val="28"/>
          <w:szCs w:val="28"/>
        </w:rPr>
        <w:t xml:space="preserve">. </w:t>
      </w:r>
      <w:r w:rsidR="00B23BB5">
        <w:rPr>
          <w:b/>
          <w:sz w:val="28"/>
          <w:szCs w:val="28"/>
        </w:rPr>
        <w:t>8</w:t>
      </w:r>
      <w:r w:rsidR="00AE2E26" w:rsidRPr="000D666D">
        <w:rPr>
          <w:b/>
          <w:sz w:val="28"/>
          <w:szCs w:val="28"/>
        </w:rPr>
        <w:t>. 201</w:t>
      </w:r>
      <w:r w:rsidR="000D666D">
        <w:rPr>
          <w:b/>
          <w:sz w:val="28"/>
          <w:szCs w:val="28"/>
        </w:rPr>
        <w:t>4</w:t>
      </w:r>
      <w:r w:rsidR="00AE2E26">
        <w:rPr>
          <w:b/>
          <w:sz w:val="28"/>
          <w:szCs w:val="28"/>
        </w:rPr>
        <w:t>,</w:t>
      </w:r>
      <w:r w:rsidR="00D414E6">
        <w:rPr>
          <w:b/>
          <w:sz w:val="28"/>
          <w:szCs w:val="28"/>
        </w:rPr>
        <w:t xml:space="preserve"> účinnost </w:t>
      </w:r>
      <w:r>
        <w:rPr>
          <w:b/>
          <w:sz w:val="28"/>
          <w:szCs w:val="28"/>
        </w:rPr>
        <w:t xml:space="preserve">od </w:t>
      </w:r>
      <w:r w:rsidR="00D414E6" w:rsidRPr="000D666D">
        <w:rPr>
          <w:b/>
          <w:sz w:val="28"/>
          <w:szCs w:val="28"/>
        </w:rPr>
        <w:t>1</w:t>
      </w:r>
      <w:r w:rsidRPr="000D666D">
        <w:rPr>
          <w:b/>
          <w:sz w:val="28"/>
          <w:szCs w:val="28"/>
        </w:rPr>
        <w:t xml:space="preserve">. </w:t>
      </w:r>
      <w:r w:rsidR="00B23BB5">
        <w:rPr>
          <w:b/>
          <w:sz w:val="28"/>
          <w:szCs w:val="28"/>
        </w:rPr>
        <w:t>9</w:t>
      </w:r>
      <w:r w:rsidRPr="000D666D">
        <w:rPr>
          <w:b/>
          <w:sz w:val="28"/>
          <w:szCs w:val="28"/>
        </w:rPr>
        <w:t>. 201</w:t>
      </w:r>
      <w:r w:rsidR="000D666D">
        <w:rPr>
          <w:b/>
          <w:sz w:val="28"/>
          <w:szCs w:val="28"/>
        </w:rPr>
        <w:t>4</w:t>
      </w: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28724B" w:rsidRDefault="007544E1" w:rsidP="00CB19CF">
      <w:pPr>
        <w:keepNext/>
        <w:keepLines/>
        <w:tabs>
          <w:tab w:val="left" w:pos="5355"/>
        </w:tabs>
        <w:spacing w:after="120"/>
        <w:rPr>
          <w:rFonts w:ascii="Arial" w:hAnsi="Arial" w:cs="Arial"/>
          <w:b/>
          <w:smallCaps/>
          <w:sz w:val="24"/>
          <w:szCs w:val="24"/>
        </w:rPr>
      </w:pPr>
      <w:r>
        <w:rPr>
          <w:rFonts w:ascii="Arial" w:hAnsi="Arial" w:cs="Arial"/>
          <w:b/>
          <w:smallCaps/>
          <w:sz w:val="72"/>
        </w:rPr>
        <w:lastRenderedPageBreak/>
        <w:tab/>
      </w:r>
    </w:p>
    <w:p w:rsidR="007544E1" w:rsidRPr="00835CEA" w:rsidRDefault="00C10644" w:rsidP="00E706B4">
      <w:pPr>
        <w:keepNext/>
        <w:keepLines/>
        <w:tabs>
          <w:tab w:val="left" w:pos="5355"/>
        </w:tabs>
        <w:spacing w:after="120"/>
        <w:rPr>
          <w:rFonts w:ascii="Arial" w:hAnsi="Arial" w:cs="Arial"/>
          <w:b/>
          <w:smallCaps/>
          <w:sz w:val="24"/>
          <w:szCs w:val="24"/>
        </w:rPr>
      </w:pPr>
      <w:r>
        <w:rPr>
          <w:noProof/>
        </w:rPr>
        <w:drawing>
          <wp:anchor distT="0" distB="0" distL="114300" distR="114300" simplePos="0" relativeHeight="251657216" behindDoc="0" locked="0" layoutInCell="1" allowOverlap="1" wp14:anchorId="604B12AB" wp14:editId="3B182095">
            <wp:simplePos x="0" y="0"/>
            <wp:positionH relativeFrom="column">
              <wp:posOffset>-139700</wp:posOffset>
            </wp:positionH>
            <wp:positionV relativeFrom="paragraph">
              <wp:posOffset>6350</wp:posOffset>
            </wp:positionV>
            <wp:extent cx="5753100" cy="485775"/>
            <wp:effectExtent l="19050" t="0" r="0" b="0"/>
            <wp:wrapSquare wrapText="bothSides"/>
            <wp:docPr id="4"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4"/>
                    <a:srcRect/>
                    <a:stretch>
                      <a:fillRect/>
                    </a:stretch>
                  </pic:blipFill>
                  <pic:spPr bwMode="auto">
                    <a:xfrm>
                      <a:off x="0" y="0"/>
                      <a:ext cx="5753100" cy="485775"/>
                    </a:xfrm>
                    <a:prstGeom prst="rect">
                      <a:avLst/>
                    </a:prstGeom>
                    <a:noFill/>
                  </pic:spPr>
                </pic:pic>
              </a:graphicData>
            </a:graphic>
          </wp:anchor>
        </w:drawing>
      </w: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2007–2013</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 xml:space="preserve">Podmínky jsou nedílnou součástí Stanovení výdajů na financování akce organizační složky státu </w:t>
      </w:r>
      <w:proofErr w:type="gramStart"/>
      <w:r>
        <w:rPr>
          <w:bCs/>
        </w:rPr>
        <w:t>č.j.</w:t>
      </w:r>
      <w:proofErr w:type="gramEnd"/>
      <w:r>
        <w:rPr>
          <w:bCs/>
        </w:rPr>
        <w:t xml:space="preserve"> …………………… ze dne………………..</w:t>
      </w:r>
      <w:r w:rsidRPr="00A642CC">
        <w:rPr>
          <w:bCs/>
        </w:rPr>
        <w:t xml:space="preserve"> </w:t>
      </w:r>
      <w:r>
        <w:rPr>
          <w:bCs/>
        </w:rPr>
        <w:t>(dále jen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jen „OPTP“) pro </w:t>
      </w:r>
      <w:r>
        <w:rPr>
          <w:bCs/>
        </w:rPr>
        <w:t xml:space="preserve">programové </w:t>
      </w:r>
      <w:r w:rsidRPr="00A642CC">
        <w:rPr>
          <w:bCs/>
        </w:rPr>
        <w:t>období 2007–2013</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szCs w:val="24"/>
        </w:rPr>
        <w:t>Centrum pro regionální rozvoj ČR (dále jen „CRR“)</w:t>
      </w:r>
      <w:r>
        <w:rPr>
          <w:bCs/>
          <w:szCs w:val="24"/>
        </w:rPr>
        <w:t xml:space="preserve"> je </w:t>
      </w:r>
      <w:r w:rsidRPr="00A642CC">
        <w:rPr>
          <w:bCs/>
          <w:szCs w:val="24"/>
        </w:rPr>
        <w:t>státní příspěvková organizace</w:t>
      </w:r>
      <w:r>
        <w:rPr>
          <w:bCs/>
          <w:szCs w:val="24"/>
        </w:rPr>
        <w:t xml:space="preserve">, která byla určena </w:t>
      </w:r>
      <w:r w:rsidRPr="00A642CC">
        <w:rPr>
          <w:bCs/>
          <w:szCs w:val="24"/>
        </w:rPr>
        <w:t>zprostředkující</w:t>
      </w:r>
      <w:r>
        <w:rPr>
          <w:bCs/>
          <w:szCs w:val="24"/>
        </w:rPr>
        <w:t>m</w:t>
      </w:r>
      <w:r w:rsidRPr="00A642CC">
        <w:rPr>
          <w:bCs/>
          <w:szCs w:val="24"/>
        </w:rPr>
        <w:t xml:space="preserve"> subjekt</w:t>
      </w:r>
      <w:r>
        <w:rPr>
          <w:bCs/>
          <w:szCs w:val="24"/>
        </w:rPr>
        <w:t>em</w:t>
      </w:r>
      <w:r w:rsidRPr="00A642CC">
        <w:rPr>
          <w:bCs/>
          <w:szCs w:val="24"/>
        </w:rPr>
        <w:t xml:space="preserve"> (</w:t>
      </w:r>
      <w:r>
        <w:rPr>
          <w:bCs/>
          <w:szCs w:val="24"/>
        </w:rPr>
        <w:t xml:space="preserve">dále jen </w:t>
      </w:r>
      <w:r w:rsidRPr="00A642CC">
        <w:rPr>
          <w:bCs/>
          <w:szCs w:val="24"/>
        </w:rPr>
        <w:t>„ZS“)</w:t>
      </w:r>
      <w:r>
        <w:rPr>
          <w:bCs/>
          <w:szCs w:val="24"/>
        </w:rPr>
        <w:t xml:space="preserve"> v souladu s Nařízením Rady (ES) č. 1083/2006 a na základě Rozhodnutí ministra pro místní rozvoj č. 349/2006 ze dne </w:t>
      </w:r>
      <w:r>
        <w:rPr>
          <w:bCs/>
          <w:szCs w:val="24"/>
        </w:rPr>
        <w:br/>
        <w:t>20. 11. 2006 a č. 171/2009 ze dne 1. 10. 2009, které bylo následně nahrazeno Rozhodnutím ministra pro místní rozvoj č. 10/2011 ze dne 21. 1. 2011</w:t>
      </w:r>
      <w:r w:rsidRPr="00A642CC">
        <w:rPr>
          <w:bCs/>
          <w:szCs w:val="24"/>
        </w:rPr>
        <w:t xml:space="preserve">. </w:t>
      </w:r>
      <w:r w:rsidRPr="00A642CC">
        <w:rPr>
          <w:bCs/>
        </w:rPr>
        <w:t xml:space="preserve">Pro potřeby realizace tohoto projektu je kontaktním místem pro </w:t>
      </w:r>
      <w:r>
        <w:rPr>
          <w:bCs/>
        </w:rPr>
        <w:t>příjemce</w:t>
      </w:r>
      <w:r w:rsidRPr="00A642CC">
        <w:rPr>
          <w:bCs/>
        </w:rPr>
        <w:t xml:space="preserve">: </w:t>
      </w:r>
      <w:r>
        <w:rPr>
          <w:bCs/>
        </w:rPr>
        <w:t xml:space="preserve">Centrum pro regionální rozvoj ČR, </w:t>
      </w:r>
      <w:r w:rsidRPr="00CD602E">
        <w:rPr>
          <w:bCs/>
        </w:rPr>
        <w:t>pobočka Praha,</w:t>
      </w:r>
      <w:r>
        <w:rPr>
          <w:bCs/>
        </w:rPr>
        <w:t xml:space="preserve"> náměstí Míru 9, 120 53 Praha 2</w:t>
      </w:r>
      <w:r w:rsidRPr="00A642CC">
        <w:rPr>
          <w:bCs/>
        </w:rPr>
        <w:t>.</w:t>
      </w:r>
    </w:p>
    <w:p w:rsidR="007544E1" w:rsidRDefault="007544E1" w:rsidP="00E706B4"/>
    <w:p w:rsidR="007544E1" w:rsidRDefault="007544E1" w:rsidP="00E706B4"/>
    <w:p w:rsidR="007544E1" w:rsidRPr="00C1619A"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Default="007544E1" w:rsidP="00E706B4"/>
    <w:p w:rsidR="007544E1" w:rsidRPr="00BF07EE" w:rsidRDefault="007544E1" w:rsidP="00E706B4"/>
    <w:p w:rsidR="007544E1" w:rsidRPr="00964654" w:rsidRDefault="007544E1" w:rsidP="00E706B4">
      <w:pPr>
        <w:pStyle w:val="Nadpis3"/>
        <w:widowControl/>
        <w:spacing w:after="120"/>
        <w:rPr>
          <w:i/>
        </w:rPr>
      </w:pPr>
      <w:r w:rsidRPr="00964654">
        <w:rPr>
          <w:i/>
        </w:rPr>
        <w:lastRenderedPageBreak/>
        <w:t>Část II</w:t>
      </w:r>
    </w:p>
    <w:p w:rsidR="007544E1" w:rsidRDefault="007544E1" w:rsidP="00E706B4">
      <w:pPr>
        <w:tabs>
          <w:tab w:val="left" w:pos="708"/>
        </w:tabs>
        <w:spacing w:after="120"/>
        <w:jc w:val="center"/>
        <w:rPr>
          <w:b/>
          <w:i/>
          <w:snapToGrid w:val="0"/>
          <w:sz w:val="24"/>
        </w:rPr>
      </w:pPr>
      <w:r w:rsidRPr="00964654">
        <w:rPr>
          <w:b/>
          <w:i/>
          <w:snapToGrid w:val="0"/>
          <w:sz w:val="24"/>
        </w:rPr>
        <w:t>Finanční rámec</w:t>
      </w:r>
    </w:p>
    <w:p w:rsidR="007544E1" w:rsidRPr="00964654" w:rsidRDefault="007544E1" w:rsidP="00E706B4">
      <w:pPr>
        <w:tabs>
          <w:tab w:val="left" w:pos="708"/>
        </w:tabs>
        <w:spacing w:after="120"/>
        <w:jc w:val="center"/>
        <w:rPr>
          <w:b/>
          <w:snapToGrid w:val="0"/>
          <w:sz w:val="24"/>
        </w:rPr>
      </w:pP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 v %</w:t>
            </w: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 xml:space="preserve">rostředky ze  strukturálního fondu </w:t>
            </w:r>
            <w:r>
              <w:rPr>
                <w:snapToGrid w:val="0"/>
                <w:sz w:val="24"/>
                <w:szCs w:val="24"/>
              </w:rPr>
              <w:t>Evropský fond pro regionální rozvoj</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Pr="00964654"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 xml:space="preserve">Evidenční číslo  </w:t>
      </w:r>
      <w:r w:rsidR="00E25D71">
        <w:rPr>
          <w:b/>
          <w:snapToGrid w:val="0"/>
          <w:sz w:val="24"/>
        </w:rPr>
        <w:t>ED</w:t>
      </w:r>
      <w:r w:rsidR="00333C14">
        <w:rPr>
          <w:b/>
          <w:snapToGrid w:val="0"/>
          <w:sz w:val="24"/>
        </w:rPr>
        <w:t>S</w:t>
      </w:r>
      <w:r w:rsidR="00E25D71">
        <w:rPr>
          <w:b/>
          <w:snapToGrid w:val="0"/>
          <w:sz w:val="24"/>
        </w:rPr>
        <w:t>/SMVS</w:t>
      </w:r>
      <w:r>
        <w:rPr>
          <w:b/>
          <w:snapToGrid w:val="0"/>
          <w:sz w:val="24"/>
        </w:rPr>
        <w:t>:</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Oblast podpory OPTP</w:t>
      </w:r>
      <w:r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7544E1" w:rsidRPr="00376354" w:rsidRDefault="007544E1" w:rsidP="00E706B4">
      <w:pPr>
        <w:numPr>
          <w:ilvl w:val="0"/>
          <w:numId w:val="1"/>
        </w:numPr>
        <w:tabs>
          <w:tab w:val="clear" w:pos="720"/>
          <w:tab w:val="left" w:pos="360"/>
          <w:tab w:val="num" w:pos="644"/>
          <w:tab w:val="num" w:pos="786"/>
        </w:tabs>
        <w:spacing w:after="120"/>
        <w:ind w:left="644"/>
      </w:pPr>
      <w:r>
        <w:rPr>
          <w:b/>
          <w:snapToGrid w:val="0"/>
          <w:sz w:val="24"/>
        </w:rPr>
        <w:t>Doba realizace projektu:</w:t>
      </w:r>
    </w:p>
    <w:p w:rsidR="007544E1" w:rsidRPr="00437645"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7544E1" w:rsidRDefault="007544E1" w:rsidP="00E706B4">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při </w:t>
      </w:r>
      <w:r w:rsidRPr="00964654">
        <w:rPr>
          <w:snapToGrid w:val="0"/>
          <w:sz w:val="24"/>
        </w:rPr>
        <w:t xml:space="preserve">zadávání </w:t>
      </w:r>
      <w:r>
        <w:rPr>
          <w:snapToGrid w:val="0"/>
          <w:sz w:val="24"/>
        </w:rPr>
        <w:t xml:space="preserve">(veřejných) </w:t>
      </w:r>
      <w:r w:rsidRPr="00964654">
        <w:rPr>
          <w:snapToGrid w:val="0"/>
          <w:sz w:val="24"/>
        </w:rPr>
        <w:t>zakázek v</w:t>
      </w:r>
      <w:r>
        <w:rPr>
          <w:snapToGrid w:val="0"/>
          <w:sz w:val="24"/>
        </w:rPr>
        <w:t> </w:t>
      </w:r>
      <w:r w:rsidRPr="00964654">
        <w:rPr>
          <w:snapToGrid w:val="0"/>
          <w:sz w:val="24"/>
        </w:rPr>
        <w:t>soula</w:t>
      </w:r>
      <w:r>
        <w:rPr>
          <w:snapToGrid w:val="0"/>
          <w:sz w:val="24"/>
        </w:rPr>
        <w:t>du se</w:t>
      </w:r>
      <w:r w:rsidRPr="00964654">
        <w:rPr>
          <w:snapToGrid w:val="0"/>
          <w:sz w:val="24"/>
        </w:rPr>
        <w:t> zákonem č. 137/2006 Sb., o veřejných zakázkách</w:t>
      </w:r>
      <w:r>
        <w:rPr>
          <w:snapToGrid w:val="0"/>
          <w:sz w:val="24"/>
        </w:rPr>
        <w:t>, ve znění pozdějších předpisů, (dále jen „ZVZ“), v souladu se Závaznými postupy pro zadávání zakázek spolufinancovaných ze zdrojů Evropské unie, nespadajících pod aplikaci zákona č.</w:t>
      </w:r>
      <w:r w:rsidR="00AB7913">
        <w:rPr>
          <w:snapToGrid w:val="0"/>
          <w:sz w:val="24"/>
        </w:rPr>
        <w:t> </w:t>
      </w:r>
      <w:r>
        <w:rPr>
          <w:snapToGrid w:val="0"/>
          <w:sz w:val="24"/>
        </w:rPr>
        <w:t>137/2006 Sb., o veřejných zakázkách, v programovém období 2007-2013 schválenými usnesením vlády č. 48 ze dne 12. ledna 2009 aktualizovanými ve spolupráci Národního orgánu pro koordinaci a Ministerstva financí (dále jen „Závazné postupy“)</w:t>
      </w:r>
      <w:r>
        <w:rPr>
          <w:rStyle w:val="Znakapoznpodarou"/>
          <w:snapToGrid w:val="0"/>
          <w:sz w:val="24"/>
        </w:rPr>
        <w:footnoteReference w:id="4"/>
      </w:r>
      <w:r>
        <w:rPr>
          <w:snapToGrid w:val="0"/>
          <w:sz w:val="24"/>
        </w:rPr>
        <w:t xml:space="preserve"> a v souladu s Příručkou pro žadatele a příjemce v OPTP.</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ZS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monitorovacích zpráv.</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 xml:space="preserve">měsíců, je příjemce povinen předkládat monitorovací zprávu 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měla být monitorovací zpráva předložena. </w:t>
      </w:r>
      <w:r>
        <w:rPr>
          <w:sz w:val="24"/>
          <w:szCs w:val="24"/>
        </w:rPr>
        <w:t xml:space="preserve">Následující monitorovací zprávy jsou podávány k datu posledního dne každých 6 následujících měsíců. </w:t>
      </w:r>
      <w:r>
        <w:rPr>
          <w:snapToGrid w:val="0"/>
          <w:sz w:val="24"/>
          <w:szCs w:val="24"/>
        </w:rPr>
        <w:t xml:space="preserve"> </w:t>
      </w:r>
      <w:r>
        <w:rPr>
          <w:snapToGrid w:val="0"/>
          <w:sz w:val="24"/>
        </w:rPr>
        <w:t xml:space="preserve"> V případě, že je projekt rozdělen na etapy, předkládá příjemce etapovou monitorovací zprávu, a to vždy do 20 pracovních dnů po ukončení etapy. Závěrečnou monitorovací zprávu předkládá příjemce do 20 pracovních dnů po ukončení realizace projektu. V případě překrytí termínů monitorovací zprávy +/-30 kalendářních dnů s etapovou/závěrečnou monitorovací zprávou předkládá příjemce jen etapovou/závěrečnou monitorovací zprávu. </w:t>
      </w:r>
      <w:r w:rsidRPr="00C60F01">
        <w:rPr>
          <w:snapToGrid w:val="0"/>
          <w:sz w:val="24"/>
        </w:rPr>
        <w:t>V</w:t>
      </w:r>
      <w:r w:rsidR="00AB7913">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Stanovení výdajů</w:t>
      </w:r>
      <w:r w:rsidRPr="00C60F01">
        <w:rPr>
          <w:snapToGrid w:val="0"/>
          <w:sz w:val="24"/>
        </w:rPr>
        <w:t xml:space="preserve">, je příjemce povinen předložit </w:t>
      </w:r>
      <w:r>
        <w:rPr>
          <w:snapToGrid w:val="0"/>
          <w:sz w:val="24"/>
        </w:rPr>
        <w:t>závěrečnou/etapovou monitorovací zprávu</w:t>
      </w:r>
      <w:r w:rsidRPr="00C60F01">
        <w:rPr>
          <w:snapToGrid w:val="0"/>
          <w:sz w:val="24"/>
        </w:rPr>
        <w:t xml:space="preserve"> do 20 pracovních dnů od data doručení </w:t>
      </w:r>
      <w:r>
        <w:rPr>
          <w:snapToGrid w:val="0"/>
          <w:sz w:val="24"/>
        </w:rPr>
        <w:t>Stanovení výdajů</w:t>
      </w:r>
      <w:r w:rsidRPr="00C60F01">
        <w:rPr>
          <w:snapToGrid w:val="0"/>
          <w:sz w:val="24"/>
        </w:rPr>
        <w:t xml:space="preserve"> příjemci</w:t>
      </w:r>
      <w:r>
        <w:rPr>
          <w:snapToGrid w:val="0"/>
          <w:sz w:val="24"/>
        </w:rPr>
        <w:t xml:space="preserve">. Výše uvedené lhůty na předložení monitorovacích zpráv mohou být prodlouženy, pokud o to příjemce prostřednictvím ZS před uplynutím lhůty pro podání požádá a svou žádost dostatečně zdůvodní.     </w:t>
      </w:r>
    </w:p>
    <w:p w:rsidR="007544E1" w:rsidRPr="005F4F75" w:rsidRDefault="007544E1" w:rsidP="00E706B4">
      <w:pPr>
        <w:numPr>
          <w:ilvl w:val="0"/>
          <w:numId w:val="14"/>
        </w:numPr>
        <w:spacing w:before="240" w:after="120"/>
        <w:ind w:right="-2"/>
        <w:jc w:val="both"/>
        <w:rPr>
          <w:b/>
          <w:i/>
          <w:snapToGrid w:val="0"/>
          <w:sz w:val="24"/>
        </w:rPr>
      </w:pPr>
      <w:r w:rsidRPr="005F4F75">
        <w:rPr>
          <w:snapToGrid w:val="0"/>
          <w:sz w:val="24"/>
        </w:rPr>
        <w:t xml:space="preserve">Příjemce je povinen bez zbytečného prodlení, oznámit </w:t>
      </w:r>
      <w:commentRangeStart w:id="1"/>
      <w:r w:rsidR="002C44A4">
        <w:rPr>
          <w:snapToGrid w:val="0"/>
          <w:sz w:val="24"/>
        </w:rPr>
        <w:t>ŘO OPTP</w:t>
      </w:r>
      <w:commentRangeEnd w:id="1"/>
      <w:r w:rsidR="00457B52">
        <w:rPr>
          <w:rStyle w:val="Odkaznakoment"/>
        </w:rPr>
        <w:commentReference w:id="1"/>
      </w:r>
      <w:r w:rsidRPr="005F4F75">
        <w:rPr>
          <w:snapToGrid w:val="0"/>
          <w:sz w:val="24"/>
        </w:rPr>
        <w:t xml:space="preserve"> všechny změny a</w:t>
      </w:r>
      <w:r w:rsidR="00333C14">
        <w:rPr>
          <w:snapToGrid w:val="0"/>
          <w:sz w:val="24"/>
        </w:rPr>
        <w:t> </w:t>
      </w:r>
      <w:r w:rsidRPr="005F4F75">
        <w:rPr>
          <w:snapToGrid w:val="0"/>
          <w:sz w:val="24"/>
        </w:rPr>
        <w:t>skutečnosti, které mají vliv na plnění Stanovení výdajů a Podmínek nebo skutečnosti s tím související. 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333C14">
        <w:rPr>
          <w:snapToGrid w:val="0"/>
          <w:sz w:val="24"/>
        </w:rPr>
        <w:t>etapové monitorovací zprávy</w:t>
      </w:r>
      <w:r w:rsidRPr="005F4F75">
        <w:rPr>
          <w:snapToGrid w:val="0"/>
          <w:sz w:val="24"/>
        </w:rPr>
        <w:t>.</w:t>
      </w:r>
      <w:r>
        <w:rPr>
          <w:snapToGrid w:val="0"/>
          <w:sz w:val="24"/>
        </w:rPr>
        <w:t xml:space="preserve">   </w:t>
      </w:r>
    </w:p>
    <w:p w:rsidR="007544E1" w:rsidRPr="009669DD" w:rsidRDefault="007544E1" w:rsidP="00E706B4">
      <w:pPr>
        <w:pStyle w:val="Zkladntext"/>
        <w:numPr>
          <w:ilvl w:val="0"/>
          <w:numId w:val="14"/>
        </w:numPr>
        <w:tabs>
          <w:tab w:val="left" w:pos="1710"/>
        </w:tabs>
        <w:spacing w:before="240" w:after="120" w:line="60" w:lineRule="atLeast"/>
        <w:jc w:val="both"/>
        <w:rPr>
          <w:b/>
          <w:snapToGrid w:val="0"/>
          <w:u w:val="single"/>
        </w:rPr>
      </w:pPr>
      <w:r>
        <w:rPr>
          <w:szCs w:val="24"/>
        </w:rPr>
        <w:t>Zjednodušenou žádost o platbu je příjemce povinen předložit vždy nejpozději do 20</w:t>
      </w:r>
      <w:r w:rsidR="00AB7913">
        <w:rPr>
          <w:szCs w:val="24"/>
        </w:rPr>
        <w:t> </w:t>
      </w:r>
      <w:r>
        <w:rPr>
          <w:szCs w:val="24"/>
        </w:rPr>
        <w:t xml:space="preserve">pracovních dnů od ukončení etapy/projektu, spolu s monitorovací zprávou podle části III, bodu 3. těchto Podmínek. </w:t>
      </w:r>
      <w:r w:rsidRPr="000208D4">
        <w:rPr>
          <w:szCs w:val="24"/>
        </w:rPr>
        <w:t>V případě, že je realizace projektu</w:t>
      </w:r>
      <w:r>
        <w:rPr>
          <w:szCs w:val="24"/>
        </w:rPr>
        <w:t>/etapy</w:t>
      </w:r>
      <w:r w:rsidRPr="000208D4">
        <w:rPr>
          <w:szCs w:val="24"/>
        </w:rPr>
        <w:t xml:space="preserve"> ukončena před </w:t>
      </w:r>
      <w:r>
        <w:rPr>
          <w:szCs w:val="24"/>
        </w:rPr>
        <w:t>schválením Stanovení výdajů</w:t>
      </w:r>
      <w:r w:rsidRPr="000208D4">
        <w:rPr>
          <w:szCs w:val="24"/>
        </w:rPr>
        <w:t>,</w:t>
      </w:r>
      <w:r>
        <w:rPr>
          <w:szCs w:val="24"/>
        </w:rPr>
        <w:t xml:space="preserve">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 xml:space="preserve">20 </w:t>
      </w:r>
      <w:r w:rsidRPr="000208D4">
        <w:rPr>
          <w:szCs w:val="24"/>
        </w:rPr>
        <w:t xml:space="preserve">pracovních dnů od </w:t>
      </w:r>
      <w:r>
        <w:rPr>
          <w:szCs w:val="24"/>
        </w:rPr>
        <w:t>data doručení Stanovení výdajů příjemci.</w:t>
      </w:r>
      <w:r w:rsidR="00333C14" w:rsidRPr="00333C14">
        <w:rPr>
          <w:b/>
          <w:szCs w:val="24"/>
        </w:rPr>
        <w:t xml:space="preserve"> </w:t>
      </w:r>
      <w:r w:rsidRPr="00C73694">
        <w:rPr>
          <w:snapToGrid w:val="0"/>
        </w:rPr>
        <w:t xml:space="preserve">Lhůta 20 pracovních dnů může být prodloužena, pokud o to příjemce </w:t>
      </w:r>
      <w:r>
        <w:rPr>
          <w:snapToGrid w:val="0"/>
        </w:rPr>
        <w:t xml:space="preserve">s předstihem </w:t>
      </w:r>
      <w:r w:rsidRPr="00C73694">
        <w:rPr>
          <w:snapToGrid w:val="0"/>
        </w:rPr>
        <w:t>požádá</w:t>
      </w:r>
      <w:r>
        <w:rPr>
          <w:snapToGrid w:val="0"/>
        </w:rPr>
        <w:t xml:space="preserve"> </w:t>
      </w:r>
      <w:r w:rsidRPr="00C73694">
        <w:rPr>
          <w:snapToGrid w:val="0"/>
        </w:rPr>
        <w:t>ŘO OPTP</w:t>
      </w:r>
      <w:r>
        <w:rPr>
          <w:snapToGrid w:val="0"/>
        </w:rPr>
        <w:t xml:space="preserve"> a svou žádost dostatečně zdůvodní. </w:t>
      </w:r>
    </w:p>
    <w:p w:rsidR="007544E1" w:rsidRPr="00964654"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zjednodušené žádosti o platbu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Výsledky projektu je příjemce povinen zachovat </w:t>
      </w:r>
      <w:r w:rsidRPr="00964654">
        <w:rPr>
          <w:snapToGrid w:val="0"/>
          <w:sz w:val="24"/>
        </w:rPr>
        <w:t xml:space="preserve">po dobu pěti let ode dne </w:t>
      </w:r>
      <w:r>
        <w:rPr>
          <w:snapToGrid w:val="0"/>
          <w:sz w:val="24"/>
        </w:rPr>
        <w:t>ukončení realizace projektu, pokud je to z hlediska charakteru projektu možné. Po dobu udržitelnosti nesmí příjemce majetek získaný byť i částečně z prostředků projektu bez předchozího písemného souhlasu ŘO OPTP převést, prodat, vypůjčit či pronajmout jinému subjektu a</w:t>
      </w:r>
      <w:r w:rsidR="00AB7913">
        <w:rPr>
          <w:snapToGrid w:val="0"/>
          <w:sz w:val="24"/>
        </w:rPr>
        <w:t> </w:t>
      </w:r>
      <w:r>
        <w:rPr>
          <w:snapToGrid w:val="0"/>
          <w:sz w:val="24"/>
        </w:rPr>
        <w:t>k tomuto majetku nesmí být po tuto dobu zřízeno věcné břemeno ani nesmí být předmětem zástavního práva.</w:t>
      </w:r>
      <w:r w:rsidRPr="00386A78">
        <w:rPr>
          <w:snapToGrid w:val="0"/>
          <w:sz w:val="24"/>
        </w:rPr>
        <w:t xml:space="preserve"> </w:t>
      </w:r>
    </w:p>
    <w:p w:rsidR="007544E1" w:rsidRDefault="007544E1" w:rsidP="00E706B4">
      <w:pPr>
        <w:widowControl w:val="0"/>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ze Stanovení výdajů a těchto Podmínek</w:t>
      </w:r>
      <w:r w:rsidRPr="00964654">
        <w:rPr>
          <w:snapToGrid w:val="0"/>
          <w:sz w:val="24"/>
        </w:rPr>
        <w:t xml:space="preserve"> poskytovat požadované informace a dokumentaci </w:t>
      </w:r>
      <w:r>
        <w:rPr>
          <w:snapToGrid w:val="0"/>
          <w:sz w:val="24"/>
        </w:rPr>
        <w:t xml:space="preserve">pověřeným </w:t>
      </w:r>
      <w:r w:rsidRPr="00964654">
        <w:rPr>
          <w:snapToGrid w:val="0"/>
          <w:sz w:val="24"/>
        </w:rPr>
        <w:t>zaměstnancům nebo zmocněncům pověřených orgánů (CRR</w:t>
      </w:r>
      <w:r>
        <w:rPr>
          <w:snapToGrid w:val="0"/>
          <w:sz w:val="24"/>
        </w:rPr>
        <w:t>,</w:t>
      </w:r>
      <w:r w:rsidRPr="00964654">
        <w:rPr>
          <w:snapToGrid w:val="0"/>
          <w:sz w:val="24"/>
        </w:rPr>
        <w:t xml:space="preserve">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 xml:space="preserve">. Příjemce je též povinen zajistit, aby obdobné povinnosti ve vztahu k projektu plnili také dodavatelé podílející se na realizaci projektu. </w:t>
      </w:r>
    </w:p>
    <w:p w:rsidR="007544E1" w:rsidRPr="00412207" w:rsidRDefault="007544E1" w:rsidP="005F4F75">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90 Nařízení Rady (ES) č. 1083/2006 minimálně do konce roku </w:t>
      </w:r>
      <w:r w:rsidRPr="00C828C5">
        <w:rPr>
          <w:snapToGrid w:val="0"/>
          <w:sz w:val="24"/>
        </w:rPr>
        <w:t>2021,</w:t>
      </w:r>
      <w:r w:rsidRPr="001D4E3F">
        <w:rPr>
          <w:snapToGrid w:val="0"/>
          <w:sz w:val="24"/>
        </w:rPr>
        <w:t xml:space="preserve"> 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Pr>
          <w:snapToGrid w:val="0"/>
          <w:sz w:val="24"/>
        </w:rPr>
        <w:t xml:space="preserve"> </w:t>
      </w:r>
      <w:r>
        <w:rPr>
          <w:snapToGrid w:val="0"/>
          <w:sz w:val="24"/>
        </w:rPr>
        <w:br/>
        <w:t>2007-2013 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28724B">
        <w:rPr>
          <w:snapToGrid w:val="0"/>
          <w:sz w:val="24"/>
        </w:rPr>
        <w:t>peněžní prostředky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ni z</w:t>
      </w:r>
      <w:r w:rsidRPr="0028724B">
        <w:rPr>
          <w:snapToGrid w:val="0"/>
          <w:sz w:val="24"/>
        </w:rPr>
        <w:t xml:space="preserve"> finančních mechanismů</w:t>
      </w:r>
      <w:r>
        <w:rPr>
          <w:snapToGrid w:val="0"/>
          <w:sz w:val="24"/>
        </w:rPr>
        <w:t xml:space="preserve">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prostředků strukturálních fondů na financování projektu v souladu s pravidly pro provádění informačních a propagačních opatření, která jsou součástí Příručky pro žadatele a příjemce v</w:t>
      </w:r>
      <w:r>
        <w:rPr>
          <w:snapToGrid w:val="0"/>
          <w:sz w:val="24"/>
        </w:rPr>
        <w:t> </w:t>
      </w:r>
      <w:r w:rsidRPr="001D4E3F">
        <w:rPr>
          <w:snapToGrid w:val="0"/>
          <w:sz w:val="24"/>
        </w:rPr>
        <w:t>O</w:t>
      </w:r>
      <w:r>
        <w:rPr>
          <w:snapToGrid w:val="0"/>
          <w:sz w:val="24"/>
        </w:rPr>
        <w:t>peračním programu Technická pomoc.</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Pr="002B15BE"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Metodického pokynu k rozvoji lidských zdrojů v programovém období let 2014 až 2020 a v programovém období 2007 až 2013 schváleným usnesením vlády č. 444 ze dne 16. 6. 2014</w:t>
      </w:r>
      <w:r w:rsidR="00884324">
        <w:rPr>
          <w:rFonts w:ascii="Tahoma" w:hAnsi="Tahoma" w:cs="Tahoma"/>
          <w:sz w:val="22"/>
          <w:szCs w:val="22"/>
        </w:rPr>
        <w:t xml:space="preserve"> </w:t>
      </w:r>
      <w:r w:rsidRPr="002B15BE">
        <w:rPr>
          <w:snapToGrid w:val="0"/>
          <w:sz w:val="24"/>
        </w:rPr>
        <w:t xml:space="preserve">(dále </w:t>
      </w:r>
      <w:r>
        <w:rPr>
          <w:snapToGrid w:val="0"/>
          <w:sz w:val="24"/>
        </w:rPr>
        <w:t xml:space="preserve">jen </w:t>
      </w:r>
      <w:r w:rsidRPr="002B15BE">
        <w:rPr>
          <w:snapToGrid w:val="0"/>
          <w:sz w:val="24"/>
        </w:rPr>
        <w:t xml:space="preserve">„Metodika“). </w:t>
      </w:r>
    </w:p>
    <w:p w:rsidR="007544E1" w:rsidRPr="00B7116E" w:rsidRDefault="007544E1" w:rsidP="00B7116E">
      <w:pPr>
        <w:numPr>
          <w:ilvl w:val="0"/>
          <w:numId w:val="14"/>
        </w:numPr>
        <w:spacing w:before="240" w:after="120"/>
        <w:ind w:right="-2"/>
        <w:jc w:val="both"/>
        <w:rPr>
          <w:snapToGrid w:val="0"/>
          <w:sz w:val="24"/>
        </w:rPr>
      </w:pPr>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sidR="00263012">
        <w:rPr>
          <w:snapToGrid w:val="0"/>
          <w:sz w:val="24"/>
        </w:rPr>
        <w:t>u veřejných zakázek</w:t>
      </w:r>
      <w:r w:rsidR="00AA51C1">
        <w:rPr>
          <w:snapToGrid w:val="0"/>
          <w:sz w:val="24"/>
        </w:rPr>
        <w:t>)</w:t>
      </w:r>
      <w:r w:rsidR="00263012">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v souvislosti s výběrovým/zadávacím řízením, u kterého se porušení pravidla vyskytlo. </w:t>
      </w:r>
      <w:r w:rsidR="00AA51C1">
        <w:rPr>
          <w:snapToGrid w:val="0"/>
          <w:sz w:val="24"/>
        </w:rPr>
        <w:t xml:space="preserve">Sazby </w:t>
      </w:r>
      <w:r w:rsidR="00A471E3">
        <w:rPr>
          <w:snapToGrid w:val="0"/>
          <w:sz w:val="24"/>
        </w:rPr>
        <w:t xml:space="preserve">finančních oprav </w:t>
      </w:r>
      <w:r w:rsidRPr="00B7116E">
        <w:rPr>
          <w:snapToGrid w:val="0"/>
          <w:sz w:val="24"/>
        </w:rPr>
        <w:t>a fixně stanovené sankce jsou specifikovány v následujících bodech a) – h):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body 3.; 5., za opožděné odevzdání dokumentů stanovených v uvedených bodech, ne</w:t>
      </w:r>
      <w:r w:rsidRPr="00504FB6">
        <w:rPr>
          <w:snapToGrid w:val="0"/>
          <w:sz w:val="24"/>
        </w:rPr>
        <w:t>bude z</w:t>
      </w:r>
      <w:r>
        <w:rPr>
          <w:snapToGrid w:val="0"/>
          <w:sz w:val="24"/>
        </w:rPr>
        <w:t> požadované částky</w:t>
      </w:r>
      <w:r w:rsidRPr="00504FB6">
        <w:rPr>
          <w:snapToGrid w:val="0"/>
          <w:sz w:val="24"/>
        </w:rPr>
        <w:t xml:space="preserv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za každý den prodlení s odevzdáním dokumentů;</w:t>
      </w:r>
    </w:p>
    <w:p w:rsidR="007544E1" w:rsidRDefault="007544E1" w:rsidP="00E706B4">
      <w:pPr>
        <w:widowControl w:val="0"/>
        <w:numPr>
          <w:ilvl w:val="0"/>
          <w:numId w:val="26"/>
        </w:numPr>
        <w:spacing w:after="120"/>
        <w:ind w:right="-2"/>
        <w:jc w:val="both"/>
        <w:rPr>
          <w:snapToGrid w:val="0"/>
          <w:sz w:val="24"/>
        </w:rPr>
      </w:pPr>
      <w:r>
        <w:rPr>
          <w:snapToGrid w:val="0"/>
          <w:sz w:val="24"/>
        </w:rPr>
        <w:t>nesplní-li povinnost uvedenou v písm. a) ani ve lhůtě 60 kalendářních dnů ode dne stanoveného v části III, body 3.; 5., ne</w:t>
      </w:r>
      <w:r w:rsidRPr="007C2254">
        <w:rPr>
          <w:snapToGrid w:val="0"/>
          <w:sz w:val="24"/>
        </w:rPr>
        <w:t xml:space="preserve">bude 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1.; 6. – 2. a 3. věta; 10., nebude </w:t>
      </w:r>
      <w:r w:rsidRPr="007C2254">
        <w:rPr>
          <w:snapToGrid w:val="0"/>
          <w:sz w:val="24"/>
        </w:rPr>
        <w:t xml:space="preserve">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2., nebude požadovaná částka vyplacena,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ých v následujících 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Default="003E1334" w:rsidP="0039765B">
      <w:pPr>
        <w:pStyle w:val="Zkladntext"/>
        <w:spacing w:after="240"/>
        <w:jc w:val="both"/>
        <w:rPr>
          <w:szCs w:val="24"/>
        </w:rPr>
      </w:pPr>
    </w:p>
    <w:p w:rsidR="000A1981" w:rsidRDefault="000A1981" w:rsidP="0039765B">
      <w:pPr>
        <w:pStyle w:val="Zkladntext"/>
        <w:spacing w:after="240"/>
        <w:jc w:val="both"/>
        <w:rPr>
          <w:szCs w:val="24"/>
        </w:rPr>
      </w:pPr>
    </w:p>
    <w:p w:rsidR="000A1981" w:rsidRPr="00C83126" w:rsidRDefault="000A1981" w:rsidP="0039765B">
      <w:pPr>
        <w:pStyle w:val="Zkladntext"/>
        <w:spacing w:after="240"/>
        <w:jc w:val="both"/>
        <w:rPr>
          <w:szCs w:val="24"/>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7455BB">
              <w:rPr>
                <w:color w:val="222222"/>
              </w:rPr>
              <w:t>50 % lhůty pro doručení 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100 %</w:t>
            </w:r>
          </w:p>
        </w:tc>
      </w:tr>
    </w:tbl>
    <w:p w:rsidR="003E1334" w:rsidRPr="00C83126" w:rsidRDefault="003E1334" w:rsidP="003E1334">
      <w:pPr>
        <w:suppressAutoHyphens/>
        <w:spacing w:after="240"/>
        <w:rPr>
          <w:lang w:eastAsia="ar-SA"/>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řízení 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805A6B">
            <w:pPr>
              <w:pStyle w:val="Mjstyl3"/>
              <w:numPr>
                <w:ilvl w:val="0"/>
                <w:numId w:val="0"/>
              </w:numPr>
              <w:tabs>
                <w:tab w:val="left" w:pos="708"/>
              </w:tabs>
              <w:spacing w:before="0"/>
              <w:ind w:left="357" w:hanging="357"/>
              <w:rPr>
                <w:rFonts w:ascii="Times New Roman" w:hAnsi="Times New Roman" w:cs="Times New Roman"/>
                <w:sz w:val="20"/>
                <w:szCs w:val="20"/>
              </w:rPr>
            </w:pPr>
            <w:bookmarkStart w:id="2" w:name="_Toc323899562"/>
            <w:bookmarkStart w:id="3" w:name="_Toc323819405"/>
            <w:bookmarkStart w:id="4" w:name="_Toc320285902"/>
            <w:bookmarkStart w:id="5" w:name="_Toc320281397"/>
            <w:bookmarkStart w:id="6" w:name="_Toc320280108"/>
            <w:bookmarkStart w:id="7"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20% ceny u zakázek v režimu zákona.</w:t>
            </w:r>
            <w:bookmarkEnd w:id="2"/>
            <w:bookmarkEnd w:id="3"/>
            <w:bookmarkEnd w:id="4"/>
            <w:bookmarkEnd w:id="5"/>
            <w:bookmarkEnd w:id="6"/>
            <w:bookmarkEnd w:id="7"/>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Pr>
                <w:color w:val="222222"/>
              </w:rPr>
              <w:t>20%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9F6953">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20%</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F75852">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20% ceny původní zakázky u</w:t>
            </w:r>
            <w:r w:rsidR="00F75852">
              <w:rPr>
                <w:color w:val="222222"/>
              </w:rPr>
              <w:t> </w:t>
            </w:r>
            <w:r>
              <w:rPr>
                <w:color w:val="222222"/>
              </w:rPr>
              <w:t>zakázek v režimu zákona.</w:t>
            </w:r>
            <w:r w:rsidRPr="00C83126">
              <w:rPr>
                <w:lang w:eastAsia="ar-SA"/>
              </w:rPr>
              <w:t xml:space="preserve"> </w:t>
            </w:r>
          </w:p>
        </w:tc>
      </w:tr>
    </w:tbl>
    <w:p w:rsidR="003E1334" w:rsidRDefault="003E1334" w:rsidP="003E1334">
      <w:pPr>
        <w:pStyle w:val="Zkladntext"/>
        <w:spacing w:after="240"/>
        <w:ind w:left="720"/>
        <w:rPr>
          <w:sz w:val="20"/>
        </w:rPr>
      </w:pPr>
    </w:p>
    <w:p w:rsidR="00656FEE" w:rsidRPr="00C83126" w:rsidRDefault="00656FEE" w:rsidP="003E1334">
      <w:pPr>
        <w:pStyle w:val="Zkladntext"/>
        <w:spacing w:after="240"/>
        <w:ind w:left="720"/>
        <w:rPr>
          <w:sz w:val="20"/>
        </w:rPr>
      </w:pPr>
    </w:p>
    <w:p w:rsidR="003E1334" w:rsidRPr="00C83126" w:rsidRDefault="003E1334" w:rsidP="003E1334">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7.; 8.; 9., bude požadovaná částka ponížena o 10 %.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11., bude požadovaná částka ponížena o 5 %;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6.</w:t>
      </w:r>
      <w:r w:rsidR="000155D1">
        <w:rPr>
          <w:snapToGrid w:val="0"/>
          <w:sz w:val="24"/>
        </w:rPr>
        <w:t xml:space="preserve"> </w:t>
      </w:r>
      <w:r>
        <w:rPr>
          <w:snapToGrid w:val="0"/>
          <w:sz w:val="24"/>
        </w:rPr>
        <w:t xml:space="preserve">- 1. věta,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7C2254" w:rsidRDefault="007544E1" w:rsidP="00E706B4">
      <w:pPr>
        <w:widowControl w:val="0"/>
        <w:numPr>
          <w:ilvl w:val="1"/>
          <w:numId w:val="26"/>
        </w:numPr>
        <w:spacing w:after="120"/>
        <w:ind w:right="-2"/>
        <w:jc w:val="both"/>
        <w:rPr>
          <w:snapToGrid w:val="0"/>
          <w:sz w:val="24"/>
        </w:rPr>
      </w:pPr>
      <w:r w:rsidRPr="007C2254">
        <w:rPr>
          <w:snapToGrid w:val="0"/>
          <w:sz w:val="24"/>
        </w:rPr>
        <w:t>při přeplnění plánované hodnoty indikátorů</w:t>
      </w:r>
      <w:r w:rsidR="00D627AD">
        <w:rPr>
          <w:snapToGrid w:val="0"/>
          <w:sz w:val="24"/>
        </w:rPr>
        <w:t>, tj.</w:t>
      </w:r>
      <w:r w:rsidRPr="007C2254">
        <w:rPr>
          <w:snapToGrid w:val="0"/>
          <w:sz w:val="24"/>
        </w:rPr>
        <w:t xml:space="preserve"> nad 10</w:t>
      </w:r>
      <w:r w:rsidR="006F20B3">
        <w:rPr>
          <w:snapToGrid w:val="0"/>
          <w:sz w:val="24"/>
        </w:rPr>
        <w:t>0</w:t>
      </w:r>
      <w:r>
        <w:rPr>
          <w:snapToGrid w:val="0"/>
          <w:sz w:val="24"/>
        </w:rPr>
        <w:t xml:space="preserve"> </w:t>
      </w:r>
      <w:r w:rsidRPr="007C2254">
        <w:rPr>
          <w:snapToGrid w:val="0"/>
          <w:sz w:val="24"/>
        </w:rPr>
        <w:t xml:space="preserve">% bude požadovaná částka </w:t>
      </w:r>
      <w:r>
        <w:rPr>
          <w:snapToGrid w:val="0"/>
          <w:sz w:val="24"/>
        </w:rPr>
        <w:t>vyplacena</w:t>
      </w:r>
      <w:r w:rsidRPr="007C2254">
        <w:rPr>
          <w:snapToGrid w:val="0"/>
          <w:sz w:val="24"/>
        </w:rPr>
        <w:t xml:space="preserve"> </w:t>
      </w:r>
      <w:r w:rsidR="006F20B3">
        <w:rPr>
          <w:snapToGrid w:val="0"/>
          <w:sz w:val="24"/>
        </w:rPr>
        <w:t>v plné výši</w:t>
      </w:r>
      <w:r w:rsidRPr="007C2254">
        <w:rPr>
          <w:snapToGrid w:val="0"/>
          <w:sz w:val="24"/>
        </w:rPr>
        <w:t xml:space="preserve">;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7544E1" w:rsidRDefault="007544E1">
      <w:pPr>
        <w:widowControl w:val="0"/>
        <w:numPr>
          <w:ilvl w:val="0"/>
          <w:numId w:val="26"/>
        </w:numPr>
        <w:spacing w:after="120"/>
        <w:ind w:right="-2"/>
        <w:jc w:val="both"/>
        <w:rPr>
          <w:snapToGrid w:val="0"/>
          <w:sz w:val="24"/>
        </w:rPr>
      </w:pPr>
      <w:r w:rsidRPr="00A1237C">
        <w:rPr>
          <w:snapToGrid w:val="0"/>
          <w:sz w:val="24"/>
        </w:rPr>
        <w:t xml:space="preserve">v části III, na které je poskytnutí </w:t>
      </w:r>
      <w:r>
        <w:rPr>
          <w:snapToGrid w:val="0"/>
          <w:sz w:val="24"/>
        </w:rPr>
        <w:t>požadované částky</w:t>
      </w:r>
      <w:r w:rsidRPr="00A1237C">
        <w:rPr>
          <w:snapToGrid w:val="0"/>
          <w:sz w:val="24"/>
        </w:rPr>
        <w:t xml:space="preserve"> vázáno pod bodem 13</w:t>
      </w:r>
      <w:r>
        <w:rPr>
          <w:snapToGrid w:val="0"/>
          <w:sz w:val="24"/>
        </w:rPr>
        <w:t>.</w:t>
      </w:r>
      <w:r w:rsidRPr="00A1237C">
        <w:rPr>
          <w:snapToGrid w:val="0"/>
          <w:sz w:val="24"/>
        </w:rPr>
        <w:t xml:space="preserve">, bude v případech porušení uvedených v části VII. </w:t>
      </w:r>
      <w:r w:rsidRPr="007B1CD8">
        <w:rPr>
          <w:snapToGrid w:val="0"/>
          <w:sz w:val="24"/>
        </w:rPr>
        <w:t xml:space="preserve">Metodiky </w:t>
      </w:r>
      <w:r>
        <w:rPr>
          <w:snapToGrid w:val="0"/>
          <w:sz w:val="24"/>
        </w:rPr>
        <w:t>odňata část</w:t>
      </w:r>
      <w:r w:rsidRPr="000A59D3">
        <w:rPr>
          <w:snapToGrid w:val="0"/>
          <w:sz w:val="24"/>
        </w:rPr>
        <w:t xml:space="preserve"> požadované částky odpo</w:t>
      </w:r>
      <w:r w:rsidRPr="00A1237C">
        <w:rPr>
          <w:snapToGrid w:val="0"/>
          <w:sz w:val="24"/>
        </w:rPr>
        <w:t>vídající výši výdajů vynaložených na daného zaměstnance v souvislosti s jeho finančním ohodnocením.</w:t>
      </w:r>
      <w:r>
        <w:rPr>
          <w:snapToGrid w:val="0"/>
          <w:sz w:val="24"/>
        </w:rPr>
        <w:t xml:space="preserve"> </w:t>
      </w:r>
    </w:p>
    <w:p w:rsidR="007544E1" w:rsidRDefault="007544E1" w:rsidP="00D94F22">
      <w:pPr>
        <w:numPr>
          <w:ilvl w:val="0"/>
          <w:numId w:val="14"/>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E706B4">
      <w:pPr>
        <w:numPr>
          <w:ilvl w:val="0"/>
          <w:numId w:val="14"/>
        </w:numPr>
        <w:spacing w:before="240" w:after="120"/>
        <w:ind w:right="-2"/>
        <w:jc w:val="both"/>
        <w:rPr>
          <w:snapToGrid w:val="0"/>
          <w:sz w:val="24"/>
        </w:rPr>
      </w:pPr>
      <w:r>
        <w:rPr>
          <w:snapToGrid w:val="0"/>
          <w:sz w:val="24"/>
        </w:rPr>
        <w:t>Pokud bude v souvislosti s použitím prostředků z rozpočtu Evropské unie (dále jen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jen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Pr>
          <w:b/>
          <w:snapToGrid w:val="0"/>
          <w:sz w:val="24"/>
        </w:rPr>
        <w:t xml:space="preserve"> </w:t>
      </w:r>
      <w:r w:rsidRPr="000E3F67">
        <w:rPr>
          <w:snapToGrid w:val="0"/>
          <w:sz w:val="24"/>
        </w:rPr>
        <w:t>OPTP</w:t>
      </w:r>
      <w:r>
        <w:rPr>
          <w:b/>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1D4E3F" w:rsidRDefault="007544E1" w:rsidP="00E706B4">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ami jsou</w:t>
      </w:r>
      <w:r w:rsidRPr="00964654">
        <w:rPr>
          <w:i/>
          <w:snapToGrid w:val="0"/>
          <w:sz w:val="24"/>
        </w:rPr>
        <w:t xml:space="preserve"> </w:t>
      </w:r>
      <w:r w:rsidRPr="00964654">
        <w:rPr>
          <w:snapToGrid w:val="0"/>
          <w:sz w:val="24"/>
          <w:szCs w:val="24"/>
        </w:rPr>
        <w:t>vyhotoven</w:t>
      </w:r>
      <w:r>
        <w:rPr>
          <w:snapToGrid w:val="0"/>
          <w:sz w:val="24"/>
          <w:szCs w:val="24"/>
        </w:rPr>
        <w:t>y</w:t>
      </w:r>
      <w:r w:rsidRPr="00964654">
        <w:rPr>
          <w:snapToGrid w:val="0"/>
          <w:sz w:val="24"/>
          <w:szCs w:val="24"/>
        </w:rPr>
        <w:t xml:space="preserve"> v</w:t>
      </w:r>
      <w:r>
        <w:rPr>
          <w:snapToGrid w:val="0"/>
          <w:sz w:val="24"/>
          <w:szCs w:val="24"/>
        </w:rPr>
        <w:t xml:space="preserve"> </w:t>
      </w:r>
      <w:r w:rsidR="00C3062B">
        <w:rPr>
          <w:snapToGrid w:val="0"/>
          <w:sz w:val="24"/>
          <w:szCs w:val="24"/>
        </w:rPr>
        <w:t xml:space="preserve">čtyřech </w:t>
      </w:r>
      <w:r w:rsidRPr="00964654">
        <w:rPr>
          <w:snapToGrid w:val="0"/>
          <w:sz w:val="24"/>
          <w:szCs w:val="24"/>
        </w:rPr>
        <w:t xml:space="preserve">stejnopisech, z nichž každý má platnost originálu. Jeden stejnopis obdrží </w:t>
      </w:r>
      <w:r>
        <w:rPr>
          <w:snapToGrid w:val="0"/>
          <w:sz w:val="24"/>
          <w:szCs w:val="24"/>
        </w:rPr>
        <w:t>příjemce</w:t>
      </w:r>
      <w:r w:rsidRPr="00964654">
        <w:rPr>
          <w:snapToGrid w:val="0"/>
          <w:sz w:val="24"/>
          <w:szCs w:val="24"/>
        </w:rPr>
        <w:t xml:space="preserve">, </w:t>
      </w:r>
      <w:r w:rsidR="00C3062B">
        <w:rPr>
          <w:snapToGrid w:val="0"/>
          <w:sz w:val="24"/>
          <w:szCs w:val="24"/>
        </w:rPr>
        <w:t>dva</w:t>
      </w:r>
      <w:r w:rsidR="00C3062B" w:rsidRPr="00964654">
        <w:rPr>
          <w:snapToGrid w:val="0"/>
          <w:sz w:val="24"/>
          <w:szCs w:val="24"/>
        </w:rPr>
        <w:t xml:space="preserve"> </w:t>
      </w:r>
      <w:r w:rsidRPr="00964654">
        <w:rPr>
          <w:snapToGrid w:val="0"/>
          <w:sz w:val="24"/>
          <w:szCs w:val="24"/>
        </w:rPr>
        <w:t xml:space="preserve">stejnopisy obdrží </w:t>
      </w:r>
      <w:r>
        <w:rPr>
          <w:snapToGrid w:val="0"/>
          <w:sz w:val="24"/>
          <w:szCs w:val="24"/>
        </w:rPr>
        <w:t>ŘO OPTP</w:t>
      </w:r>
      <w:r w:rsidRPr="00964654">
        <w:rPr>
          <w:snapToGrid w:val="0"/>
          <w:sz w:val="24"/>
          <w:szCs w:val="24"/>
        </w:rPr>
        <w:t xml:space="preserve">, </w:t>
      </w:r>
      <w:r w:rsidRPr="001D4E3F">
        <w:rPr>
          <w:snapToGrid w:val="0"/>
          <w:sz w:val="24"/>
          <w:szCs w:val="24"/>
        </w:rPr>
        <w:t xml:space="preserve">jeden stejnopis obdrží ZS.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vyhláška Ministerstva 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544E1" w:rsidRPr="004203DC" w:rsidRDefault="007544E1" w:rsidP="00621E50">
      <w:pPr>
        <w:numPr>
          <w:ilvl w:val="0"/>
          <w:numId w:val="7"/>
        </w:numPr>
        <w:spacing w:after="120"/>
        <w:ind w:right="-2"/>
        <w:jc w:val="both"/>
        <w:rPr>
          <w:snapToGrid w:val="0"/>
          <w:sz w:val="24"/>
        </w:rPr>
      </w:pPr>
      <w:r>
        <w:rPr>
          <w:snapToGrid w:val="0"/>
          <w:sz w:val="24"/>
        </w:rPr>
        <w:t>Příjemce postupuje v souladu s Programovým dokumentem OPTP a řídí se verzí Příručky 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C846B2">
      <w:pPr>
        <w:tabs>
          <w:tab w:val="left" w:pos="708"/>
        </w:tabs>
        <w:spacing w:after="120"/>
        <w:rPr>
          <w:snapToGrid w:val="0"/>
          <w:sz w:val="24"/>
        </w:rPr>
      </w:pPr>
    </w:p>
    <w:p w:rsidR="007544E1" w:rsidRDefault="007544E1" w:rsidP="00897407">
      <w:pPr>
        <w:spacing w:after="120"/>
        <w:ind w:right="-2"/>
        <w:jc w:val="both"/>
        <w:rPr>
          <w:snapToGrid w:val="0"/>
          <w:sz w:val="24"/>
        </w:rPr>
      </w:pPr>
      <w:r>
        <w:rPr>
          <w:snapToGrid w:val="0"/>
          <w:sz w:val="24"/>
        </w:rPr>
        <w:t>V…………………</w:t>
      </w:r>
      <w:proofErr w:type="gramStart"/>
      <w:r>
        <w:rPr>
          <w:snapToGrid w:val="0"/>
          <w:sz w:val="24"/>
        </w:rPr>
        <w:t>…..dne</w:t>
      </w:r>
      <w:proofErr w:type="gramEnd"/>
      <w:r>
        <w:rPr>
          <w:snapToGrid w:val="0"/>
          <w:sz w:val="24"/>
        </w:rPr>
        <w:t>………….20…</w:t>
      </w: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ŘO OPTP: jméno, příjmení, titul, funkce</w:t>
      </w:r>
    </w:p>
    <w:p w:rsidR="007544E1" w:rsidRDefault="007544E1" w:rsidP="00897407">
      <w:pPr>
        <w:spacing w:after="120"/>
        <w:ind w:right="-2"/>
        <w:jc w:val="both"/>
        <w:rPr>
          <w:snapToGrid w:val="0"/>
          <w:sz w:val="24"/>
        </w:rPr>
      </w:pPr>
      <w:r>
        <w:rPr>
          <w:snapToGrid w:val="0"/>
          <w:sz w:val="24"/>
        </w:rPr>
        <w:t>Převzal za příjemce:</w:t>
      </w:r>
    </w:p>
    <w:p w:rsidR="007544E1" w:rsidRDefault="007544E1" w:rsidP="00897407">
      <w:pPr>
        <w:spacing w:after="120"/>
        <w:ind w:right="-2"/>
        <w:jc w:val="both"/>
        <w:rPr>
          <w:snapToGrid w:val="0"/>
          <w:sz w:val="24"/>
        </w:rPr>
      </w:pPr>
      <w:r>
        <w:rPr>
          <w:snapToGrid w:val="0"/>
          <w:sz w:val="24"/>
        </w:rPr>
        <w:t>V………………</w:t>
      </w:r>
      <w:proofErr w:type="gramStart"/>
      <w:r>
        <w:rPr>
          <w:snapToGrid w:val="0"/>
          <w:sz w:val="24"/>
        </w:rPr>
        <w:t>….dne</w:t>
      </w:r>
      <w:proofErr w:type="gramEnd"/>
      <w:r>
        <w:rPr>
          <w:snapToGrid w:val="0"/>
          <w:sz w:val="24"/>
        </w:rPr>
        <w:t>…………..20..</w:t>
      </w: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w:t>
      </w:r>
      <w:r>
        <w:rPr>
          <w:snapToGrid w:val="0"/>
          <w:sz w:val="24"/>
        </w:rPr>
        <w:tab/>
        <w:t xml:space="preserve">     ………………………....……………...</w:t>
      </w:r>
    </w:p>
    <w:p w:rsidR="007544E1" w:rsidRPr="0028724B" w:rsidRDefault="007544E1" w:rsidP="00187F95">
      <w:pPr>
        <w:widowControl w:val="0"/>
        <w:tabs>
          <w:tab w:val="left" w:pos="708"/>
        </w:tabs>
        <w:spacing w:after="120"/>
        <w:jc w:val="both"/>
        <w:rPr>
          <w:rFonts w:ascii="Arial" w:hAnsi="Arial" w:cs="Arial"/>
          <w:b/>
          <w:smallCaps/>
          <w:sz w:val="24"/>
          <w:szCs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Jméno, příjmení, titul, funkce</w:t>
      </w:r>
      <w:r w:rsidRPr="001D4E3F">
        <w:t xml:space="preserve"> </w:t>
      </w:r>
    </w:p>
    <w:sectPr w:rsidR="007544E1" w:rsidRPr="0028724B" w:rsidSect="00AC2359">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omana Karešová" w:date="2014-06-06T14:30:00Z" w:initials="R.K.">
    <w:p w:rsidR="00457B52" w:rsidRDefault="00457B52">
      <w:pPr>
        <w:pStyle w:val="Textkomente"/>
      </w:pPr>
      <w:r>
        <w:rPr>
          <w:rStyle w:val="Odkaznakoment"/>
        </w:rPr>
        <w:annotationRef/>
      </w:r>
    </w:p>
    <w:p w:rsidR="00457B52" w:rsidRDefault="00457B52">
      <w:pPr>
        <w:pStyle w:val="Textkomente"/>
      </w:pPr>
      <w:r>
        <w:t>V případě, že příjemcem je ŘO OPTP, informace se předkládají  FÚ1.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13" w:rsidRDefault="00AB7913">
      <w:r>
        <w:separator/>
      </w:r>
    </w:p>
  </w:endnote>
  <w:endnote w:type="continuationSeparator" w:id="0">
    <w:p w:rsidR="00AB7913" w:rsidRDefault="00A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ab/>
    </w:r>
    <w:r>
      <w:rPr>
        <w:snapToGrid w:val="0"/>
      </w:rPr>
      <w:tab/>
    </w:r>
  </w:p>
  <w:p w:rsidR="00AB7913" w:rsidRDefault="00AB7913">
    <w:pPr>
      <w:pStyle w:val="Zpat"/>
      <w:tabs>
        <w:tab w:val="clear" w:pos="9072"/>
        <w:tab w:val="left" w:pos="300"/>
        <w:tab w:val="right" w:pos="9070"/>
      </w:tabs>
      <w:jc w:val="right"/>
    </w:pPr>
    <w:r>
      <w:rPr>
        <w:noProof/>
      </w:rPr>
      <w:drawing>
        <wp:anchor distT="0" distB="0" distL="114300" distR="114300" simplePos="0" relativeHeight="251660288" behindDoc="0" locked="0" layoutInCell="1" allowOverlap="1" wp14:anchorId="7F8011BE" wp14:editId="6F35B296">
          <wp:simplePos x="0" y="0"/>
          <wp:positionH relativeFrom="column">
            <wp:posOffset>113030</wp:posOffset>
          </wp:positionH>
          <wp:positionV relativeFrom="paragraph">
            <wp:posOffset>-425450</wp:posOffset>
          </wp:positionV>
          <wp:extent cx="5753100" cy="514350"/>
          <wp:effectExtent l="19050" t="0" r="0" b="0"/>
          <wp:wrapSquare wrapText="bothSides"/>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srcRect/>
                  <a:stretch>
                    <a:fillRect/>
                  </a:stretch>
                </pic:blipFill>
                <pic:spPr bwMode="auto">
                  <a:xfrm>
                    <a:off x="0" y="0"/>
                    <a:ext cx="5753100" cy="514350"/>
                  </a:xfrm>
                  <a:prstGeom prst="rect">
                    <a:avLst/>
                  </a:prstGeom>
                  <a:noFill/>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Registrační číslo projektu:………………………</w:t>
    </w:r>
    <w:proofErr w:type="gramStart"/>
    <w:r>
      <w:rPr>
        <w:snapToGrid w:val="0"/>
      </w:rPr>
      <w:t>…..</w:t>
    </w:r>
    <w:r>
      <w:rPr>
        <w:snapToGrid w:val="0"/>
      </w:rPr>
      <w:tab/>
    </w:r>
    <w:r>
      <w:rPr>
        <w:snapToGrid w:val="0"/>
      </w:rPr>
      <w:tab/>
    </w:r>
    <w:r w:rsidRPr="00FE72D5">
      <w:rPr>
        <w:snapToGrid w:val="0"/>
        <w:sz w:val="22"/>
        <w:szCs w:val="22"/>
      </w:rPr>
      <w:t>Strana</w:t>
    </w:r>
    <w:proofErr w:type="gramEnd"/>
    <w:r w:rsidRPr="00FE72D5">
      <w:rPr>
        <w:snapToGrid w:val="0"/>
        <w:sz w:val="22"/>
        <w:szCs w:val="22"/>
      </w:rPr>
      <w:t xml:space="preserve">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966163">
      <w:rPr>
        <w:noProof/>
        <w:snapToGrid w:val="0"/>
        <w:sz w:val="22"/>
        <w:szCs w:val="22"/>
      </w:rPr>
      <w:t>3</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966163">
      <w:rPr>
        <w:noProof/>
        <w:snapToGrid w:val="0"/>
        <w:sz w:val="22"/>
        <w:szCs w:val="22"/>
      </w:rPr>
      <w:t>11</w:t>
    </w:r>
    <w:r w:rsidRPr="00FE72D5">
      <w:rPr>
        <w:snapToGrid w:val="0"/>
        <w:sz w:val="22"/>
        <w:szCs w:val="22"/>
      </w:rPr>
      <w:fldChar w:fldCharType="end"/>
    </w:r>
  </w:p>
  <w:p w:rsidR="00AB7913" w:rsidRDefault="00AB7913">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13" w:rsidRDefault="00AB7913">
      <w:r>
        <w:separator/>
      </w:r>
    </w:p>
  </w:footnote>
  <w:footnote w:type="continuationSeparator" w:id="0">
    <w:p w:rsidR="00AB7913" w:rsidRDefault="00AB7913">
      <w:r>
        <w:continuationSeparator/>
      </w:r>
    </w:p>
  </w:footnote>
  <w:footnote w:id="1">
    <w:p w:rsidR="00AB7913" w:rsidRDefault="00AB7913" w:rsidP="00E706B4">
      <w:pPr>
        <w:pStyle w:val="Textpoznpodarou"/>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AB7913" w:rsidRDefault="00AB7913" w:rsidP="00E706B4">
      <w:pPr>
        <w:pStyle w:val="Textpoznpodarou"/>
        <w:jc w:val="both"/>
      </w:pPr>
      <w:r>
        <w:rPr>
          <w:rStyle w:val="Znakapoznpodarou"/>
        </w:rPr>
        <w:footnoteRef/>
      </w:r>
      <w:r>
        <w:t xml:space="preserve"> Podle ustanovení § 44 odst. 2 písm. </w:t>
      </w:r>
      <w:r w:rsidR="00810951">
        <w:t>e</w:t>
      </w:r>
      <w:r w:rsidRPr="009832CB">
        <w:t>)</w:t>
      </w:r>
      <w:r>
        <w:t xml:space="preserve"> zákona č. 218/2000 Sb., o rozpočtových pravidlech a o změně některých zákonů (rozpočtová pravidla), ve znění pozdějších předpisů;</w:t>
      </w:r>
    </w:p>
  </w:footnote>
  <w:footnote w:id="3">
    <w:p w:rsidR="00AB7913" w:rsidRDefault="00AB7913" w:rsidP="00E706B4">
      <w:pPr>
        <w:pStyle w:val="Textpoznpodarou"/>
        <w:jc w:val="both"/>
      </w:pPr>
      <w:r>
        <w:rPr>
          <w:rStyle w:val="Znakapoznpodarou"/>
        </w:rPr>
        <w:footnoteRef/>
      </w:r>
      <w:r>
        <w:t xml:space="preserve"> Podle ustanovení § 44 odst. 2 písm.</w:t>
      </w:r>
      <w:r w:rsidR="00987C0B">
        <w:t xml:space="preserve"> </w:t>
      </w:r>
      <w:r w:rsidR="00810951">
        <w:t>i</w:t>
      </w:r>
      <w:r>
        <w:t>) zákona č. 218/2000 Sb., o rozpočtových pravidlech a o změně některých zákonů (rozpočtová pravidla), ve znění pozdějších předpisů.</w:t>
      </w:r>
    </w:p>
  </w:footnote>
  <w:footnote w:id="4">
    <w:p w:rsidR="00AB7913" w:rsidRDefault="00AB7913" w:rsidP="00142401">
      <w:pPr>
        <w:pStyle w:val="Textpoznpodarou"/>
        <w:jc w:val="both"/>
      </w:pPr>
      <w:r>
        <w:rPr>
          <w:rStyle w:val="Znakapoznpodarou"/>
        </w:rPr>
        <w:footnoteRef/>
      </w:r>
      <w:r>
        <w:t xml:space="preserve"> </w:t>
      </w:r>
      <w:r w:rsidRPr="00491989">
        <w:t xml:space="preserve">Účinnost aktualizovaných Závazných postupů je stanovena od </w:t>
      </w:r>
      <w:r>
        <w:t>1</w:t>
      </w:r>
      <w:r w:rsidRPr="00491989">
        <w:t xml:space="preserve">. </w:t>
      </w:r>
      <w:r>
        <w:t>6.</w:t>
      </w:r>
      <w:r w:rsidR="00F260B7">
        <w:t xml:space="preserve"> </w:t>
      </w:r>
      <w:r>
        <w:t xml:space="preserve">2014 </w:t>
      </w:r>
      <w:r w:rsidRPr="00491989">
        <w:t>a je vztažena k</w:t>
      </w:r>
      <w:r>
        <w:t xml:space="preserve"> řídícím dokumentům a právním aktům o poskytnutí podpory, které byly vydány </w:t>
      </w:r>
      <w:r w:rsidRPr="00491989">
        <w:t>po tomto datu</w:t>
      </w:r>
      <w:r>
        <w:t>.</w:t>
      </w:r>
    </w:p>
    <w:p w:rsidR="00AB7913" w:rsidRDefault="00AB7913" w:rsidP="00142401">
      <w:pPr>
        <w:pStyle w:val="Textpoznpodarou"/>
        <w:jc w:val="both"/>
      </w:pPr>
    </w:p>
  </w:footnote>
  <w:footnote w:id="5">
    <w:p w:rsidR="00AB7913" w:rsidRDefault="00AB7913" w:rsidP="005F4F75">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čl. 60 odst. d) </w:t>
      </w:r>
      <w:r w:rsidRPr="002078BE">
        <w:rPr>
          <w:snapToGrid w:val="0"/>
        </w:rPr>
        <w:t>Nařízení Rady (ES) č. 1083/2006</w:t>
      </w:r>
      <w:r>
        <w:t xml:space="preserve">. </w:t>
      </w:r>
    </w:p>
    <w:p w:rsidR="00AB7913" w:rsidRDefault="00AB7913" w:rsidP="005F4F75">
      <w:pPr>
        <w:pStyle w:val="Textkomen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AB7913"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AB7913"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6">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7">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8">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0">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8"/>
  </w:num>
  <w:num w:numId="3">
    <w:abstractNumId w:val="11"/>
  </w:num>
  <w:num w:numId="4">
    <w:abstractNumId w:val="30"/>
  </w:num>
  <w:num w:numId="5">
    <w:abstractNumId w:val="22"/>
  </w:num>
  <w:num w:numId="6">
    <w:abstractNumId w:val="13"/>
  </w:num>
  <w:num w:numId="7">
    <w:abstractNumId w:val="31"/>
  </w:num>
  <w:num w:numId="8">
    <w:abstractNumId w:val="10"/>
  </w:num>
  <w:num w:numId="9">
    <w:abstractNumId w:val="5"/>
  </w:num>
  <w:num w:numId="10">
    <w:abstractNumId w:val="20"/>
  </w:num>
  <w:num w:numId="11">
    <w:abstractNumId w:val="2"/>
  </w:num>
  <w:num w:numId="12">
    <w:abstractNumId w:val="19"/>
  </w:num>
  <w:num w:numId="13">
    <w:abstractNumId w:val="32"/>
  </w:num>
  <w:num w:numId="14">
    <w:abstractNumId w:val="7"/>
  </w:num>
  <w:num w:numId="15">
    <w:abstractNumId w:val="1"/>
  </w:num>
  <w:num w:numId="16">
    <w:abstractNumId w:val="4"/>
  </w:num>
  <w:num w:numId="17">
    <w:abstractNumId w:val="33"/>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7"/>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5"/>
  </w:num>
  <w:num w:numId="33">
    <w:abstractNumId w:val="0"/>
    <w:lvlOverride w:ilvl="0">
      <w:startOverride w:val="1"/>
    </w:lvlOverride>
  </w:num>
  <w:num w:numId="34">
    <w:abstractNumId w:val="15"/>
  </w:num>
  <w:num w:numId="35">
    <w:abstractNumId w:val="26"/>
  </w:num>
  <w:num w:numId="36">
    <w:abstractNumId w:val="18"/>
  </w:num>
  <w:num w:numId="37">
    <w:abstractNumId w:val="24"/>
  </w:num>
  <w:num w:numId="38">
    <w:abstractNumId w:val="29"/>
  </w:num>
  <w:num w:numId="39">
    <w:abstractNumId w:val="12"/>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4359"/>
    <w:rsid w:val="00024B06"/>
    <w:rsid w:val="00027973"/>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1ADD"/>
    <w:rsid w:val="000C34D4"/>
    <w:rsid w:val="000C4079"/>
    <w:rsid w:val="000C56EE"/>
    <w:rsid w:val="000C68A5"/>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301A"/>
    <w:rsid w:val="00106100"/>
    <w:rsid w:val="0010707A"/>
    <w:rsid w:val="0010789E"/>
    <w:rsid w:val="00107B08"/>
    <w:rsid w:val="0011106F"/>
    <w:rsid w:val="001112BA"/>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3E9B"/>
    <w:rsid w:val="001A4A4E"/>
    <w:rsid w:val="001B040F"/>
    <w:rsid w:val="001B0621"/>
    <w:rsid w:val="001B0C11"/>
    <w:rsid w:val="001B20BA"/>
    <w:rsid w:val="001B338B"/>
    <w:rsid w:val="001B3C7A"/>
    <w:rsid w:val="001B443D"/>
    <w:rsid w:val="001B511B"/>
    <w:rsid w:val="001B5511"/>
    <w:rsid w:val="001B6706"/>
    <w:rsid w:val="001B7633"/>
    <w:rsid w:val="001C079F"/>
    <w:rsid w:val="001C5976"/>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6464"/>
    <w:rsid w:val="002713A9"/>
    <w:rsid w:val="0027243D"/>
    <w:rsid w:val="00274249"/>
    <w:rsid w:val="0027457A"/>
    <w:rsid w:val="0027541F"/>
    <w:rsid w:val="00276AA4"/>
    <w:rsid w:val="00280342"/>
    <w:rsid w:val="00280E7D"/>
    <w:rsid w:val="00281FAE"/>
    <w:rsid w:val="00282484"/>
    <w:rsid w:val="00282BE1"/>
    <w:rsid w:val="00282EF4"/>
    <w:rsid w:val="002853E3"/>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7F13"/>
    <w:rsid w:val="002C1A5E"/>
    <w:rsid w:val="002C3422"/>
    <w:rsid w:val="002C35D9"/>
    <w:rsid w:val="002C44A4"/>
    <w:rsid w:val="002C46A3"/>
    <w:rsid w:val="002C5A95"/>
    <w:rsid w:val="002C5F9D"/>
    <w:rsid w:val="002C63E6"/>
    <w:rsid w:val="002C743F"/>
    <w:rsid w:val="002D049D"/>
    <w:rsid w:val="002D1401"/>
    <w:rsid w:val="002D1BCC"/>
    <w:rsid w:val="002D5C67"/>
    <w:rsid w:val="002D6F1F"/>
    <w:rsid w:val="002D7665"/>
    <w:rsid w:val="002E02C7"/>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B65"/>
    <w:rsid w:val="004716EA"/>
    <w:rsid w:val="00473898"/>
    <w:rsid w:val="00474AF7"/>
    <w:rsid w:val="004755C5"/>
    <w:rsid w:val="00475DF9"/>
    <w:rsid w:val="00477252"/>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72B9"/>
    <w:rsid w:val="00497B12"/>
    <w:rsid w:val="004A02AA"/>
    <w:rsid w:val="004A3F9A"/>
    <w:rsid w:val="004A45BA"/>
    <w:rsid w:val="004A4ED1"/>
    <w:rsid w:val="004B2564"/>
    <w:rsid w:val="004B2695"/>
    <w:rsid w:val="004B2852"/>
    <w:rsid w:val="004B2894"/>
    <w:rsid w:val="004B3F80"/>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A95"/>
    <w:rsid w:val="005466B4"/>
    <w:rsid w:val="005472B1"/>
    <w:rsid w:val="00551D39"/>
    <w:rsid w:val="0055387E"/>
    <w:rsid w:val="00553F59"/>
    <w:rsid w:val="00554B41"/>
    <w:rsid w:val="00556DFD"/>
    <w:rsid w:val="005570BD"/>
    <w:rsid w:val="00560EFA"/>
    <w:rsid w:val="0056441C"/>
    <w:rsid w:val="00567A01"/>
    <w:rsid w:val="00570EA1"/>
    <w:rsid w:val="00572ED2"/>
    <w:rsid w:val="00573400"/>
    <w:rsid w:val="00576B6D"/>
    <w:rsid w:val="00580192"/>
    <w:rsid w:val="005817F8"/>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6348"/>
    <w:rsid w:val="005C73E5"/>
    <w:rsid w:val="005D0A92"/>
    <w:rsid w:val="005D21B4"/>
    <w:rsid w:val="005D25F4"/>
    <w:rsid w:val="005D2C79"/>
    <w:rsid w:val="005D5E7D"/>
    <w:rsid w:val="005D7319"/>
    <w:rsid w:val="005E0944"/>
    <w:rsid w:val="005E0A68"/>
    <w:rsid w:val="005E2E0C"/>
    <w:rsid w:val="005E4105"/>
    <w:rsid w:val="005E69AB"/>
    <w:rsid w:val="005F0933"/>
    <w:rsid w:val="005F4BB3"/>
    <w:rsid w:val="005F4CAA"/>
    <w:rsid w:val="005F4F75"/>
    <w:rsid w:val="00600F38"/>
    <w:rsid w:val="006039B0"/>
    <w:rsid w:val="00606B34"/>
    <w:rsid w:val="00611C03"/>
    <w:rsid w:val="0061291F"/>
    <w:rsid w:val="00614AFD"/>
    <w:rsid w:val="00614CE0"/>
    <w:rsid w:val="00615C72"/>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416E"/>
    <w:rsid w:val="006441CB"/>
    <w:rsid w:val="006462A8"/>
    <w:rsid w:val="006471F1"/>
    <w:rsid w:val="00647596"/>
    <w:rsid w:val="0064787F"/>
    <w:rsid w:val="00647D90"/>
    <w:rsid w:val="006501D8"/>
    <w:rsid w:val="006510A5"/>
    <w:rsid w:val="00651280"/>
    <w:rsid w:val="00651D88"/>
    <w:rsid w:val="00652318"/>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6159"/>
    <w:rsid w:val="006927FD"/>
    <w:rsid w:val="00692E69"/>
    <w:rsid w:val="006933E4"/>
    <w:rsid w:val="00693AAD"/>
    <w:rsid w:val="00694C27"/>
    <w:rsid w:val="00695135"/>
    <w:rsid w:val="0069720D"/>
    <w:rsid w:val="00697801"/>
    <w:rsid w:val="006A0511"/>
    <w:rsid w:val="006A1E7E"/>
    <w:rsid w:val="006A442C"/>
    <w:rsid w:val="006A473E"/>
    <w:rsid w:val="006A76F1"/>
    <w:rsid w:val="006A7A40"/>
    <w:rsid w:val="006B0B93"/>
    <w:rsid w:val="006B10F4"/>
    <w:rsid w:val="006B1762"/>
    <w:rsid w:val="006B1B41"/>
    <w:rsid w:val="006B54D3"/>
    <w:rsid w:val="006B7AB9"/>
    <w:rsid w:val="006C359F"/>
    <w:rsid w:val="006C46F7"/>
    <w:rsid w:val="006C5EA4"/>
    <w:rsid w:val="006D0786"/>
    <w:rsid w:val="006D1B26"/>
    <w:rsid w:val="006D2E83"/>
    <w:rsid w:val="006D55E3"/>
    <w:rsid w:val="006D6D0D"/>
    <w:rsid w:val="006D71B1"/>
    <w:rsid w:val="006E0106"/>
    <w:rsid w:val="006E2ED1"/>
    <w:rsid w:val="006E4DC4"/>
    <w:rsid w:val="006E54B8"/>
    <w:rsid w:val="006F1B2B"/>
    <w:rsid w:val="006F20B3"/>
    <w:rsid w:val="006F2281"/>
    <w:rsid w:val="00701443"/>
    <w:rsid w:val="007023E1"/>
    <w:rsid w:val="00703E31"/>
    <w:rsid w:val="007043D8"/>
    <w:rsid w:val="0070546F"/>
    <w:rsid w:val="00705DE9"/>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8E4"/>
    <w:rsid w:val="00741980"/>
    <w:rsid w:val="00741DDA"/>
    <w:rsid w:val="0074278A"/>
    <w:rsid w:val="0074424C"/>
    <w:rsid w:val="007455BB"/>
    <w:rsid w:val="00750563"/>
    <w:rsid w:val="00751B9E"/>
    <w:rsid w:val="00751CE0"/>
    <w:rsid w:val="007526D4"/>
    <w:rsid w:val="007534CC"/>
    <w:rsid w:val="007544E1"/>
    <w:rsid w:val="0075488F"/>
    <w:rsid w:val="0075659C"/>
    <w:rsid w:val="00756D05"/>
    <w:rsid w:val="00757277"/>
    <w:rsid w:val="0076096D"/>
    <w:rsid w:val="00762DF2"/>
    <w:rsid w:val="00770B6B"/>
    <w:rsid w:val="00773EA4"/>
    <w:rsid w:val="007755BE"/>
    <w:rsid w:val="00776B04"/>
    <w:rsid w:val="007777BD"/>
    <w:rsid w:val="0077797D"/>
    <w:rsid w:val="00781A0A"/>
    <w:rsid w:val="0078202B"/>
    <w:rsid w:val="00783E1C"/>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3B7"/>
    <w:rsid w:val="007E2663"/>
    <w:rsid w:val="007E312C"/>
    <w:rsid w:val="007E40EA"/>
    <w:rsid w:val="007E4CE5"/>
    <w:rsid w:val="007E52F5"/>
    <w:rsid w:val="007E5FFE"/>
    <w:rsid w:val="007E7051"/>
    <w:rsid w:val="007E7826"/>
    <w:rsid w:val="007E7835"/>
    <w:rsid w:val="007F01C6"/>
    <w:rsid w:val="007F0FAB"/>
    <w:rsid w:val="007F273F"/>
    <w:rsid w:val="007F2D4A"/>
    <w:rsid w:val="007F3564"/>
    <w:rsid w:val="007F40B8"/>
    <w:rsid w:val="008006EC"/>
    <w:rsid w:val="00800CE4"/>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CEA"/>
    <w:rsid w:val="00835D37"/>
    <w:rsid w:val="008409A7"/>
    <w:rsid w:val="00842612"/>
    <w:rsid w:val="008438D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E3D"/>
    <w:rsid w:val="008B05C1"/>
    <w:rsid w:val="008B0BE7"/>
    <w:rsid w:val="008B3521"/>
    <w:rsid w:val="008B3E20"/>
    <w:rsid w:val="008B4388"/>
    <w:rsid w:val="008B5561"/>
    <w:rsid w:val="008B72B6"/>
    <w:rsid w:val="008B7A9E"/>
    <w:rsid w:val="008C0C69"/>
    <w:rsid w:val="008C237A"/>
    <w:rsid w:val="008C2ADF"/>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1C9B"/>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E1A43"/>
    <w:rsid w:val="009F22D2"/>
    <w:rsid w:val="009F2EF9"/>
    <w:rsid w:val="009F345A"/>
    <w:rsid w:val="009F6953"/>
    <w:rsid w:val="00A00A86"/>
    <w:rsid w:val="00A016D1"/>
    <w:rsid w:val="00A01758"/>
    <w:rsid w:val="00A04159"/>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F3B"/>
    <w:rsid w:val="00A300DD"/>
    <w:rsid w:val="00A30D9D"/>
    <w:rsid w:val="00A31398"/>
    <w:rsid w:val="00A36C72"/>
    <w:rsid w:val="00A37079"/>
    <w:rsid w:val="00A409C7"/>
    <w:rsid w:val="00A41FA6"/>
    <w:rsid w:val="00A4449A"/>
    <w:rsid w:val="00A448F1"/>
    <w:rsid w:val="00A45B5C"/>
    <w:rsid w:val="00A46A05"/>
    <w:rsid w:val="00A471A5"/>
    <w:rsid w:val="00A471E3"/>
    <w:rsid w:val="00A47564"/>
    <w:rsid w:val="00A51097"/>
    <w:rsid w:val="00A51386"/>
    <w:rsid w:val="00A516C4"/>
    <w:rsid w:val="00A52B69"/>
    <w:rsid w:val="00A54ED5"/>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3BB5"/>
    <w:rsid w:val="00B24B46"/>
    <w:rsid w:val="00B26990"/>
    <w:rsid w:val="00B30588"/>
    <w:rsid w:val="00B31584"/>
    <w:rsid w:val="00B31FE6"/>
    <w:rsid w:val="00B32311"/>
    <w:rsid w:val="00B41EDE"/>
    <w:rsid w:val="00B42673"/>
    <w:rsid w:val="00B42DE6"/>
    <w:rsid w:val="00B44328"/>
    <w:rsid w:val="00B451D2"/>
    <w:rsid w:val="00B45BCC"/>
    <w:rsid w:val="00B46180"/>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1B2"/>
    <w:rsid w:val="00C15A71"/>
    <w:rsid w:val="00C15C49"/>
    <w:rsid w:val="00C1619A"/>
    <w:rsid w:val="00C169BD"/>
    <w:rsid w:val="00C16ABE"/>
    <w:rsid w:val="00C17338"/>
    <w:rsid w:val="00C1787D"/>
    <w:rsid w:val="00C20647"/>
    <w:rsid w:val="00C20653"/>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3927"/>
    <w:rsid w:val="00C54C06"/>
    <w:rsid w:val="00C5727A"/>
    <w:rsid w:val="00C60416"/>
    <w:rsid w:val="00C60F01"/>
    <w:rsid w:val="00C6212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700"/>
    <w:rsid w:val="00CA5747"/>
    <w:rsid w:val="00CA6DD8"/>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602E"/>
    <w:rsid w:val="00CD6AEE"/>
    <w:rsid w:val="00CD6D05"/>
    <w:rsid w:val="00CE05A5"/>
    <w:rsid w:val="00CE06D3"/>
    <w:rsid w:val="00CE1624"/>
    <w:rsid w:val="00CE4277"/>
    <w:rsid w:val="00CE5639"/>
    <w:rsid w:val="00CF11A1"/>
    <w:rsid w:val="00CF5029"/>
    <w:rsid w:val="00CF5130"/>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E0F"/>
    <w:rsid w:val="00D17730"/>
    <w:rsid w:val="00D17D73"/>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5433"/>
    <w:rsid w:val="00D4543E"/>
    <w:rsid w:val="00D4597F"/>
    <w:rsid w:val="00D508CC"/>
    <w:rsid w:val="00D566EF"/>
    <w:rsid w:val="00D56D89"/>
    <w:rsid w:val="00D579AF"/>
    <w:rsid w:val="00D57B8F"/>
    <w:rsid w:val="00D603C1"/>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B20C0"/>
    <w:rsid w:val="00DB3530"/>
    <w:rsid w:val="00DB4245"/>
    <w:rsid w:val="00DB67CB"/>
    <w:rsid w:val="00DC099C"/>
    <w:rsid w:val="00DC29A7"/>
    <w:rsid w:val="00DC78F3"/>
    <w:rsid w:val="00DC7F52"/>
    <w:rsid w:val="00DD18A4"/>
    <w:rsid w:val="00DD2D5C"/>
    <w:rsid w:val="00DD4802"/>
    <w:rsid w:val="00DD5D18"/>
    <w:rsid w:val="00DD66FA"/>
    <w:rsid w:val="00DD74A4"/>
    <w:rsid w:val="00DE1382"/>
    <w:rsid w:val="00DE31B6"/>
    <w:rsid w:val="00DE3CFE"/>
    <w:rsid w:val="00DE435B"/>
    <w:rsid w:val="00DE7351"/>
    <w:rsid w:val="00DF1019"/>
    <w:rsid w:val="00DF140C"/>
    <w:rsid w:val="00DF2233"/>
    <w:rsid w:val="00DF3140"/>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127"/>
    <w:rsid w:val="00EC0793"/>
    <w:rsid w:val="00EC135B"/>
    <w:rsid w:val="00EC176A"/>
    <w:rsid w:val="00EC314E"/>
    <w:rsid w:val="00EC5249"/>
    <w:rsid w:val="00EC7056"/>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36FD"/>
    <w:rsid w:val="00F24496"/>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basedOn w:val="Normln"/>
    <w:uiPriority w:val="99"/>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basedOn w:val="Normln"/>
    <w:uiPriority w:val="99"/>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2BA65-1055-45DD-A111-BBAD68B49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3730</Words>
  <Characters>22081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Eva Karlíková</cp:lastModifiedBy>
  <cp:revision>3</cp:revision>
  <cp:lastPrinted>2014-08-12T13:57:00Z</cp:lastPrinted>
  <dcterms:created xsi:type="dcterms:W3CDTF">2014-08-26T14:33:00Z</dcterms:created>
  <dcterms:modified xsi:type="dcterms:W3CDTF">2014-08-26T14:33:00Z</dcterms:modified>
</cp:coreProperties>
</file>