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C965B9" w:rsidP="00CC6940">
      <w:pPr>
        <w:ind w:left="708" w:firstLine="708"/>
        <w:rPr>
          <w:rFonts w:ascii="Arial" w:hAnsi="Arial" w:cs="Arial"/>
          <w:b/>
          <w:sz w:val="44"/>
          <w:szCs w:val="44"/>
          <w:u w:val="single"/>
        </w:rPr>
      </w:pP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D713EA" w:rsidP="00CC6940">
      <w:pPr>
        <w:jc w:val="center"/>
        <w:rPr>
          <w:rFonts w:ascii="Arial" w:hAnsi="Arial" w:cs="Arial"/>
          <w:b/>
          <w:caps/>
          <w:sz w:val="48"/>
          <w:szCs w:val="48"/>
          <w:u w:val="single"/>
        </w:rPr>
      </w:pPr>
      <w:r>
        <w:rPr>
          <w:noProof/>
        </w:rPr>
        <mc:AlternateContent>
          <mc:Choice Requires="wps">
            <w:drawing>
              <wp:anchor distT="0" distB="0" distL="114300" distR="114300" simplePos="0" relativeHeight="251658752" behindDoc="1" locked="0" layoutInCell="1" allowOverlap="1">
                <wp:simplePos x="0" y="0"/>
                <wp:positionH relativeFrom="margin">
                  <wp:posOffset>2457450</wp:posOffset>
                </wp:positionH>
                <wp:positionV relativeFrom="page">
                  <wp:posOffset>1371600</wp:posOffset>
                </wp:positionV>
                <wp:extent cx="1285875" cy="83153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3.5pt;margin-top:108pt;width:101.25pt;height:65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7G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2VQ+&#10;xo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C965B9">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Pr="007F7016" w:rsidRDefault="00C965B9" w:rsidP="006A654C">
      <w:pPr>
        <w:rPr>
          <w:b/>
          <w:sz w:val="28"/>
          <w:szCs w:val="28"/>
        </w:rPr>
      </w:pPr>
      <w:r w:rsidRPr="007E52C1">
        <w:rPr>
          <w:b/>
          <w:sz w:val="28"/>
          <w:szCs w:val="28"/>
        </w:rPr>
        <w:t xml:space="preserve">Vydání </w:t>
      </w:r>
      <w:r w:rsidR="00C72038">
        <w:rPr>
          <w:b/>
          <w:sz w:val="28"/>
          <w:szCs w:val="28"/>
        </w:rPr>
        <w:t>8/2</w:t>
      </w:r>
      <w:r>
        <w:rPr>
          <w:b/>
          <w:sz w:val="28"/>
          <w:szCs w:val="28"/>
        </w:rPr>
        <w:t xml:space="preserve">, platnost </w:t>
      </w:r>
      <w:r w:rsidR="00137552">
        <w:rPr>
          <w:b/>
          <w:sz w:val="28"/>
          <w:szCs w:val="28"/>
        </w:rPr>
        <w:t>9</w:t>
      </w:r>
      <w:bookmarkStart w:id="0" w:name="_GoBack"/>
      <w:bookmarkEnd w:id="0"/>
      <w:r w:rsidR="005B76C9" w:rsidRPr="007F7016">
        <w:rPr>
          <w:b/>
          <w:sz w:val="28"/>
          <w:szCs w:val="28"/>
        </w:rPr>
        <w:t xml:space="preserve">. </w:t>
      </w:r>
      <w:r w:rsidR="007F7016" w:rsidRPr="007F7016">
        <w:rPr>
          <w:b/>
          <w:sz w:val="28"/>
          <w:szCs w:val="28"/>
        </w:rPr>
        <w:t>6</w:t>
      </w:r>
      <w:r w:rsidR="005B76C9" w:rsidRPr="007F7016">
        <w:rPr>
          <w:b/>
          <w:sz w:val="28"/>
          <w:szCs w:val="28"/>
        </w:rPr>
        <w:t>. 201</w:t>
      </w:r>
      <w:r w:rsidR="007F7016">
        <w:rPr>
          <w:b/>
          <w:sz w:val="28"/>
          <w:szCs w:val="28"/>
        </w:rPr>
        <w:t>4</w:t>
      </w:r>
      <w:r w:rsidR="005B76C9">
        <w:rPr>
          <w:b/>
          <w:sz w:val="28"/>
          <w:szCs w:val="28"/>
        </w:rPr>
        <w:t>,</w:t>
      </w:r>
      <w:r w:rsidR="007E52C1">
        <w:rPr>
          <w:b/>
          <w:sz w:val="28"/>
          <w:szCs w:val="28"/>
        </w:rPr>
        <w:t xml:space="preserve"> účinnost </w:t>
      </w:r>
      <w:r>
        <w:rPr>
          <w:b/>
          <w:sz w:val="28"/>
          <w:szCs w:val="28"/>
        </w:rPr>
        <w:t xml:space="preserve">od </w:t>
      </w:r>
      <w:r w:rsidR="007E52C1" w:rsidRPr="007F7016">
        <w:rPr>
          <w:b/>
          <w:sz w:val="28"/>
          <w:szCs w:val="28"/>
        </w:rPr>
        <w:t>1</w:t>
      </w:r>
      <w:r w:rsidR="007F7016" w:rsidRPr="007F7016">
        <w:rPr>
          <w:b/>
          <w:sz w:val="28"/>
          <w:szCs w:val="28"/>
        </w:rPr>
        <w:t>0</w:t>
      </w:r>
      <w:r w:rsidRPr="007F7016">
        <w:rPr>
          <w:b/>
          <w:sz w:val="28"/>
          <w:szCs w:val="28"/>
        </w:rPr>
        <w:t xml:space="preserve">. </w:t>
      </w:r>
      <w:r w:rsidR="007F7016" w:rsidRPr="007F7016">
        <w:rPr>
          <w:b/>
          <w:sz w:val="28"/>
          <w:szCs w:val="28"/>
        </w:rPr>
        <w:t>6</w:t>
      </w:r>
      <w:r w:rsidRPr="007F7016">
        <w:rPr>
          <w:b/>
          <w:sz w:val="28"/>
          <w:szCs w:val="28"/>
        </w:rPr>
        <w:t>. 201</w:t>
      </w:r>
      <w:r w:rsidR="007F7016">
        <w:rPr>
          <w:b/>
          <w:sz w:val="28"/>
          <w:szCs w:val="28"/>
        </w:rPr>
        <w:t>4</w:t>
      </w: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10"/>
          <w:headerReference w:type="default" r:id="rId11"/>
          <w:footerReference w:type="even" r:id="rId12"/>
          <w:footerReference w:type="default" r:id="rId13"/>
          <w:footerReference w:type="first" r:id="rId14"/>
          <w:pgSz w:w="11906" w:h="16838"/>
          <w:pgMar w:top="1418" w:right="1276" w:bottom="1134" w:left="1418" w:header="709" w:footer="709" w:gutter="0"/>
          <w:cols w:space="708"/>
          <w:docGrid w:linePitch="360"/>
        </w:sectPr>
      </w:pPr>
    </w:p>
    <w:p w:rsidR="00C965B9" w:rsidRDefault="00E13362">
      <w:pPr>
        <w:keepNext/>
        <w:keepLines/>
        <w:tabs>
          <w:tab w:val="left" w:pos="5355"/>
        </w:tabs>
        <w:spacing w:after="120"/>
        <w:rPr>
          <w:color w:val="000000"/>
          <w:sz w:val="24"/>
          <w:szCs w:val="24"/>
        </w:rPr>
      </w:pPr>
      <w:r>
        <w:rPr>
          <w:noProof/>
        </w:rPr>
        <w:lastRenderedPageBreak/>
        <w:drawing>
          <wp:anchor distT="0" distB="0" distL="114300" distR="114300" simplePos="0" relativeHeight="251657728" behindDoc="0" locked="0" layoutInCell="1" allowOverlap="1">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5"/>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t>Číslo účtu/podúčtu, na který bude převedena dotace:</w:t>
      </w:r>
    </w:p>
    <w:p w:rsidR="00C965B9" w:rsidRDefault="00C965B9" w:rsidP="004207D3">
      <w:pPr>
        <w:widowControl w:val="0"/>
        <w:tabs>
          <w:tab w:val="left" w:pos="708"/>
        </w:tabs>
        <w:spacing w:after="120"/>
        <w:rPr>
          <w:snapToGrid w:val="0"/>
          <w:sz w:val="24"/>
        </w:rPr>
      </w:pP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č.j.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D03B21" w:rsidRDefault="00C965B9" w:rsidP="00D03B21">
      <w:pPr>
        <w:pStyle w:val="Zkladntext3"/>
        <w:numPr>
          <w:ilvl w:val="0"/>
          <w:numId w:val="27"/>
        </w:numPr>
        <w:tabs>
          <w:tab w:val="num" w:pos="786"/>
        </w:tabs>
        <w:snapToGrid w:val="0"/>
        <w:spacing w:after="120"/>
        <w:ind w:left="786"/>
        <w:rPr>
          <w:bCs/>
        </w:rPr>
      </w:pPr>
      <w:r>
        <w:rPr>
          <w:bCs/>
          <w:szCs w:val="24"/>
        </w:rPr>
        <w:t xml:space="preserve"> </w:t>
      </w:r>
      <w:r w:rsidRPr="00D03B21">
        <w:rPr>
          <w:bCs/>
        </w:rPr>
        <w:t xml:space="preserve">Administraci projektu provádí Řídící orgán Operačního programu Technická pomoc (dále jen „ŘO OPTP“). Pro potřeby realizace tohoto projektu je kontaktním místem pro příjemce: Ministerstvo pro místní rozvoj, odbor ŘO OPTP, Staroměstské náměstí 6, 110 15 Praha 1. </w:t>
      </w:r>
    </w:p>
    <w:p w:rsidR="00C965B9" w:rsidRDefault="00C965B9" w:rsidP="004207D3">
      <w:pPr>
        <w:pStyle w:val="Zkladntext3"/>
        <w:snapToGrid w:val="0"/>
        <w:spacing w:after="120"/>
        <w:ind w:left="786"/>
        <w:rPr>
          <w:bCs/>
        </w:rPr>
      </w:pPr>
    </w:p>
    <w:p w:rsidR="00D03B21" w:rsidRPr="00353D6E" w:rsidRDefault="00D03B21" w:rsidP="004207D3">
      <w:pPr>
        <w:pStyle w:val="Zkladntext3"/>
        <w:snapToGrid w:val="0"/>
        <w:spacing w:after="120"/>
        <w:ind w:left="786"/>
        <w:rPr>
          <w:bCs/>
        </w:rPr>
      </w:pPr>
    </w:p>
    <w:p w:rsidR="00C965B9" w:rsidRPr="00B23BC3" w:rsidRDefault="00C965B9" w:rsidP="004207D3"/>
    <w:p w:rsidR="00C965B9" w:rsidRPr="00964654" w:rsidRDefault="00C965B9" w:rsidP="004207D3">
      <w:pPr>
        <w:pStyle w:val="Nadpis3"/>
        <w:spacing w:after="120"/>
        <w:rPr>
          <w:i/>
        </w:rPr>
      </w:pPr>
      <w:r w:rsidRPr="00964654">
        <w:rPr>
          <w:i/>
        </w:rPr>
        <w:t>Část II</w:t>
      </w:r>
    </w:p>
    <w:p w:rsidR="00C965B9" w:rsidRDefault="00C965B9" w:rsidP="004207D3">
      <w:pPr>
        <w:widowControl w:val="0"/>
        <w:tabs>
          <w:tab w:val="left" w:pos="708"/>
        </w:tabs>
        <w:spacing w:after="120"/>
        <w:jc w:val="center"/>
        <w:rPr>
          <w:b/>
          <w:i/>
          <w:snapToGrid w:val="0"/>
          <w:sz w:val="24"/>
        </w:rPr>
      </w:pPr>
      <w:r w:rsidRPr="00964654">
        <w:rPr>
          <w:b/>
          <w:i/>
          <w:snapToGrid w:val="0"/>
          <w:sz w:val="24"/>
        </w:rPr>
        <w:t>Finanční rámec</w:t>
      </w:r>
    </w:p>
    <w:p w:rsidR="00C965B9" w:rsidRDefault="00C965B9" w:rsidP="004207D3">
      <w:pPr>
        <w:widowControl w:val="0"/>
        <w:tabs>
          <w:tab w:val="left" w:pos="708"/>
        </w:tabs>
        <w:spacing w:after="120"/>
        <w:rPr>
          <w:b/>
          <w:snapToGrid w:val="0"/>
          <w:sz w:val="24"/>
        </w:rPr>
      </w:pPr>
    </w:p>
    <w:p w:rsidR="00D03B21" w:rsidRDefault="00D03B21" w:rsidP="004207D3">
      <w:pPr>
        <w:widowControl w:val="0"/>
        <w:tabs>
          <w:tab w:val="left" w:pos="708"/>
        </w:tabs>
        <w:spacing w:after="120"/>
        <w:rPr>
          <w:b/>
          <w:snapToGrid w:val="0"/>
          <w:sz w:val="24"/>
        </w:rPr>
      </w:pPr>
    </w:p>
    <w:p w:rsidR="00D03B21" w:rsidRPr="00964654" w:rsidRDefault="00D03B21" w:rsidP="004207D3">
      <w:pPr>
        <w:widowControl w:val="0"/>
        <w:tabs>
          <w:tab w:val="left" w:pos="708"/>
        </w:tabs>
        <w:spacing w:after="120"/>
        <w:rPr>
          <w:b/>
          <w:snapToGrid w:val="0"/>
          <w:sz w:val="24"/>
        </w:rPr>
      </w:pPr>
    </w:p>
    <w:p w:rsidR="00C965B9" w:rsidRDefault="00C965B9" w:rsidP="004207D3">
      <w:pPr>
        <w:widowControl w:val="0"/>
        <w:numPr>
          <w:ilvl w:val="0"/>
          <w:numId w:val="3"/>
        </w:numPr>
        <w:spacing w:after="120"/>
        <w:ind w:right="180"/>
        <w:rPr>
          <w:snapToGrid w:val="0"/>
          <w:sz w:val="24"/>
        </w:rPr>
      </w:pPr>
      <w:r>
        <w:rPr>
          <w:snapToGrid w:val="0"/>
          <w:sz w:val="24"/>
        </w:rPr>
        <w:lastRenderedPageBreak/>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tcPr>
          <w:p w:rsidR="00C965B9" w:rsidRPr="002D454F" w:rsidRDefault="00C965B9" w:rsidP="004207D3">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tcPr>
          <w:p w:rsidR="00C965B9" w:rsidRPr="002D454F" w:rsidRDefault="00C965B9"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4207D3">
      <w:pPr>
        <w:widowControl w:val="0"/>
        <w:numPr>
          <w:ilvl w:val="0"/>
          <w:numId w:val="3"/>
        </w:numPr>
        <w:spacing w:after="120"/>
        <w:ind w:right="180"/>
        <w:rPr>
          <w:snapToGrid w:val="0"/>
          <w:sz w:val="24"/>
          <w:szCs w:val="24"/>
        </w:rPr>
      </w:pPr>
      <w:r>
        <w:rPr>
          <w:snapToGrid w:val="0"/>
          <w:sz w:val="24"/>
          <w:szCs w:val="24"/>
        </w:rPr>
        <w:t>Výše dotace a zdrojů spolufinancování způsobilých výdajů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gridCol w:w="2340"/>
      </w:tblGrid>
      <w:tr w:rsidR="00C965B9">
        <w:tc>
          <w:tcPr>
            <w:tcW w:w="5220" w:type="dxa"/>
          </w:tcPr>
          <w:p w:rsidR="00C965B9" w:rsidRDefault="00C965B9" w:rsidP="004207D3">
            <w:pPr>
              <w:widowControl w:val="0"/>
              <w:jc w:val="center"/>
              <w:rPr>
                <w:b/>
                <w:snapToGrid w:val="0"/>
                <w:sz w:val="24"/>
                <w:szCs w:val="24"/>
              </w:rPr>
            </w:pPr>
            <w:r>
              <w:rPr>
                <w:b/>
                <w:snapToGrid w:val="0"/>
                <w:sz w:val="24"/>
                <w:szCs w:val="24"/>
              </w:rPr>
              <w:t>Druh dotace/zdroje spolufinancování</w:t>
            </w:r>
          </w:p>
        </w:tc>
        <w:tc>
          <w:tcPr>
            <w:tcW w:w="2340" w:type="dxa"/>
          </w:tcPr>
          <w:p w:rsidR="00C965B9" w:rsidRDefault="00C965B9" w:rsidP="004207D3">
            <w:pPr>
              <w:widowControl w:val="0"/>
              <w:jc w:val="center"/>
              <w:rPr>
                <w:b/>
                <w:snapToGrid w:val="0"/>
                <w:sz w:val="24"/>
                <w:szCs w:val="24"/>
              </w:rPr>
            </w:pPr>
            <w:r>
              <w:rPr>
                <w:b/>
                <w:snapToGrid w:val="0"/>
                <w:sz w:val="24"/>
                <w:szCs w:val="24"/>
              </w:rPr>
              <w:t>Částka v Kč</w:t>
            </w:r>
          </w:p>
        </w:tc>
        <w:tc>
          <w:tcPr>
            <w:tcW w:w="2340" w:type="dxa"/>
          </w:tcPr>
          <w:p w:rsidR="00C965B9" w:rsidRDefault="00C965B9" w:rsidP="004207D3">
            <w:pPr>
              <w:widowControl w:val="0"/>
              <w:jc w:val="center"/>
              <w:rPr>
                <w:b/>
                <w:snapToGrid w:val="0"/>
                <w:sz w:val="24"/>
                <w:szCs w:val="24"/>
              </w:rPr>
            </w:pPr>
            <w:r>
              <w:rPr>
                <w:b/>
                <w:snapToGrid w:val="0"/>
                <w:sz w:val="24"/>
                <w:szCs w:val="24"/>
              </w:rPr>
              <w:t>Podíl na celkových způsobilých výdajích v %</w:t>
            </w:r>
          </w:p>
        </w:tc>
      </w:tr>
      <w:tr w:rsidR="00C965B9">
        <w:tc>
          <w:tcPr>
            <w:tcW w:w="5220" w:type="dxa"/>
          </w:tcPr>
          <w:p w:rsidR="00C965B9" w:rsidRDefault="00C965B9" w:rsidP="004207D3">
            <w:pPr>
              <w:widowControl w:val="0"/>
              <w:rPr>
                <w:snapToGrid w:val="0"/>
                <w:sz w:val="24"/>
                <w:szCs w:val="24"/>
              </w:rPr>
            </w:pPr>
            <w:r>
              <w:rPr>
                <w:snapToGrid w:val="0"/>
                <w:sz w:val="24"/>
                <w:szCs w:val="24"/>
              </w:rPr>
              <w:t>Dotace ze  strukturálního fondu Evropský fond pro regionální rozvoj</w:t>
            </w:r>
            <w:r>
              <w:rPr>
                <w:rStyle w:val="Znakapoznpodarou"/>
                <w:snapToGrid w:val="0"/>
                <w:sz w:val="24"/>
                <w:szCs w:val="24"/>
              </w:rPr>
              <w:footnoteReference w:id="2"/>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 xml:space="preserve">Evidenční číslo </w:t>
      </w:r>
      <w:r w:rsidRPr="00C649AF">
        <w:rPr>
          <w:b/>
          <w:snapToGrid w:val="0"/>
          <w:sz w:val="24"/>
          <w:szCs w:val="24"/>
        </w:rPr>
        <w:t> </w:t>
      </w:r>
      <w:r w:rsidR="00D405C3">
        <w:rPr>
          <w:b/>
          <w:snapToGrid w:val="0"/>
          <w:sz w:val="24"/>
          <w:szCs w:val="24"/>
        </w:rPr>
        <w:t>EDS/SMVS</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lastRenderedPageBreak/>
        <w:t>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w:t>
      </w:r>
      <w:r w:rsidR="009A12EB">
        <w:rPr>
          <w:snapToGrid w:val="0"/>
          <w:sz w:val="24"/>
        </w:rPr>
        <w:t> </w:t>
      </w:r>
      <w:r>
        <w:rPr>
          <w:snapToGrid w:val="0"/>
          <w:sz w:val="24"/>
        </w:rPr>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w:t>
      </w:r>
      <w:r>
        <w:rPr>
          <w:snapToGrid w:val="0"/>
          <w:sz w:val="24"/>
          <w:szCs w:val="24"/>
        </w:rPr>
        <w:t xml:space="preserve">Pokud se jedná o jednoetapový projekt nebo o projekt, kde je etapa delší než </w:t>
      </w:r>
      <w:r w:rsidR="00945D1D">
        <w:rPr>
          <w:snapToGrid w:val="0"/>
          <w:sz w:val="24"/>
          <w:szCs w:val="24"/>
        </w:rPr>
        <w:t>6</w:t>
      </w:r>
      <w:r w:rsidR="00B07ABD">
        <w:rPr>
          <w:snapToGrid w:val="0"/>
          <w:sz w:val="24"/>
          <w:szCs w:val="24"/>
        </w:rPr>
        <w:t> </w:t>
      </w:r>
      <w:r>
        <w:rPr>
          <w:snapToGrid w:val="0"/>
          <w:sz w:val="24"/>
          <w:szCs w:val="24"/>
        </w:rPr>
        <w:t xml:space="preserve">měsíců, je příjemce povinen předkládat monitorovací zprávu za období </w:t>
      </w:r>
      <w:r>
        <w:rPr>
          <w:sz w:val="24"/>
          <w:szCs w:val="24"/>
        </w:rPr>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 xml:space="preserve">pracovních dnů od ukončeného kalendářního měsíce, ke kterému měla být monitorovací zpráva předložena. </w:t>
      </w:r>
      <w:r>
        <w:rPr>
          <w:sz w:val="24"/>
          <w:szCs w:val="24"/>
        </w:rPr>
        <w:t>Následující monitorovací zprávy jsou podávány k datu posledního dne každých 6 následujících měsíců.</w:t>
      </w:r>
      <w:r>
        <w:rPr>
          <w:snapToGrid w:val="0"/>
          <w:sz w:val="24"/>
        </w:rPr>
        <w:t xml:space="preserve"> </w:t>
      </w:r>
      <w:r w:rsidRPr="00CD07FB">
        <w:rPr>
          <w:snapToGrid w:val="0"/>
          <w:sz w:val="24"/>
        </w:rPr>
        <w:t>V případě, že je projekt rozdělen na etapy, předkládá příjemce etapovou monitorovací zprávu, a to vždy do 20 pracovních dnů po ukončení etapy. Závěrečnou monitorovací zprávu 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monitorovací zprávy </w:t>
      </w:r>
      <w:r w:rsidRPr="00CD07FB">
        <w:rPr>
          <w:snapToGrid w:val="0"/>
          <w:sz w:val="24"/>
        </w:rPr>
        <w:t xml:space="preserve">+/-30 kalendářních dnů s etapovou/závěrečnou monitorovací zprávou předkládá příjemce jen etapovou/závěrečnou </w:t>
      </w:r>
      <w:r>
        <w:rPr>
          <w:snapToGrid w:val="0"/>
          <w:sz w:val="24"/>
        </w:rPr>
        <w:t xml:space="preserve">monitorovací </w:t>
      </w:r>
      <w:r w:rsidRPr="00CD07FB">
        <w:rPr>
          <w:snapToGrid w:val="0"/>
          <w:sz w:val="24"/>
        </w:rPr>
        <w:t xml:space="preserve">zprávu. </w:t>
      </w:r>
      <w:r w:rsidRPr="00C60F01">
        <w:rPr>
          <w:snapToGrid w:val="0"/>
          <w:sz w:val="24"/>
        </w:rPr>
        <w:t>V</w:t>
      </w:r>
      <w:r w:rsidR="007A233D">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závěrečnou/etapovou monitorovací zprávu</w:t>
      </w:r>
      <w:r w:rsidRPr="00C60F01">
        <w:rPr>
          <w:snapToGrid w:val="0"/>
          <w:sz w:val="24"/>
        </w:rPr>
        <w:t xml:space="preserve"> do 20 pracovních dnů od data doručení </w:t>
      </w:r>
      <w:r>
        <w:rPr>
          <w:snapToGrid w:val="0"/>
          <w:sz w:val="24"/>
        </w:rPr>
        <w:t>Rozhodnutí</w:t>
      </w:r>
      <w:r w:rsidRPr="00C60F01">
        <w:rPr>
          <w:snapToGrid w:val="0"/>
          <w:sz w:val="24"/>
        </w:rPr>
        <w:t xml:space="preserve"> příjemci</w:t>
      </w:r>
      <w:r>
        <w:rPr>
          <w:snapToGrid w:val="0"/>
          <w:sz w:val="24"/>
        </w:rPr>
        <w:t>. Výše uvedené lhůty na předložení monitorovacích zpráv mohou být prodlouženy, pokud o to příjemce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sidR="00F84DDD">
        <w:rPr>
          <w:snapToGrid w:val="0"/>
          <w:sz w:val="24"/>
        </w:rPr>
        <w:t xml:space="preserve"> OPTP</w:t>
      </w:r>
      <w:r w:rsidRPr="00795BC8">
        <w:rPr>
          <w:snapToGrid w:val="0"/>
          <w:sz w:val="24"/>
        </w:rPr>
        <w:t xml:space="preserve"> všechny změny a</w:t>
      </w:r>
      <w:r w:rsidR="00BC7BC3">
        <w:rPr>
          <w:snapToGrid w:val="0"/>
          <w:sz w:val="24"/>
        </w:rPr>
        <w:t> </w:t>
      </w:r>
      <w:r w:rsidRPr="00795BC8">
        <w:rPr>
          <w:snapToGrid w:val="0"/>
          <w:sz w:val="24"/>
        </w:rPr>
        <w:t xml:space="preserve">skutečnosti, které mají vliv na plnění Rozhodnutí a Podmínek, nebo skutečnosti s tím související. </w:t>
      </w:r>
      <w:r w:rsidR="00E55165">
        <w:rPr>
          <w:snapToGrid w:val="0"/>
          <w:sz w:val="24"/>
        </w:rPr>
        <w:t xml:space="preserve">Změna </w:t>
      </w:r>
      <w:r w:rsidRPr="00795BC8">
        <w:rPr>
          <w:snapToGrid w:val="0"/>
          <w:sz w:val="24"/>
        </w:rPr>
        <w:t>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w:t>
      </w:r>
      <w:r w:rsidR="00BD3621">
        <w:rPr>
          <w:snapToGrid w:val="0"/>
          <w:sz w:val="24"/>
          <w:szCs w:val="24"/>
        </w:rPr>
        <w:t>etapové monitorovací zprávy</w:t>
      </w:r>
      <w:r w:rsidRPr="00DC45B8">
        <w:rPr>
          <w:snapToGrid w:val="0"/>
          <w:sz w:val="24"/>
          <w:szCs w:val="24"/>
        </w:rPr>
        <w:t>.</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dle ust.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písemné informace o</w:t>
      </w:r>
      <w:r w:rsidR="00B07ABD">
        <w:rPr>
          <w:sz w:val="24"/>
          <w:szCs w:val="24"/>
        </w:rPr>
        <w:t> </w:t>
      </w:r>
      <w:r w:rsidR="00387ACD" w:rsidRPr="00387ACD">
        <w:rPr>
          <w:sz w:val="24"/>
          <w:szCs w:val="24"/>
        </w:rPr>
        <w:t>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 ž</w:t>
      </w:r>
      <w:r w:rsidRPr="00795BC8">
        <w:rPr>
          <w:szCs w:val="24"/>
        </w:rPr>
        <w:t xml:space="preserve">ádost o platbu je příjemce povinen předložit vždy nejpozději do </w:t>
      </w:r>
      <w:r>
        <w:rPr>
          <w:szCs w:val="24"/>
        </w:rPr>
        <w:t>20</w:t>
      </w:r>
      <w:r w:rsidR="00B07ABD">
        <w:rPr>
          <w:szCs w:val="24"/>
        </w:rPr>
        <w:t> </w:t>
      </w:r>
      <w:r w:rsidRPr="00795BC8">
        <w:rPr>
          <w:szCs w:val="24"/>
        </w:rPr>
        <w:t xml:space="preserve">pracovních dnů od ukončení </w:t>
      </w:r>
      <w:r>
        <w:rPr>
          <w:szCs w:val="24"/>
        </w:rPr>
        <w:t>etapy projektu resp. realizace</w:t>
      </w:r>
      <w:smartTag w:uri="urn:schemas-microsoft-com:office:smarttags" w:element="PersonName">
        <w:r>
          <w:rPr>
            <w:szCs w:val="24"/>
          </w:rPr>
          <w:t xml:space="preserve"> </w:t>
        </w:r>
      </w:smartTag>
      <w:r>
        <w:rPr>
          <w:szCs w:val="24"/>
        </w:rPr>
        <w:t>projektu,</w:t>
      </w:r>
      <w:smartTag w:uri="urn:schemas-microsoft-com:office:smarttags" w:element="PersonName">
        <w:r w:rsidRPr="00795BC8">
          <w:rPr>
            <w:szCs w:val="24"/>
          </w:rPr>
          <w:t xml:space="preserve"> </w:t>
        </w:r>
      </w:smartTag>
      <w:r w:rsidRPr="00795BC8">
        <w:rPr>
          <w:szCs w:val="24"/>
        </w:rPr>
        <w:t>spolu</w:t>
      </w:r>
      <w:smartTag w:uri="urn:schemas-microsoft-com:office:smarttags" w:element="PersonName">
        <w:r w:rsidRPr="00795BC8">
          <w:rPr>
            <w:szCs w:val="24"/>
          </w:rPr>
          <w:t xml:space="preserve"> </w:t>
        </w:r>
      </w:smartTag>
      <w:r w:rsidRPr="00795BC8">
        <w:rPr>
          <w:szCs w:val="24"/>
        </w:rPr>
        <w:t>s monitorovací</w:t>
      </w:r>
      <w:smartTag w:uri="urn:schemas-microsoft-com:office:smarttags" w:element="PersonName">
        <w:r w:rsidRPr="00795BC8">
          <w:rPr>
            <w:szCs w:val="24"/>
          </w:rPr>
          <w:t xml:space="preserve"> </w:t>
        </w:r>
      </w:smartTag>
      <w:r w:rsidRPr="00795BC8">
        <w:rPr>
          <w:szCs w:val="24"/>
        </w:rPr>
        <w:t>zprávou</w:t>
      </w:r>
      <w:smartTag w:uri="urn:schemas-microsoft-com:office:smarttags" w:element="PersonName">
        <w:r w:rsidRPr="00795BC8">
          <w:rPr>
            <w:szCs w:val="24"/>
          </w:rPr>
          <w:t xml:space="preserve"> </w:t>
        </w:r>
      </w:smartTag>
      <w:r w:rsidRPr="00795BC8">
        <w:rPr>
          <w:szCs w:val="24"/>
        </w:rPr>
        <w:t>podle</w:t>
      </w:r>
      <w:smartTag w:uri="urn:schemas-microsoft-com:office:smarttags" w:element="PersonName">
        <w:r w:rsidRPr="00795BC8">
          <w:rPr>
            <w:szCs w:val="24"/>
          </w:rPr>
          <w:t xml:space="preserve"> </w:t>
        </w:r>
      </w:smartTag>
      <w:r w:rsidRPr="00795BC8">
        <w:rPr>
          <w:szCs w:val="24"/>
        </w:rPr>
        <w:t>části</w:t>
      </w:r>
      <w:smartTag w:uri="urn:schemas-microsoft-com:office:smarttags" w:element="PersonName">
        <w:r w:rsidRPr="00795BC8">
          <w:rPr>
            <w:szCs w:val="24"/>
          </w:rPr>
          <w:t xml:space="preserve"> </w:t>
        </w:r>
      </w:smartTag>
      <w:r w:rsidRPr="00795BC8">
        <w:rPr>
          <w:szCs w:val="24"/>
        </w:rPr>
        <w:t>III</w:t>
      </w:r>
      <w:r>
        <w:rPr>
          <w:szCs w:val="24"/>
        </w:rPr>
        <w:t>.,</w:t>
      </w:r>
      <w:smartTag w:uri="urn:schemas-microsoft-com:office:smarttags" w:element="PersonName">
        <w:r w:rsidRPr="00795BC8">
          <w:rPr>
            <w:szCs w:val="24"/>
          </w:rPr>
          <w:t xml:space="preserve"> </w:t>
        </w:r>
      </w:smartTag>
      <w:r w:rsidRPr="00795BC8">
        <w:rPr>
          <w:szCs w:val="24"/>
        </w:rPr>
        <w:t>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Pr="000208D4">
        <w:rPr>
          <w:szCs w:val="24"/>
        </w:rPr>
        <w:t xml:space="preserve"> pracovních dnů od </w:t>
      </w:r>
      <w:r>
        <w:rPr>
          <w:szCs w:val="24"/>
        </w:rPr>
        <w:t xml:space="preserve">data doručení Rozhodnutí </w:t>
      </w:r>
      <w:r>
        <w:rPr>
          <w:szCs w:val="24"/>
        </w:rPr>
        <w:lastRenderedPageBreak/>
        <w:t>příjemci.</w:t>
      </w:r>
      <w:r w:rsidRPr="00BD3621">
        <w:rPr>
          <w:b/>
          <w:szCs w:val="24"/>
        </w:rPr>
        <w:t xml:space="preserve"> </w:t>
      </w:r>
      <w:r>
        <w:rPr>
          <w:szCs w:val="24"/>
        </w:rPr>
        <w:t xml:space="preserve">Lhůta 20 pracovních dnů může být prodloužena, pokud o to příjemce s předstihem požádá ŘO OPTP a svou žádost dostatečně zdůvodní. </w:t>
      </w:r>
      <w:r w:rsidRPr="009669DD">
        <w:rPr>
          <w:b/>
          <w:szCs w:val="24"/>
          <w:u w:val="single"/>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Výsledky projektu je příjemce povinen zachovat po dobu pěti let ode dne ukončení realizace projektu, pokud je to z hlediska charakteru projektu možné. Po dobu udržitelnosti nesmí příjemce majetek získaný byť i částečně z dotace bez předchozího písemného souhlasu ŘO OPTP převést, prodat, vypůjčit či pronajmout jinému subjektu a k tomuto majetku nesmí být po tuto dobu zřízeno věcné břemeno ani nesmí být předmětem zástavního práva.</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ích dokladů v souladu s článkem 90 Nařízení Rady (ES) č. 1083/2006 minimálně do konce roku 2021, a pokud je v českých právních předpisech stanovena lhůta delší než v evropských právních předpisech, musí být použita pro úschovu tato delší lhůta. 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Pr="002B15BE">
        <w:rPr>
          <w:snapToGrid w:val="0"/>
          <w:sz w:val="24"/>
        </w:rPr>
        <w:t>postupovat podle Metodiky výběru zaměstnanců implementujících fondy EU v</w:t>
      </w:r>
      <w:r w:rsidR="00B07ABD">
        <w:rPr>
          <w:snapToGrid w:val="0"/>
          <w:sz w:val="24"/>
        </w:rPr>
        <w:t> </w:t>
      </w:r>
      <w:r w:rsidRPr="002B15BE">
        <w:rPr>
          <w:snapToGrid w:val="0"/>
          <w:sz w:val="24"/>
        </w:rPr>
        <w:t>programovém období 2007–2013 a v programovém období 2014</w:t>
      </w:r>
      <w:r w:rsidR="0098297B">
        <w:rPr>
          <w:snapToGrid w:val="0"/>
          <w:sz w:val="24"/>
        </w:rPr>
        <w:t>+</w:t>
      </w:r>
      <w:r w:rsidR="00BD3621">
        <w:rPr>
          <w:snapToGrid w:val="0"/>
          <w:sz w:val="24"/>
        </w:rPr>
        <w:t xml:space="preserve"> </w:t>
      </w:r>
      <w:r w:rsidRPr="002B15BE">
        <w:rPr>
          <w:snapToGrid w:val="0"/>
          <w:sz w:val="24"/>
        </w:rPr>
        <w:t xml:space="preserve">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sazeb finančních oprav (u veřejných zakázek)</w:t>
      </w:r>
      <w:r>
        <w:rPr>
          <w:snapToGrid w:val="0"/>
          <w:sz w:val="24"/>
        </w:rPr>
        <w:t xml:space="preserve"> 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 v souvislosti s vý</w:t>
      </w:r>
      <w:r w:rsidR="007A233D">
        <w:rPr>
          <w:snapToGrid w:val="0"/>
          <w:sz w:val="24"/>
        </w:rPr>
        <w:t>běrovým</w:t>
      </w:r>
      <w:r w:rsidR="008D5F3A">
        <w:rPr>
          <w:snapToGrid w:val="0"/>
          <w:sz w:val="24"/>
        </w:rPr>
        <w:t>/zadávacím řízením, u</w:t>
      </w:r>
      <w:r w:rsidR="009A12EB">
        <w:rPr>
          <w:snapToGrid w:val="0"/>
          <w:sz w:val="24"/>
        </w:rPr>
        <w:t> </w:t>
      </w:r>
      <w:r w:rsidR="008D5F3A">
        <w:rPr>
          <w:snapToGrid w:val="0"/>
          <w:sz w:val="24"/>
        </w:rPr>
        <w:t xml:space="preserve">kterého se porušení pravidla vyskytlo. Sazby finančních oprav </w:t>
      </w:r>
      <w:r>
        <w:rPr>
          <w:snapToGrid w:val="0"/>
          <w:sz w:val="24"/>
        </w:rPr>
        <w:t xml:space="preserve">a fixně stanovené sankce jsou </w:t>
      </w:r>
      <w:r>
        <w:rPr>
          <w:snapToGrid w:val="0"/>
          <w:sz w:val="24"/>
        </w:rPr>
        <w:lastRenderedPageBreak/>
        <w:t>specifikovány v následujících bodech a) – h)</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a 3.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sazeb finančních oprav uvedených v následujících 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6"/>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min. 25 %, pokud je délka lhůty 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pokud je délka lhůty </w:t>
            </w:r>
            <w:r w:rsidRPr="00C83126">
              <w:rPr>
                <w:color w:val="222222"/>
              </w:rPr>
              <w:lastRenderedPageBreak/>
              <w:t>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lastRenderedPageBreak/>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9E4C44" w:rsidRPr="00C83126" w:rsidRDefault="009E4C44" w:rsidP="001878E7">
      <w:pPr>
        <w:suppressAutoHyphens/>
        <w:rPr>
          <w:lang w:eastAsia="ar-SA"/>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Kvalifikační požadavky byly změněny ve fázi posouzení kvalifikace, což má vliv na splnění kvalifikace jednotlivými </w:t>
            </w:r>
            <w:r w:rsidRPr="009E4C44">
              <w:rPr>
                <w:color w:val="222222"/>
              </w:rPr>
              <w:lastRenderedPageBreak/>
              <w:t>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lastRenderedPageBreak/>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jehož subdodavatelem je zaměstnanec zadavatele, člen </w:t>
            </w:r>
            <w:r w:rsidRPr="00C83126">
              <w:rPr>
                <w:sz w:val="20"/>
              </w:rPr>
              <w:lastRenderedPageBreak/>
              <w:t>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lastRenderedPageBreak/>
              <w:t>100 %</w:t>
            </w:r>
          </w:p>
        </w:tc>
      </w:tr>
    </w:tbl>
    <w:p w:rsidR="001878E7" w:rsidRPr="00C83126" w:rsidRDefault="001878E7" w:rsidP="001878E7">
      <w:pPr>
        <w:suppressAutoHyphens/>
        <w:spacing w:after="240"/>
        <w:rPr>
          <w:lang w:eastAsia="ar-SA"/>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FB3BA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20%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20%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A61988">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20%</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B3BA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20% ceny původní zakázky u</w:t>
            </w:r>
            <w:r w:rsidR="00FB3BA3">
              <w:rPr>
                <w:color w:val="222222"/>
              </w:rPr>
              <w:t> </w:t>
            </w:r>
            <w:r>
              <w:rPr>
                <w:color w:val="222222"/>
              </w:rPr>
              <w:t>zakázek v režimu zákona.</w:t>
            </w:r>
            <w:r w:rsidRPr="00C83126">
              <w:rPr>
                <w:lang w:eastAsia="ar-SA"/>
              </w:rPr>
              <w:t xml:space="preserve"> </w:t>
            </w:r>
          </w:p>
        </w:tc>
      </w:tr>
    </w:tbl>
    <w:p w:rsidR="001878E7" w:rsidRPr="00C83126" w:rsidRDefault="001878E7" w:rsidP="001878E7">
      <w:pPr>
        <w:pStyle w:val="Zkladntext"/>
        <w:spacing w:after="240"/>
        <w:ind w:left="720"/>
        <w:rPr>
          <w:sz w:val="20"/>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1878E7" w:rsidRPr="007E3B48" w:rsidRDefault="001878E7"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lastRenderedPageBreak/>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7. - 1. věta, bude při naplnění plánované hodnoty indikátorů v rozmezí 90 % včetně – 105 % včetně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přeplnění plánované hodnoty indikátorů nad 105 % nebude poměrná část dotace vyplacena dle míry přeplnění;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1E14C0" w:rsidRPr="00A1237C" w:rsidRDefault="001E14C0" w:rsidP="001E14C0">
      <w:pPr>
        <w:widowControl w:val="0"/>
        <w:numPr>
          <w:ilvl w:val="0"/>
          <w:numId w:val="9"/>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Vynaložené výdaje v minulosti i v budoucnosti na daného zaměstnance jsou ze 100 % nezpůsobilé.</w:t>
      </w:r>
      <w:r w:rsidRPr="00743611">
        <w:rPr>
          <w:snapToGrid w:val="0"/>
          <w:sz w:val="24"/>
        </w:rPr>
        <w:t xml:space="preserve"> </w:t>
      </w:r>
    </w:p>
    <w:p w:rsidR="00C965B9" w:rsidRDefault="00C965B9">
      <w:pPr>
        <w:spacing w:after="120"/>
        <w:ind w:left="360" w:right="-2" w:hanging="360"/>
        <w:jc w:val="both"/>
        <w:rPr>
          <w:snapToGrid w:val="0"/>
          <w:sz w:val="24"/>
        </w:rPr>
      </w:pPr>
      <w:r>
        <w:rPr>
          <w:snapToGrid w:val="0"/>
          <w:sz w:val="24"/>
        </w:rPr>
        <w:t>1</w:t>
      </w:r>
      <w:r w:rsidR="0089123C">
        <w:rPr>
          <w:snapToGrid w:val="0"/>
          <w:sz w:val="24"/>
        </w:rPr>
        <w:t>5</w:t>
      </w:r>
      <w:r>
        <w:rPr>
          <w:snapToGrid w:val="0"/>
          <w:sz w:val="24"/>
        </w:rPr>
        <w:t>. 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Default="00C965B9" w:rsidP="006E116A">
      <w:pPr>
        <w:spacing w:after="120"/>
        <w:ind w:right="-2"/>
        <w:jc w:val="both"/>
        <w:rPr>
          <w:snapToGrid w:val="0"/>
          <w:sz w:val="24"/>
        </w:rPr>
      </w:pP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lastRenderedPageBreak/>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 xml:space="preserve">při nesplnění podmínek uvedených v části III, na které je poskytnutí dotace vázáno pod bodem 2., bude odvod za porušení rozpočtové kázně stanoven </w:t>
      </w:r>
      <w:r w:rsidR="00F01C28">
        <w:rPr>
          <w:snapToGrid w:val="0"/>
          <w:sz w:val="24"/>
        </w:rPr>
        <w:t xml:space="preserve">dle </w:t>
      </w:r>
      <w:r w:rsidR="006C7CB2">
        <w:rPr>
          <w:snapToGrid w:val="0"/>
          <w:sz w:val="24"/>
        </w:rPr>
        <w:t>nejzávažnějšího porušení</w:t>
      </w:r>
      <w:r w:rsidRPr="00491989">
        <w:rPr>
          <w:snapToGrid w:val="0"/>
          <w:sz w:val="24"/>
        </w:rPr>
        <w:t xml:space="preserve"> </w:t>
      </w:r>
      <w:r w:rsidR="002605B2">
        <w:rPr>
          <w:snapToGrid w:val="0"/>
          <w:sz w:val="24"/>
        </w:rPr>
        <w:t xml:space="preserve">uvedeného </w:t>
      </w:r>
      <w:r w:rsidR="00766628">
        <w:rPr>
          <w:snapToGrid w:val="0"/>
          <w:sz w:val="24"/>
        </w:rPr>
        <w:t xml:space="preserve">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xml:space="preserve">), </w:t>
      </w:r>
      <w:r w:rsidR="00BB095D" w:rsidRPr="00491989">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Pr="00051A9B">
        <w:rPr>
          <w:snapToGrid w:val="0"/>
          <w:sz w:val="24"/>
        </w:rPr>
        <w:t>Pozdní oznámení změny statutárního zástupce a</w:t>
      </w:r>
      <w:r w:rsidR="00613254">
        <w:rPr>
          <w:snapToGrid w:val="0"/>
          <w:sz w:val="24"/>
        </w:rPr>
        <w:t> </w:t>
      </w:r>
      <w:r w:rsidRPr="00051A9B">
        <w:rPr>
          <w:snapToGrid w:val="0"/>
          <w:sz w:val="24"/>
        </w:rPr>
        <w:t>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při nesplnění podmínek uvedených v části III, na které je poskytnutí dotace vázáno pod bodem 7. - 1. věta, nebude odvod za porušení rozpočtové kázně spočívající v naplnění plánované hodnoty indikátorů v rozmezí 90</w:t>
      </w:r>
      <w:r>
        <w:rPr>
          <w:snapToGrid w:val="0"/>
          <w:sz w:val="24"/>
        </w:rPr>
        <w:t xml:space="preserve"> </w:t>
      </w:r>
      <w:r w:rsidRPr="00FE2EF1">
        <w:rPr>
          <w:snapToGrid w:val="0"/>
          <w:sz w:val="24"/>
        </w:rPr>
        <w:t>% včetně – 105</w:t>
      </w:r>
      <w:r>
        <w:rPr>
          <w:snapToGrid w:val="0"/>
          <w:sz w:val="24"/>
        </w:rPr>
        <w:t xml:space="preserve"> </w:t>
      </w:r>
      <w:r w:rsidRPr="00FE2EF1">
        <w:rPr>
          <w:snapToGrid w:val="0"/>
          <w:sz w:val="24"/>
        </w:rPr>
        <w:t xml:space="preserve">% včetně 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přeplnění plánované hodnoty indikátorů nad 105</w:t>
      </w:r>
      <w:r>
        <w:rPr>
          <w:snapToGrid w:val="0"/>
          <w:sz w:val="24"/>
        </w:rPr>
        <w:t xml:space="preserve"> </w:t>
      </w:r>
      <w:r w:rsidRPr="00FE2EF1">
        <w:rPr>
          <w:snapToGrid w:val="0"/>
          <w:sz w:val="24"/>
        </w:rPr>
        <w:t>% bude stanoven odvod odpovídající procentu</w:t>
      </w:r>
      <w:r w:rsidR="00AC41E2">
        <w:rPr>
          <w:snapToGrid w:val="0"/>
          <w:sz w:val="24"/>
        </w:rPr>
        <w:t>á</w:t>
      </w:r>
      <w:r w:rsidRPr="00FE2EF1">
        <w:rPr>
          <w:snapToGrid w:val="0"/>
          <w:sz w:val="24"/>
        </w:rPr>
        <w:t xml:space="preserve">lně míře přeplnění;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c) zákona č. 218/2000 Sb., o rozpočtových pravidlech.  </w:t>
      </w:r>
    </w:p>
    <w:p w:rsidR="007A6969" w:rsidRDefault="00C965B9">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nejedná se o porušení rozpočtové kázně. Vynaložené výdaje v minulosti i v budoucnosti na daného zaměstnance jsou ze 100 % nezpůsobilé.</w:t>
      </w:r>
      <w:r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 xml:space="preserve">podezření na nesrovnalost spočívající v porušení rozpočtové kázně dle zákona </w:t>
      </w:r>
      <w:r w:rsidRPr="00FE2EF1">
        <w:rPr>
          <w:snapToGrid w:val="0"/>
          <w:sz w:val="24"/>
        </w:rPr>
        <w:lastRenderedPageBreak/>
        <w:t>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Default="00C965B9" w:rsidP="009430BB">
      <w:pPr>
        <w:widowControl w:val="0"/>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je</w:t>
      </w:r>
      <w:r w:rsidRPr="00964654">
        <w:rPr>
          <w:snapToGrid w:val="0"/>
          <w:sz w:val="24"/>
        </w:rPr>
        <w:t xml:space="preserve"> </w:t>
      </w:r>
      <w:r w:rsidRPr="00964654">
        <w:rPr>
          <w:snapToGrid w:val="0"/>
          <w:sz w:val="24"/>
          <w:szCs w:val="24"/>
        </w:rPr>
        <w:t>vyhotoveno v</w:t>
      </w:r>
      <w:r>
        <w:rPr>
          <w:snapToGrid w:val="0"/>
          <w:sz w:val="24"/>
          <w:szCs w:val="24"/>
        </w:rPr>
        <w:t>e</w:t>
      </w:r>
      <w:r w:rsidRPr="00964654">
        <w:rPr>
          <w:snapToGrid w:val="0"/>
          <w:sz w:val="24"/>
          <w:szCs w:val="24"/>
        </w:rPr>
        <w:t> </w:t>
      </w:r>
      <w:r>
        <w:rPr>
          <w:snapToGrid w:val="0"/>
          <w:sz w:val="24"/>
          <w:szCs w:val="24"/>
        </w:rPr>
        <w:t>čtyřech</w:t>
      </w:r>
      <w:r w:rsidRPr="00964654">
        <w:rPr>
          <w:snapToGrid w:val="0"/>
          <w:sz w:val="24"/>
          <w:szCs w:val="24"/>
        </w:rPr>
        <w:t xml:space="preserve"> stejnopisech</w:t>
      </w:r>
      <w:r>
        <w:rPr>
          <w:snapToGrid w:val="0"/>
          <w:sz w:val="24"/>
          <w:szCs w:val="24"/>
        </w:rPr>
        <w:t xml:space="preserve">, </w:t>
      </w:r>
      <w:r w:rsidRPr="00964654">
        <w:rPr>
          <w:snapToGrid w:val="0"/>
          <w:sz w:val="24"/>
          <w:szCs w:val="24"/>
        </w:rPr>
        <w:t xml:space="preserve">z nichž každý má platnost originálu Jeden stejnopis obdrží příjemce, </w:t>
      </w:r>
      <w:r>
        <w:rPr>
          <w:snapToGrid w:val="0"/>
          <w:sz w:val="24"/>
          <w:szCs w:val="24"/>
        </w:rPr>
        <w:t>tři</w:t>
      </w:r>
      <w:r w:rsidRPr="00964654">
        <w:rPr>
          <w:snapToGrid w:val="0"/>
          <w:sz w:val="24"/>
          <w:szCs w:val="24"/>
        </w:rPr>
        <w:t xml:space="preserve"> 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C3" w:rsidRDefault="00BC7BC3">
      <w:r>
        <w:separator/>
      </w:r>
    </w:p>
  </w:endnote>
  <w:endnote w:type="continuationSeparator" w:id="0">
    <w:p w:rsidR="00BC7BC3" w:rsidRDefault="00BC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BC7BC3" w:rsidRDefault="00BC7B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Pr="00FE72D5" w:rsidRDefault="00BC7BC3" w:rsidP="00950014">
    <w:pPr>
      <w:pStyle w:val="Zpat"/>
      <w:framePr w:wrap="around" w:vAnchor="text" w:hAnchor="margin" w:xAlign="center" w:y="1"/>
      <w:rPr>
        <w:sz w:val="22"/>
        <w:szCs w:val="22"/>
      </w:rPr>
    </w:pPr>
    <w:r>
      <w:rPr>
        <w:snapToGrid w:val="0"/>
      </w:rPr>
      <w:tab/>
    </w:r>
    <w:r>
      <w:rPr>
        <w:snapToGrid w:val="0"/>
      </w:rPr>
      <w:tab/>
    </w:r>
  </w:p>
  <w:p w:rsidR="00BC7BC3" w:rsidRDefault="00BC7BC3">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rsidP="00252AF5">
    <w:pPr>
      <w:pStyle w:val="Zpat"/>
      <w:framePr w:h="820" w:hRule="exact" w:wrap="around" w:vAnchor="text" w:hAnchor="margin" w:xAlign="center" w:y="125"/>
      <w:rPr>
        <w:sz w:val="22"/>
        <w:szCs w:val="22"/>
      </w:rPr>
    </w:pPr>
    <w:r>
      <w:rPr>
        <w:snapToGrid w:val="0"/>
      </w:rPr>
      <w:t>Registrační číslo projektu:…………………………..</w:t>
    </w:r>
    <w:r>
      <w:rPr>
        <w:snapToGrid w:val="0"/>
      </w:rPr>
      <w:tab/>
    </w:r>
    <w:r>
      <w:rPr>
        <w:snapToGrid w:val="0"/>
      </w:rPr>
      <w:tab/>
    </w:r>
    <w:r>
      <w:rPr>
        <w:rStyle w:val="slostrnky"/>
      </w:rPr>
      <w:fldChar w:fldCharType="begin"/>
    </w:r>
    <w:r>
      <w:rPr>
        <w:rStyle w:val="slostrnky"/>
      </w:rPr>
      <w:instrText xml:space="preserve"> PAGE </w:instrText>
    </w:r>
    <w:r>
      <w:rPr>
        <w:rStyle w:val="slostrnky"/>
      </w:rPr>
      <w:fldChar w:fldCharType="separate"/>
    </w:r>
    <w:r w:rsidR="00137552">
      <w:rPr>
        <w:rStyle w:val="slostrnky"/>
        <w:noProof/>
      </w:rPr>
      <w:t>3</w:t>
    </w:r>
    <w:r>
      <w:rPr>
        <w:rStyle w:val="slostrnky"/>
      </w:rPr>
      <w:fldChar w:fldCharType="end"/>
    </w:r>
  </w:p>
  <w:p w:rsidR="00BC7BC3" w:rsidRDefault="00BC7BC3">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C3" w:rsidRDefault="00BC7BC3">
      <w:r>
        <w:separator/>
      </w:r>
    </w:p>
  </w:footnote>
  <w:footnote w:type="continuationSeparator" w:id="0">
    <w:p w:rsidR="00BC7BC3" w:rsidRDefault="00BC7BC3">
      <w:r>
        <w:continuationSeparator/>
      </w:r>
    </w:p>
  </w:footnote>
  <w:footnote w:id="1">
    <w:p w:rsidR="00BC7BC3" w:rsidRDefault="00BC7BC3"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BC7BC3" w:rsidRDefault="00BC7BC3" w:rsidP="004207D3">
      <w:pPr>
        <w:pStyle w:val="Textpoznpodarou"/>
        <w:jc w:val="both"/>
      </w:pPr>
      <w:r>
        <w:rPr>
          <w:rStyle w:val="Znakapoznpodarou"/>
        </w:rPr>
        <w:footnoteRef/>
      </w:r>
      <w:r>
        <w:t xml:space="preserve"> Podle ustanovení § 44 odst. 2 písm. f) zákona č. 218/2000 Sb., o rozpočtových pravidlech a o změně některých zákonů (rozpočtová pravidla), ve znění pozdějších předpisů;</w:t>
      </w:r>
    </w:p>
  </w:footnote>
  <w:footnote w:id="3">
    <w:p w:rsidR="00BC7BC3" w:rsidRDefault="00BC7BC3" w:rsidP="004207D3">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 </w:t>
      </w:r>
    </w:p>
    <w:p w:rsidR="00BC7BC3" w:rsidRDefault="00BC7BC3" w:rsidP="004207D3">
      <w:pPr>
        <w:pStyle w:val="Textpoznpodarou"/>
        <w:jc w:val="both"/>
      </w:pPr>
    </w:p>
  </w:footnote>
  <w:footnote w:id="4">
    <w:p w:rsidR="00BC7BC3" w:rsidRDefault="00BC7BC3">
      <w:pPr>
        <w:pStyle w:val="Textpoznpodarou"/>
        <w:jc w:val="both"/>
      </w:pPr>
      <w:r>
        <w:rPr>
          <w:rStyle w:val="Znakapoznpodarou"/>
        </w:rPr>
        <w:footnoteRef/>
      </w:r>
      <w:r>
        <w:t xml:space="preserve"> Účinnost aktualizovaných Závazných postupů je stanovena od 1. 6.</w:t>
      </w:r>
      <w:r w:rsidR="00BD3621">
        <w:t xml:space="preserve"> </w:t>
      </w:r>
      <w:r>
        <w:t>2014 a je vztažena k řídícím dokumentům, a</w:t>
      </w:r>
      <w:r w:rsidR="00B07ABD">
        <w:t> </w:t>
      </w:r>
      <w:r>
        <w:t>právním aktům o poskytnutí podpory, které byly vydány po tomto datu.</w:t>
      </w:r>
    </w:p>
  </w:footnote>
  <w:footnote w:id="5">
    <w:p w:rsidR="00BC7BC3" w:rsidRDefault="00BC7BC3">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BC7BC3" w:rsidRDefault="00BC7BC3">
      <w:pPr>
        <w:pStyle w:val="Textkomente"/>
        <w:jc w:val="both"/>
      </w:pPr>
    </w:p>
  </w:footnote>
  <w:footnote w:id="6">
    <w:p w:rsidR="00BC7BC3" w:rsidRDefault="00BC7BC3" w:rsidP="001878E7">
      <w:pPr>
        <w:pStyle w:val="Textpoznpodarou"/>
      </w:pPr>
      <w:r>
        <w:rPr>
          <w:rStyle w:val="Znakapoznpodarou"/>
        </w:rPr>
        <w:footnoteRef/>
      </w:r>
      <w:r>
        <w:t xml:space="preserve"> </w:t>
      </w:r>
      <w:r w:rsidRPr="001E6397">
        <w:rPr>
          <w:rFonts w:ascii="Arial" w:hAnsi="Arial" w:cs="Arial"/>
          <w:sz w:val="16"/>
          <w:szCs w:val="16"/>
        </w:rPr>
        <w:t>Za jednotlivý případ podle § 44a odst. 4 písm. b) zákona č. 218/2000 Sb., se považuje jednotlivé výběrové řízení, nikoli jednotlivé porušení v dále uvedených tabulkách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BC7BC3" w:rsidRDefault="00BC7BC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pPr>
      <w:pStyle w:val="Zhlav"/>
      <w:framePr w:wrap="around" w:vAnchor="text" w:hAnchor="margin" w:xAlign="right" w:y="1"/>
      <w:rPr>
        <w:rStyle w:val="slostrnky"/>
        <w:sz w:val="24"/>
      </w:rPr>
    </w:pPr>
  </w:p>
  <w:p w:rsidR="00BC7BC3" w:rsidRDefault="00BC7BC3"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pPr>
      <w:pStyle w:val="Zhlav"/>
      <w:framePr w:wrap="around" w:vAnchor="text" w:hAnchor="margin" w:xAlign="right" w:y="1"/>
      <w:rPr>
        <w:rStyle w:val="slostrnky"/>
        <w:sz w:val="24"/>
      </w:rPr>
    </w:pPr>
  </w:p>
  <w:p w:rsidR="00BC7BC3" w:rsidRDefault="00BC7BC3"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4">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8">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9">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2">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4">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9"/>
  </w:num>
  <w:num w:numId="3">
    <w:abstractNumId w:val="11"/>
  </w:num>
  <w:num w:numId="4">
    <w:abstractNumId w:val="32"/>
  </w:num>
  <w:num w:numId="5">
    <w:abstractNumId w:val="24"/>
  </w:num>
  <w:num w:numId="6">
    <w:abstractNumId w:val="13"/>
  </w:num>
  <w:num w:numId="7">
    <w:abstractNumId w:val="34"/>
  </w:num>
  <w:num w:numId="8">
    <w:abstractNumId w:val="10"/>
  </w:num>
  <w:num w:numId="9">
    <w:abstractNumId w:val="5"/>
  </w:num>
  <w:num w:numId="10">
    <w:abstractNumId w:val="21"/>
  </w:num>
  <w:num w:numId="11">
    <w:abstractNumId w:val="2"/>
  </w:num>
  <w:num w:numId="12">
    <w:abstractNumId w:val="20"/>
  </w:num>
  <w:num w:numId="13">
    <w:abstractNumId w:val="37"/>
  </w:num>
  <w:num w:numId="14">
    <w:abstractNumId w:val="7"/>
  </w:num>
  <w:num w:numId="15">
    <w:abstractNumId w:val="1"/>
  </w:num>
  <w:num w:numId="16">
    <w:abstractNumId w:val="4"/>
  </w:num>
  <w:num w:numId="17">
    <w:abstractNumId w:val="39"/>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5"/>
  </w:num>
  <w:num w:numId="31">
    <w:abstractNumId w:val="38"/>
  </w:num>
  <w:num w:numId="32">
    <w:abstractNumId w:val="29"/>
  </w:num>
  <w:num w:numId="33">
    <w:abstractNumId w:val="33"/>
  </w:num>
  <w:num w:numId="34">
    <w:abstractNumId w:val="8"/>
  </w:num>
  <w:num w:numId="35">
    <w:abstractNumId w:val="3"/>
  </w:num>
  <w:num w:numId="36">
    <w:abstractNumId w:val="27"/>
  </w:num>
  <w:num w:numId="37">
    <w:abstractNumId w:val="22"/>
  </w:num>
  <w:num w:numId="3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28"/>
  </w:num>
  <w:num w:numId="43">
    <w:abstractNumId w:val="19"/>
  </w:num>
  <w:num w:numId="44">
    <w:abstractNumId w:val="26"/>
  </w:num>
  <w:num w:numId="45">
    <w:abstractNumId w:val="31"/>
  </w:num>
  <w:num w:numId="46">
    <w:abstractNumId w:val="1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72C"/>
    <w:rsid w:val="00045C24"/>
    <w:rsid w:val="00045C61"/>
    <w:rsid w:val="00047B07"/>
    <w:rsid w:val="00047C19"/>
    <w:rsid w:val="00047ED8"/>
    <w:rsid w:val="00050471"/>
    <w:rsid w:val="00051A9B"/>
    <w:rsid w:val="00052238"/>
    <w:rsid w:val="0005341E"/>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66B"/>
    <w:rsid w:val="00137552"/>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6464"/>
    <w:rsid w:val="002713A9"/>
    <w:rsid w:val="0027243D"/>
    <w:rsid w:val="00273133"/>
    <w:rsid w:val="00274249"/>
    <w:rsid w:val="0027457A"/>
    <w:rsid w:val="002750D6"/>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5EC5"/>
    <w:rsid w:val="002B60FA"/>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C36"/>
    <w:rsid w:val="002D6F1F"/>
    <w:rsid w:val="002D7665"/>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902"/>
    <w:rsid w:val="0038276E"/>
    <w:rsid w:val="00382AC6"/>
    <w:rsid w:val="00382EE4"/>
    <w:rsid w:val="00383B61"/>
    <w:rsid w:val="00384AD4"/>
    <w:rsid w:val="00386A78"/>
    <w:rsid w:val="00387ACD"/>
    <w:rsid w:val="00390567"/>
    <w:rsid w:val="00393C07"/>
    <w:rsid w:val="00393F93"/>
    <w:rsid w:val="00394ACD"/>
    <w:rsid w:val="00396A56"/>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F1805"/>
    <w:rsid w:val="003F1E66"/>
    <w:rsid w:val="003F2017"/>
    <w:rsid w:val="003F2EF6"/>
    <w:rsid w:val="003F390F"/>
    <w:rsid w:val="003F55E2"/>
    <w:rsid w:val="003F6D7A"/>
    <w:rsid w:val="00401704"/>
    <w:rsid w:val="00402300"/>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17E2"/>
    <w:rsid w:val="004221E5"/>
    <w:rsid w:val="00422D7C"/>
    <w:rsid w:val="00423CBE"/>
    <w:rsid w:val="004241A8"/>
    <w:rsid w:val="0042446B"/>
    <w:rsid w:val="004254B6"/>
    <w:rsid w:val="0042555C"/>
    <w:rsid w:val="00425676"/>
    <w:rsid w:val="0042643A"/>
    <w:rsid w:val="00430B7C"/>
    <w:rsid w:val="00432907"/>
    <w:rsid w:val="0043457B"/>
    <w:rsid w:val="00436AF6"/>
    <w:rsid w:val="0044037A"/>
    <w:rsid w:val="0044162B"/>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7A01"/>
    <w:rsid w:val="00567ACE"/>
    <w:rsid w:val="00570072"/>
    <w:rsid w:val="00571078"/>
    <w:rsid w:val="00572B52"/>
    <w:rsid w:val="00572ED2"/>
    <w:rsid w:val="00573D09"/>
    <w:rsid w:val="00573F55"/>
    <w:rsid w:val="00574BB5"/>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76C9"/>
    <w:rsid w:val="005B7E8B"/>
    <w:rsid w:val="005C076D"/>
    <w:rsid w:val="005C18C3"/>
    <w:rsid w:val="005C265D"/>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C3"/>
    <w:rsid w:val="005F59F9"/>
    <w:rsid w:val="00600F38"/>
    <w:rsid w:val="006039B0"/>
    <w:rsid w:val="00604A8D"/>
    <w:rsid w:val="00606B34"/>
    <w:rsid w:val="00606D79"/>
    <w:rsid w:val="00607098"/>
    <w:rsid w:val="006117CD"/>
    <w:rsid w:val="0061291F"/>
    <w:rsid w:val="006131EC"/>
    <w:rsid w:val="00613254"/>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62E5"/>
    <w:rsid w:val="0069720D"/>
    <w:rsid w:val="00697801"/>
    <w:rsid w:val="006A0511"/>
    <w:rsid w:val="006A127B"/>
    <w:rsid w:val="006A1E7E"/>
    <w:rsid w:val="006A442C"/>
    <w:rsid w:val="006A473E"/>
    <w:rsid w:val="006A4DF1"/>
    <w:rsid w:val="006A654C"/>
    <w:rsid w:val="006A72C1"/>
    <w:rsid w:val="006A7A40"/>
    <w:rsid w:val="006B0B93"/>
    <w:rsid w:val="006B10F4"/>
    <w:rsid w:val="006B1762"/>
    <w:rsid w:val="006B1B41"/>
    <w:rsid w:val="006B7AB9"/>
    <w:rsid w:val="006C1879"/>
    <w:rsid w:val="006C1CB0"/>
    <w:rsid w:val="006C46F7"/>
    <w:rsid w:val="006C5EA4"/>
    <w:rsid w:val="006C7CB2"/>
    <w:rsid w:val="006D0786"/>
    <w:rsid w:val="006D1C3E"/>
    <w:rsid w:val="006D2E83"/>
    <w:rsid w:val="006D6D0D"/>
    <w:rsid w:val="006D71B1"/>
    <w:rsid w:val="006E0106"/>
    <w:rsid w:val="006E116A"/>
    <w:rsid w:val="006E2ED1"/>
    <w:rsid w:val="006E4DC4"/>
    <w:rsid w:val="006E54B8"/>
    <w:rsid w:val="006F1B2B"/>
    <w:rsid w:val="006F359A"/>
    <w:rsid w:val="006F3E72"/>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2DF2"/>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969"/>
    <w:rsid w:val="007B38E0"/>
    <w:rsid w:val="007B3F4B"/>
    <w:rsid w:val="007B44EB"/>
    <w:rsid w:val="007B4E73"/>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66C7"/>
    <w:rsid w:val="007F7016"/>
    <w:rsid w:val="007F75A1"/>
    <w:rsid w:val="008006EC"/>
    <w:rsid w:val="00800CA6"/>
    <w:rsid w:val="00800CE4"/>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4031"/>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63E"/>
    <w:rsid w:val="00862DCB"/>
    <w:rsid w:val="00863D71"/>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D5F3A"/>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2EB"/>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4C44"/>
    <w:rsid w:val="009E5537"/>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1A5"/>
    <w:rsid w:val="00A51097"/>
    <w:rsid w:val="00A51386"/>
    <w:rsid w:val="00A516C4"/>
    <w:rsid w:val="00A52B69"/>
    <w:rsid w:val="00A53D2D"/>
    <w:rsid w:val="00A558E3"/>
    <w:rsid w:val="00A60744"/>
    <w:rsid w:val="00A61988"/>
    <w:rsid w:val="00A61E80"/>
    <w:rsid w:val="00A6269C"/>
    <w:rsid w:val="00A642CC"/>
    <w:rsid w:val="00A647DA"/>
    <w:rsid w:val="00A64DED"/>
    <w:rsid w:val="00A65902"/>
    <w:rsid w:val="00A659D5"/>
    <w:rsid w:val="00A70F8D"/>
    <w:rsid w:val="00A70FCE"/>
    <w:rsid w:val="00A71055"/>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4199"/>
    <w:rsid w:val="00A85744"/>
    <w:rsid w:val="00A8592D"/>
    <w:rsid w:val="00A85C54"/>
    <w:rsid w:val="00A85D75"/>
    <w:rsid w:val="00A872F8"/>
    <w:rsid w:val="00A914AF"/>
    <w:rsid w:val="00A9169E"/>
    <w:rsid w:val="00A91E46"/>
    <w:rsid w:val="00A96FF8"/>
    <w:rsid w:val="00A9740C"/>
    <w:rsid w:val="00AA0B77"/>
    <w:rsid w:val="00AA236F"/>
    <w:rsid w:val="00AA2920"/>
    <w:rsid w:val="00AA3ECD"/>
    <w:rsid w:val="00AA3EDF"/>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41E2"/>
    <w:rsid w:val="00AC5EA3"/>
    <w:rsid w:val="00AC62AD"/>
    <w:rsid w:val="00AD09E8"/>
    <w:rsid w:val="00AD1713"/>
    <w:rsid w:val="00AD1B78"/>
    <w:rsid w:val="00AD2561"/>
    <w:rsid w:val="00AD4A8B"/>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B9"/>
    <w:rsid w:val="00B04102"/>
    <w:rsid w:val="00B043B4"/>
    <w:rsid w:val="00B04B0E"/>
    <w:rsid w:val="00B05B1D"/>
    <w:rsid w:val="00B05EF4"/>
    <w:rsid w:val="00B0664F"/>
    <w:rsid w:val="00B07017"/>
    <w:rsid w:val="00B0742A"/>
    <w:rsid w:val="00B07ABD"/>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613EB"/>
    <w:rsid w:val="00B62061"/>
    <w:rsid w:val="00B623F3"/>
    <w:rsid w:val="00B62ABF"/>
    <w:rsid w:val="00B6542D"/>
    <w:rsid w:val="00B65F02"/>
    <w:rsid w:val="00B66D9C"/>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621"/>
    <w:rsid w:val="00BD3D13"/>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E53"/>
    <w:rsid w:val="00BF6BEA"/>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B8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3B21"/>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2FEB"/>
    <w:rsid w:val="00D235E5"/>
    <w:rsid w:val="00D2452D"/>
    <w:rsid w:val="00D25241"/>
    <w:rsid w:val="00D25FBB"/>
    <w:rsid w:val="00D26A80"/>
    <w:rsid w:val="00D2747D"/>
    <w:rsid w:val="00D27B68"/>
    <w:rsid w:val="00D30241"/>
    <w:rsid w:val="00D30DEA"/>
    <w:rsid w:val="00D334C4"/>
    <w:rsid w:val="00D34EA8"/>
    <w:rsid w:val="00D40086"/>
    <w:rsid w:val="00D405C3"/>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12E7"/>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8F3"/>
    <w:rsid w:val="00DD18A4"/>
    <w:rsid w:val="00DD4802"/>
    <w:rsid w:val="00DD5D18"/>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EAB"/>
    <w:rsid w:val="00E14599"/>
    <w:rsid w:val="00E1626C"/>
    <w:rsid w:val="00E172AE"/>
    <w:rsid w:val="00E17CF8"/>
    <w:rsid w:val="00E205CD"/>
    <w:rsid w:val="00E20D46"/>
    <w:rsid w:val="00E20DD8"/>
    <w:rsid w:val="00E21686"/>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727A"/>
    <w:rsid w:val="00E47350"/>
    <w:rsid w:val="00E47607"/>
    <w:rsid w:val="00E47E1B"/>
    <w:rsid w:val="00E50B88"/>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740D"/>
    <w:rsid w:val="00E87E70"/>
    <w:rsid w:val="00E90E60"/>
    <w:rsid w:val="00E90F36"/>
    <w:rsid w:val="00E92299"/>
    <w:rsid w:val="00E94C55"/>
    <w:rsid w:val="00E97C48"/>
    <w:rsid w:val="00E97E17"/>
    <w:rsid w:val="00E97E31"/>
    <w:rsid w:val="00EA189B"/>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17DD"/>
    <w:rsid w:val="00EF2D2E"/>
    <w:rsid w:val="00EF3B67"/>
    <w:rsid w:val="00EF5BB5"/>
    <w:rsid w:val="00EF6474"/>
    <w:rsid w:val="00EF6DE5"/>
    <w:rsid w:val="00F00FE4"/>
    <w:rsid w:val="00F01705"/>
    <w:rsid w:val="00F01C28"/>
    <w:rsid w:val="00F055A7"/>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FFF"/>
    <w:rsid w:val="00F6086C"/>
    <w:rsid w:val="00F60B75"/>
    <w:rsid w:val="00F60D91"/>
    <w:rsid w:val="00F61384"/>
    <w:rsid w:val="00F6272D"/>
    <w:rsid w:val="00F6405A"/>
    <w:rsid w:val="00F65265"/>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798"/>
    <w:rsid w:val="00FA0F62"/>
    <w:rsid w:val="00FA2A40"/>
    <w:rsid w:val="00FA3657"/>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A3A2-24BB-45DD-B4CE-3934B9DC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4251</Words>
  <Characters>25084</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Petra Lisová</cp:lastModifiedBy>
  <cp:revision>9</cp:revision>
  <cp:lastPrinted>2012-08-28T07:34:00Z</cp:lastPrinted>
  <dcterms:created xsi:type="dcterms:W3CDTF">2014-06-04T14:06:00Z</dcterms:created>
  <dcterms:modified xsi:type="dcterms:W3CDTF">2014-06-06T14:48:00Z</dcterms:modified>
</cp:coreProperties>
</file>