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700" w:rsidRPr="003E5833" w:rsidRDefault="002D1CE0">
      <w:pPr>
        <w:rPr>
          <w:rFonts w:ascii="Arial" w:hAnsi="Arial" w:cs="Arial"/>
          <w:b/>
          <w:lang w:val="en-GB"/>
        </w:rPr>
      </w:pPr>
      <w:r w:rsidRPr="003E5833">
        <w:rPr>
          <w:rFonts w:ascii="Arial" w:hAnsi="Arial" w:cs="Arial"/>
          <w:b/>
          <w:lang w:val="en-GB"/>
        </w:rPr>
        <w:t>DTP Danube Transnational Programme</w:t>
      </w:r>
      <w:r w:rsidR="00A46F5C" w:rsidRPr="003E5833">
        <w:rPr>
          <w:rFonts w:ascii="Arial" w:hAnsi="Arial" w:cs="Arial"/>
          <w:b/>
          <w:lang w:val="en-GB"/>
        </w:rPr>
        <w:t xml:space="preserve"> 2014 - 2020</w:t>
      </w:r>
    </w:p>
    <w:p w:rsidR="00C76574" w:rsidRPr="003E5833" w:rsidRDefault="00C76574">
      <w:pPr>
        <w:rPr>
          <w:rFonts w:ascii="Arial" w:hAnsi="Arial" w:cs="Arial"/>
          <w:b/>
          <w:lang w:val="en-GB"/>
        </w:rPr>
      </w:pPr>
      <w:r w:rsidRPr="003E5833">
        <w:rPr>
          <w:rFonts w:ascii="Arial" w:hAnsi="Arial" w:cs="Arial"/>
          <w:b/>
          <w:lang w:val="en-GB"/>
        </w:rPr>
        <w:t>Glossary</w:t>
      </w:r>
    </w:p>
    <w:tbl>
      <w:tblPr>
        <w:tblStyle w:val="Rcsostblzat"/>
        <w:tblW w:w="9640" w:type="dxa"/>
        <w:tblInd w:w="-176" w:type="dxa"/>
        <w:tblLayout w:type="fixed"/>
        <w:tblLook w:val="04A0" w:firstRow="1" w:lastRow="0" w:firstColumn="1" w:lastColumn="0" w:noHBand="0" w:noVBand="1"/>
      </w:tblPr>
      <w:tblGrid>
        <w:gridCol w:w="2552"/>
        <w:gridCol w:w="7088"/>
      </w:tblGrid>
      <w:tr w:rsidR="00E84AA4" w:rsidRPr="003E5833" w:rsidTr="00AD5345">
        <w:tc>
          <w:tcPr>
            <w:tcW w:w="2552" w:type="dxa"/>
          </w:tcPr>
          <w:p w:rsidR="00E84AA4" w:rsidRPr="003E5833" w:rsidRDefault="00E84AA4" w:rsidP="00AD5345">
            <w:pPr>
              <w:spacing w:beforeLines="20" w:before="48" w:afterLines="20" w:after="48"/>
              <w:jc w:val="both"/>
              <w:rPr>
                <w:rFonts w:ascii="Arial" w:hAnsi="Arial" w:cs="Arial"/>
                <w:b/>
                <w:sz w:val="20"/>
                <w:szCs w:val="20"/>
                <w:lang w:val="en-GB"/>
              </w:rPr>
            </w:pPr>
            <w:r w:rsidRPr="003E5833">
              <w:rPr>
                <w:rFonts w:ascii="Arial" w:hAnsi="Arial" w:cs="Arial"/>
                <w:b/>
                <w:sz w:val="20"/>
                <w:szCs w:val="20"/>
                <w:lang w:val="en-GB"/>
              </w:rPr>
              <w:t>Creative industries</w:t>
            </w:r>
          </w:p>
        </w:tc>
        <w:tc>
          <w:tcPr>
            <w:tcW w:w="7088" w:type="dxa"/>
          </w:tcPr>
          <w:p w:rsidR="00E84AA4" w:rsidRPr="003E5833" w:rsidRDefault="00E84AA4" w:rsidP="00AD5345">
            <w:pPr>
              <w:spacing w:beforeLines="20" w:before="48" w:afterLines="20" w:after="48"/>
              <w:rPr>
                <w:rFonts w:ascii="Arial" w:hAnsi="Arial" w:cs="Arial"/>
                <w:b/>
                <w:sz w:val="20"/>
                <w:szCs w:val="20"/>
                <w:lang w:val="en-GB"/>
              </w:rPr>
            </w:pPr>
            <w:r w:rsidRPr="003E5833">
              <w:rPr>
                <w:rFonts w:ascii="Arial" w:hAnsi="Arial" w:cs="Arial"/>
                <w:color w:val="000000"/>
                <w:sz w:val="20"/>
                <w:szCs w:val="20"/>
                <w:lang w:val="en-GB"/>
              </w:rPr>
              <w:t xml:space="preserve">UNESCO defines cultural and creative industries as “sectors of organised activity whose principal purpose is the production or reproduction, promotion, distribution and/or commercialisation of goods, services and activities of a cultural, artistic or heritage-related nature.” This approach emphasises more than just the industrially made products of human creativity, it makes relevant the entire productive chain, as well as the specific functions of each sector involved in bringing these creations to the public. </w:t>
            </w:r>
            <w:hyperlink r:id="rId7" w:history="1">
              <w:r w:rsidRPr="003E5833">
                <w:rPr>
                  <w:rStyle w:val="Hiperhivatkozs"/>
                  <w:rFonts w:ascii="Arial" w:hAnsi="Arial" w:cs="Arial"/>
                  <w:sz w:val="20"/>
                  <w:szCs w:val="20"/>
                  <w:lang w:val="en-GB"/>
                </w:rPr>
                <w:t>http://www.unesco.org/new/en/santiago/culture/creative-industries/</w:t>
              </w:r>
            </w:hyperlink>
            <w:r w:rsidRPr="003E5833">
              <w:rPr>
                <w:rFonts w:ascii="Arial" w:hAnsi="Arial" w:cs="Arial"/>
                <w:sz w:val="20"/>
                <w:szCs w:val="20"/>
                <w:lang w:val="en-GB"/>
              </w:rPr>
              <w:t xml:space="preserve"> </w:t>
            </w:r>
            <w:r w:rsidRPr="003E5833">
              <w:rPr>
                <w:rFonts w:ascii="Arial" w:hAnsi="Arial" w:cs="Arial"/>
                <w:color w:val="000000"/>
                <w:sz w:val="20"/>
                <w:szCs w:val="20"/>
                <w:lang w:val="en-GB"/>
              </w:rPr>
              <w:t>(United Nations Organization for Education, Science and Culture (UNESCO))</w:t>
            </w:r>
          </w:p>
        </w:tc>
      </w:tr>
      <w:tr w:rsidR="00E84AA4" w:rsidRPr="003E5833" w:rsidTr="00AD5345">
        <w:tc>
          <w:tcPr>
            <w:tcW w:w="2552" w:type="dxa"/>
          </w:tcPr>
          <w:p w:rsidR="00E84AA4" w:rsidRPr="003E5833" w:rsidRDefault="00E84AA4" w:rsidP="00AD5345">
            <w:pPr>
              <w:spacing w:beforeLines="20" w:before="48" w:afterLines="20" w:after="48"/>
              <w:rPr>
                <w:rFonts w:ascii="Arial" w:hAnsi="Arial" w:cs="Arial"/>
                <w:b/>
                <w:sz w:val="20"/>
                <w:szCs w:val="20"/>
                <w:lang w:val="en-GB"/>
              </w:rPr>
            </w:pPr>
            <w:r w:rsidRPr="003E5833">
              <w:rPr>
                <w:rFonts w:ascii="Arial" w:hAnsi="Arial" w:cs="Arial"/>
                <w:b/>
                <w:sz w:val="20"/>
                <w:szCs w:val="20"/>
                <w:lang w:val="en-GB"/>
              </w:rPr>
              <w:t>Cultural incubators</w:t>
            </w:r>
          </w:p>
        </w:tc>
        <w:tc>
          <w:tcPr>
            <w:tcW w:w="7088" w:type="dxa"/>
          </w:tcPr>
          <w:p w:rsidR="00E84AA4" w:rsidRPr="003E5833" w:rsidRDefault="00E84AA4" w:rsidP="00AD5345">
            <w:pPr>
              <w:spacing w:beforeLines="20" w:before="48" w:afterLines="20" w:after="48"/>
              <w:rPr>
                <w:rFonts w:ascii="Arial" w:hAnsi="Arial" w:cs="Arial"/>
                <w:sz w:val="20"/>
                <w:szCs w:val="20"/>
                <w:lang w:val="en-GB"/>
              </w:rPr>
            </w:pPr>
            <w:r w:rsidRPr="003E5833">
              <w:rPr>
                <w:rFonts w:ascii="Arial" w:hAnsi="Arial" w:cs="Arial"/>
                <w:sz w:val="20"/>
                <w:szCs w:val="20"/>
                <w:lang w:val="en-GB"/>
              </w:rPr>
              <w:t xml:space="preserve">The concept of Incubators for Cultural Enterprises (ICE) has two scalable versions. On the one hand, the incubator itself (i.e. the building), a space where new companies get in touch with others working in complementary sectors. Besides, these companies receive on-site </w:t>
            </w:r>
            <w:proofErr w:type="spellStart"/>
            <w:r w:rsidRPr="003E5833">
              <w:rPr>
                <w:rFonts w:ascii="Arial" w:hAnsi="Arial" w:cs="Arial"/>
                <w:sz w:val="20"/>
                <w:szCs w:val="20"/>
                <w:lang w:val="en-GB"/>
              </w:rPr>
              <w:t>counseling</w:t>
            </w:r>
            <w:proofErr w:type="spellEnd"/>
            <w:r w:rsidRPr="003E5833">
              <w:rPr>
                <w:rFonts w:ascii="Arial" w:hAnsi="Arial" w:cs="Arial"/>
                <w:sz w:val="20"/>
                <w:szCs w:val="20"/>
                <w:lang w:val="en-GB"/>
              </w:rPr>
              <w:t>. On the other hand, the virtual incubator, defined as a set of tools and online services that will serve as a channel of communication and knowledge transfer between entrepreneurs and technical experts in business management.</w:t>
            </w:r>
          </w:p>
          <w:p w:rsidR="00E84AA4" w:rsidRPr="003E5833" w:rsidRDefault="00AD5345" w:rsidP="00AD5345">
            <w:pPr>
              <w:spacing w:beforeLines="20" w:before="48" w:afterLines="20" w:after="48"/>
              <w:rPr>
                <w:rFonts w:ascii="Arial" w:hAnsi="Arial" w:cs="Arial"/>
                <w:b/>
                <w:sz w:val="20"/>
                <w:szCs w:val="20"/>
                <w:lang w:val="en-GB"/>
              </w:rPr>
            </w:pPr>
            <w:hyperlink r:id="rId8" w:history="1">
              <w:r w:rsidR="00E84AA4" w:rsidRPr="003E5833">
                <w:rPr>
                  <w:rStyle w:val="Hiperhivatkozs"/>
                  <w:rFonts w:ascii="Arial" w:hAnsi="Arial" w:cs="Arial"/>
                  <w:sz w:val="20"/>
                  <w:szCs w:val="20"/>
                  <w:lang w:val="en-GB"/>
                </w:rPr>
                <w:t>http://www.3c4incubators.eu/wp-content/uploads/2014/02/ICE-Sustainability-Model.pdf</w:t>
              </w:r>
            </w:hyperlink>
            <w:r w:rsidR="00E84AA4" w:rsidRPr="003E5833">
              <w:rPr>
                <w:rFonts w:ascii="Arial" w:hAnsi="Arial" w:cs="Arial"/>
                <w:sz w:val="20"/>
                <w:szCs w:val="20"/>
                <w:lang w:val="en-GB"/>
              </w:rPr>
              <w:t xml:space="preserve"> </w:t>
            </w:r>
            <w:r w:rsidR="00E84AA4" w:rsidRPr="003E5833">
              <w:rPr>
                <w:rFonts w:ascii="Arial" w:hAnsi="Arial" w:cs="Arial"/>
                <w:noProof/>
                <w:sz w:val="20"/>
                <w:szCs w:val="20"/>
                <w:lang w:val="en-GB" w:eastAsia="de-AT"/>
              </w:rPr>
              <w:t>(Incubators for cultural Enterprises)</w:t>
            </w:r>
          </w:p>
        </w:tc>
      </w:tr>
      <w:tr w:rsidR="00E84AA4" w:rsidRPr="003E5833" w:rsidTr="00AD5345">
        <w:tc>
          <w:tcPr>
            <w:tcW w:w="2552" w:type="dxa"/>
          </w:tcPr>
          <w:p w:rsidR="00E84AA4" w:rsidRPr="003E5833" w:rsidRDefault="00E84AA4" w:rsidP="00AD5345">
            <w:pPr>
              <w:spacing w:beforeLines="20" w:before="48" w:afterLines="20" w:after="48"/>
              <w:rPr>
                <w:rFonts w:ascii="Arial" w:hAnsi="Arial" w:cs="Arial"/>
                <w:b/>
                <w:sz w:val="20"/>
                <w:szCs w:val="20"/>
                <w:lang w:val="en-GB"/>
              </w:rPr>
            </w:pPr>
            <w:r w:rsidRPr="003E5833">
              <w:rPr>
                <w:rFonts w:ascii="Arial" w:hAnsi="Arial" w:cs="Arial"/>
                <w:b/>
                <w:sz w:val="20"/>
                <w:szCs w:val="20"/>
                <w:lang w:val="en-GB"/>
              </w:rPr>
              <w:t>Dual</w:t>
            </w:r>
            <w:r w:rsidRPr="003E5833">
              <w:rPr>
                <w:rFonts w:ascii="Arial" w:hAnsi="Arial" w:cs="Arial"/>
                <w:sz w:val="20"/>
                <w:szCs w:val="20"/>
                <w:lang w:val="en-GB"/>
              </w:rPr>
              <w:t xml:space="preserve"> </w:t>
            </w:r>
            <w:r w:rsidRPr="003E5833">
              <w:rPr>
                <w:rFonts w:ascii="Arial" w:hAnsi="Arial" w:cs="Arial"/>
                <w:b/>
                <w:sz w:val="20"/>
                <w:szCs w:val="20"/>
                <w:lang w:val="en-GB"/>
              </w:rPr>
              <w:t>education</w:t>
            </w:r>
            <w:r w:rsidRPr="003E5833">
              <w:rPr>
                <w:rFonts w:ascii="Arial" w:hAnsi="Arial" w:cs="Arial"/>
                <w:sz w:val="20"/>
                <w:szCs w:val="20"/>
                <w:lang w:val="en-GB"/>
              </w:rPr>
              <w:t xml:space="preserve"> </w:t>
            </w:r>
            <w:r w:rsidRPr="003E5833">
              <w:rPr>
                <w:rFonts w:ascii="Arial" w:hAnsi="Arial" w:cs="Arial"/>
                <w:b/>
                <w:sz w:val="20"/>
                <w:szCs w:val="20"/>
                <w:lang w:val="en-GB"/>
              </w:rPr>
              <w:t>system</w:t>
            </w:r>
          </w:p>
        </w:tc>
        <w:tc>
          <w:tcPr>
            <w:tcW w:w="7088" w:type="dxa"/>
          </w:tcPr>
          <w:p w:rsidR="00E84AA4" w:rsidRPr="003E5833" w:rsidRDefault="00E84AA4" w:rsidP="00AD5345">
            <w:pPr>
              <w:spacing w:beforeLines="20" w:before="48" w:afterLines="20" w:after="48"/>
              <w:rPr>
                <w:rFonts w:ascii="Arial" w:hAnsi="Arial" w:cs="Arial"/>
                <w:sz w:val="20"/>
                <w:szCs w:val="20"/>
                <w:lang w:val="en-GB"/>
              </w:rPr>
            </w:pPr>
            <w:r w:rsidRPr="003E5833">
              <w:rPr>
                <w:rFonts w:ascii="Arial" w:hAnsi="Arial" w:cs="Arial"/>
                <w:sz w:val="20"/>
                <w:szCs w:val="20"/>
                <w:lang w:val="en-GB"/>
              </w:rPr>
              <w:t>Dual training system is an apprenticeship-type training involving a combination of in-company and school-based training. It is characterized by practical training combined with general education.</w:t>
            </w:r>
          </w:p>
          <w:p w:rsidR="00E84AA4" w:rsidRPr="003E5833" w:rsidRDefault="00AD5345" w:rsidP="00AD5345">
            <w:pPr>
              <w:pStyle w:val="Default"/>
              <w:spacing w:beforeLines="20" w:before="48" w:afterLines="20" w:after="48"/>
              <w:rPr>
                <w:b/>
                <w:sz w:val="20"/>
                <w:szCs w:val="20"/>
                <w:lang w:val="en-GB"/>
              </w:rPr>
            </w:pPr>
            <w:hyperlink r:id="rId9" w:history="1">
              <w:r w:rsidR="00E84AA4" w:rsidRPr="003E5833">
                <w:rPr>
                  <w:rStyle w:val="Hiperhivatkozs"/>
                  <w:sz w:val="20"/>
                  <w:szCs w:val="20"/>
                  <w:lang w:val="en-GB"/>
                </w:rPr>
                <w:t>http://ec.europa.eu/social/main.jsp?catId=1070&amp;langId=en&amp;newsId=1948&amp;moreDocuments=yes&amp;tableName=news</w:t>
              </w:r>
            </w:hyperlink>
            <w:r w:rsidR="00E84AA4" w:rsidRPr="003E5833">
              <w:rPr>
                <w:sz w:val="20"/>
                <w:szCs w:val="20"/>
                <w:lang w:val="en-GB"/>
              </w:rPr>
              <w:t xml:space="preserve"> (</w:t>
            </w:r>
            <w:r w:rsidR="00E84AA4" w:rsidRPr="003E5833">
              <w:rPr>
                <w:bCs/>
                <w:sz w:val="20"/>
                <w:szCs w:val="20"/>
                <w:lang w:val="en-GB"/>
              </w:rPr>
              <w:t>SUMMARY OF THE PEER REVIEW ON “The dual training system - integration of young people into the labour market” Berlin, 24-25 September 2012)</w:t>
            </w:r>
          </w:p>
        </w:tc>
      </w:tr>
      <w:tr w:rsidR="002B12D8" w:rsidRPr="003E5833" w:rsidTr="00AD5345">
        <w:tc>
          <w:tcPr>
            <w:tcW w:w="2552" w:type="dxa"/>
          </w:tcPr>
          <w:p w:rsidR="002B12D8" w:rsidRPr="003E5833" w:rsidRDefault="002B12D8" w:rsidP="00AD5345">
            <w:pPr>
              <w:autoSpaceDE w:val="0"/>
              <w:autoSpaceDN w:val="0"/>
              <w:adjustRightInd w:val="0"/>
              <w:spacing w:beforeLines="20" w:before="48" w:afterLines="20" w:after="48"/>
              <w:rPr>
                <w:rFonts w:ascii="Arial" w:hAnsi="Arial" w:cs="Arial"/>
                <w:b/>
                <w:sz w:val="20"/>
                <w:szCs w:val="20"/>
                <w:lang w:val="en-GB"/>
              </w:rPr>
            </w:pPr>
            <w:r w:rsidRPr="003E5833">
              <w:rPr>
                <w:rFonts w:ascii="Arial" w:hAnsi="Arial" w:cs="Arial"/>
                <w:b/>
                <w:sz w:val="20"/>
                <w:szCs w:val="20"/>
                <w:lang w:val="en-GB"/>
              </w:rPr>
              <w:t>Eco-innovation</w:t>
            </w:r>
          </w:p>
          <w:p w:rsidR="002B12D8" w:rsidRPr="003E5833" w:rsidRDefault="002B12D8" w:rsidP="00AD5345">
            <w:pPr>
              <w:autoSpaceDE w:val="0"/>
              <w:autoSpaceDN w:val="0"/>
              <w:adjustRightInd w:val="0"/>
              <w:spacing w:beforeLines="20" w:before="48" w:afterLines="20" w:after="48"/>
              <w:rPr>
                <w:rFonts w:ascii="Arial" w:hAnsi="Arial" w:cs="Arial"/>
                <w:b/>
                <w:sz w:val="20"/>
                <w:szCs w:val="20"/>
                <w:lang w:val="en-GB"/>
              </w:rPr>
            </w:pPr>
          </w:p>
        </w:tc>
        <w:tc>
          <w:tcPr>
            <w:tcW w:w="7088" w:type="dxa"/>
          </w:tcPr>
          <w:p w:rsidR="002B12D8" w:rsidRPr="003E5833" w:rsidRDefault="002B12D8" w:rsidP="00AD5345">
            <w:pPr>
              <w:pStyle w:val="maufzhlung"/>
              <w:numPr>
                <w:ilvl w:val="0"/>
                <w:numId w:val="0"/>
              </w:numPr>
              <w:spacing w:beforeLines="20" w:before="48" w:afterLines="20" w:after="48" w:line="240" w:lineRule="auto"/>
              <w:rPr>
                <w:rFonts w:eastAsia="ECSquareSansPro" w:cs="Arial"/>
                <w:lang w:val="en-GB"/>
              </w:rPr>
            </w:pPr>
            <w:r w:rsidRPr="003E5833">
              <w:rPr>
                <w:rFonts w:cs="Arial"/>
                <w:lang w:val="en-GB"/>
              </w:rPr>
              <w:t>Eco-innovation has become one of the EU´s priorities closely linked to climate change adaption and mitigation and is a term used to describe technological products and processes that contribute to sustainable development. Eco-innovation is the commercial application of knowledge to bring-out direct or indirect ecological improvements (e.g. in order to tackle climate change adaption and mitigation). Eco-innovation is closely linked to a variety of related terms such as 'environmental technology' or 'eco-efficiency'. Eco-innovation has an energy-related (energy generation from renewable and their integration into the energy system, energy efficiency) and a non-energy related dimension (environmental technologies in transportation, water &amp; wastewater, air &amp; environment, materials, manufacturing / industrial, recycling &amp; waste, recycling management).</w:t>
            </w:r>
          </w:p>
        </w:tc>
      </w:tr>
      <w:tr w:rsidR="002B12D8" w:rsidRPr="003E5833" w:rsidTr="00AD5345">
        <w:tc>
          <w:tcPr>
            <w:tcW w:w="2552" w:type="dxa"/>
          </w:tcPr>
          <w:p w:rsidR="002B12D8" w:rsidRPr="003E5833" w:rsidRDefault="002B12D8" w:rsidP="00AD5345">
            <w:pPr>
              <w:autoSpaceDE w:val="0"/>
              <w:autoSpaceDN w:val="0"/>
              <w:adjustRightInd w:val="0"/>
              <w:spacing w:beforeLines="20" w:before="48" w:afterLines="20" w:after="48"/>
              <w:rPr>
                <w:rFonts w:ascii="Arial" w:hAnsi="Arial" w:cs="Arial"/>
                <w:b/>
                <w:sz w:val="20"/>
                <w:szCs w:val="20"/>
                <w:lang w:val="en-GB"/>
              </w:rPr>
            </w:pPr>
            <w:r w:rsidRPr="003E5833">
              <w:rPr>
                <w:rFonts w:ascii="Arial" w:hAnsi="Arial" w:cs="Arial"/>
                <w:b/>
                <w:sz w:val="20"/>
                <w:szCs w:val="20"/>
                <w:lang w:val="en-GB"/>
              </w:rPr>
              <w:t>Ecosystem services</w:t>
            </w:r>
          </w:p>
          <w:p w:rsidR="002B12D8" w:rsidRPr="003E5833" w:rsidRDefault="002B12D8" w:rsidP="00AD5345">
            <w:pPr>
              <w:autoSpaceDE w:val="0"/>
              <w:autoSpaceDN w:val="0"/>
              <w:adjustRightInd w:val="0"/>
              <w:spacing w:beforeLines="20" w:before="48" w:afterLines="20" w:after="48"/>
              <w:rPr>
                <w:rFonts w:ascii="Arial" w:hAnsi="Arial" w:cs="Arial"/>
                <w:b/>
                <w:sz w:val="20"/>
                <w:szCs w:val="20"/>
                <w:lang w:val="en-GB"/>
              </w:rPr>
            </w:pPr>
          </w:p>
        </w:tc>
        <w:tc>
          <w:tcPr>
            <w:tcW w:w="7088" w:type="dxa"/>
          </w:tcPr>
          <w:p w:rsidR="00840ACD" w:rsidRPr="003E5833" w:rsidRDefault="00840ACD" w:rsidP="00AD5345">
            <w:pPr>
              <w:spacing w:after="120"/>
              <w:rPr>
                <w:rFonts w:ascii="Arial" w:hAnsi="Arial" w:cs="Arial"/>
                <w:sz w:val="20"/>
                <w:szCs w:val="20"/>
                <w:lang w:val="en-GB"/>
              </w:rPr>
            </w:pPr>
            <w:r w:rsidRPr="003E5833">
              <w:rPr>
                <w:rFonts w:ascii="Arial" w:hAnsi="Arial" w:cs="Arial"/>
                <w:sz w:val="20"/>
                <w:szCs w:val="20"/>
                <w:lang w:val="en-GB"/>
              </w:rPr>
              <w:t>Ecosystem services are the direct and indirect contributions of ecosystems to human well-being (</w:t>
            </w:r>
            <w:r w:rsidR="003E5833">
              <w:rPr>
                <w:rFonts w:ascii="Arial" w:hAnsi="Arial" w:cs="Arial"/>
                <w:sz w:val="20"/>
                <w:szCs w:val="20"/>
                <w:lang w:val="en-GB"/>
              </w:rPr>
              <w:t xml:space="preserve">according to </w:t>
            </w:r>
            <w:r w:rsidRPr="003E5833">
              <w:rPr>
                <w:rFonts w:ascii="Arial" w:hAnsi="Arial" w:cs="Arial"/>
                <w:sz w:val="20"/>
                <w:szCs w:val="20"/>
                <w:lang w:val="en-GB"/>
              </w:rPr>
              <w:t xml:space="preserve">TEEB </w:t>
            </w:r>
            <w:r w:rsidR="00071C66" w:rsidRPr="003E5833">
              <w:rPr>
                <w:rFonts w:ascii="Arial" w:hAnsi="Arial" w:cs="Arial"/>
                <w:sz w:val="20"/>
                <w:szCs w:val="20"/>
                <w:lang w:val="en-GB"/>
              </w:rPr>
              <w:t>study,</w:t>
            </w:r>
            <w:r w:rsidR="00071C66" w:rsidRPr="003E5833">
              <w:rPr>
                <w:lang w:val="en-GB"/>
              </w:rPr>
              <w:t xml:space="preserve"> </w:t>
            </w:r>
            <w:r w:rsidR="00071C66" w:rsidRPr="003E5833">
              <w:rPr>
                <w:rFonts w:ascii="Arial" w:hAnsi="Arial" w:cs="Arial"/>
                <w:sz w:val="20"/>
                <w:szCs w:val="20"/>
                <w:lang w:val="en-GB"/>
              </w:rPr>
              <w:t>The scientific and economic foundations for valuing biodiversity and ecosystem services, part D0 providing theoretical foundations</w:t>
            </w:r>
            <w:r w:rsidRPr="003E5833">
              <w:rPr>
                <w:rFonts w:ascii="Arial" w:hAnsi="Arial" w:cs="Arial"/>
                <w:sz w:val="20"/>
                <w:szCs w:val="20"/>
                <w:lang w:val="en-GB"/>
              </w:rPr>
              <w:t xml:space="preserve">). They support directly or indirectly our survival and quality of life. According to </w:t>
            </w:r>
            <w:r w:rsidR="00810627">
              <w:rPr>
                <w:rFonts w:ascii="Arial" w:hAnsi="Arial" w:cs="Arial"/>
                <w:sz w:val="20"/>
                <w:szCs w:val="20"/>
                <w:lang w:val="en-GB"/>
              </w:rPr>
              <w:t xml:space="preserve">the </w:t>
            </w:r>
            <w:r w:rsidRPr="003E5833">
              <w:rPr>
                <w:rFonts w:ascii="Arial" w:hAnsi="Arial" w:cs="Arial"/>
                <w:sz w:val="20"/>
                <w:szCs w:val="20"/>
                <w:lang w:val="en-GB"/>
              </w:rPr>
              <w:t>TEEB</w:t>
            </w:r>
            <w:r w:rsidR="00071C66" w:rsidRPr="003E5833">
              <w:rPr>
                <w:rFonts w:ascii="Arial" w:hAnsi="Arial" w:cs="Arial"/>
                <w:sz w:val="20"/>
                <w:szCs w:val="20"/>
                <w:lang w:val="en-GB"/>
              </w:rPr>
              <w:t xml:space="preserve"> study</w:t>
            </w:r>
            <w:r w:rsidRPr="003E5833">
              <w:rPr>
                <w:rFonts w:ascii="Arial" w:hAnsi="Arial" w:cs="Arial"/>
                <w:sz w:val="20"/>
                <w:szCs w:val="20"/>
                <w:lang w:val="en-GB"/>
              </w:rPr>
              <w:t>, ecosystem services can be categorized in four main types:</w:t>
            </w:r>
          </w:p>
          <w:p w:rsidR="00840ACD" w:rsidRPr="003E5833" w:rsidRDefault="00840ACD" w:rsidP="00840ACD">
            <w:pPr>
              <w:pStyle w:val="Listaszerbekezds"/>
              <w:numPr>
                <w:ilvl w:val="2"/>
                <w:numId w:val="3"/>
              </w:numPr>
              <w:ind w:left="271" w:hanging="271"/>
              <w:rPr>
                <w:rFonts w:ascii="Arial" w:hAnsi="Arial" w:cs="Arial"/>
                <w:i/>
                <w:iCs/>
                <w:sz w:val="20"/>
                <w:szCs w:val="20"/>
                <w:lang w:val="en-GB"/>
              </w:rPr>
            </w:pPr>
            <w:r w:rsidRPr="00AD5345">
              <w:rPr>
                <w:rFonts w:ascii="Arial" w:hAnsi="Arial" w:cs="Arial"/>
                <w:i/>
                <w:iCs/>
                <w:sz w:val="20"/>
                <w:szCs w:val="20"/>
                <w:lang w:val="en-GB"/>
              </w:rPr>
              <w:t xml:space="preserve">Provisioning services are the products obtained from ecosystems such as food, fresh water, wood, </w:t>
            </w:r>
            <w:proofErr w:type="spellStart"/>
            <w:r w:rsidRPr="00AD5345">
              <w:rPr>
                <w:rFonts w:ascii="Arial" w:hAnsi="Arial" w:cs="Arial"/>
                <w:i/>
                <w:iCs/>
                <w:sz w:val="20"/>
                <w:szCs w:val="20"/>
                <w:lang w:val="en-GB"/>
              </w:rPr>
              <w:t>fiber</w:t>
            </w:r>
            <w:proofErr w:type="spellEnd"/>
            <w:r w:rsidRPr="00AD5345">
              <w:rPr>
                <w:rFonts w:ascii="Arial" w:hAnsi="Arial" w:cs="Arial"/>
                <w:i/>
                <w:iCs/>
                <w:sz w:val="20"/>
                <w:szCs w:val="20"/>
                <w:lang w:val="en-GB"/>
              </w:rPr>
              <w:t>, genetic resources and medicines.</w:t>
            </w:r>
          </w:p>
          <w:p w:rsidR="00840ACD" w:rsidRPr="003E5833" w:rsidRDefault="00840ACD" w:rsidP="00840ACD">
            <w:pPr>
              <w:pStyle w:val="Listaszerbekezds"/>
              <w:numPr>
                <w:ilvl w:val="2"/>
                <w:numId w:val="3"/>
              </w:numPr>
              <w:ind w:left="271" w:hanging="271"/>
              <w:rPr>
                <w:rFonts w:ascii="Arial" w:hAnsi="Arial" w:cs="Arial"/>
                <w:i/>
                <w:iCs/>
                <w:sz w:val="20"/>
                <w:szCs w:val="20"/>
                <w:lang w:val="en-GB"/>
              </w:rPr>
            </w:pPr>
            <w:r w:rsidRPr="00AD5345">
              <w:rPr>
                <w:rFonts w:ascii="Arial" w:hAnsi="Arial" w:cs="Arial"/>
                <w:i/>
                <w:iCs/>
                <w:sz w:val="20"/>
                <w:szCs w:val="20"/>
                <w:lang w:val="en-GB"/>
              </w:rPr>
              <w:t>Regulating services are defined as the benefits obtained from the regulation of ecosystem processes such as climate regulation, natural hazard regulation, water purification and waste management, pollination or pest control.</w:t>
            </w:r>
          </w:p>
          <w:p w:rsidR="00840ACD" w:rsidRPr="003E5833" w:rsidRDefault="00840ACD" w:rsidP="00840ACD">
            <w:pPr>
              <w:pStyle w:val="Listaszerbekezds"/>
              <w:numPr>
                <w:ilvl w:val="2"/>
                <w:numId w:val="3"/>
              </w:numPr>
              <w:ind w:left="271" w:hanging="271"/>
              <w:rPr>
                <w:rFonts w:ascii="Arial" w:hAnsi="Arial" w:cs="Arial"/>
                <w:i/>
                <w:iCs/>
                <w:sz w:val="20"/>
                <w:szCs w:val="20"/>
                <w:lang w:val="en-GB"/>
              </w:rPr>
            </w:pPr>
            <w:r w:rsidRPr="00AD5345">
              <w:rPr>
                <w:rFonts w:ascii="Arial" w:hAnsi="Arial" w:cs="Arial"/>
                <w:i/>
                <w:iCs/>
                <w:sz w:val="20"/>
                <w:szCs w:val="20"/>
                <w:lang w:val="en-GB"/>
              </w:rPr>
              <w:t>Habitat services highlight the importance of ecosystems to provide habitat for migratory species and to maintain the viability of gene-pools.</w:t>
            </w:r>
          </w:p>
          <w:p w:rsidR="00FC2700" w:rsidRPr="003E5833" w:rsidRDefault="00840ACD" w:rsidP="00071C66">
            <w:pPr>
              <w:pStyle w:val="Listaszerbekezds"/>
              <w:numPr>
                <w:ilvl w:val="2"/>
                <w:numId w:val="3"/>
              </w:numPr>
              <w:ind w:left="271" w:hanging="271"/>
              <w:rPr>
                <w:rFonts w:ascii="Arial" w:hAnsi="Arial" w:cs="Arial"/>
                <w:i/>
                <w:iCs/>
                <w:sz w:val="20"/>
                <w:szCs w:val="20"/>
                <w:lang w:val="en-GB"/>
              </w:rPr>
            </w:pPr>
            <w:r w:rsidRPr="00AD5345">
              <w:rPr>
                <w:rFonts w:ascii="Arial" w:hAnsi="Arial" w:cs="Arial"/>
                <w:i/>
                <w:iCs/>
                <w:sz w:val="20"/>
                <w:szCs w:val="20"/>
                <w:lang w:val="en-GB"/>
              </w:rPr>
              <w:t>Cultural services include non-material benefits that people obtain from ecosystems such as spiritual enrichment, intellectual development, recreation and aesthetic values.</w:t>
            </w:r>
          </w:p>
          <w:p w:rsidR="00FC2700" w:rsidRPr="003E5833" w:rsidRDefault="00840ACD" w:rsidP="00AD5345">
            <w:pPr>
              <w:autoSpaceDE w:val="0"/>
              <w:autoSpaceDN w:val="0"/>
              <w:adjustRightInd w:val="0"/>
              <w:spacing w:beforeLines="20" w:before="48" w:afterLines="20" w:after="48"/>
              <w:rPr>
                <w:rFonts w:ascii="Arial" w:hAnsi="Arial" w:cs="Arial"/>
                <w:sz w:val="20"/>
                <w:szCs w:val="20"/>
                <w:lang w:val="en-GB"/>
              </w:rPr>
            </w:pPr>
            <w:r w:rsidRPr="003E5833">
              <w:rPr>
                <w:rFonts w:ascii="Arial" w:hAnsi="Arial" w:cs="Arial"/>
                <w:sz w:val="20"/>
                <w:szCs w:val="20"/>
                <w:lang w:val="en-GB"/>
              </w:rPr>
              <w:lastRenderedPageBreak/>
              <w:t xml:space="preserve">Source: </w:t>
            </w:r>
            <w:hyperlink r:id="rId10" w:history="1">
              <w:r w:rsidRPr="003E5833">
                <w:rPr>
                  <w:rStyle w:val="Hiperhivatkozs"/>
                  <w:rFonts w:ascii="Arial" w:hAnsi="Arial" w:cs="Arial"/>
                  <w:i/>
                  <w:iCs/>
                  <w:sz w:val="20"/>
                  <w:szCs w:val="20"/>
                  <w:lang w:val="en-GB"/>
                </w:rPr>
                <w:t>http://biodiversity.europa.eu/topics/ecosystem-services</w:t>
              </w:r>
            </w:hyperlink>
          </w:p>
        </w:tc>
      </w:tr>
      <w:tr w:rsidR="002B12D8" w:rsidRPr="003E5833" w:rsidTr="00AD5345">
        <w:tc>
          <w:tcPr>
            <w:tcW w:w="2552" w:type="dxa"/>
          </w:tcPr>
          <w:p w:rsidR="002B12D8" w:rsidRPr="003E5833" w:rsidRDefault="002B12D8" w:rsidP="00AD5345">
            <w:pPr>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lastRenderedPageBreak/>
              <w:t>FLC (first level of control)</w:t>
            </w:r>
          </w:p>
        </w:tc>
        <w:tc>
          <w:tcPr>
            <w:tcW w:w="7088" w:type="dxa"/>
          </w:tcPr>
          <w:p w:rsidR="002B12D8" w:rsidRPr="003E5833" w:rsidRDefault="002B12D8" w:rsidP="00AD5345">
            <w:pPr>
              <w:spacing w:beforeLines="20" w:before="48" w:afterLines="20" w:after="48" w:line="276" w:lineRule="auto"/>
              <w:rPr>
                <w:rFonts w:ascii="Arial" w:hAnsi="Arial" w:cs="Arial"/>
                <w:sz w:val="20"/>
                <w:szCs w:val="20"/>
                <w:lang w:val="en-GB"/>
              </w:rPr>
            </w:pPr>
            <w:r w:rsidRPr="003E5833">
              <w:rPr>
                <w:rFonts w:ascii="Arial" w:hAnsi="Arial" w:cs="Arial"/>
                <w:sz w:val="20"/>
                <w:szCs w:val="20"/>
                <w:lang w:val="en-GB"/>
              </w:rPr>
              <w:t>First Level of Control involves checking administrative, financial, technical and physical aspects of operations, as appropriate.  It involves checking that all project expenditure is eligible according to the Common Eligibility Rules of the relevant programme, European Regulations and National Legislation.</w:t>
            </w:r>
          </w:p>
          <w:p w:rsidR="002B12D8" w:rsidRPr="003E5833" w:rsidRDefault="00AD5345" w:rsidP="00AD5345">
            <w:pPr>
              <w:spacing w:beforeLines="20" w:before="48" w:afterLines="20" w:after="48"/>
              <w:rPr>
                <w:rFonts w:ascii="Arial" w:hAnsi="Arial" w:cs="Arial"/>
                <w:b/>
                <w:sz w:val="20"/>
                <w:szCs w:val="20"/>
                <w:lang w:val="en-GB"/>
              </w:rPr>
            </w:pPr>
            <w:hyperlink r:id="rId11" w:history="1">
              <w:r w:rsidR="002B12D8" w:rsidRPr="003E5833">
                <w:rPr>
                  <w:rStyle w:val="Hiperhivatkozs"/>
                  <w:rFonts w:ascii="Arial" w:hAnsi="Arial" w:cs="Arial"/>
                  <w:sz w:val="20"/>
                  <w:szCs w:val="20"/>
                  <w:lang w:val="en-GB"/>
                </w:rPr>
                <w:t>http://www.seupb.eu/programmes2007-2013/interreg-overview/FirstLevelofControl.aspx</w:t>
              </w:r>
            </w:hyperlink>
            <w:r w:rsidR="002B12D8" w:rsidRPr="003E5833">
              <w:rPr>
                <w:rFonts w:ascii="Arial" w:hAnsi="Arial" w:cs="Arial"/>
                <w:sz w:val="20"/>
                <w:szCs w:val="20"/>
                <w:lang w:val="en-GB"/>
              </w:rPr>
              <w:t xml:space="preserve"> (Special EU Programmes Body)</w:t>
            </w:r>
          </w:p>
        </w:tc>
      </w:tr>
      <w:tr w:rsidR="009B56DF" w:rsidRPr="003E5833" w:rsidTr="00AD5345">
        <w:trPr>
          <w:trHeight w:val="2239"/>
        </w:trPr>
        <w:tc>
          <w:tcPr>
            <w:tcW w:w="2552" w:type="dxa"/>
          </w:tcPr>
          <w:p w:rsidR="009B56DF" w:rsidRPr="003E5833" w:rsidRDefault="009B56DF" w:rsidP="00AD5345">
            <w:pPr>
              <w:autoSpaceDE w:val="0"/>
              <w:autoSpaceDN w:val="0"/>
              <w:adjustRightInd w:val="0"/>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Green infrastructures</w:t>
            </w:r>
          </w:p>
          <w:p w:rsidR="009B56DF" w:rsidRPr="003E5833" w:rsidRDefault="009B56DF" w:rsidP="00AD5345">
            <w:pPr>
              <w:autoSpaceDE w:val="0"/>
              <w:autoSpaceDN w:val="0"/>
              <w:adjustRightInd w:val="0"/>
              <w:spacing w:beforeLines="20" w:before="48" w:afterLines="20" w:after="48" w:line="276" w:lineRule="auto"/>
              <w:rPr>
                <w:rFonts w:ascii="Arial" w:hAnsi="Arial" w:cs="Arial"/>
                <w:b/>
                <w:sz w:val="20"/>
                <w:szCs w:val="20"/>
                <w:highlight w:val="yellow"/>
                <w:lang w:val="en-GB"/>
              </w:rPr>
            </w:pPr>
          </w:p>
          <w:p w:rsidR="009B56DF" w:rsidRPr="003E5833" w:rsidRDefault="009B56DF" w:rsidP="00AD5345">
            <w:pPr>
              <w:autoSpaceDE w:val="0"/>
              <w:autoSpaceDN w:val="0"/>
              <w:adjustRightInd w:val="0"/>
              <w:spacing w:beforeLines="20" w:before="48" w:afterLines="20" w:after="48" w:line="276" w:lineRule="auto"/>
              <w:rPr>
                <w:rFonts w:ascii="Arial" w:hAnsi="Arial" w:cs="Arial"/>
                <w:b/>
                <w:sz w:val="20"/>
                <w:szCs w:val="20"/>
                <w:highlight w:val="yellow"/>
                <w:lang w:val="en-GB"/>
              </w:rPr>
            </w:pPr>
          </w:p>
        </w:tc>
        <w:tc>
          <w:tcPr>
            <w:tcW w:w="7088" w:type="dxa"/>
          </w:tcPr>
          <w:p w:rsidR="009B56DF" w:rsidRPr="003E5833" w:rsidRDefault="009B56DF" w:rsidP="00AD5345">
            <w:pPr>
              <w:autoSpaceDE w:val="0"/>
              <w:autoSpaceDN w:val="0"/>
              <w:adjustRightInd w:val="0"/>
              <w:spacing w:beforeLines="20" w:before="48" w:afterLines="20" w:after="48" w:line="276" w:lineRule="auto"/>
              <w:rPr>
                <w:rFonts w:ascii="Arial" w:eastAsia="ECSquareSansPro" w:hAnsi="Arial" w:cs="Arial"/>
                <w:sz w:val="20"/>
                <w:szCs w:val="20"/>
                <w:lang w:val="en-GB"/>
              </w:rPr>
            </w:pPr>
            <w:r w:rsidRPr="003E5833">
              <w:rPr>
                <w:rFonts w:ascii="Arial" w:eastAsia="ECSquareSansPro" w:hAnsi="Arial" w:cs="Arial"/>
                <w:sz w:val="20"/>
                <w:szCs w:val="20"/>
                <w:lang w:val="en-GB"/>
              </w:rPr>
              <w:t>Green Infrastructure can be broadly defined as a strategically planned network of high quality natural and semi-natural areas with other environmental features, which is designed and managed to deliver a wide range of ecosystem services and protect biodiversity in both rural and urban settings. The term “</w:t>
            </w:r>
            <w:r w:rsidRPr="003E5833">
              <w:rPr>
                <w:rFonts w:ascii="Arial" w:hAnsi="Arial" w:cs="Arial"/>
                <w:sz w:val="20"/>
                <w:szCs w:val="20"/>
                <w:lang w:val="en-GB"/>
              </w:rPr>
              <w:t>Green infrastructures” should not be confused with “hard” physical infrastructure.</w:t>
            </w:r>
          </w:p>
          <w:p w:rsidR="009B56DF" w:rsidRPr="003E5833" w:rsidRDefault="00AD5345" w:rsidP="00AD5345">
            <w:pPr>
              <w:autoSpaceDE w:val="0"/>
              <w:autoSpaceDN w:val="0"/>
              <w:adjustRightInd w:val="0"/>
              <w:spacing w:beforeLines="20" w:before="48" w:afterLines="20" w:after="48"/>
              <w:rPr>
                <w:rFonts w:ascii="Arial" w:hAnsi="Arial" w:cs="Arial"/>
                <w:sz w:val="20"/>
                <w:szCs w:val="20"/>
                <w:highlight w:val="yellow"/>
                <w:lang w:val="en-GB"/>
              </w:rPr>
            </w:pPr>
            <w:hyperlink r:id="rId12" w:history="1">
              <w:r w:rsidR="009B56DF" w:rsidRPr="00810627">
                <w:rPr>
                  <w:rStyle w:val="Hiperhivatkozs"/>
                  <w:rFonts w:ascii="Arial" w:hAnsi="Arial" w:cs="Arial"/>
                  <w:sz w:val="20"/>
                  <w:szCs w:val="20"/>
                  <w:lang w:val="en-GB"/>
                </w:rPr>
                <w:t>http://ec.europa.eu/environment/nature/ecosystems/docs/green_infrastructure_broc.pdf</w:t>
              </w:r>
            </w:hyperlink>
            <w:r w:rsidR="009B56DF" w:rsidRPr="003E5833">
              <w:rPr>
                <w:rFonts w:ascii="Arial" w:hAnsi="Arial" w:cs="Arial"/>
                <w:sz w:val="20"/>
                <w:szCs w:val="20"/>
                <w:lang w:val="en-GB"/>
              </w:rPr>
              <w:t xml:space="preserve"> (Building a Green Infrastructure for Europe)</w:t>
            </w:r>
          </w:p>
        </w:tc>
      </w:tr>
      <w:tr w:rsidR="009B56DF" w:rsidRPr="003E5833" w:rsidTr="00AD5345">
        <w:tc>
          <w:tcPr>
            <w:tcW w:w="2552" w:type="dxa"/>
          </w:tcPr>
          <w:p w:rsidR="009B56DF" w:rsidRPr="003E5833" w:rsidRDefault="009B56DF" w:rsidP="00AD5345">
            <w:pPr>
              <w:autoSpaceDE w:val="0"/>
              <w:autoSpaceDN w:val="0"/>
              <w:adjustRightInd w:val="0"/>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Innovative learning system</w:t>
            </w:r>
          </w:p>
          <w:p w:rsidR="009B56DF" w:rsidRPr="003E5833" w:rsidRDefault="009B56DF" w:rsidP="00AD5345">
            <w:pPr>
              <w:spacing w:beforeLines="20" w:before="48" w:afterLines="20" w:after="48" w:line="276" w:lineRule="auto"/>
              <w:rPr>
                <w:rFonts w:ascii="Arial" w:hAnsi="Arial" w:cs="Arial"/>
                <w:b/>
                <w:sz w:val="20"/>
                <w:szCs w:val="20"/>
                <w:lang w:val="en-GB"/>
              </w:rPr>
            </w:pPr>
          </w:p>
          <w:p w:rsidR="009B56DF" w:rsidRPr="003E5833" w:rsidRDefault="009B56DF" w:rsidP="00AD5345">
            <w:pPr>
              <w:spacing w:beforeLines="20" w:before="48" w:afterLines="20" w:after="48" w:line="276" w:lineRule="auto"/>
              <w:rPr>
                <w:rFonts w:ascii="Arial" w:hAnsi="Arial" w:cs="Arial"/>
                <w:b/>
                <w:sz w:val="20"/>
                <w:szCs w:val="20"/>
                <w:lang w:val="en-GB"/>
              </w:rPr>
            </w:pPr>
          </w:p>
        </w:tc>
        <w:tc>
          <w:tcPr>
            <w:tcW w:w="7088" w:type="dxa"/>
          </w:tcPr>
          <w:p w:rsidR="009B56DF" w:rsidRPr="003E5833" w:rsidRDefault="009B56DF" w:rsidP="00AD5345">
            <w:pPr>
              <w:autoSpaceDE w:val="0"/>
              <w:autoSpaceDN w:val="0"/>
              <w:adjustRightInd w:val="0"/>
              <w:spacing w:beforeLines="20" w:before="48" w:afterLines="20" w:after="48" w:line="276" w:lineRule="auto"/>
              <w:rPr>
                <w:rFonts w:ascii="Arial" w:hAnsi="Arial" w:cs="Arial"/>
                <w:sz w:val="20"/>
                <w:szCs w:val="20"/>
                <w:lang w:val="en-GB"/>
              </w:rPr>
            </w:pPr>
            <w:r w:rsidRPr="003E5833">
              <w:rPr>
                <w:rFonts w:ascii="Arial" w:hAnsi="Arial" w:cs="Arial"/>
                <w:sz w:val="20"/>
                <w:szCs w:val="20"/>
                <w:lang w:val="en-GB"/>
              </w:rPr>
              <w:t>Creating a favourable environment and framework for the implementation of education, training and vocational training with the specific goal of building skills of innovation and creativity, business and soft skills for the fostering of innovation in the Danube region.</w:t>
            </w:r>
            <w:bookmarkStart w:id="0" w:name="_GoBack"/>
            <w:bookmarkEnd w:id="0"/>
          </w:p>
        </w:tc>
      </w:tr>
      <w:tr w:rsidR="00E6699F" w:rsidRPr="003E5833" w:rsidTr="00AD5345">
        <w:trPr>
          <w:trHeight w:val="1041"/>
        </w:trPr>
        <w:tc>
          <w:tcPr>
            <w:tcW w:w="2552" w:type="dxa"/>
          </w:tcPr>
          <w:p w:rsidR="00E6699F" w:rsidRPr="003E5833" w:rsidRDefault="00E6699F" w:rsidP="00AA3F4D">
            <w:pPr>
              <w:rPr>
                <w:b/>
                <w:lang w:val="en-GB"/>
              </w:rPr>
            </w:pPr>
            <w:r w:rsidRPr="003E5833">
              <w:rPr>
                <w:rFonts w:ascii="Arial" w:hAnsi="Arial" w:cs="Arial"/>
                <w:b/>
                <w:sz w:val="20"/>
                <w:szCs w:val="20"/>
                <w:lang w:val="en-GB"/>
              </w:rPr>
              <w:t>Multimodal transport</w:t>
            </w:r>
          </w:p>
        </w:tc>
        <w:tc>
          <w:tcPr>
            <w:tcW w:w="7088" w:type="dxa"/>
          </w:tcPr>
          <w:p w:rsidR="00E6699F" w:rsidRPr="003E5833" w:rsidRDefault="00E6699F" w:rsidP="00AA3F4D">
            <w:pPr>
              <w:rPr>
                <w:rFonts w:ascii="Arial" w:hAnsi="Arial" w:cs="Arial"/>
                <w:sz w:val="20"/>
                <w:szCs w:val="20"/>
                <w:lang w:val="en-GB"/>
              </w:rPr>
            </w:pPr>
            <w:r w:rsidRPr="003E5833">
              <w:rPr>
                <w:rFonts w:ascii="Arial" w:hAnsi="Arial" w:cs="Arial"/>
                <w:sz w:val="20"/>
                <w:szCs w:val="20"/>
                <w:lang w:val="en-GB"/>
              </w:rPr>
              <w:t xml:space="preserve">The carriage of freight or passengers, or both, using two or more modes of transport. </w:t>
            </w:r>
          </w:p>
          <w:p w:rsidR="00E6699F" w:rsidRPr="003E5833" w:rsidRDefault="00E6699F" w:rsidP="00AA3F4D">
            <w:pPr>
              <w:rPr>
                <w:lang w:val="en-GB"/>
              </w:rPr>
            </w:pPr>
            <w:r w:rsidRPr="003E5833">
              <w:rPr>
                <w:rFonts w:ascii="Arial" w:hAnsi="Arial" w:cs="Arial"/>
                <w:sz w:val="20"/>
                <w:szCs w:val="20"/>
                <w:lang w:val="en-GB"/>
              </w:rPr>
              <w:t>Regulation (EU) 1315/2013 of the European Parliament and of the Council of 11 December on Union guidelines</w:t>
            </w:r>
          </w:p>
        </w:tc>
      </w:tr>
      <w:tr w:rsidR="00E6699F" w:rsidRPr="003E5833" w:rsidTr="00AD5345">
        <w:tc>
          <w:tcPr>
            <w:tcW w:w="2552" w:type="dxa"/>
          </w:tcPr>
          <w:p w:rsidR="00E6699F" w:rsidRPr="003E5833" w:rsidRDefault="00E6699F" w:rsidP="00AD5345">
            <w:pPr>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Quadruple helix</w:t>
            </w:r>
          </w:p>
        </w:tc>
        <w:tc>
          <w:tcPr>
            <w:tcW w:w="7088" w:type="dxa"/>
          </w:tcPr>
          <w:p w:rsidR="00E6699F" w:rsidRPr="003E5833" w:rsidRDefault="00E6699F" w:rsidP="00AD5345">
            <w:pPr>
              <w:spacing w:beforeLines="20" w:before="48" w:afterLines="20" w:after="48" w:line="276" w:lineRule="auto"/>
              <w:rPr>
                <w:rFonts w:ascii="Arial" w:hAnsi="Arial" w:cs="Arial"/>
                <w:color w:val="000000"/>
                <w:sz w:val="20"/>
                <w:szCs w:val="20"/>
                <w:lang w:val="en-GB"/>
              </w:rPr>
            </w:pPr>
            <w:r w:rsidRPr="003E5833">
              <w:rPr>
                <w:rFonts w:ascii="Arial" w:hAnsi="Arial" w:cs="Arial"/>
                <w:sz w:val="20"/>
                <w:szCs w:val="20"/>
                <w:lang w:val="en-GB"/>
              </w:rPr>
              <w:t xml:space="preserve">Quadruple helix </w:t>
            </w:r>
            <w:r w:rsidRPr="003E5833">
              <w:rPr>
                <w:rFonts w:ascii="Arial" w:hAnsi="Arial" w:cs="Arial"/>
                <w:color w:val="000000"/>
                <w:sz w:val="20"/>
                <w:szCs w:val="20"/>
                <w:lang w:val="en-GB"/>
              </w:rPr>
              <w:t xml:space="preserve">is an innovation cooperation model or innovation environment in which users, firms, universities and public authorities cooperate in order to produce innovations. </w:t>
            </w:r>
            <w:r w:rsidRPr="003E5833">
              <w:rPr>
                <w:rFonts w:ascii="Arial" w:hAnsi="Arial" w:cs="Arial"/>
                <w:sz w:val="20"/>
                <w:szCs w:val="20"/>
                <w:lang w:val="en-GB"/>
              </w:rPr>
              <w:t xml:space="preserve">The Quadruple Helix refers to the interaction of four pillars in innovation ecosystems: knowledge institutions, enterprises, government and civil society. </w:t>
            </w:r>
            <w:r w:rsidRPr="003E5833">
              <w:rPr>
                <w:rFonts w:ascii="Arial" w:hAnsi="Arial" w:cs="Arial"/>
                <w:color w:val="000000"/>
                <w:sz w:val="20"/>
                <w:szCs w:val="20"/>
                <w:lang w:val="en-GB"/>
              </w:rPr>
              <w:t xml:space="preserve">These innovations can be anything that is considered useful for innovation cooperation partners; they can be, for example, technological, social, product, </w:t>
            </w:r>
            <w:proofErr w:type="gramStart"/>
            <w:r w:rsidRPr="003E5833">
              <w:rPr>
                <w:rFonts w:ascii="Arial" w:hAnsi="Arial" w:cs="Arial"/>
                <w:color w:val="000000"/>
                <w:sz w:val="20"/>
                <w:szCs w:val="20"/>
                <w:lang w:val="en-GB"/>
              </w:rPr>
              <w:t>service</w:t>
            </w:r>
            <w:proofErr w:type="gramEnd"/>
            <w:r w:rsidRPr="003E5833">
              <w:rPr>
                <w:rFonts w:ascii="Arial" w:hAnsi="Arial" w:cs="Arial"/>
                <w:color w:val="000000"/>
                <w:sz w:val="20"/>
                <w:szCs w:val="20"/>
                <w:lang w:val="en-GB"/>
              </w:rPr>
              <w:t xml:space="preserve">, commercial and non-commercial innovations. </w:t>
            </w:r>
          </w:p>
          <w:p w:rsidR="00E6699F" w:rsidRPr="003E5833" w:rsidRDefault="00AD5345" w:rsidP="00AD5345">
            <w:pPr>
              <w:autoSpaceDE w:val="0"/>
              <w:autoSpaceDN w:val="0"/>
              <w:adjustRightInd w:val="0"/>
              <w:spacing w:beforeLines="20" w:before="48" w:afterLines="20" w:after="48"/>
              <w:rPr>
                <w:rFonts w:ascii="Arial" w:hAnsi="Arial" w:cs="Arial"/>
                <w:b/>
                <w:sz w:val="20"/>
                <w:szCs w:val="20"/>
                <w:lang w:val="en-GB"/>
              </w:rPr>
            </w:pPr>
            <w:hyperlink r:id="rId13" w:history="1">
              <w:r w:rsidR="00E6699F" w:rsidRPr="003E5833">
                <w:rPr>
                  <w:rStyle w:val="Hiperhivatkozs"/>
                  <w:rFonts w:ascii="Arial" w:hAnsi="Arial" w:cs="Arial"/>
                  <w:sz w:val="20"/>
                  <w:szCs w:val="20"/>
                  <w:lang w:val="en-GB"/>
                </w:rPr>
                <w:t>http://www.cliqproject.eu/en/products/research/quadruple_helix_research/?id=127&amp;folderId=175&amp;fileId=1012&amp;key=adb812d8e220ec363aac5e1c3a83edf3</w:t>
              </w:r>
            </w:hyperlink>
            <w:r w:rsidR="00E6699F" w:rsidRPr="003E5833">
              <w:rPr>
                <w:rFonts w:ascii="Arial" w:hAnsi="Arial" w:cs="Arial"/>
                <w:color w:val="000000"/>
                <w:sz w:val="20"/>
                <w:szCs w:val="20"/>
                <w:lang w:val="en-GB"/>
              </w:rPr>
              <w:t xml:space="preserve"> (PDF Exploring Quadruple Helix report)</w:t>
            </w:r>
          </w:p>
        </w:tc>
      </w:tr>
      <w:tr w:rsidR="00E6699F" w:rsidRPr="003E5833" w:rsidTr="00AD5345">
        <w:tc>
          <w:tcPr>
            <w:tcW w:w="2552" w:type="dxa"/>
          </w:tcPr>
          <w:p w:rsidR="00E6699F" w:rsidRPr="003E5833" w:rsidRDefault="00E6699F" w:rsidP="00AD5345">
            <w:pPr>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 xml:space="preserve">RIS 3 </w:t>
            </w:r>
            <w:r w:rsidRPr="003E5833">
              <w:rPr>
                <w:rFonts w:ascii="Arial" w:hAnsi="Arial" w:cs="Arial"/>
                <w:sz w:val="20"/>
                <w:szCs w:val="20"/>
                <w:lang w:val="en-GB"/>
              </w:rPr>
              <w:t xml:space="preserve">- </w:t>
            </w:r>
            <w:r w:rsidRPr="003E5833">
              <w:rPr>
                <w:rFonts w:ascii="Arial" w:hAnsi="Arial" w:cs="Arial"/>
                <w:b/>
                <w:bCs/>
                <w:sz w:val="20"/>
                <w:szCs w:val="20"/>
                <w:lang w:val="en-GB"/>
              </w:rPr>
              <w:t>National/regional research and innovation strategies for smart specialisation</w:t>
            </w:r>
          </w:p>
        </w:tc>
        <w:tc>
          <w:tcPr>
            <w:tcW w:w="7088" w:type="dxa"/>
          </w:tcPr>
          <w:p w:rsidR="00E6699F" w:rsidRPr="003E5833" w:rsidRDefault="00E6699F" w:rsidP="00AD5345">
            <w:pPr>
              <w:autoSpaceDE w:val="0"/>
              <w:autoSpaceDN w:val="0"/>
              <w:adjustRightInd w:val="0"/>
              <w:spacing w:beforeLines="20" w:before="48" w:afterLines="20" w:after="48" w:line="276" w:lineRule="auto"/>
              <w:rPr>
                <w:rFonts w:ascii="Arial" w:hAnsi="Arial" w:cs="Arial"/>
                <w:sz w:val="20"/>
                <w:szCs w:val="20"/>
                <w:lang w:val="en-GB"/>
              </w:rPr>
            </w:pPr>
            <w:r w:rsidRPr="003E5833">
              <w:rPr>
                <w:rFonts w:ascii="Arial" w:hAnsi="Arial" w:cs="Arial"/>
                <w:sz w:val="20"/>
                <w:szCs w:val="20"/>
                <w:lang w:val="en-GB"/>
              </w:rPr>
              <w:t>RIS3 Strategy puts the concept of smart specialisation into practice. As the RIS3 GUIDE (http://s3platform.jrc.ec.europa.eu) highlights, designing a research and innovation strategy for smart specialisation – a RIS3 – starts with the adoption of a shared vision for the transformation of the regional economy towards a more competitive and more sustainable one in a long-term perspective. The core of this design process lies in the definition of priorities for knowledge-based economic development, identified on the basis of the region’s unique strengths and potentials.</w:t>
            </w:r>
          </w:p>
          <w:p w:rsidR="00E6699F" w:rsidRPr="003E5833" w:rsidRDefault="00E6699F" w:rsidP="00AD5345">
            <w:pPr>
              <w:autoSpaceDE w:val="0"/>
              <w:autoSpaceDN w:val="0"/>
              <w:adjustRightInd w:val="0"/>
              <w:spacing w:beforeLines="20" w:before="48" w:afterLines="20" w:after="48" w:line="276" w:lineRule="auto"/>
              <w:rPr>
                <w:rFonts w:ascii="Arial" w:hAnsi="Arial" w:cs="Arial"/>
                <w:sz w:val="20"/>
                <w:szCs w:val="20"/>
                <w:lang w:val="en-GB"/>
              </w:rPr>
            </w:pPr>
            <w:r w:rsidRPr="003E5833">
              <w:rPr>
                <w:rFonts w:ascii="Arial" w:hAnsi="Arial" w:cs="Arial"/>
                <w:sz w:val="20"/>
                <w:szCs w:val="20"/>
                <w:lang w:val="en-GB"/>
              </w:rPr>
              <w:t>RIS 3 is an ex ante conditionality under the investment for growth and jobs objective but does not apply to cooperation programmes under the ETC goal.</w:t>
            </w:r>
          </w:p>
        </w:tc>
      </w:tr>
      <w:tr w:rsidR="00E6699F" w:rsidRPr="003E5833" w:rsidTr="00AD5345">
        <w:tc>
          <w:tcPr>
            <w:tcW w:w="2552" w:type="dxa"/>
          </w:tcPr>
          <w:p w:rsidR="00E6699F" w:rsidRPr="003E5833" w:rsidRDefault="00E6699F" w:rsidP="00AD5345">
            <w:pPr>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SME (Micro, Small or medium-sized enterprise)</w:t>
            </w:r>
          </w:p>
        </w:tc>
        <w:tc>
          <w:tcPr>
            <w:tcW w:w="7088" w:type="dxa"/>
          </w:tcPr>
          <w:p w:rsidR="00E6699F" w:rsidRPr="003E5833" w:rsidRDefault="00E6699F" w:rsidP="00AD5345">
            <w:pPr>
              <w:autoSpaceDE w:val="0"/>
              <w:autoSpaceDN w:val="0"/>
              <w:adjustRightInd w:val="0"/>
              <w:spacing w:beforeLines="20" w:before="48" w:afterLines="20" w:after="48" w:line="276" w:lineRule="auto"/>
              <w:rPr>
                <w:rFonts w:ascii="Arial" w:hAnsi="Arial" w:cs="Arial"/>
                <w:bCs/>
                <w:iCs/>
                <w:sz w:val="20"/>
                <w:szCs w:val="20"/>
                <w:lang w:val="en-GB"/>
              </w:rPr>
            </w:pPr>
            <w:r w:rsidRPr="003E5833">
              <w:rPr>
                <w:rFonts w:ascii="Arial" w:hAnsi="Arial" w:cs="Arial"/>
                <w:bCs/>
                <w:iCs/>
                <w:sz w:val="20"/>
                <w:szCs w:val="20"/>
                <w:lang w:val="en-GB"/>
              </w:rPr>
              <w:t>The category of micro, small and medium-sized enterprises (SMEs) is made up of enterprises which employ fewer than 250 persons and which have an annual turnover not exceeding 50 million euro, and/or an annual balance sheet total not exceeding 43 million euro.</w:t>
            </w:r>
          </w:p>
          <w:p w:rsidR="00E6699F" w:rsidRPr="003E5833" w:rsidRDefault="00AD5345" w:rsidP="00AD5345">
            <w:pPr>
              <w:autoSpaceDE w:val="0"/>
              <w:autoSpaceDN w:val="0"/>
              <w:adjustRightInd w:val="0"/>
              <w:spacing w:beforeLines="20" w:before="48" w:afterLines="20" w:after="48"/>
              <w:rPr>
                <w:rFonts w:ascii="Arial" w:hAnsi="Arial" w:cs="Arial"/>
                <w:sz w:val="20"/>
                <w:szCs w:val="20"/>
                <w:lang w:val="en-GB"/>
              </w:rPr>
            </w:pPr>
            <w:hyperlink r:id="rId14" w:history="1">
              <w:r w:rsidR="00E6699F" w:rsidRPr="003E5833">
                <w:rPr>
                  <w:rStyle w:val="Hiperhivatkozs"/>
                  <w:rFonts w:ascii="Arial" w:hAnsi="Arial" w:cs="Arial"/>
                  <w:sz w:val="20"/>
                  <w:szCs w:val="20"/>
                  <w:lang w:val="en-GB"/>
                </w:rPr>
                <w:t>http://ec.europa.eu/enterprise/policies/sme/files/sme_definition/sme_user_guide_en.pdf</w:t>
              </w:r>
            </w:hyperlink>
            <w:r w:rsidR="00E6699F" w:rsidRPr="003E5833">
              <w:rPr>
                <w:rFonts w:ascii="Arial" w:hAnsi="Arial" w:cs="Arial"/>
                <w:sz w:val="20"/>
                <w:szCs w:val="20"/>
                <w:lang w:val="en-GB"/>
              </w:rPr>
              <w:t xml:space="preserve"> (SME </w:t>
            </w:r>
            <w:r w:rsidR="00E6699F" w:rsidRPr="003E5833">
              <w:rPr>
                <w:rFonts w:ascii="Arial" w:hAnsi="Arial" w:cs="Arial"/>
                <w:bCs/>
                <w:sz w:val="20"/>
                <w:szCs w:val="20"/>
                <w:lang w:val="en-GB"/>
              </w:rPr>
              <w:t>definition User guide and model declaration</w:t>
            </w:r>
            <w:r w:rsidR="00E6699F" w:rsidRPr="003E5833">
              <w:rPr>
                <w:rFonts w:ascii="Arial" w:hAnsi="Arial" w:cs="Arial"/>
                <w:sz w:val="20"/>
                <w:szCs w:val="20"/>
                <w:lang w:val="en-GB"/>
              </w:rPr>
              <w:t>)</w:t>
            </w:r>
          </w:p>
        </w:tc>
      </w:tr>
      <w:tr w:rsidR="00CE7BE5" w:rsidRPr="003E5833" w:rsidTr="00AD5345">
        <w:tc>
          <w:tcPr>
            <w:tcW w:w="2552" w:type="dxa"/>
          </w:tcPr>
          <w:p w:rsidR="00CE7BE5" w:rsidRPr="003E5833" w:rsidRDefault="00CE7BE5" w:rsidP="00AD5345">
            <w:pPr>
              <w:autoSpaceDE w:val="0"/>
              <w:autoSpaceDN w:val="0"/>
              <w:adjustRightInd w:val="0"/>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lastRenderedPageBreak/>
              <w:t>Social and service innovation</w:t>
            </w:r>
          </w:p>
          <w:p w:rsidR="00CE7BE5" w:rsidRPr="003E5833" w:rsidRDefault="00CE7BE5" w:rsidP="00AD5345">
            <w:pPr>
              <w:autoSpaceDE w:val="0"/>
              <w:autoSpaceDN w:val="0"/>
              <w:adjustRightInd w:val="0"/>
              <w:spacing w:beforeLines="20" w:before="48" w:afterLines="20" w:after="48" w:line="276" w:lineRule="auto"/>
              <w:rPr>
                <w:rFonts w:ascii="Arial" w:hAnsi="Arial" w:cs="Arial"/>
                <w:b/>
                <w:sz w:val="20"/>
                <w:szCs w:val="20"/>
                <w:lang w:val="en-GB"/>
              </w:rPr>
            </w:pPr>
          </w:p>
        </w:tc>
        <w:tc>
          <w:tcPr>
            <w:tcW w:w="7088" w:type="dxa"/>
          </w:tcPr>
          <w:p w:rsidR="00CE7BE5" w:rsidRPr="003E5833" w:rsidRDefault="00CE7BE5" w:rsidP="00AD5345">
            <w:pPr>
              <w:spacing w:beforeLines="20" w:before="48" w:afterLines="20" w:after="48" w:line="276" w:lineRule="auto"/>
              <w:rPr>
                <w:rFonts w:ascii="Arial" w:hAnsi="Arial" w:cs="Arial"/>
                <w:b/>
                <w:sz w:val="20"/>
                <w:szCs w:val="20"/>
                <w:lang w:val="en-GB"/>
              </w:rPr>
            </w:pPr>
            <w:r w:rsidRPr="003E5833">
              <w:rPr>
                <w:rFonts w:ascii="Arial" w:hAnsi="Arial" w:cs="Arial"/>
                <w:sz w:val="20"/>
                <w:szCs w:val="20"/>
                <w:lang w:val="en-GB"/>
              </w:rPr>
              <w:t>Social and service innovation can be defined as the development and implementation of new ideas (products, services and models) to meet social needs and create new social relationships or cooperation. It represents new responses to pressing social demands (e.g. related to demographic change). Many social innovations have to do with service innovation. This includes innovation in services and in service products, new or improved ways of designing and producing services, and innovation in service firms, organisations, and industries – organisational innovations and the management of innovation processes, within service organisations. It includes employment and knowledge intensive cultural and creative industries.</w:t>
            </w:r>
          </w:p>
        </w:tc>
      </w:tr>
      <w:tr w:rsidR="00CE7BE5" w:rsidRPr="003E5833" w:rsidTr="00AD5345">
        <w:tc>
          <w:tcPr>
            <w:tcW w:w="2552" w:type="dxa"/>
          </w:tcPr>
          <w:p w:rsidR="00CE7BE5" w:rsidRPr="003E5833" w:rsidRDefault="00CE7BE5" w:rsidP="00AD5345">
            <w:pPr>
              <w:autoSpaceDE w:val="0"/>
              <w:autoSpaceDN w:val="0"/>
              <w:adjustRightInd w:val="0"/>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Solutions</w:t>
            </w:r>
          </w:p>
        </w:tc>
        <w:tc>
          <w:tcPr>
            <w:tcW w:w="7088" w:type="dxa"/>
          </w:tcPr>
          <w:p w:rsidR="00CE7BE5" w:rsidRPr="003E5833" w:rsidRDefault="00CE7BE5" w:rsidP="00AD5345">
            <w:pPr>
              <w:autoSpaceDE w:val="0"/>
              <w:autoSpaceDN w:val="0"/>
              <w:adjustRightInd w:val="0"/>
              <w:spacing w:beforeLines="20" w:before="48" w:afterLines="20" w:after="48" w:line="276" w:lineRule="auto"/>
              <w:rPr>
                <w:rFonts w:ascii="Arial" w:hAnsi="Arial" w:cs="Arial"/>
                <w:sz w:val="20"/>
                <w:szCs w:val="20"/>
                <w:lang w:val="en-GB"/>
              </w:rPr>
            </w:pPr>
            <w:r w:rsidRPr="003E5833">
              <w:rPr>
                <w:rFonts w:ascii="Arial" w:hAnsi="Arial" w:cs="Arial"/>
                <w:sz w:val="20"/>
                <w:szCs w:val="20"/>
                <w:lang w:val="en-GB"/>
              </w:rPr>
              <w:t>Solutions describe the jointly developed "core outputs" of operations in terms of: no of common frameworks (strategies, plans), no of transnational tools and services, no of prepared investments, no of pilot investments, no of training and capacity building schemes (not participants).</w:t>
            </w:r>
          </w:p>
        </w:tc>
      </w:tr>
      <w:tr w:rsidR="00CE7BE5" w:rsidRPr="003E5833" w:rsidTr="00AD5345">
        <w:tc>
          <w:tcPr>
            <w:tcW w:w="2552" w:type="dxa"/>
          </w:tcPr>
          <w:p w:rsidR="00CE7BE5" w:rsidRPr="003E5833" w:rsidRDefault="00CE7BE5" w:rsidP="00AD5345">
            <w:pPr>
              <w:autoSpaceDE w:val="0"/>
              <w:autoSpaceDN w:val="0"/>
              <w:adjustRightInd w:val="0"/>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TEN-T Multimodal Core Network</w:t>
            </w:r>
          </w:p>
        </w:tc>
        <w:tc>
          <w:tcPr>
            <w:tcW w:w="7088" w:type="dxa"/>
          </w:tcPr>
          <w:p w:rsidR="00CE7BE5" w:rsidRPr="003E5833" w:rsidRDefault="00CE7BE5" w:rsidP="00AD5345">
            <w:pPr>
              <w:autoSpaceDE w:val="0"/>
              <w:autoSpaceDN w:val="0"/>
              <w:adjustRightInd w:val="0"/>
              <w:spacing w:beforeLines="20" w:before="48" w:afterLines="20" w:after="48" w:line="276" w:lineRule="auto"/>
              <w:rPr>
                <w:rFonts w:ascii="Arial" w:hAnsi="Arial" w:cs="Arial"/>
                <w:sz w:val="20"/>
                <w:szCs w:val="20"/>
                <w:lang w:val="en-GB"/>
              </w:rPr>
            </w:pPr>
            <w:r w:rsidRPr="003E5833">
              <w:rPr>
                <w:rFonts w:ascii="Arial" w:hAnsi="Arial" w:cs="Arial"/>
                <w:sz w:val="20"/>
                <w:szCs w:val="20"/>
                <w:lang w:val="en-GB"/>
              </w:rPr>
              <w:t xml:space="preserve">The strategically most important parts of the road, rail, inland waterways, maritime and air infrastructure network components, as well as the connecting points between the modes, identified according to a specific methodology,  transparently and coherently applied and on which project development and implementation will be supported with priority  </w:t>
            </w:r>
          </w:p>
          <w:p w:rsidR="00CE7BE5" w:rsidRPr="003E5833" w:rsidRDefault="00CE7BE5" w:rsidP="00AD5345">
            <w:pPr>
              <w:pStyle w:val="maufzhlung"/>
              <w:numPr>
                <w:ilvl w:val="0"/>
                <w:numId w:val="0"/>
              </w:numPr>
              <w:spacing w:beforeLines="20" w:before="48" w:afterLines="20" w:after="48" w:line="240" w:lineRule="auto"/>
              <w:rPr>
                <w:rFonts w:cs="Arial"/>
                <w:lang w:val="en-GB"/>
              </w:rPr>
            </w:pPr>
            <w:r w:rsidRPr="00AD5345">
              <w:rPr>
                <w:rFonts w:cs="Arial"/>
                <w:lang w:val="en-GB"/>
              </w:rPr>
              <w:t>European Commission – The Core Network Corridors – Trans European Transport Networks - 2013</w:t>
            </w:r>
          </w:p>
        </w:tc>
      </w:tr>
      <w:tr w:rsidR="00CE7BE5" w:rsidRPr="003E5833" w:rsidTr="00AD5345">
        <w:tc>
          <w:tcPr>
            <w:tcW w:w="2552" w:type="dxa"/>
          </w:tcPr>
          <w:p w:rsidR="00CE7BE5" w:rsidRPr="003E5833" w:rsidRDefault="00CE7BE5" w:rsidP="00AD5345">
            <w:pPr>
              <w:spacing w:beforeLines="20" w:before="48" w:afterLines="20" w:after="48" w:line="276" w:lineRule="auto"/>
              <w:rPr>
                <w:rFonts w:ascii="Arial" w:hAnsi="Arial" w:cs="Arial"/>
                <w:b/>
                <w:sz w:val="20"/>
                <w:szCs w:val="20"/>
                <w:lang w:val="en-GB"/>
              </w:rPr>
            </w:pPr>
            <w:r w:rsidRPr="003E5833">
              <w:rPr>
                <w:rFonts w:ascii="Arial" w:hAnsi="Arial" w:cs="Arial"/>
                <w:b/>
                <w:sz w:val="20"/>
                <w:szCs w:val="20"/>
                <w:lang w:val="en-GB"/>
              </w:rPr>
              <w:t>VET-vocational education and training</w:t>
            </w:r>
          </w:p>
        </w:tc>
        <w:tc>
          <w:tcPr>
            <w:tcW w:w="7088" w:type="dxa"/>
          </w:tcPr>
          <w:p w:rsidR="00CE7BE5" w:rsidRPr="003E5833" w:rsidRDefault="00CE7BE5" w:rsidP="00AD5345">
            <w:pPr>
              <w:spacing w:beforeLines="20" w:before="48" w:afterLines="20" w:after="48" w:line="276" w:lineRule="auto"/>
              <w:rPr>
                <w:rStyle w:val="Kiemels2"/>
                <w:rFonts w:ascii="Arial" w:hAnsi="Arial" w:cs="Arial"/>
                <w:b w:val="0"/>
                <w:color w:val="014976"/>
                <w:sz w:val="20"/>
                <w:szCs w:val="20"/>
                <w:lang w:val="en-GB"/>
              </w:rPr>
            </w:pPr>
            <w:r w:rsidRPr="003E5833">
              <w:rPr>
                <w:rStyle w:val="Kiemels2"/>
                <w:rFonts w:ascii="Arial" w:hAnsi="Arial" w:cs="Arial"/>
                <w:b w:val="0"/>
                <w:sz w:val="20"/>
                <w:szCs w:val="20"/>
                <w:lang w:val="en-GB"/>
              </w:rPr>
              <w:t>Education and training which aims to equip people with knowledge, know-how, skills and/or competences required in particular occupations or more broadly on the labour market</w:t>
            </w:r>
            <w:r w:rsidRPr="003E5833">
              <w:rPr>
                <w:rStyle w:val="Kiemels2"/>
                <w:rFonts w:ascii="Arial" w:hAnsi="Arial" w:cs="Arial"/>
                <w:b w:val="0"/>
                <w:color w:val="014976"/>
                <w:sz w:val="20"/>
                <w:szCs w:val="20"/>
                <w:lang w:val="en-GB"/>
              </w:rPr>
              <w:t>.</w:t>
            </w:r>
          </w:p>
          <w:p w:rsidR="00CE7BE5" w:rsidRPr="003E5833" w:rsidRDefault="00AD5345" w:rsidP="00AD5345">
            <w:pPr>
              <w:spacing w:beforeLines="20" w:before="48" w:afterLines="20" w:after="48"/>
              <w:rPr>
                <w:rStyle w:val="Kiemels2"/>
                <w:rFonts w:ascii="Arial" w:hAnsi="Arial" w:cs="Arial"/>
                <w:b w:val="0"/>
                <w:sz w:val="20"/>
                <w:szCs w:val="20"/>
                <w:lang w:val="en-GB"/>
              </w:rPr>
            </w:pPr>
            <w:hyperlink r:id="rId15" w:history="1">
              <w:r w:rsidR="00CE7BE5" w:rsidRPr="003E5833">
                <w:rPr>
                  <w:rStyle w:val="Hiperhivatkozs"/>
                  <w:rFonts w:ascii="Arial" w:hAnsi="Arial" w:cs="Arial"/>
                  <w:sz w:val="20"/>
                  <w:szCs w:val="20"/>
                  <w:lang w:val="en-GB"/>
                </w:rPr>
                <w:t>http://www.cedefop.europa.eu/EN/Files/4064_en.pdf</w:t>
              </w:r>
            </w:hyperlink>
          </w:p>
          <w:p w:rsidR="00CE7BE5" w:rsidRPr="003E5833" w:rsidRDefault="00CE7BE5" w:rsidP="00AD5345">
            <w:pPr>
              <w:autoSpaceDE w:val="0"/>
              <w:autoSpaceDN w:val="0"/>
              <w:adjustRightInd w:val="0"/>
              <w:spacing w:beforeLines="20" w:before="48" w:afterLines="20" w:after="48" w:line="276" w:lineRule="auto"/>
              <w:rPr>
                <w:rFonts w:ascii="Arial" w:hAnsi="Arial" w:cs="Arial"/>
                <w:sz w:val="20"/>
                <w:szCs w:val="20"/>
                <w:lang w:val="en-GB"/>
              </w:rPr>
            </w:pPr>
            <w:r w:rsidRPr="003E5833">
              <w:rPr>
                <w:rFonts w:ascii="Arial" w:hAnsi="Arial" w:cs="Arial"/>
                <w:bCs/>
                <w:sz w:val="20"/>
                <w:szCs w:val="20"/>
                <w:lang w:val="en-GB"/>
              </w:rPr>
              <w:t>Terminology of European education and training policy. A selection of 100 key terms</w:t>
            </w:r>
          </w:p>
        </w:tc>
      </w:tr>
    </w:tbl>
    <w:p w:rsidR="004F6F12" w:rsidRPr="003E5833" w:rsidRDefault="004F6F12" w:rsidP="002678AD">
      <w:pPr>
        <w:autoSpaceDE w:val="0"/>
        <w:autoSpaceDN w:val="0"/>
        <w:adjustRightInd w:val="0"/>
        <w:spacing w:after="0" w:line="240" w:lineRule="auto"/>
        <w:rPr>
          <w:rFonts w:ascii="Arial" w:hAnsi="Arial" w:cs="Arial"/>
          <w:sz w:val="20"/>
          <w:szCs w:val="20"/>
          <w:lang w:val="en-GB"/>
        </w:rPr>
      </w:pPr>
    </w:p>
    <w:sectPr w:rsidR="004F6F12" w:rsidRPr="003E5833" w:rsidSect="003D4C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ECSquareSansPro">
    <w:altName w:val="MS Gothic"/>
    <w:panose1 w:val="00000000000000000000"/>
    <w:charset w:val="80"/>
    <w:family w:val="swiss"/>
    <w:notTrueType/>
    <w:pitch w:val="default"/>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1061EF"/>
    <w:multiLevelType w:val="hybridMultilevel"/>
    <w:tmpl w:val="48404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3BBC6932"/>
    <w:multiLevelType w:val="hybridMultilevel"/>
    <w:tmpl w:val="2530E75E"/>
    <w:lvl w:ilvl="0" w:tplc="9C087752">
      <w:start w:val="1"/>
      <w:numFmt w:val="bullet"/>
      <w:pStyle w:val="maufzhlung"/>
      <w:lvlText w:val=""/>
      <w:lvlJc w:val="left"/>
      <w:pPr>
        <w:tabs>
          <w:tab w:val="num" w:pos="5322"/>
        </w:tabs>
        <w:ind w:left="5245"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2"/>
  </w:compat>
  <w:rsids>
    <w:rsidRoot w:val="002D1CE0"/>
    <w:rsid w:val="000136B2"/>
    <w:rsid w:val="00013825"/>
    <w:rsid w:val="00025698"/>
    <w:rsid w:val="00034515"/>
    <w:rsid w:val="00054E99"/>
    <w:rsid w:val="00070722"/>
    <w:rsid w:val="00071C66"/>
    <w:rsid w:val="000B5416"/>
    <w:rsid w:val="000B6A6D"/>
    <w:rsid w:val="00101C6B"/>
    <w:rsid w:val="00104DD3"/>
    <w:rsid w:val="0013343F"/>
    <w:rsid w:val="00167C7D"/>
    <w:rsid w:val="00173102"/>
    <w:rsid w:val="00186E4E"/>
    <w:rsid w:val="001949D5"/>
    <w:rsid w:val="00217800"/>
    <w:rsid w:val="002260A2"/>
    <w:rsid w:val="00235379"/>
    <w:rsid w:val="002663E5"/>
    <w:rsid w:val="002678AD"/>
    <w:rsid w:val="002700B5"/>
    <w:rsid w:val="00277532"/>
    <w:rsid w:val="002A203D"/>
    <w:rsid w:val="002A7385"/>
    <w:rsid w:val="002B12D8"/>
    <w:rsid w:val="002D1CE0"/>
    <w:rsid w:val="002F6E91"/>
    <w:rsid w:val="002F76BC"/>
    <w:rsid w:val="00323341"/>
    <w:rsid w:val="003919A5"/>
    <w:rsid w:val="003B2D2E"/>
    <w:rsid w:val="003D4CF4"/>
    <w:rsid w:val="003E3333"/>
    <w:rsid w:val="003E4A0E"/>
    <w:rsid w:val="003E5833"/>
    <w:rsid w:val="0041009B"/>
    <w:rsid w:val="00435D5A"/>
    <w:rsid w:val="00457062"/>
    <w:rsid w:val="0046696B"/>
    <w:rsid w:val="004A17BA"/>
    <w:rsid w:val="004B7D85"/>
    <w:rsid w:val="004F6F12"/>
    <w:rsid w:val="00501AEC"/>
    <w:rsid w:val="005514A6"/>
    <w:rsid w:val="0055284D"/>
    <w:rsid w:val="00571C56"/>
    <w:rsid w:val="005F0A50"/>
    <w:rsid w:val="00660423"/>
    <w:rsid w:val="006767A8"/>
    <w:rsid w:val="006C0986"/>
    <w:rsid w:val="0075759F"/>
    <w:rsid w:val="007948E5"/>
    <w:rsid w:val="007A2035"/>
    <w:rsid w:val="007D365C"/>
    <w:rsid w:val="007D61F8"/>
    <w:rsid w:val="007E4A13"/>
    <w:rsid w:val="00810627"/>
    <w:rsid w:val="00821056"/>
    <w:rsid w:val="00840ACD"/>
    <w:rsid w:val="008C29B0"/>
    <w:rsid w:val="009016CC"/>
    <w:rsid w:val="00904C2B"/>
    <w:rsid w:val="009107AC"/>
    <w:rsid w:val="00911402"/>
    <w:rsid w:val="00912922"/>
    <w:rsid w:val="0097468D"/>
    <w:rsid w:val="009B56DF"/>
    <w:rsid w:val="00A07E3B"/>
    <w:rsid w:val="00A46F5C"/>
    <w:rsid w:val="00AD5345"/>
    <w:rsid w:val="00AE33AC"/>
    <w:rsid w:val="00AF0DB9"/>
    <w:rsid w:val="00AF31FD"/>
    <w:rsid w:val="00B401DA"/>
    <w:rsid w:val="00B410EC"/>
    <w:rsid w:val="00B51C00"/>
    <w:rsid w:val="00B57430"/>
    <w:rsid w:val="00B75E2C"/>
    <w:rsid w:val="00BB51EE"/>
    <w:rsid w:val="00BC5B93"/>
    <w:rsid w:val="00C75312"/>
    <w:rsid w:val="00C76574"/>
    <w:rsid w:val="00C92AF9"/>
    <w:rsid w:val="00CE7BE5"/>
    <w:rsid w:val="00D27121"/>
    <w:rsid w:val="00D51C5B"/>
    <w:rsid w:val="00D70D6D"/>
    <w:rsid w:val="00D867A3"/>
    <w:rsid w:val="00D92547"/>
    <w:rsid w:val="00D95572"/>
    <w:rsid w:val="00E126A8"/>
    <w:rsid w:val="00E6699F"/>
    <w:rsid w:val="00E84AA4"/>
    <w:rsid w:val="00E94797"/>
    <w:rsid w:val="00ED5120"/>
    <w:rsid w:val="00F17890"/>
    <w:rsid w:val="00F25197"/>
    <w:rsid w:val="00F37C9E"/>
    <w:rsid w:val="00F420E6"/>
    <w:rsid w:val="00F72FE0"/>
    <w:rsid w:val="00FB7987"/>
    <w:rsid w:val="00FC2700"/>
    <w:rsid w:val="00FD547D"/>
    <w:rsid w:val="00FE622A"/>
    <w:rsid w:val="00FE6D3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3D4CF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4A17BA"/>
    <w:rPr>
      <w:color w:val="0000FF" w:themeColor="hyperlink"/>
      <w:u w:val="single"/>
    </w:rPr>
  </w:style>
  <w:style w:type="paragraph" w:styleId="Buborkszveg">
    <w:name w:val="Balloon Text"/>
    <w:basedOn w:val="Norml"/>
    <w:link w:val="BuborkszvegChar"/>
    <w:uiPriority w:val="99"/>
    <w:semiHidden/>
    <w:unhideWhenUsed/>
    <w:rsid w:val="00BB51EE"/>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BB51EE"/>
    <w:rPr>
      <w:rFonts w:ascii="Tahoma" w:hAnsi="Tahoma" w:cs="Tahoma"/>
      <w:sz w:val="16"/>
      <w:szCs w:val="16"/>
    </w:rPr>
  </w:style>
  <w:style w:type="paragraph" w:customStyle="1" w:styleId="Default">
    <w:name w:val="Default"/>
    <w:rsid w:val="00660423"/>
    <w:pPr>
      <w:autoSpaceDE w:val="0"/>
      <w:autoSpaceDN w:val="0"/>
      <w:adjustRightInd w:val="0"/>
      <w:spacing w:after="0" w:line="240" w:lineRule="auto"/>
    </w:pPr>
    <w:rPr>
      <w:rFonts w:ascii="Arial" w:hAnsi="Arial" w:cs="Arial"/>
      <w:color w:val="000000"/>
      <w:sz w:val="24"/>
      <w:szCs w:val="24"/>
    </w:rPr>
  </w:style>
  <w:style w:type="character" w:styleId="Kiemels2">
    <w:name w:val="Strong"/>
    <w:basedOn w:val="Bekezdsalapbettpusa"/>
    <w:uiPriority w:val="22"/>
    <w:qFormat/>
    <w:rsid w:val="00FB7987"/>
    <w:rPr>
      <w:b/>
      <w:bCs/>
    </w:rPr>
  </w:style>
  <w:style w:type="character" w:styleId="Mrltotthiperhivatkozs">
    <w:name w:val="FollowedHyperlink"/>
    <w:basedOn w:val="Bekezdsalapbettpusa"/>
    <w:uiPriority w:val="99"/>
    <w:semiHidden/>
    <w:unhideWhenUsed/>
    <w:rsid w:val="00FE622A"/>
    <w:rPr>
      <w:color w:val="800080" w:themeColor="followedHyperlink"/>
      <w:u w:val="single"/>
    </w:rPr>
  </w:style>
  <w:style w:type="paragraph" w:customStyle="1" w:styleId="maufzhlung">
    <w:name w:val="m_aufzählung"/>
    <w:rsid w:val="00D70D6D"/>
    <w:pPr>
      <w:numPr>
        <w:numId w:val="1"/>
      </w:numPr>
      <w:tabs>
        <w:tab w:val="left" w:pos="567"/>
      </w:tabs>
      <w:spacing w:before="60" w:after="0" w:line="220" w:lineRule="atLeast"/>
      <w:jc w:val="both"/>
    </w:pPr>
    <w:rPr>
      <w:rFonts w:ascii="Arial" w:eastAsia="Times New Roman" w:hAnsi="Arial" w:cs="Times New Roman"/>
      <w:sz w:val="20"/>
      <w:szCs w:val="20"/>
      <w:lang w:eastAsia="de-DE"/>
    </w:rPr>
  </w:style>
  <w:style w:type="table" w:styleId="Rcsostblzat">
    <w:name w:val="Table Grid"/>
    <w:basedOn w:val="Normltblzat"/>
    <w:uiPriority w:val="59"/>
    <w:rsid w:val="00C92A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aszerbekezds">
    <w:name w:val="List Paragraph"/>
    <w:basedOn w:val="Norml"/>
    <w:uiPriority w:val="34"/>
    <w:qFormat/>
    <w:rsid w:val="00840ACD"/>
    <w:pPr>
      <w:spacing w:after="0" w:line="240" w:lineRule="auto"/>
      <w:ind w:left="720"/>
    </w:pPr>
    <w:rPr>
      <w:rFonts w:ascii="Calibri" w:eastAsia="Calibri" w:hAnsi="Calibri" w:cs="Calibri"/>
      <w:lang w:eastAsia="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049058">
      <w:bodyDiv w:val="1"/>
      <w:marLeft w:val="0"/>
      <w:marRight w:val="0"/>
      <w:marTop w:val="0"/>
      <w:marBottom w:val="0"/>
      <w:divBdr>
        <w:top w:val="none" w:sz="0" w:space="0" w:color="auto"/>
        <w:left w:val="none" w:sz="0" w:space="0" w:color="auto"/>
        <w:bottom w:val="none" w:sz="0" w:space="0" w:color="auto"/>
        <w:right w:val="none" w:sz="0" w:space="0" w:color="auto"/>
      </w:divBdr>
      <w:divsChild>
        <w:div w:id="1493138122">
          <w:marLeft w:val="0"/>
          <w:marRight w:val="0"/>
          <w:marTop w:val="0"/>
          <w:marBottom w:val="0"/>
          <w:divBdr>
            <w:top w:val="none" w:sz="0" w:space="0" w:color="auto"/>
            <w:left w:val="none" w:sz="0" w:space="0" w:color="auto"/>
            <w:bottom w:val="none" w:sz="0" w:space="0" w:color="auto"/>
            <w:right w:val="none" w:sz="0" w:space="0" w:color="auto"/>
          </w:divBdr>
          <w:divsChild>
            <w:div w:id="1723673171">
              <w:marLeft w:val="0"/>
              <w:marRight w:val="0"/>
              <w:marTop w:val="0"/>
              <w:marBottom w:val="0"/>
              <w:divBdr>
                <w:top w:val="none" w:sz="0" w:space="0" w:color="auto"/>
                <w:left w:val="none" w:sz="0" w:space="0" w:color="auto"/>
                <w:bottom w:val="none" w:sz="0" w:space="0" w:color="auto"/>
                <w:right w:val="none" w:sz="0" w:space="0" w:color="auto"/>
              </w:divBdr>
              <w:divsChild>
                <w:div w:id="1286816021">
                  <w:marLeft w:val="0"/>
                  <w:marRight w:val="0"/>
                  <w:marTop w:val="0"/>
                  <w:marBottom w:val="0"/>
                  <w:divBdr>
                    <w:top w:val="none" w:sz="0" w:space="0" w:color="auto"/>
                    <w:left w:val="none" w:sz="0" w:space="0" w:color="auto"/>
                    <w:bottom w:val="none" w:sz="0" w:space="0" w:color="auto"/>
                    <w:right w:val="none" w:sz="0" w:space="0" w:color="auto"/>
                  </w:divBdr>
                  <w:divsChild>
                    <w:div w:id="30666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c4incubators.eu/wp-content/uploads/2014/02/ICE-Sustainability-Model.pdf" TargetMode="External"/><Relationship Id="rId13" Type="http://schemas.openxmlformats.org/officeDocument/2006/relationships/hyperlink" Target="http://www.cliqproject.eu/en/products/research/quadruple_helix_research/?id=127&amp;folderId=175&amp;fileId=1012&amp;key=adb812d8e220ec363aac5e1c3a83edf3" TargetMode="External"/><Relationship Id="rId3" Type="http://schemas.openxmlformats.org/officeDocument/2006/relationships/styles" Target="styles.xml"/><Relationship Id="rId7" Type="http://schemas.openxmlformats.org/officeDocument/2006/relationships/hyperlink" Target="http://www.unesco.org/new/en/santiago/culture/creative-industries/" TargetMode="External"/><Relationship Id="rId12" Type="http://schemas.openxmlformats.org/officeDocument/2006/relationships/hyperlink" Target="http://ec.europa.eu/environment/nature/ecosystems/docs/green_infrastructure_broc.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eupb.eu/programmes2007-2013/interreg-overview/FirstLevelofControl.aspx" TargetMode="External"/><Relationship Id="rId5" Type="http://schemas.openxmlformats.org/officeDocument/2006/relationships/settings" Target="settings.xml"/><Relationship Id="rId15" Type="http://schemas.openxmlformats.org/officeDocument/2006/relationships/hyperlink" Target="http://www.cedefop.europa.eu/EN/Files/4064_en.pdf" TargetMode="External"/><Relationship Id="rId10" Type="http://schemas.openxmlformats.org/officeDocument/2006/relationships/hyperlink" Target="http://biodiversity.europa.eu/topics/ecosystem-services" TargetMode="External"/><Relationship Id="rId4" Type="http://schemas.microsoft.com/office/2007/relationships/stylesWithEffects" Target="stylesWithEffects.xml"/><Relationship Id="rId9" Type="http://schemas.openxmlformats.org/officeDocument/2006/relationships/hyperlink" Target="http://ec.europa.eu/social/main.jsp?catId=1070&amp;langId=en&amp;newsId=1948&amp;moreDocuments=yes&amp;tableName=news" TargetMode="External"/><Relationship Id="rId14" Type="http://schemas.openxmlformats.org/officeDocument/2006/relationships/hyperlink" Target="http://ec.europa.eu/enterprise/policies/sme/files/sme_definition/sme_user_guide_en.pdf"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F071AB-DAB9-4DFE-8A8B-8E19B425D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1287</Words>
  <Characters>8886</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Metis Vienna</Company>
  <LinksUpToDate>false</LinksUpToDate>
  <CharactersWithSpaces>10153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Dax</dc:creator>
  <cp:lastModifiedBy>Kalmár Péter</cp:lastModifiedBy>
  <cp:revision>9</cp:revision>
  <dcterms:created xsi:type="dcterms:W3CDTF">2014-10-20T13:21:00Z</dcterms:created>
  <dcterms:modified xsi:type="dcterms:W3CDTF">2014-11-11T18:01:00Z</dcterms:modified>
</cp:coreProperties>
</file>