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973DDD">
        <w:rPr>
          <w:b/>
          <w:sz w:val="28"/>
          <w:szCs w:val="28"/>
        </w:rPr>
        <w:t>Vydání 1/</w:t>
      </w:r>
      <w:r w:rsidR="00C72CFD">
        <w:rPr>
          <w:b/>
          <w:sz w:val="28"/>
          <w:szCs w:val="28"/>
        </w:rPr>
        <w:t>9</w:t>
      </w:r>
      <w:r w:rsidRPr="00973DDD">
        <w:rPr>
          <w:b/>
          <w:sz w:val="28"/>
          <w:szCs w:val="28"/>
        </w:rPr>
        <w:t>, platnost</w:t>
      </w:r>
      <w:r w:rsidR="00703A01">
        <w:rPr>
          <w:b/>
          <w:sz w:val="28"/>
          <w:szCs w:val="28"/>
        </w:rPr>
        <w:t xml:space="preserve"> od </w:t>
      </w:r>
      <w:r w:rsidR="00C72CFD">
        <w:rPr>
          <w:b/>
          <w:sz w:val="28"/>
          <w:szCs w:val="28"/>
        </w:rPr>
        <w:t>11</w:t>
      </w:r>
      <w:r w:rsidR="00703A01">
        <w:rPr>
          <w:b/>
          <w:sz w:val="28"/>
          <w:szCs w:val="28"/>
        </w:rPr>
        <w:t xml:space="preserve">. </w:t>
      </w:r>
      <w:r w:rsidR="00C72CFD">
        <w:rPr>
          <w:b/>
          <w:sz w:val="28"/>
          <w:szCs w:val="28"/>
        </w:rPr>
        <w:t>11</w:t>
      </w:r>
      <w:r w:rsidR="00703A01">
        <w:rPr>
          <w:b/>
          <w:sz w:val="28"/>
          <w:szCs w:val="28"/>
        </w:rPr>
        <w:t>. 2016</w:t>
      </w:r>
      <w:r w:rsidRPr="00973DDD">
        <w:rPr>
          <w:b/>
          <w:sz w:val="28"/>
          <w:szCs w:val="28"/>
        </w:rPr>
        <w:t xml:space="preserve"> </w:t>
      </w:r>
      <w:r>
        <w:rPr>
          <w:b/>
          <w:sz w:val="28"/>
          <w:szCs w:val="28"/>
        </w:rPr>
        <w:t xml:space="preserve">a účinnost </w:t>
      </w:r>
      <w:r w:rsidRPr="00973DDD">
        <w:rPr>
          <w:b/>
          <w:sz w:val="28"/>
          <w:szCs w:val="28"/>
        </w:rPr>
        <w:t xml:space="preserve">od </w:t>
      </w:r>
      <w:r w:rsidR="00703A01">
        <w:rPr>
          <w:b/>
          <w:sz w:val="28"/>
          <w:szCs w:val="28"/>
        </w:rPr>
        <w:t>1</w:t>
      </w:r>
      <w:r w:rsidR="00C72CFD">
        <w:rPr>
          <w:b/>
          <w:sz w:val="28"/>
          <w:szCs w:val="28"/>
        </w:rPr>
        <w:t>8</w:t>
      </w:r>
      <w:r w:rsidRPr="00973DDD">
        <w:rPr>
          <w:b/>
          <w:sz w:val="28"/>
          <w:szCs w:val="28"/>
        </w:rPr>
        <w:t xml:space="preserve">. </w:t>
      </w:r>
      <w:r w:rsidR="00C72CFD">
        <w:rPr>
          <w:b/>
          <w:sz w:val="28"/>
          <w:szCs w:val="28"/>
        </w:rPr>
        <w:t>11</w:t>
      </w:r>
      <w:r w:rsidRPr="00973DDD">
        <w:rPr>
          <w:b/>
          <w:sz w:val="28"/>
          <w:szCs w:val="28"/>
        </w:rPr>
        <w:t>. 201</w:t>
      </w:r>
      <w:r w:rsidR="00FA2EC7">
        <w:rPr>
          <w:b/>
          <w:sz w:val="28"/>
          <w:szCs w:val="28"/>
        </w:rPr>
        <w:t>6</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Pr="00E716FD"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Pr="00E716FD">
        <w:rPr>
          <w:rFonts w:ascii="Arial" w:hAnsi="Arial" w:cs="Arial"/>
          <w:sz w:val="22"/>
          <w:szCs w:val="22"/>
        </w:rPr>
        <w:t>zakázek, systém elektronických tržišť upravuje usnesení vlády č. 343 ze dne 10. 5. 2010.</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17 písm. w) </w:t>
      </w:r>
      <w:r w:rsidR="00113215" w:rsidRPr="009177C0">
        <w:rPr>
          <w:rFonts w:ascii="Arial" w:hAnsi="Arial" w:cs="Arial"/>
          <w:sz w:val="22"/>
          <w:szCs w:val="22"/>
        </w:rPr>
        <w:t>zákona č. 137/2006 Sb., o veřejných zakázkách, ve znění pozdějších předpisů</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18198F" w:rsidP="000112DB">
      <w:pPr>
        <w:spacing w:before="240" w:after="240"/>
        <w:jc w:val="both"/>
        <w:rPr>
          <w:rFonts w:ascii="Arial" w:hAnsi="Arial" w:cs="Arial"/>
          <w:sz w:val="22"/>
          <w:szCs w:val="22"/>
        </w:rPr>
      </w:pPr>
      <w:r w:rsidRPr="0018198F">
        <w:rPr>
          <w:rFonts w:ascii="Arial" w:hAnsi="Arial" w:cs="Arial"/>
          <w:sz w:val="22"/>
          <w:szCs w:val="22"/>
        </w:rPr>
        <w:t xml:space="preserve">Zadávání zakázek, které nejsou zadávány podle postupů stanovených v zákoně č. 137/2006 Sb., o veřejných zakázkách, </w:t>
      </w:r>
      <w:r w:rsidR="00113215">
        <w:rPr>
          <w:rFonts w:ascii="Arial" w:hAnsi="Arial" w:cs="Arial"/>
          <w:sz w:val="22"/>
          <w:szCs w:val="22"/>
        </w:rPr>
        <w:t xml:space="preserve">ve znění pozdějších předpisů, </w:t>
      </w:r>
      <w:r w:rsidRPr="0018198F">
        <w:rPr>
          <w:rFonts w:ascii="Arial" w:hAnsi="Arial" w:cs="Arial"/>
          <w:sz w:val="22"/>
          <w:szCs w:val="22"/>
        </w:rPr>
        <w:t>jehož účelem je zadání zakázky, a to až do uzavření smlouvy nebo do zrušení výběrového řízení. Postupy a problematiku výběrových řízení upravuje Metodický pokyn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18198F" w:rsidRPr="0018198F" w:rsidRDefault="0018198F" w:rsidP="000112DB">
      <w:pPr>
        <w:autoSpaceDE w:val="0"/>
        <w:autoSpaceDN w:val="0"/>
        <w:adjustRightInd w:val="0"/>
        <w:spacing w:before="240" w:after="240"/>
        <w:jc w:val="both"/>
        <w:rPr>
          <w:rFonts w:ascii="Arial" w:hAnsi="Arial" w:cs="Arial"/>
          <w:bCs/>
          <w:sz w:val="22"/>
          <w:szCs w:val="22"/>
        </w:rPr>
      </w:pPr>
      <w:r w:rsidRPr="0018198F">
        <w:rPr>
          <w:rFonts w:ascii="Arial" w:hAnsi="Arial" w:cs="Arial"/>
          <w:bCs/>
          <w:color w:val="000000"/>
          <w:sz w:val="22"/>
          <w:szCs w:val="22"/>
        </w:rPr>
        <w:t xml:space="preserve">Postup zadavatele podle zákona č. 137/2006 Sb., o veřejných zakázkách, </w:t>
      </w:r>
      <w:r w:rsidR="00113215">
        <w:rPr>
          <w:rFonts w:ascii="Arial" w:hAnsi="Arial" w:cs="Arial"/>
          <w:bCs/>
          <w:color w:val="000000"/>
          <w:sz w:val="22"/>
          <w:szCs w:val="22"/>
        </w:rPr>
        <w:t xml:space="preserve">ve znění pozdějších předpisů, </w:t>
      </w:r>
      <w:r w:rsidRPr="0018198F">
        <w:rPr>
          <w:rFonts w:ascii="Arial" w:hAnsi="Arial" w:cs="Arial"/>
          <w:bCs/>
          <w:color w:val="000000"/>
          <w:sz w:val="22"/>
          <w:szCs w:val="22"/>
        </w:rPr>
        <w:t>jehož účelem je zadání veřejné zakázky, a to až do uzavření smlouvy nebo do zrušení zadávacího řízení.</w:t>
      </w:r>
    </w:p>
    <w:p w:rsidR="005815D8" w:rsidRPr="00E716FD" w:rsidRDefault="005815D8" w:rsidP="000112DB">
      <w:pPr>
        <w:spacing w:before="240" w:after="240"/>
        <w:jc w:val="both"/>
        <w:rPr>
          <w:rFonts w:ascii="Arial" w:hAnsi="Arial" w:cs="Arial"/>
          <w:sz w:val="22"/>
          <w:szCs w:val="22"/>
        </w:rPr>
      </w:pPr>
    </w:p>
    <w:p w:rsidR="002A4839" w:rsidRDefault="002A4839" w:rsidP="00E716FD">
      <w:pPr>
        <w:rPr>
          <w:rFonts w:ascii="Arial" w:hAnsi="Arial" w:cs="Arial"/>
          <w:b/>
          <w:sz w:val="22"/>
          <w:szCs w:val="22"/>
        </w:rPr>
      </w:pPr>
      <w:r>
        <w:rPr>
          <w:b/>
        </w:rPr>
        <w:br w:type="page"/>
      </w:r>
    </w:p>
    <w:p w:rsidR="009177C0" w:rsidRPr="009177C0" w:rsidRDefault="009177C0" w:rsidP="00452B4E">
      <w:pPr>
        <w:pStyle w:val="Mjstyl3"/>
        <w:numPr>
          <w:ilvl w:val="0"/>
          <w:numId w:val="43"/>
        </w:numPr>
        <w:spacing w:before="240" w:after="240"/>
        <w:rPr>
          <w:b/>
        </w:rPr>
      </w:pPr>
      <w:r w:rsidRPr="009177C0">
        <w:rPr>
          <w:b/>
        </w:rPr>
        <w:lastRenderedPageBreak/>
        <w:t>Z</w:t>
      </w:r>
      <w:bookmarkEnd w:id="2"/>
      <w:bookmarkEnd w:id="3"/>
      <w:bookmarkEnd w:id="4"/>
      <w:r w:rsidRPr="009177C0">
        <w:rPr>
          <w:b/>
        </w:rPr>
        <w:t>ásady postupu zadavatele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je povinen při zadávání veřejné zakázky/zakázky dodržovat zásady transparentnosti, rovného zacházení a zákazu diskriminace.</w:t>
      </w:r>
    </w:p>
    <w:p w:rsidR="009177C0" w:rsidRPr="009177C0" w:rsidRDefault="009177C0" w:rsidP="00452B4E">
      <w:pPr>
        <w:pStyle w:val="Mjstyl3"/>
        <w:numPr>
          <w:ilvl w:val="0"/>
          <w:numId w:val="43"/>
        </w:numPr>
        <w:spacing w:before="240" w:after="240"/>
        <w:rPr>
          <w:b/>
        </w:rPr>
      </w:pPr>
      <w:r w:rsidRPr="009177C0">
        <w:rPr>
          <w:b/>
        </w:rPr>
        <w:t xml:space="preserve">Veřejná zakázka/zakázka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Veřejná zakázka/zakázka je realizována na základě písemné smlouvy nebo písemné objednávky (pouze u zakázek malé hodnoty) mezi zadavatelem a jedním či více dodavateli, jejímž předmětem je úplatné poskytnutí dodávek či služeb nebo úplatné provedení stavebních prací.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Veřejná zakázka/zakázka se podle předmětu dělí na veřejné zakázky/zakázky na dodávky, veřejné zakázky/zakázky na služby nebo veřejné zakázky/zakázky na stavební práce.</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dodávky je zakázka, jejímž předmětem je pořízení věci („zboží“) formou koupě, koupě zboží na splátky, nájmu nebo pachtu zboží nebo nájmu nebo pachtu zboží s právem následné koupě (leasing). Dále za veřejnou zakázku/zakázku na dodávky lze považovat poskytnutí služby spočívající v umístění, montáži či uvedení zboží (viz předchozí věta), do provozu, pokud tyto činnosti nejsou základním účelem veřejné zakázky/zakázky, avšak jsou nezbytné ke splnění veřejné zakázky/zakázky na dodávky.</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Veřejnou zakázkou/zakázkou na služby je zakázka, která není veřejnou zakázkou/zakázkou na dodávky nebo stavební práce. Veřejnou zakázkou/zakázkou na služby je také zakázka, jejímž předmětem je kromě poskytnutí služeb rovněž poskytnutí dodávky dle bodu 2.3</w:t>
      </w:r>
      <w:r w:rsidR="00452B4E">
        <w:rPr>
          <w:rFonts w:ascii="Arial" w:hAnsi="Arial" w:cs="Arial"/>
          <w:sz w:val="22"/>
          <w:szCs w:val="22"/>
        </w:rPr>
        <w:t xml:space="preserve">, </w:t>
      </w:r>
      <w:r w:rsidRPr="009177C0">
        <w:rPr>
          <w:rFonts w:ascii="Arial" w:hAnsi="Arial" w:cs="Arial"/>
          <w:sz w:val="22"/>
          <w:szCs w:val="22"/>
        </w:rPr>
        <w:t>pokud předpokládaná hodnota poskytovaných služeb je vyšší než předpokládaná hodnota poskytované dodávky</w:t>
      </w:r>
      <w:r w:rsidR="008927AD">
        <w:rPr>
          <w:rFonts w:ascii="Arial" w:hAnsi="Arial" w:cs="Arial"/>
          <w:sz w:val="22"/>
          <w:szCs w:val="22"/>
        </w:rPr>
        <w:t>.</w:t>
      </w:r>
    </w:p>
    <w:p w:rsidR="009177C0" w:rsidRPr="009177C0" w:rsidRDefault="009177C0" w:rsidP="00452B4E">
      <w:pPr>
        <w:pStyle w:val="Mjstyl3"/>
        <w:numPr>
          <w:ilvl w:val="0"/>
          <w:numId w:val="43"/>
        </w:numPr>
        <w:spacing w:before="240" w:after="240"/>
        <w:rPr>
          <w:b/>
        </w:rPr>
      </w:pPr>
      <w:bookmarkStart w:id="6" w:name="_Toc320285883"/>
      <w:bookmarkStart w:id="7" w:name="_Toc283647551"/>
      <w:bookmarkStart w:id="8" w:name="_Toc323899543"/>
      <w:r w:rsidRPr="009177C0">
        <w:rPr>
          <w:b/>
        </w:rPr>
        <w:t xml:space="preserve">Druh veřejné zakázky/zakázky podle předpokládané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Pro účely tohoto PŽP se veřejné zakázky/zakázky podle výše předpokládané hodnoty člení na veřejné zakázky/zakázky:</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malé hodnoty </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vyšší hodnoty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malé hodnoty je zakázka, jejíž předpokládaná hodnota nedosáhne 2</w:t>
      </w:r>
      <w:r w:rsidR="00A37983">
        <w:rPr>
          <w:rFonts w:ascii="Arial" w:hAnsi="Arial" w:cs="Arial"/>
          <w:sz w:val="22"/>
          <w:szCs w:val="22"/>
        </w:rPr>
        <w:t> 000 </w:t>
      </w:r>
      <w:r w:rsidRPr="009177C0">
        <w:rPr>
          <w:rFonts w:ascii="Arial" w:hAnsi="Arial" w:cs="Arial"/>
          <w:sz w:val="22"/>
          <w:szCs w:val="22"/>
        </w:rPr>
        <w:t>000 Kč bez daně z přidané hodnoty v případě zakázky na dodávky a/nebo služby. Zakázky jsou zadávané podle Metodického pokynu pro oblast zadávání zakázek pro programové období 2014-2020.</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Zakázkou vyšší hodnoty je veřejná zakázka na dodávky a/nebo služby, jejíž předpokládaná hodnota činí nejméně 2 000 000 Kč bez daně z přidané hodnoty. Veřejné zakázky jsou zadávané podle zákona č. 137/2006 Sb., o veřejných zakázkách, ve znění pozdějších předpisů.</w:t>
      </w:r>
    </w:p>
    <w:p w:rsidR="009177C0" w:rsidRPr="009177C0" w:rsidRDefault="009177C0" w:rsidP="00452B4E">
      <w:pPr>
        <w:pStyle w:val="Mjstyl3"/>
        <w:numPr>
          <w:ilvl w:val="0"/>
          <w:numId w:val="43"/>
        </w:numPr>
        <w:spacing w:before="240" w:after="240"/>
        <w:rPr>
          <w:b/>
        </w:rPr>
      </w:pPr>
      <w:r w:rsidRPr="009177C0">
        <w:rPr>
          <w:b/>
        </w:rPr>
        <w:t>Stanovení předmětu veřejné zakázky/zakázky</w:t>
      </w:r>
      <w:bookmarkEnd w:id="5"/>
      <w:bookmarkEnd w:id="6"/>
      <w:bookmarkEnd w:id="7"/>
      <w:bookmarkEnd w:id="8"/>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Zadavatel stanoví předmět veřejné zakázky/zakázky tak, aby předmětem jedné veřejné zakázky/zakázky byla:</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plnění, jejichž předměty plnění tvoří jeden funkční celek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všechna obdobná a spolu související plnění, přičemž související plnění jsou ta, která spolu místně, věcně a časově souvisí.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 xml:space="preserve">Při určení předmětu veřejné zakázky/zakázky není přípustné uvádět v zadávacích podmínkách požadavky nebo odkazy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 pokud by to vedlo ke zvýhodnění nebo vyloučení určitých uchazečů nebo určitých výrobků. </w:t>
      </w:r>
    </w:p>
    <w:p w:rsidR="009177C0" w:rsidRPr="009177C0" w:rsidRDefault="009177C0" w:rsidP="009177C0">
      <w:pPr>
        <w:spacing w:after="240"/>
        <w:ind w:firstLine="567"/>
        <w:rPr>
          <w:rFonts w:ascii="Arial" w:hAnsi="Arial" w:cs="Arial"/>
          <w:sz w:val="22"/>
          <w:szCs w:val="22"/>
        </w:rPr>
      </w:pPr>
      <w:r w:rsidRPr="009177C0">
        <w:rPr>
          <w:rFonts w:ascii="Arial" w:hAnsi="Arial" w:cs="Arial"/>
          <w:sz w:val="22"/>
          <w:szCs w:val="22"/>
        </w:rPr>
        <w:t>Takový odkaz lze výjimečně připustit, pokud:</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by bez jeho použití, nebylo možné dostatečně přesně a srozumitelně určit předmět veřejné zakázky/zakázky, zadavatel však zároveň musí v zadávacích podmínkách výslovně umožnit pro plnění veřejné zakázky/zakázky použití i jiných, kvalitativně a technicky obdobných řešení, nebo</w:t>
      </w:r>
    </w:p>
    <w:p w:rsidR="009177C0" w:rsidRPr="009177C0" w:rsidRDefault="009177C0" w:rsidP="00452B4E">
      <w:pPr>
        <w:pStyle w:val="Odstavecseseznamem"/>
        <w:numPr>
          <w:ilvl w:val="2"/>
          <w:numId w:val="43"/>
        </w:numPr>
        <w:spacing w:after="120" w:line="240" w:lineRule="atLeast"/>
        <w:ind w:left="993" w:hanging="426"/>
        <w:contextualSpacing w:val="0"/>
        <w:jc w:val="both"/>
        <w:rPr>
          <w:rFonts w:ascii="Arial" w:hAnsi="Arial" w:cs="Arial"/>
          <w:sz w:val="22"/>
          <w:szCs w:val="22"/>
        </w:rPr>
      </w:pPr>
      <w:r w:rsidRPr="009177C0">
        <w:rPr>
          <w:rFonts w:ascii="Arial" w:hAnsi="Arial" w:cs="Arial"/>
          <w:sz w:val="22"/>
          <w:szCs w:val="22"/>
        </w:rPr>
        <w:t xml:space="preserve">by bylo pořizované plnění nekompatibilní s již používanými zařízeními či systémy a jeho přizpůsobení by provozu zadavatele působilo mimořádné obtíže, může zadavatel v zadávacích podmínkách uvést podrobněji specifický popis plnění.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Skutečnosti uvedené v předchozím bodu je zadavatel povinen poskytovateli podpory na vyžádání prokázat.</w:t>
      </w:r>
    </w:p>
    <w:p w:rsidR="009177C0" w:rsidRPr="009177C0" w:rsidRDefault="009177C0" w:rsidP="00452B4E">
      <w:pPr>
        <w:pStyle w:val="Mjstyl3"/>
        <w:numPr>
          <w:ilvl w:val="0"/>
          <w:numId w:val="43"/>
        </w:numPr>
        <w:spacing w:before="240" w:after="240"/>
        <w:rPr>
          <w:b/>
        </w:rPr>
      </w:pPr>
      <w:bookmarkStart w:id="9" w:name="_Toc211932109"/>
      <w:bookmarkStart w:id="10" w:name="_Toc320285884"/>
      <w:bookmarkStart w:id="11" w:name="_Toc283647552"/>
      <w:bookmarkStart w:id="12" w:name="_Toc323899544"/>
      <w:r w:rsidRPr="009177C0">
        <w:rPr>
          <w:b/>
        </w:rPr>
        <w:t>Stanovení předpokládané hodnoty veřejné zakázky/zakázky</w:t>
      </w:r>
      <w:bookmarkEnd w:id="9"/>
      <w:bookmarkEnd w:id="10"/>
      <w:bookmarkEnd w:id="11"/>
      <w:bookmarkEnd w:id="12"/>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Předpokládanou hodnotou veřejné zakázky/zakázky se rozumí předpokládaná výše peněžitého závazku vyplývající pro zadavatele z plnění veřejné zakázky/zakázky. Zadavatel je povinen předpokládanou hodnotu veřejné zakázky/zakázky stanovit pro účely postupu v zadávacím/výběrovém řízení před jeho zahájením. Při stanovení předpokládané hodnoty veřejné zakázky/zakázky je vždy rozhodná cena bez daně z přidané hodnoty, a to cena ke dni zahájení zadávacího/výběrového řízení.</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veřejné zakázky/zakázky zadavatel vychází z údajů a informací o veřejných zakázkách/zakázkách stejného nebo obdobného předmětu plnění, nebo údajů a informací získaných průzkumem trhu s požadovaným plněním nebo informací získaných jiným vhodným způsobem.</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že zadavatel má v úmyslu uzavřít smlouvu na dobu neurčitou nebo na dobu, jejíž trvání nelze přesně vymezit, je povinen stanovit předpokládanou hodnotu veřejné zakázky/zakázky na základě předpokládané výše peněžitého závazku za</w:t>
      </w:r>
      <w:r w:rsidR="00994CF3">
        <w:rPr>
          <w:rFonts w:ascii="Arial" w:hAnsi="Arial" w:cs="Arial"/>
          <w:sz w:val="22"/>
          <w:szCs w:val="22"/>
        </w:rPr>
        <w:t> </w:t>
      </w:r>
      <w:r w:rsidRPr="009177C0">
        <w:rPr>
          <w:rFonts w:ascii="Arial" w:hAnsi="Arial" w:cs="Arial"/>
          <w:sz w:val="22"/>
          <w:szCs w:val="22"/>
        </w:rPr>
        <w:t>48</w:t>
      </w:r>
      <w:r w:rsidR="00994CF3">
        <w:rPr>
          <w:rFonts w:ascii="Arial" w:hAnsi="Arial" w:cs="Arial"/>
          <w:sz w:val="22"/>
          <w:szCs w:val="22"/>
        </w:rPr>
        <w:t> </w:t>
      </w:r>
      <w:r w:rsidRPr="009177C0">
        <w:rPr>
          <w:rFonts w:ascii="Arial" w:hAnsi="Arial" w:cs="Arial"/>
          <w:sz w:val="22"/>
          <w:szCs w:val="22"/>
        </w:rPr>
        <w:t>měsíců.</w:t>
      </w:r>
    </w:p>
    <w:p w:rsidR="009177C0" w:rsidRPr="009177C0" w:rsidRDefault="009177C0" w:rsidP="00452B4E">
      <w:pPr>
        <w:pStyle w:val="Mjstyl3"/>
        <w:numPr>
          <w:ilvl w:val="0"/>
          <w:numId w:val="43"/>
        </w:numPr>
        <w:spacing w:before="240" w:after="240"/>
        <w:rPr>
          <w:b/>
        </w:rPr>
      </w:pPr>
      <w:bookmarkStart w:id="13" w:name="_Toc211932110"/>
      <w:bookmarkStart w:id="14" w:name="_Toc320285885"/>
      <w:bookmarkStart w:id="15" w:name="_Toc283647553"/>
      <w:bookmarkStart w:id="16" w:name="_Toc323899545"/>
      <w:r w:rsidRPr="009177C0">
        <w:rPr>
          <w:b/>
        </w:rPr>
        <w:t>Dělení předmětu veřejné zakázky/zakázk</w:t>
      </w:r>
      <w:bookmarkEnd w:id="13"/>
      <w:r w:rsidRPr="009177C0">
        <w:rPr>
          <w:b/>
        </w:rPr>
        <w:t>y</w:t>
      </w:r>
      <w:bookmarkEnd w:id="14"/>
      <w:bookmarkEnd w:id="15"/>
      <w:bookmarkEnd w:id="16"/>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 xml:space="preserve">Zadavatel nesmí rozdělit předmět veřejné zakázky/zakázky tak, aby tím došlo ke snížení předpokládané hodnoty pod finanční limity stanovené </w:t>
      </w:r>
      <w:r w:rsidR="008927AD">
        <w:rPr>
          <w:rFonts w:ascii="Arial" w:hAnsi="Arial" w:cs="Arial"/>
          <w:sz w:val="22"/>
          <w:szCs w:val="22"/>
        </w:rPr>
        <w:t>z</w:t>
      </w:r>
      <w:r w:rsidRPr="009177C0">
        <w:rPr>
          <w:rFonts w:ascii="Arial" w:hAnsi="Arial" w:cs="Arial"/>
          <w:sz w:val="22"/>
          <w:szCs w:val="22"/>
        </w:rPr>
        <w:t>ákonem</w:t>
      </w:r>
      <w:r w:rsidR="008927AD" w:rsidRPr="009177C0">
        <w:rPr>
          <w:rFonts w:ascii="Arial" w:hAnsi="Arial" w:cs="Arial"/>
          <w:sz w:val="22"/>
          <w:szCs w:val="22"/>
        </w:rPr>
        <w:t xml:space="preserve"> č. 137/2006 Sb., o veřejných zakázkách, ve znění pozdějších předpisů</w:t>
      </w:r>
      <w:r w:rsidR="008927AD">
        <w:rPr>
          <w:rFonts w:ascii="Arial" w:hAnsi="Arial" w:cs="Arial"/>
          <w:sz w:val="22"/>
          <w:szCs w:val="22"/>
        </w:rPr>
        <w:t>,</w:t>
      </w:r>
      <w:r w:rsidRPr="009177C0">
        <w:rPr>
          <w:rFonts w:ascii="Arial" w:hAnsi="Arial" w:cs="Arial"/>
          <w:sz w:val="22"/>
          <w:szCs w:val="22"/>
        </w:rPr>
        <w:t xml:space="preserve"> a k zadání veřejné zakázky/zakázky v jiném (mírnějším) druhu řízení, než jaký odpovídá celkové předpokládané hodnotě. </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Při stanovení předpokládané hodnoty je zadavatel povinen sečíst předpokládané hodnoty obdobných, spolu souvisejících dodávek či služeb, které hodlá pořídit v</w:t>
      </w:r>
      <w:r w:rsidR="00994CF3">
        <w:rPr>
          <w:rFonts w:ascii="Arial" w:hAnsi="Arial" w:cs="Arial"/>
          <w:sz w:val="22"/>
          <w:szCs w:val="22"/>
        </w:rPr>
        <w:t> </w:t>
      </w:r>
      <w:r w:rsidRPr="009177C0">
        <w:rPr>
          <w:rFonts w:ascii="Arial" w:hAnsi="Arial" w:cs="Arial"/>
          <w:sz w:val="22"/>
          <w:szCs w:val="22"/>
        </w:rPr>
        <w:t>průběhu účetního období. To neplatí pro dodávky nebo služby, jejichž jednotková cena je v průběhu účetního období</w:t>
      </w:r>
      <w:r w:rsidRPr="0028752E">
        <w:rPr>
          <w:rStyle w:val="Znakapoznpodarou"/>
          <w:rFonts w:ascii="Arial" w:hAnsi="Arial" w:cs="Arial"/>
          <w:szCs w:val="16"/>
        </w:rPr>
        <w:footnoteReference w:id="1"/>
      </w:r>
      <w:r w:rsidRPr="009177C0">
        <w:rPr>
          <w:rFonts w:ascii="Arial" w:hAnsi="Arial" w:cs="Arial"/>
          <w:sz w:val="22"/>
          <w:szCs w:val="22"/>
        </w:rPr>
        <w:t xml:space="preserve"> proměnlivá a zadavatel tyto dodávky nebo služby pořizuje opakovaně podle svých aktuálních potřeb.</w:t>
      </w:r>
    </w:p>
    <w:p w:rsidR="009177C0" w:rsidRPr="009177C0"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lastRenderedPageBreak/>
        <w:t>Zadavatel není povinen sčítat předpokládané hodnoty veřejných zakázek/zakázek, které budou pořizovány „nahodile“ dle zcela aktuálních potřeb zadavatele a které nelze objektivně dopředu vůbec předvídat (např. veřejné zakázky/zakázky realizované v krajně naléhavých případech jako důsledek nepředvídatelných poškození a zničení určitých majetkových hodnot apod.).</w:t>
      </w:r>
    </w:p>
    <w:p w:rsidR="009177C0" w:rsidRPr="001E6147" w:rsidRDefault="009177C0" w:rsidP="00452B4E">
      <w:pPr>
        <w:pStyle w:val="Odstavecseseznamem"/>
        <w:numPr>
          <w:ilvl w:val="1"/>
          <w:numId w:val="43"/>
        </w:numPr>
        <w:spacing w:after="120" w:line="240" w:lineRule="atLeast"/>
        <w:contextualSpacing w:val="0"/>
        <w:jc w:val="both"/>
        <w:rPr>
          <w:rFonts w:ascii="Arial" w:hAnsi="Arial" w:cs="Arial"/>
          <w:sz w:val="22"/>
          <w:szCs w:val="22"/>
        </w:rPr>
      </w:pPr>
      <w:r w:rsidRPr="009177C0">
        <w:rPr>
          <w:rFonts w:ascii="Arial" w:hAnsi="Arial" w:cs="Arial"/>
          <w:sz w:val="22"/>
          <w:szCs w:val="22"/>
        </w:rPr>
        <w:t>V případě pochybností, zda zadavatel dodržel povinnosti stanovené v bodech 6.1. a 6.2., prokazuje zadavatel, že povinnosti dodržel.</w:t>
      </w:r>
    </w:p>
    <w:p w:rsidR="001E6147" w:rsidRPr="0028752E" w:rsidRDefault="001E6147" w:rsidP="0028752E">
      <w:pPr>
        <w:pStyle w:val="Mjstyl3"/>
        <w:numPr>
          <w:ilvl w:val="0"/>
          <w:numId w:val="43"/>
        </w:numPr>
        <w:spacing w:before="240" w:after="240"/>
        <w:rPr>
          <w:b/>
        </w:rPr>
      </w:pPr>
      <w:r w:rsidRPr="0028752E">
        <w:rPr>
          <w:b/>
        </w:rPr>
        <w:t xml:space="preserve">Lhůta pro podání nabídek </w:t>
      </w:r>
      <w:r w:rsidR="00E77072" w:rsidRPr="009177C0">
        <w:rPr>
          <w:b/>
        </w:rPr>
        <w:t>a dodatečné informace k zadávacím podmínkám</w:t>
      </w:r>
    </w:p>
    <w:p w:rsidR="001E6147" w:rsidRDefault="001E6147" w:rsidP="0028752E">
      <w:pPr>
        <w:pStyle w:val="Odstavecseseznamem"/>
        <w:numPr>
          <w:ilvl w:val="1"/>
          <w:numId w:val="43"/>
        </w:numPr>
        <w:jc w:val="both"/>
      </w:pPr>
      <w:r w:rsidRPr="001E6147">
        <w:rPr>
          <w:rFonts w:ascii="Arial" w:hAnsi="Arial" w:cs="Arial"/>
          <w:sz w:val="22"/>
          <w:szCs w:val="22"/>
        </w:rPr>
        <w:t>Lhůta pro podání nabídek nesmí být</w:t>
      </w:r>
    </w:p>
    <w:p w:rsidR="001E6147" w:rsidRPr="001E6147" w:rsidRDefault="001E6147" w:rsidP="0028752E">
      <w:pPr>
        <w:pStyle w:val="Odstavecseseznamem"/>
        <w:ind w:left="576"/>
        <w:jc w:val="both"/>
      </w:pPr>
    </w:p>
    <w:p w:rsidR="001E6147" w:rsidRPr="009177C0" w:rsidRDefault="001E6147" w:rsidP="001E752A">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malé hodnoty kratší než 10 kalendářních dnů,</w:t>
      </w:r>
    </w:p>
    <w:p w:rsidR="00A61A39" w:rsidRDefault="001E6147" w:rsidP="0028752E">
      <w:pPr>
        <w:pStyle w:val="Zkladntext"/>
        <w:numPr>
          <w:ilvl w:val="0"/>
          <w:numId w:val="47"/>
        </w:numPr>
        <w:tabs>
          <w:tab w:val="left" w:pos="1276"/>
        </w:tabs>
        <w:spacing w:after="60"/>
        <w:jc w:val="both"/>
        <w:rPr>
          <w:rFonts w:ascii="Arial" w:hAnsi="Arial" w:cs="Arial"/>
          <w:sz w:val="22"/>
          <w:szCs w:val="22"/>
        </w:rPr>
      </w:pPr>
      <w:r w:rsidRPr="009177C0">
        <w:rPr>
          <w:rFonts w:ascii="Arial" w:hAnsi="Arial" w:cs="Arial"/>
          <w:sz w:val="22"/>
          <w:szCs w:val="22"/>
        </w:rPr>
        <w:t>u zakázek vyšší hodnoty kratší než 15 kalendářních dnů a kratší než 35</w:t>
      </w:r>
      <w:r>
        <w:rPr>
          <w:rFonts w:ascii="Arial" w:hAnsi="Arial" w:cs="Arial"/>
          <w:sz w:val="22"/>
          <w:szCs w:val="22"/>
        </w:rPr>
        <w:t> </w:t>
      </w:r>
      <w:r w:rsidRPr="009177C0">
        <w:rPr>
          <w:rFonts w:ascii="Arial" w:hAnsi="Arial" w:cs="Arial"/>
          <w:sz w:val="22"/>
          <w:szCs w:val="22"/>
        </w:rPr>
        <w:t>kalendářních dnů v případě zakázek, jejichž předpokládaná hodnota dosáhne nejméně hodnoty nadlimitní veřejné zakázky pro sektorové zadavatele podle nařízení vlády č. 77/2008 Sb.</w:t>
      </w:r>
    </w:p>
    <w:p w:rsidR="00A61A39" w:rsidRPr="0028752E" w:rsidRDefault="00A61A39">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Dodavatel je oprávněn po zadavateli požadovat písemně dodatečné informace k zadávacím podmínkám. Písemná žádost musí být zadavateli doručena nejpozději 6 pracovních dnů a v případě zakázky malé hodnoty nejpozději 4 pracovní dny před uplynutím lhůty pro podání nabídek. Dodatečné informace může zadavatel poskytnout i bez předchozí žádosti.</w:t>
      </w:r>
    </w:p>
    <w:p w:rsidR="001E752A" w:rsidRPr="0028752E" w:rsidRDefault="001E752A">
      <w:pPr>
        <w:pStyle w:val="Odstavecseseznamem"/>
        <w:numPr>
          <w:ilvl w:val="1"/>
          <w:numId w:val="43"/>
        </w:numPr>
        <w:spacing w:after="120" w:line="240" w:lineRule="atLeast"/>
        <w:contextualSpacing w:val="0"/>
        <w:jc w:val="both"/>
        <w:rPr>
          <w:rFonts w:ascii="Arial" w:hAnsi="Arial" w:cs="Arial"/>
          <w:sz w:val="22"/>
          <w:szCs w:val="22"/>
        </w:rPr>
      </w:pPr>
      <w:r w:rsidRPr="0028752E">
        <w:rPr>
          <w:rFonts w:ascii="Arial" w:hAnsi="Arial" w:cs="Arial"/>
          <w:sz w:val="22"/>
          <w:szCs w:val="22"/>
        </w:rPr>
        <w:t xml:space="preserve">Zadavatel odešle dodatečné informace k zadávacím podmínkám, případně související dokumenty, nejpozději do 4 pracovních dnů a v případě zakázky malé hodnoty nejpozději do 2 pracovních dnů po doručení žádosti podle předchozího odstavce. </w:t>
      </w:r>
    </w:p>
    <w:p w:rsidR="009177C0" w:rsidRPr="009177C0" w:rsidRDefault="009177C0" w:rsidP="009177C0">
      <w:pPr>
        <w:pStyle w:val="Odstavecseseznamem"/>
        <w:spacing w:after="120" w:line="240" w:lineRule="atLeast"/>
        <w:ind w:left="576"/>
        <w:rPr>
          <w:rFonts w:ascii="Arial" w:hAnsi="Arial" w:cs="Arial"/>
          <w:sz w:val="22"/>
          <w:szCs w:val="22"/>
        </w:rPr>
      </w:pP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t>Zadávání veřejných zakázek podle zákona č. 137/2006 Sb., o veřejných zakázkách</w:t>
      </w:r>
      <w:r w:rsidR="00113215">
        <w:rPr>
          <w:b/>
        </w:rPr>
        <w:t>, ve znění pozdějších předpisů</w:t>
      </w:r>
      <w:r w:rsidRPr="009177C0">
        <w:rPr>
          <w:b/>
        </w:rPr>
        <w:t xml:space="preserve">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137/2006 Sb., o 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(dále „Zákon“)</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Zákonem.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(žadatelem)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9177C0" w:rsidRDefault="009177C0" w:rsidP="009177C0">
      <w:pPr>
        <w:spacing w:line="240" w:lineRule="atLeast"/>
        <w:rPr>
          <w:rFonts w:ascii="Arial" w:hAnsi="Arial" w:cs="Arial"/>
          <w:sz w:val="22"/>
          <w:szCs w:val="22"/>
        </w:rPr>
      </w:pPr>
      <w:r w:rsidRPr="009177C0">
        <w:rPr>
          <w:rFonts w:ascii="Arial" w:hAnsi="Arial" w:cs="Arial"/>
          <w:b/>
          <w:sz w:val="22"/>
          <w:szCs w:val="22"/>
        </w:rPr>
        <w:t>Nad rámec zákonných požadavků je příjemce také povinen</w:t>
      </w:r>
      <w:r w:rsidRPr="009177C0">
        <w:rPr>
          <w:rFonts w:ascii="Arial" w:hAnsi="Arial" w:cs="Arial"/>
          <w:sz w:val="22"/>
          <w:szCs w:val="22"/>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9177C0" w:rsidRPr="00690B7F" w:rsidRDefault="009177C0" w:rsidP="009177C0">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předložit min. 10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10 pracovních dnů ode dne obdržení kompletních podkladů.</w:t>
      </w:r>
    </w:p>
    <w:p w:rsidR="009177C0" w:rsidRPr="009177C0" w:rsidRDefault="00DB26A9">
      <w:pPr>
        <w:spacing w:line="240" w:lineRule="atLeast"/>
        <w:ind w:firstLine="567"/>
        <w:rPr>
          <w:rFonts w:ascii="Arial" w:hAnsi="Arial" w:cs="Arial"/>
          <w:sz w:val="22"/>
          <w:szCs w:val="22"/>
        </w:rPr>
      </w:pPr>
      <w:r>
        <w:rPr>
          <w:rFonts w:ascii="Arial" w:hAnsi="Arial" w:cs="Arial"/>
          <w:sz w:val="22"/>
          <w:szCs w:val="22"/>
        </w:rPr>
        <w:br w:type="page"/>
      </w:r>
      <w:r w:rsidR="009177C0" w:rsidRPr="009177C0">
        <w:rPr>
          <w:rFonts w:ascii="Arial" w:hAnsi="Arial" w:cs="Arial"/>
          <w:sz w:val="22"/>
          <w:szCs w:val="22"/>
        </w:rPr>
        <w:lastRenderedPageBreak/>
        <w:t>Předmětem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452B4E">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sz w:val="22"/>
          <w:szCs w:val="22"/>
        </w:rPr>
        <w:t>Zaslat ŘO OPTP pozvánku</w:t>
      </w:r>
      <w:r w:rsidR="00312C25">
        <w:rPr>
          <w:rFonts w:ascii="Arial" w:hAnsi="Arial" w:cs="Arial"/>
          <w:sz w:val="22"/>
          <w:szCs w:val="22"/>
        </w:rPr>
        <w:t xml:space="preserve"> na otevírání nabídek</w:t>
      </w:r>
      <w:r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předložit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10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Pozvánka pro každého člena komise na její první jednání</w:t>
      </w:r>
      <w:r w:rsidR="0056005F">
        <w:rPr>
          <w:rFonts w:ascii="Arial" w:hAnsi="Arial" w:cs="Arial"/>
          <w:sz w:val="22"/>
          <w:szCs w:val="22"/>
        </w:rPr>
        <w:t>, je-li komise ustanovena</w:t>
      </w:r>
    </w:p>
    <w:p w:rsidR="007642B1"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Zákonem (protokol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9177C0" w:rsidRPr="00D95F17" w:rsidRDefault="00A839DA" w:rsidP="00D95F17">
      <w:pPr>
        <w:pStyle w:val="Odstavecseseznamem"/>
        <w:numPr>
          <w:ilvl w:val="0"/>
          <w:numId w:val="35"/>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všech členů komise, přizvaných odborníků nebo osob zastupujících zadavatele, že nejsou ve střetu zájmů</w:t>
      </w:r>
    </w:p>
    <w:p w:rsid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452B4E">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D95F17">
      <w:pPr>
        <w:pStyle w:val="Odstavecseseznamem"/>
        <w:numPr>
          <w:ilvl w:val="0"/>
          <w:numId w:val="35"/>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452B4E">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 xml:space="preserve">Po uzavření smlouvy </w:t>
      </w:r>
      <w:r w:rsidRPr="009177C0">
        <w:rPr>
          <w:rFonts w:ascii="Arial" w:hAnsi="Arial" w:cs="Arial"/>
          <w:sz w:val="22"/>
          <w:szCs w:val="22"/>
        </w:rPr>
        <w:t xml:space="preserve">na plnění veřejné zakázky </w:t>
      </w:r>
      <w:r w:rsidR="00321F62">
        <w:rPr>
          <w:rFonts w:ascii="Arial" w:hAnsi="Arial" w:cs="Arial"/>
          <w:sz w:val="22"/>
          <w:szCs w:val="22"/>
        </w:rPr>
        <w:t xml:space="preserve">předložit </w:t>
      </w:r>
      <w:r w:rsidRPr="009177C0">
        <w:rPr>
          <w:rFonts w:ascii="Arial" w:hAnsi="Arial" w:cs="Arial"/>
          <w:sz w:val="22"/>
          <w:szCs w:val="22"/>
        </w:rPr>
        <w:t xml:space="preserve">do 20 pracovních dnů ode dne následujícího po jejím podpisu ŘO OPTP </w:t>
      </w:r>
      <w:r w:rsidR="00321F62">
        <w:rPr>
          <w:rFonts w:ascii="Arial" w:hAnsi="Arial" w:cs="Arial"/>
          <w:sz w:val="22"/>
          <w:szCs w:val="22"/>
        </w:rPr>
        <w:t xml:space="preserve">k posouzení </w:t>
      </w:r>
      <w:r w:rsidRPr="009177C0">
        <w:rPr>
          <w:rFonts w:ascii="Arial" w:hAnsi="Arial" w:cs="Arial"/>
          <w:sz w:val="22"/>
          <w:szCs w:val="22"/>
        </w:rPr>
        <w:t xml:space="preserve">dokumentaci z ukončení zadávacího řízení. ŘO OPTP poskytne vyjádření nejpozději do ověření </w:t>
      </w:r>
      <w:r w:rsidR="003F249F">
        <w:rPr>
          <w:rFonts w:ascii="Arial" w:hAnsi="Arial" w:cs="Arial"/>
          <w:sz w:val="22"/>
          <w:szCs w:val="22"/>
        </w:rPr>
        <w:t>žádosti o podporu</w:t>
      </w:r>
      <w:r w:rsidRPr="009177C0">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uzavřená s vybraným </w:t>
      </w:r>
      <w:r w:rsidR="00B2657C">
        <w:rPr>
          <w:rFonts w:ascii="Arial" w:hAnsi="Arial" w:cs="Arial"/>
          <w:sz w:val="22"/>
          <w:szCs w:val="22"/>
        </w:rPr>
        <w:t>dodavatelem</w:t>
      </w:r>
      <w:r w:rsidR="00B2657C" w:rsidRPr="009177C0">
        <w:rPr>
          <w:rFonts w:ascii="Arial" w:hAnsi="Arial" w:cs="Arial"/>
          <w:sz w:val="22"/>
          <w:szCs w:val="22"/>
        </w:rPr>
        <w:t xml:space="preserve"> </w:t>
      </w:r>
      <w:r w:rsidRPr="009177C0">
        <w:rPr>
          <w:rFonts w:ascii="Arial" w:hAnsi="Arial" w:cs="Arial"/>
          <w:sz w:val="22"/>
          <w:szCs w:val="22"/>
        </w:rPr>
        <w:t>včetně jejího uveřejnění na profilu zadavatele</w:t>
      </w:r>
    </w:p>
    <w:p w:rsidR="009177C0" w:rsidRPr="00A51A0D" w:rsidRDefault="00A839DA" w:rsidP="00452B4E">
      <w:pPr>
        <w:pStyle w:val="Odstavecseseznamem"/>
        <w:numPr>
          <w:ilvl w:val="0"/>
          <w:numId w:val="36"/>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D95F17">
      <w:pPr>
        <w:pStyle w:val="Odstavecseseznamem"/>
        <w:numPr>
          <w:ilvl w:val="0"/>
          <w:numId w:val="36"/>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452B4E">
      <w:pPr>
        <w:pStyle w:val="Odstavecseseznamem"/>
        <w:numPr>
          <w:ilvl w:val="0"/>
          <w:numId w:val="36"/>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w:t>
      </w:r>
      <w:hyperlink r:id="rId9" w:history="1"/>
      <w:r w:rsidR="00FA3F82">
        <w:rPr>
          <w:rFonts w:ascii="Arial" w:hAnsi="Arial" w:cs="Arial"/>
          <w:i/>
          <w:sz w:val="22"/>
          <w:szCs w:val="22"/>
        </w:rPr>
        <w:t xml:space="preserve"> a </w:t>
      </w:r>
      <w:r w:rsidRPr="009177C0">
        <w:rPr>
          <w:rFonts w:ascii="Arial" w:hAnsi="Arial" w:cs="Arial"/>
          <w:i/>
          <w:sz w:val="22"/>
          <w:szCs w:val="22"/>
        </w:rPr>
        <w:t>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567"/>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D95F17" w:rsidRDefault="00BD4D43" w:rsidP="00D95F17">
      <w:pPr>
        <w:rPr>
          <w:rFonts w:ascii="Arial" w:hAnsi="Arial" w:cs="Arial"/>
          <w:sz w:val="22"/>
          <w:szCs w:val="22"/>
        </w:rPr>
      </w:pP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9177C0"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9177C0" w:rsidRDefault="009177C0" w:rsidP="0028752E">
      <w:pPr>
        <w:widowControl w:val="0"/>
        <w:numPr>
          <w:ilvl w:val="0"/>
          <w:numId w:val="60"/>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 xml:space="preserve">Dodavatel je povinen opatřit každý výstup z veřejné zakázky, pokud je určen pro informování veřejnosti nebo pro cílové skupiny o podpořené operaci včetně jakéhokoliv potvrzení účasti nebo jiného potvrzení, znakem EU spolu s názvem </w:t>
      </w:r>
      <w:r w:rsidRPr="009177C0">
        <w:rPr>
          <w:rFonts w:ascii="Arial" w:hAnsi="Arial" w:cs="Arial"/>
          <w:sz w:val="22"/>
          <w:szCs w:val="22"/>
        </w:rPr>
        <w:lastRenderedPageBreak/>
        <w:t>fondu/fondů a programu.</w:t>
      </w:r>
      <w:r w:rsidRPr="0028752E">
        <w:rPr>
          <w:rStyle w:val="Znakapoznpodarou"/>
          <w:rFonts w:ascii="Arial" w:hAnsi="Arial" w:cs="Arial"/>
          <w:szCs w:val="16"/>
        </w:rPr>
        <w:footnoteReference w:id="2"/>
      </w:r>
      <w:r w:rsidRPr="0028752E">
        <w:rPr>
          <w:rFonts w:ascii="Arial" w:hAnsi="Arial" w:cs="Arial"/>
          <w:sz w:val="16"/>
          <w:szCs w:val="16"/>
        </w:rPr>
        <w:t xml:space="preserve"> </w:t>
      </w:r>
    </w:p>
    <w:p w:rsidR="009177C0" w:rsidRPr="009177C0" w:rsidRDefault="009177C0" w:rsidP="0028752E"/>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který bude obsahovat povinná ustanovení dle A.5</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předložit min. 10</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10 pracovních dnů ode dne obdržení kompletních podkladů.</w:t>
      </w: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V případě zadávání veřejných zakázek </w:t>
      </w:r>
      <w:r w:rsidRPr="009177C0">
        <w:rPr>
          <w:rFonts w:ascii="Arial" w:hAnsi="Arial" w:cs="Arial"/>
          <w:b/>
          <w:sz w:val="22"/>
          <w:szCs w:val="22"/>
        </w:rPr>
        <w:t xml:space="preserve">na základě rámcové </w:t>
      </w:r>
      <w:r w:rsidR="00B2657C">
        <w:rPr>
          <w:rFonts w:ascii="Arial" w:hAnsi="Arial" w:cs="Arial"/>
          <w:b/>
          <w:sz w:val="22"/>
          <w:szCs w:val="22"/>
        </w:rPr>
        <w:t>dohody</w:t>
      </w:r>
      <w:r w:rsidR="00B2657C" w:rsidRPr="009177C0">
        <w:rPr>
          <w:rFonts w:ascii="Arial" w:hAnsi="Arial" w:cs="Arial"/>
          <w:sz w:val="22"/>
          <w:szCs w:val="22"/>
        </w:rPr>
        <w:t xml:space="preserve"> </w:t>
      </w:r>
      <w:r w:rsidRPr="009177C0">
        <w:rPr>
          <w:rFonts w:ascii="Arial" w:hAnsi="Arial" w:cs="Arial"/>
          <w:b/>
          <w:sz w:val="22"/>
          <w:szCs w:val="22"/>
        </w:rPr>
        <w:t xml:space="preserve">uzavřené s více </w:t>
      </w:r>
      <w:r w:rsidR="00FF665D">
        <w:rPr>
          <w:rFonts w:ascii="Arial" w:hAnsi="Arial" w:cs="Arial"/>
          <w:b/>
          <w:sz w:val="22"/>
          <w:szCs w:val="22"/>
        </w:rPr>
        <w:t>dodavateli</w:t>
      </w:r>
      <w:r w:rsidR="00E2798F">
        <w:rPr>
          <w:rFonts w:ascii="Arial" w:hAnsi="Arial" w:cs="Arial"/>
          <w:b/>
          <w:sz w:val="22"/>
          <w:szCs w:val="22"/>
        </w:rPr>
        <w:t xml:space="preserve"> </w:t>
      </w:r>
      <w:r w:rsidRPr="009177C0">
        <w:rPr>
          <w:rFonts w:ascii="Arial" w:hAnsi="Arial" w:cs="Arial"/>
          <w:sz w:val="22"/>
          <w:szCs w:val="22"/>
        </w:rPr>
        <w:t>(tzv. </w:t>
      </w:r>
      <w:proofErr w:type="spellStart"/>
      <w:r w:rsidRPr="009177C0">
        <w:rPr>
          <w:rFonts w:ascii="Arial" w:hAnsi="Arial" w:cs="Arial"/>
          <w:sz w:val="22"/>
          <w:szCs w:val="22"/>
        </w:rPr>
        <w:t>minitendr</w:t>
      </w:r>
      <w:proofErr w:type="spellEnd"/>
      <w:r w:rsidRPr="009177C0">
        <w:rPr>
          <w:rFonts w:ascii="Arial" w:hAnsi="Arial" w:cs="Arial"/>
          <w:sz w:val="22"/>
          <w:szCs w:val="22"/>
        </w:rPr>
        <w:t>) předložit postupem uvedeným v bodech A.1., A.3., A.4. ŘO</w:t>
      </w:r>
      <w:r w:rsidR="008737D2">
        <w:rPr>
          <w:rFonts w:ascii="Arial" w:hAnsi="Arial" w:cs="Arial"/>
          <w:sz w:val="22"/>
          <w:szCs w:val="22"/>
        </w:rPr>
        <w:t> </w:t>
      </w:r>
      <w:r w:rsidRPr="009177C0">
        <w:rPr>
          <w:rFonts w:ascii="Arial" w:hAnsi="Arial" w:cs="Arial"/>
          <w:sz w:val="22"/>
          <w:szCs w:val="22"/>
        </w:rPr>
        <w:t>OPTP podklady k posouzení včetně zaslání pozvánky dle bodu A.2.</w:t>
      </w:r>
    </w:p>
    <w:p w:rsidR="009177C0" w:rsidRPr="009177C0" w:rsidRDefault="009177C0" w:rsidP="009177C0">
      <w:pPr>
        <w:widowControl w:val="0"/>
        <w:adjustRightInd w:val="0"/>
        <w:spacing w:line="240" w:lineRule="atLeast"/>
        <w:contextualSpacing/>
        <w:textAlignment w:val="baseline"/>
        <w:rPr>
          <w:rFonts w:ascii="Arial" w:hAnsi="Arial" w:cs="Arial"/>
          <w:sz w:val="22"/>
          <w:szCs w:val="22"/>
        </w:rPr>
      </w:pPr>
    </w:p>
    <w:p w:rsidR="009177C0" w:rsidRPr="00A51A0D" w:rsidRDefault="009177C0" w:rsidP="00D95F17">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(ustanovení bodu A.2. a </w:t>
      </w:r>
      <w:r w:rsidR="0028752E" w:rsidRPr="009177C0">
        <w:rPr>
          <w:rFonts w:ascii="Arial" w:hAnsi="Arial" w:cs="Arial"/>
          <w:i/>
          <w:sz w:val="22"/>
          <w:szCs w:val="22"/>
        </w:rPr>
        <w:t>A.4. tím</w:t>
      </w:r>
      <w:r w:rsidRPr="009177C0">
        <w:rPr>
          <w:rFonts w:ascii="Arial" w:hAnsi="Arial" w:cs="Arial"/>
          <w:i/>
          <w:sz w:val="22"/>
          <w:szCs w:val="22"/>
        </w:rPr>
        <w:t xml:space="preserve"> není dotčeno). V opačném případě je příjemce povinen postupovat analogicky od</w:t>
      </w:r>
      <w:r w:rsidR="002A7EB5">
        <w:rPr>
          <w:rFonts w:ascii="Arial" w:hAnsi="Arial" w:cs="Arial"/>
          <w:i/>
          <w:sz w:val="22"/>
          <w:szCs w:val="22"/>
        </w:rPr>
        <w:t> </w:t>
      </w:r>
      <w:r w:rsidRPr="009177C0">
        <w:rPr>
          <w:rFonts w:ascii="Arial" w:hAnsi="Arial" w:cs="Arial"/>
          <w:i/>
          <w:sz w:val="22"/>
          <w:szCs w:val="22"/>
        </w:rPr>
        <w:t>bodu A.1.</w:t>
      </w:r>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Zadavatel je povinen </w:t>
      </w:r>
      <w:r w:rsidRPr="009177C0">
        <w:rPr>
          <w:rFonts w:ascii="Arial" w:hAnsi="Arial" w:cs="Arial"/>
          <w:b/>
          <w:sz w:val="22"/>
          <w:szCs w:val="22"/>
        </w:rPr>
        <w:t>uchovávat dokumentaci</w:t>
      </w:r>
      <w:r w:rsidRPr="009177C0">
        <w:rPr>
          <w:rFonts w:ascii="Arial" w:hAnsi="Arial" w:cs="Arial"/>
          <w:sz w:val="22"/>
          <w:szCs w:val="22"/>
        </w:rPr>
        <w:t xml:space="preserve"> o veřejné zakázce a záznamy o</w:t>
      </w:r>
      <w:r w:rsidR="002A7EB5">
        <w:rPr>
          <w:rFonts w:ascii="Arial" w:hAnsi="Arial" w:cs="Arial"/>
          <w:sz w:val="22"/>
          <w:szCs w:val="22"/>
        </w:rPr>
        <w:t> </w:t>
      </w:r>
      <w:r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o změnách</w:t>
      </w:r>
      <w:r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 (blíže viz příloha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b/>
          <w:sz w:val="22"/>
          <w:szCs w:val="22"/>
        </w:rPr>
        <w:t>Informovat ŘO OPTP neprodleně o všech řízeních</w:t>
      </w:r>
      <w:r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žadatel povinen postupem analogicky k bodu A.1., A.3., </w:t>
      </w:r>
      <w:r w:rsidR="0028752E" w:rsidRPr="0028752E">
        <w:rPr>
          <w:rFonts w:ascii="Arial" w:hAnsi="Arial" w:cs="Arial"/>
          <w:sz w:val="22"/>
          <w:szCs w:val="22"/>
        </w:rPr>
        <w:t>A.4.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D87E40" w:rsidRPr="00D95F17" w:rsidRDefault="009177C0" w:rsidP="00D95F1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w:t>
      </w:r>
      <w:r w:rsidRPr="00A51A0D">
        <w:rPr>
          <w:rFonts w:ascii="Arial" w:hAnsi="Arial" w:cs="Arial"/>
          <w:sz w:val="22"/>
          <w:szCs w:val="22"/>
        </w:rPr>
        <w:lastRenderedPageBreak/>
        <w:t xml:space="preserve">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E561B" w:rsidRPr="00D95F17">
        <w:rPr>
          <w:rFonts w:ascii="Arial" w:hAnsi="Arial" w:cs="Arial"/>
          <w:sz w:val="22"/>
          <w:szCs w:val="22"/>
        </w:rPr>
        <w:t>Zákona 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D87E40" w:rsidRPr="00D95F17">
        <w:rPr>
          <w:rFonts w:ascii="Arial" w:hAnsi="Arial" w:cs="Arial"/>
          <w:sz w:val="22"/>
          <w:szCs w:val="22"/>
        </w:rPr>
        <w:t>vloží příjemce veškerou dokumentaci k zadávacímu řízení do MS14+</w:t>
      </w:r>
      <w:r w:rsidR="00D87E40">
        <w:rPr>
          <w:rFonts w:ascii="Arial" w:hAnsi="Arial" w:cs="Arial"/>
          <w:sz w:val="22"/>
          <w:szCs w:val="22"/>
        </w:rPr>
        <w:t xml:space="preserve"> k </w:t>
      </w:r>
      <w:r w:rsidR="00D87E40" w:rsidRPr="00BF312E">
        <w:rPr>
          <w:rFonts w:ascii="Arial" w:hAnsi="Arial" w:cs="Arial"/>
          <w:sz w:val="22"/>
          <w:szCs w:val="22"/>
        </w:rPr>
        <w:t>danému projektu a zadávacímu řízení</w:t>
      </w:r>
      <w:r w:rsidR="00D87E40">
        <w:rPr>
          <w:rFonts w:ascii="Arial" w:hAnsi="Arial" w:cs="Arial"/>
          <w:sz w:val="22"/>
          <w:szCs w:val="22"/>
        </w:rPr>
        <w:t xml:space="preserve"> a informuje o tom formou interní </w:t>
      </w:r>
      <w:r w:rsidR="00D87E40" w:rsidRPr="00BF312E">
        <w:rPr>
          <w:rFonts w:ascii="Arial" w:hAnsi="Arial" w:cs="Arial"/>
          <w:sz w:val="22"/>
          <w:szCs w:val="22"/>
        </w:rPr>
        <w:t xml:space="preserve">depeše v MS2014+ </w:t>
      </w:r>
      <w:r w:rsidR="007E561B">
        <w:rPr>
          <w:rFonts w:ascii="Arial" w:hAnsi="Arial" w:cs="Arial"/>
          <w:sz w:val="22"/>
          <w:szCs w:val="22"/>
        </w:rPr>
        <w:t>příslušného projektového manažera a specialisty</w:t>
      </w:r>
      <w:r w:rsidR="00D87E40" w:rsidRPr="00BF312E">
        <w:rPr>
          <w:rFonts w:ascii="Arial" w:hAnsi="Arial" w:cs="Arial"/>
          <w:sz w:val="22"/>
          <w:szCs w:val="22"/>
        </w:rPr>
        <w:t xml:space="preserve"> na veřejné zakázky</w:t>
      </w:r>
      <w:r w:rsidR="007E561B">
        <w:rPr>
          <w:rFonts w:ascii="Arial" w:hAnsi="Arial" w:cs="Arial"/>
          <w:sz w:val="22"/>
          <w:szCs w:val="22"/>
        </w:rPr>
        <w:t>. Pokud v zadávacím řízení došlo ke změně (např. byl uzavřen dodatek)</w:t>
      </w:r>
      <w:r w:rsidR="0080373B">
        <w:rPr>
          <w:rFonts w:ascii="Arial" w:hAnsi="Arial" w:cs="Arial"/>
          <w:sz w:val="22"/>
          <w:szCs w:val="22"/>
        </w:rPr>
        <w:t>,</w:t>
      </w:r>
      <w:r w:rsidR="007E561B">
        <w:rPr>
          <w:rFonts w:ascii="Arial" w:hAnsi="Arial" w:cs="Arial"/>
          <w:sz w:val="22"/>
          <w:szCs w:val="22"/>
        </w:rPr>
        <w:t xml:space="preserve"> </w:t>
      </w:r>
      <w:r w:rsidR="0080373B">
        <w:rPr>
          <w:rFonts w:ascii="Arial" w:hAnsi="Arial" w:cs="Arial"/>
          <w:sz w:val="22"/>
          <w:szCs w:val="22"/>
        </w:rPr>
        <w:t xml:space="preserve">je příjemce navíc </w:t>
      </w:r>
      <w:r w:rsidR="007E561B" w:rsidRPr="0079696E">
        <w:rPr>
          <w:rFonts w:ascii="Arial" w:hAnsi="Arial" w:cs="Arial"/>
          <w:sz w:val="22"/>
          <w:szCs w:val="22"/>
        </w:rPr>
        <w:t xml:space="preserve">povinen </w:t>
      </w:r>
      <w:r w:rsidR="0080373B">
        <w:rPr>
          <w:rFonts w:ascii="Arial" w:hAnsi="Arial" w:cs="Arial"/>
          <w:sz w:val="22"/>
          <w:szCs w:val="22"/>
        </w:rPr>
        <w:t>předložit dokumentaci k této změně</w:t>
      </w:r>
      <w:r w:rsidR="007E561B" w:rsidRPr="0079696E">
        <w:rPr>
          <w:rFonts w:ascii="Arial" w:hAnsi="Arial" w:cs="Arial"/>
          <w:sz w:val="22"/>
          <w:szCs w:val="22"/>
        </w:rPr>
        <w:t xml:space="preserve"> k</w:t>
      </w:r>
      <w:r w:rsidR="0080373B">
        <w:rPr>
          <w:rFonts w:ascii="Arial" w:hAnsi="Arial" w:cs="Arial"/>
          <w:sz w:val="22"/>
          <w:szCs w:val="22"/>
        </w:rPr>
        <w:t> </w:t>
      </w:r>
      <w:r w:rsidR="007E561B" w:rsidRPr="0079696E">
        <w:rPr>
          <w:rFonts w:ascii="Arial" w:hAnsi="Arial" w:cs="Arial"/>
          <w:sz w:val="22"/>
          <w:szCs w:val="22"/>
        </w:rPr>
        <w:t>posouzení</w:t>
      </w:r>
      <w:r w:rsidR="0080373B">
        <w:rPr>
          <w:rFonts w:ascii="Arial" w:hAnsi="Arial" w:cs="Arial"/>
          <w:sz w:val="22"/>
          <w:szCs w:val="22"/>
        </w:rPr>
        <w:t>.</w:t>
      </w:r>
    </w:p>
    <w:p w:rsidR="009177C0" w:rsidRPr="009177C0" w:rsidRDefault="009177C0" w:rsidP="00D95F17"/>
    <w:p w:rsidR="00BF312E" w:rsidRPr="00D95F17" w:rsidRDefault="00BF312E"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administrativního ověření </w:t>
      </w:r>
      <w:r w:rsidRPr="00A51A0D">
        <w:rPr>
          <w:rFonts w:ascii="Arial" w:hAnsi="Arial" w:cs="Arial"/>
          <w:b/>
          <w:sz w:val="22"/>
          <w:szCs w:val="22"/>
        </w:rPr>
        <w:t>interim</w:t>
      </w:r>
      <w:r w:rsidRPr="00D95F17">
        <w:rPr>
          <w:rFonts w:ascii="Arial" w:hAnsi="Arial" w:cs="Arial"/>
          <w:sz w:val="22"/>
          <w:szCs w:val="22"/>
        </w:rPr>
        <w:t xml:space="preserve"> </w:t>
      </w:r>
      <w:r w:rsidRPr="00BF312E">
        <w:rPr>
          <w:rFonts w:ascii="Arial" w:hAnsi="Arial" w:cs="Arial"/>
          <w:sz w:val="22"/>
          <w:szCs w:val="22"/>
        </w:rPr>
        <w:t>příjemce předkládá podklady k</w:t>
      </w:r>
      <w:r w:rsidR="00981718">
        <w:rPr>
          <w:rFonts w:ascii="Arial" w:hAnsi="Arial" w:cs="Arial"/>
          <w:sz w:val="22"/>
          <w:szCs w:val="22"/>
        </w:rPr>
        <w:t> </w:t>
      </w:r>
      <w:r w:rsidRPr="00BF312E">
        <w:rPr>
          <w:rFonts w:ascii="Arial" w:hAnsi="Arial" w:cs="Arial"/>
          <w:sz w:val="22"/>
          <w:szCs w:val="22"/>
        </w:rPr>
        <w:t xml:space="preserve">zadávacímu řízení v příloze interní depeše v MS2014+ adresované specialistům na veřejné zakázky, v kopii příslušnému projektovému manažerovi. V průběhu ověřování předložené dokumentace (zasílání připomínek ze strany ŘO a jejich následné vypořádání) bude veškerá komunikace probíhat prostřednictvím interních depeší a upravená dokumentace bude zasílána v příloze těchto depeší. </w:t>
      </w:r>
    </w:p>
    <w:p w:rsidR="00BF312E" w:rsidRPr="00D95F17" w:rsidRDefault="00BF312E" w:rsidP="00A51A0D">
      <w:pPr>
        <w:pStyle w:val="Odstavecseseznamem"/>
        <w:widowControl w:val="0"/>
        <w:adjustRightInd w:val="0"/>
        <w:spacing w:line="240" w:lineRule="atLeast"/>
        <w:ind w:left="567"/>
        <w:jc w:val="both"/>
        <w:textAlignment w:val="baseline"/>
        <w:rPr>
          <w:rFonts w:ascii="Arial" w:hAnsi="Arial" w:cs="Arial"/>
          <w:sz w:val="22"/>
          <w:szCs w:val="22"/>
        </w:rPr>
      </w:pPr>
    </w:p>
    <w:p w:rsidR="00BF312E" w:rsidRPr="00D95F17" w:rsidRDefault="00BF312E" w:rsidP="00D95F17">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Po vydání finálního stanoviska z dané fáze administrativního ověření veřejné zakázky (tj. po schválení finální verze dokumentace k dané fázi administrativního ověření), příjemce vloží takto schválenou finální verzi podkladů k zadávacímu řízení do MS2014+ k danému projektu a zadávacímu řízení buď formou „Oznámení o změně“ nebo prostřednictvím „Zprávy o realizaci“.</w:t>
      </w:r>
    </w:p>
    <w:p w:rsidR="00BF312E" w:rsidRPr="00D95F17" w:rsidRDefault="00BF312E"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BF312E"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F312E">
        <w:rPr>
          <w:rFonts w:ascii="Arial" w:hAnsi="Arial" w:cs="Arial"/>
          <w:sz w:val="22"/>
          <w:szCs w:val="22"/>
        </w:rPr>
        <w:t xml:space="preserve">V případě administrativního ověření </w:t>
      </w:r>
      <w:r w:rsidRPr="00A51A0D">
        <w:rPr>
          <w:rFonts w:ascii="Arial" w:hAnsi="Arial" w:cs="Arial"/>
          <w:b/>
          <w:sz w:val="22"/>
          <w:szCs w:val="22"/>
        </w:rPr>
        <w:t>ex-ante</w:t>
      </w:r>
      <w:r w:rsidRPr="00BF312E">
        <w:rPr>
          <w:rFonts w:ascii="Arial" w:hAnsi="Arial" w:cs="Arial"/>
          <w:sz w:val="22"/>
          <w:szCs w:val="22"/>
        </w:rPr>
        <w:t xml:space="preserve"> příjemce předkládá podklady k</w:t>
      </w:r>
      <w:r w:rsidR="002D0B09">
        <w:rPr>
          <w:rFonts w:ascii="Arial" w:hAnsi="Arial" w:cs="Arial"/>
          <w:sz w:val="22"/>
          <w:szCs w:val="22"/>
        </w:rPr>
        <w:t> </w:t>
      </w:r>
      <w:r w:rsidRPr="00BF312E">
        <w:rPr>
          <w:rFonts w:ascii="Arial" w:hAnsi="Arial" w:cs="Arial"/>
          <w:sz w:val="22"/>
          <w:szCs w:val="22"/>
        </w:rPr>
        <w:t xml:space="preserve">zadávacímu řízení </w:t>
      </w:r>
      <w:r w:rsidR="002D0B09" w:rsidRPr="00BF312E">
        <w:rPr>
          <w:rFonts w:ascii="Arial" w:hAnsi="Arial" w:cs="Arial"/>
          <w:sz w:val="22"/>
          <w:szCs w:val="22"/>
        </w:rPr>
        <w:t>v příloze interní depeše v MS2014+ adresované specialistům na veřejné zakázky, v kopii příslušnému projektovému manažerovi</w:t>
      </w:r>
      <w:r w:rsidR="005A2CFC">
        <w:rPr>
          <w:rFonts w:ascii="Arial" w:hAnsi="Arial" w:cs="Arial"/>
          <w:sz w:val="22"/>
          <w:szCs w:val="22"/>
        </w:rPr>
        <w:t>,</w:t>
      </w:r>
      <w:r w:rsidR="002D0B09" w:rsidRPr="00BF312E">
        <w:rPr>
          <w:rFonts w:ascii="Arial" w:hAnsi="Arial" w:cs="Arial"/>
          <w:sz w:val="22"/>
          <w:szCs w:val="22"/>
        </w:rPr>
        <w:t xml:space="preserve"> </w:t>
      </w:r>
      <w:r w:rsidR="002D0B09">
        <w:rPr>
          <w:rFonts w:ascii="Arial" w:hAnsi="Arial" w:cs="Arial"/>
          <w:sz w:val="22"/>
          <w:szCs w:val="22"/>
        </w:rPr>
        <w:t>a rovněž v</w:t>
      </w:r>
      <w:r w:rsidR="002D0B09" w:rsidRPr="00BF312E">
        <w:rPr>
          <w:rFonts w:ascii="Arial" w:hAnsi="Arial" w:cs="Arial"/>
          <w:sz w:val="22"/>
          <w:szCs w:val="22"/>
        </w:rPr>
        <w:t>loží veškerou dokumentaci k zadávacímu řízení</w:t>
      </w:r>
      <w:r w:rsidR="002D0B09">
        <w:rPr>
          <w:rFonts w:ascii="Arial" w:hAnsi="Arial" w:cs="Arial"/>
          <w:sz w:val="22"/>
          <w:szCs w:val="22"/>
        </w:rPr>
        <w:t xml:space="preserve"> </w:t>
      </w:r>
      <w:r w:rsidR="005A2CFC">
        <w:rPr>
          <w:rFonts w:ascii="Arial" w:hAnsi="Arial" w:cs="Arial"/>
          <w:sz w:val="22"/>
          <w:szCs w:val="22"/>
        </w:rPr>
        <w:t>do</w:t>
      </w:r>
      <w:r w:rsidR="005A2CFC" w:rsidRPr="00BF312E">
        <w:rPr>
          <w:rFonts w:ascii="Arial" w:hAnsi="Arial" w:cs="Arial"/>
          <w:sz w:val="22"/>
          <w:szCs w:val="22"/>
        </w:rPr>
        <w:t xml:space="preserve"> </w:t>
      </w:r>
      <w:r w:rsidRPr="00BF312E">
        <w:rPr>
          <w:rFonts w:ascii="Arial" w:hAnsi="Arial" w:cs="Arial"/>
          <w:sz w:val="22"/>
          <w:szCs w:val="22"/>
        </w:rPr>
        <w:t>MS2014+ k danému projektu a</w:t>
      </w:r>
      <w:r w:rsidR="005A2CFC">
        <w:rPr>
          <w:rFonts w:ascii="Arial" w:hAnsi="Arial" w:cs="Arial"/>
          <w:sz w:val="22"/>
          <w:szCs w:val="22"/>
        </w:rPr>
        <w:t> </w:t>
      </w:r>
      <w:r w:rsidRPr="00BF312E">
        <w:rPr>
          <w:rFonts w:ascii="Arial" w:hAnsi="Arial" w:cs="Arial"/>
          <w:sz w:val="22"/>
          <w:szCs w:val="22"/>
        </w:rPr>
        <w:t xml:space="preserve">zadávacímu řízení. </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OPTP dříve ověřována a u již 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projektu, v rámci kterého 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8D19CA" w:rsidRPr="0028752E"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u w:val="single"/>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8D19CA" w:rsidRPr="0028752E" w:rsidRDefault="008D19CA" w:rsidP="0028752E">
      <w:pPr>
        <w:pStyle w:val="Odstavecseseznamem"/>
        <w:rPr>
          <w:rFonts w:ascii="Arial" w:hAnsi="Arial" w:cs="Arial"/>
          <w:sz w:val="22"/>
          <w:szCs w:val="22"/>
          <w:u w:val="single"/>
        </w:rPr>
      </w:pPr>
    </w:p>
    <w:p w:rsidR="00C51836" w:rsidRPr="002A0595" w:rsidRDefault="00C51836" w:rsidP="002A0595">
      <w:pPr>
        <w:rPr>
          <w:rFonts w:ascii="Arial" w:hAnsi="Arial" w:cs="Arial"/>
          <w:sz w:val="22"/>
          <w:szCs w:val="22"/>
          <w:u w:val="single"/>
        </w:rPr>
      </w:pPr>
      <w:r>
        <w:rPr>
          <w:rFonts w:ascii="Arial" w:hAnsi="Arial" w:cs="Arial"/>
          <w:sz w:val="22"/>
          <w:szCs w:val="22"/>
          <w:u w:val="single"/>
        </w:rPr>
        <w:br w:type="page"/>
      </w:r>
    </w:p>
    <w:p w:rsidR="009177C0" w:rsidRPr="009177C0" w:rsidRDefault="009177C0" w:rsidP="00452B4E">
      <w:pPr>
        <w:pStyle w:val="Mjstyl3"/>
        <w:numPr>
          <w:ilvl w:val="0"/>
          <w:numId w:val="44"/>
        </w:numPr>
        <w:pBdr>
          <w:top w:val="single" w:sz="4" w:space="1" w:color="auto"/>
          <w:left w:val="single" w:sz="4" w:space="4" w:color="auto"/>
          <w:bottom w:val="single" w:sz="4" w:space="1" w:color="auto"/>
          <w:right w:val="single" w:sz="4" w:space="4" w:color="auto"/>
        </w:pBdr>
        <w:spacing w:before="240" w:after="240"/>
        <w:rPr>
          <w:b/>
        </w:rPr>
      </w:pPr>
      <w:r w:rsidRPr="009177C0">
        <w:rPr>
          <w:b/>
        </w:rPr>
        <w:lastRenderedPageBreak/>
        <w:t>Zadávání zakázek</w:t>
      </w:r>
      <w:r w:rsidR="008D19CA">
        <w:rPr>
          <w:b/>
        </w:rPr>
        <w:t xml:space="preserve">, </w:t>
      </w:r>
      <w:r w:rsidRPr="009177C0">
        <w:rPr>
          <w:b/>
        </w:rPr>
        <w:t>které nejsou zadávány podle postupů stanovených v Zákoně</w:t>
      </w:r>
    </w:p>
    <w:p w:rsidR="009177C0" w:rsidRPr="009177C0" w:rsidRDefault="009177C0" w:rsidP="009177C0">
      <w:pPr>
        <w:pStyle w:val="Odstavecseseznamem"/>
        <w:spacing w:line="240" w:lineRule="atLeast"/>
        <w:ind w:left="792"/>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Zákonem,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„MPZ“), jenž je dostupný na adrese:</w:t>
      </w:r>
      <w:r w:rsidRPr="009177C0">
        <w:rPr>
          <w:rFonts w:ascii="Arial" w:hAnsi="Arial" w:cs="Arial"/>
          <w:i/>
          <w:sz w:val="22"/>
          <w:szCs w:val="22"/>
        </w:rPr>
        <w:t xml:space="preserve"> </w:t>
      </w:r>
      <w:hyperlink r:id="rId10" w:history="1">
        <w:r w:rsidRPr="009177C0">
          <w:rPr>
            <w:rStyle w:val="Hypertextovodkaz"/>
            <w:rFonts w:ascii="Arial" w:hAnsi="Arial" w:cs="Arial"/>
            <w:sz w:val="22"/>
            <w:szCs w:val="22"/>
          </w:rPr>
          <w:t>www.strukturalni-fondy.cz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Pr="009177C0" w:rsidRDefault="009177C0"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9177C0" w:rsidRPr="009177C0" w:rsidRDefault="009177C0" w:rsidP="0028752E">
      <w:pPr>
        <w:pStyle w:val="Odstavecseseznamem"/>
        <w:spacing w:line="240" w:lineRule="atLeast"/>
        <w:ind w:left="792"/>
        <w:jc w:val="both"/>
        <w:rPr>
          <w:rFonts w:ascii="Arial" w:hAnsi="Arial" w:cs="Arial"/>
          <w:b/>
          <w:sz w:val="22"/>
          <w:szCs w:val="22"/>
          <w:u w:val="single"/>
        </w:rPr>
      </w:pPr>
    </w:p>
    <w:p w:rsidR="009177C0" w:rsidRPr="009177C0" w:rsidRDefault="009177C0" w:rsidP="0028752E">
      <w:pPr>
        <w:jc w:val="both"/>
        <w:rPr>
          <w:rFonts w:ascii="Arial" w:hAnsi="Arial" w:cs="Arial"/>
          <w:sz w:val="22"/>
          <w:szCs w:val="22"/>
          <w:u w:color="FF0000"/>
        </w:rPr>
      </w:pPr>
      <w:r w:rsidRPr="009177C0">
        <w:rPr>
          <w:rFonts w:ascii="Arial" w:hAnsi="Arial" w:cs="Arial"/>
          <w:b/>
          <w:sz w:val="22"/>
          <w:szCs w:val="22"/>
        </w:rPr>
        <w:t>Příjemci, kteří jsou veřejnými nebo dotovanými zadavateli</w:t>
      </w:r>
      <w:r w:rsidRPr="009177C0">
        <w:rPr>
          <w:rFonts w:ascii="Arial" w:hAnsi="Arial" w:cs="Arial"/>
          <w:sz w:val="22"/>
          <w:szCs w:val="22"/>
        </w:rPr>
        <w:t xml:space="preserve"> </w:t>
      </w:r>
      <w:r w:rsidRPr="009177C0">
        <w:rPr>
          <w:rFonts w:ascii="Arial" w:hAnsi="Arial" w:cs="Arial"/>
          <w:sz w:val="22"/>
          <w:szCs w:val="22"/>
          <w:u w:color="FF0000"/>
        </w:rPr>
        <w:t>podle § 2 odst. 2 a 3 Zákona</w:t>
      </w:r>
      <w:r w:rsidRPr="009177C0">
        <w:rPr>
          <w:rFonts w:ascii="Arial" w:hAnsi="Arial" w:cs="Arial"/>
          <w:sz w:val="22"/>
          <w:szCs w:val="22"/>
        </w:rPr>
        <w:t xml:space="preserve">, jsou povinni zadávat zakázky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při zadání zakázky malé hodnoty</w:t>
      </w:r>
      <w:r w:rsidRPr="00777903">
        <w:rPr>
          <w:rStyle w:val="Znakapoznpodarou"/>
          <w:rFonts w:ascii="Arial" w:hAnsi="Arial" w:cs="Arial"/>
          <w:szCs w:val="22"/>
        </w:rPr>
        <w:footnoteReference w:id="3"/>
      </w:r>
      <w:r w:rsidRPr="00777903">
        <w:rPr>
          <w:rFonts w:ascii="Arial" w:hAnsi="Arial" w:cs="Arial"/>
          <w:sz w:val="16"/>
          <w:szCs w:val="22"/>
        </w:rPr>
        <w:t>.</w:t>
      </w:r>
      <w:r w:rsidRPr="009177C0">
        <w:rPr>
          <w:rFonts w:ascii="Arial" w:hAnsi="Arial" w:cs="Arial"/>
          <w:sz w:val="22"/>
          <w:szCs w:val="22"/>
        </w:rPr>
        <w:t xml:space="preserve"> Postupy upravenými v </w:t>
      </w:r>
      <w:r w:rsidR="00833334">
        <w:rPr>
          <w:rFonts w:ascii="Arial" w:hAnsi="Arial" w:cs="Arial"/>
          <w:sz w:val="22"/>
          <w:szCs w:val="22"/>
        </w:rPr>
        <w:t>PŽP</w:t>
      </w:r>
      <w:r w:rsidR="00833334" w:rsidRPr="009177C0">
        <w:rPr>
          <w:rFonts w:ascii="Arial" w:hAnsi="Arial" w:cs="Arial"/>
          <w:sz w:val="22"/>
          <w:szCs w:val="22"/>
        </w:rPr>
        <w:t xml:space="preserve"> </w:t>
      </w:r>
      <w:r w:rsidRPr="009177C0">
        <w:rPr>
          <w:rFonts w:ascii="Arial" w:hAnsi="Arial" w:cs="Arial"/>
          <w:sz w:val="22"/>
          <w:szCs w:val="22"/>
        </w:rPr>
        <w:t xml:space="preserve">však nejsou povinni zadávat zakázky malé hodnoty, které splňují podmínky pro použití výjimky stanovené v § 18 odst. 1 až 4 a § 23 </w:t>
      </w:r>
      <w:r w:rsidRPr="009177C0">
        <w:rPr>
          <w:rFonts w:ascii="Arial" w:hAnsi="Arial" w:cs="Arial"/>
          <w:sz w:val="22"/>
          <w:szCs w:val="22"/>
          <w:u w:color="FF0000"/>
        </w:rPr>
        <w:t>Zákona.</w:t>
      </w:r>
    </w:p>
    <w:p w:rsidR="009177C0" w:rsidRPr="009177C0" w:rsidRDefault="009177C0" w:rsidP="0028752E">
      <w:pPr>
        <w:pStyle w:val="Odstavecseseznamem"/>
        <w:spacing w:line="240" w:lineRule="atLeast"/>
        <w:ind w:left="567"/>
        <w:jc w:val="both"/>
        <w:rPr>
          <w:rFonts w:ascii="Arial" w:hAnsi="Arial" w:cs="Arial"/>
          <w:sz w:val="22"/>
          <w:szCs w:val="22"/>
        </w:rPr>
      </w:pPr>
    </w:p>
    <w:p w:rsidR="00DB26A9" w:rsidRPr="00DB26A9" w:rsidRDefault="009177C0" w:rsidP="0028752E">
      <w:pPr>
        <w:jc w:val="both"/>
        <w:rPr>
          <w:b/>
        </w:rPr>
      </w:pPr>
      <w:r w:rsidRPr="003C6814">
        <w:rPr>
          <w:rFonts w:ascii="Arial" w:hAnsi="Arial" w:cs="Arial"/>
          <w:b/>
          <w:sz w:val="22"/>
          <w:szCs w:val="22"/>
        </w:rPr>
        <w:t>Dle MPZ jsou pro zadávání zakázek stanoveny následující požadavky:</w:t>
      </w:r>
    </w:p>
    <w:p w:rsidR="009177C0" w:rsidRPr="00B8662C" w:rsidRDefault="009177C0" w:rsidP="0028752E">
      <w:pPr>
        <w:pStyle w:val="Mjstyl3"/>
        <w:numPr>
          <w:ilvl w:val="1"/>
          <w:numId w:val="44"/>
        </w:numPr>
        <w:spacing w:before="240" w:after="240"/>
      </w:pPr>
      <w:r w:rsidRPr="00E77072">
        <w:rPr>
          <w:b/>
        </w:rPr>
        <w:t>Zakázka malé hodnoty</w:t>
      </w:r>
      <w:r w:rsidRPr="009177C0">
        <w:t xml:space="preserve"> je zakázka, jejíž předpokládaná hodnota nedosáhne 2 000 000 Kč bez daně z přidané hodnoty v případě zakázky na dodávky a/nebo služby.</w:t>
      </w:r>
    </w:p>
    <w:p w:rsidR="009177C0" w:rsidRPr="009177C0" w:rsidRDefault="009177C0" w:rsidP="009177C0">
      <w:pPr>
        <w:spacing w:line="240" w:lineRule="atLeast"/>
        <w:ind w:left="567"/>
        <w:rPr>
          <w:rFonts w:ascii="Arial" w:hAnsi="Arial" w:cs="Arial"/>
          <w:b/>
          <w:sz w:val="22"/>
          <w:szCs w:val="22"/>
        </w:rPr>
      </w:pPr>
      <w:r w:rsidRPr="009177C0">
        <w:rPr>
          <w:rFonts w:ascii="Arial" w:hAnsi="Arial" w:cs="Arial"/>
          <w:sz w:val="22"/>
          <w:szCs w:val="22"/>
        </w:rPr>
        <w:t xml:space="preserve">Zakázky malé hodnoty jsou podle výše předpokládané hodnoty </w:t>
      </w:r>
      <w:r w:rsidRPr="009177C0">
        <w:rPr>
          <w:rFonts w:ascii="Arial" w:hAnsi="Arial" w:cs="Arial"/>
          <w:b/>
          <w:sz w:val="22"/>
          <w:szCs w:val="22"/>
        </w:rPr>
        <w:t>odstupňovány do dvou kategorií:</w:t>
      </w:r>
    </w:p>
    <w:p w:rsidR="009177C0" w:rsidRPr="009177C0" w:rsidRDefault="009177C0" w:rsidP="009177C0">
      <w:pPr>
        <w:pStyle w:val="Odstavecseseznamem"/>
        <w:spacing w:line="240" w:lineRule="atLeast"/>
        <w:ind w:left="1416"/>
        <w:rPr>
          <w:rFonts w:ascii="Arial" w:hAnsi="Arial" w:cs="Arial"/>
          <w:sz w:val="22"/>
          <w:szCs w:val="22"/>
        </w:rPr>
      </w:pPr>
    </w:p>
    <w:p w:rsidR="009177C0" w:rsidRPr="009177C0" w:rsidRDefault="009177C0" w:rsidP="00B8662C">
      <w:pPr>
        <w:pStyle w:val="Odstavecseseznamem"/>
        <w:numPr>
          <w:ilvl w:val="0"/>
          <w:numId w:val="40"/>
        </w:numPr>
        <w:spacing w:line="240" w:lineRule="atLeast"/>
        <w:ind w:left="567" w:firstLine="0"/>
        <w:jc w:val="both"/>
        <w:rPr>
          <w:rFonts w:ascii="Arial" w:hAnsi="Arial" w:cs="Arial"/>
          <w:sz w:val="22"/>
          <w:szCs w:val="22"/>
        </w:rPr>
      </w:pPr>
      <w:r w:rsidRPr="009177C0">
        <w:rPr>
          <w:rFonts w:ascii="Arial" w:hAnsi="Arial" w:cs="Arial"/>
          <w:sz w:val="22"/>
          <w:szCs w:val="22"/>
        </w:rPr>
        <w:t xml:space="preserve"> kategorie - zakázka, jejíž předpokládaná hodnota nedosáhne 400 000 Kč bez daně z přidané hodnoty</w:t>
      </w:r>
    </w:p>
    <w:p w:rsidR="009177C0" w:rsidRPr="009177C0" w:rsidRDefault="009177C0" w:rsidP="0028752E">
      <w:pPr>
        <w:spacing w:line="240" w:lineRule="atLeast"/>
        <w:ind w:left="709" w:hanging="425"/>
        <w:jc w:val="both"/>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sz w:val="22"/>
          <w:szCs w:val="22"/>
        </w:rPr>
        <w:t>II. kategorie - zakázka, jejíž předpokládaná hodnota činí nejméně 400 000 Kč bez daně z přidané hodnoty</w:t>
      </w:r>
      <w:r w:rsidR="00A51A0D">
        <w:rPr>
          <w:rFonts w:ascii="Arial" w:hAnsi="Arial" w:cs="Arial"/>
          <w:sz w:val="22"/>
          <w:szCs w:val="22"/>
        </w:rPr>
        <w:t>.</w:t>
      </w:r>
    </w:p>
    <w:p w:rsidR="009177C0" w:rsidRPr="009177C0" w:rsidRDefault="009177C0" w:rsidP="00452B4E">
      <w:pPr>
        <w:pStyle w:val="Mjstyl3"/>
        <w:numPr>
          <w:ilvl w:val="1"/>
          <w:numId w:val="44"/>
        </w:numPr>
        <w:spacing w:before="240" w:after="240"/>
        <w:rPr>
          <w:b/>
        </w:rPr>
      </w:pPr>
      <w:r w:rsidRPr="009177C0">
        <w:rPr>
          <w:b/>
        </w:rPr>
        <w:t>Druh výběrového řízení</w:t>
      </w:r>
    </w:p>
    <w:p w:rsidR="009177C0" w:rsidRPr="009177C0" w:rsidRDefault="009177C0" w:rsidP="00452B4E">
      <w:pPr>
        <w:pStyle w:val="Mjstyl3"/>
        <w:numPr>
          <w:ilvl w:val="3"/>
          <w:numId w:val="44"/>
        </w:numPr>
        <w:spacing w:before="240" w:after="240"/>
      </w:pPr>
      <w:r w:rsidRPr="009177C0">
        <w:t>Zadavatel může zadat zakázku:</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otevřené výzvě,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na elektronickém tržišti, nebo</w:t>
      </w:r>
    </w:p>
    <w:p w:rsidR="009177C0" w:rsidRPr="009177C0" w:rsidRDefault="009177C0" w:rsidP="00452B4E">
      <w:pPr>
        <w:pStyle w:val="Zkladntext"/>
        <w:numPr>
          <w:ilvl w:val="0"/>
          <w:numId w:val="45"/>
        </w:numPr>
        <w:tabs>
          <w:tab w:val="left" w:pos="1276"/>
        </w:tabs>
        <w:spacing w:after="60"/>
        <w:jc w:val="both"/>
        <w:rPr>
          <w:rFonts w:ascii="Arial" w:hAnsi="Arial" w:cs="Arial"/>
          <w:sz w:val="22"/>
          <w:szCs w:val="22"/>
        </w:rPr>
      </w:pPr>
      <w:r w:rsidRPr="009177C0">
        <w:rPr>
          <w:rFonts w:ascii="Arial" w:hAnsi="Arial" w:cs="Arial"/>
          <w:sz w:val="22"/>
          <w:szCs w:val="22"/>
        </w:rPr>
        <w:t>v uzavřené výzvě.</w:t>
      </w:r>
    </w:p>
    <w:p w:rsidR="009177C0" w:rsidRPr="009177C0" w:rsidRDefault="009177C0" w:rsidP="00452B4E">
      <w:pPr>
        <w:pStyle w:val="Mjstyl3"/>
        <w:numPr>
          <w:ilvl w:val="3"/>
          <w:numId w:val="44"/>
        </w:numPr>
        <w:spacing w:before="240" w:after="240"/>
      </w:pPr>
      <w:r w:rsidRPr="009177C0">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na profilu zadavatele, nebo</w:t>
      </w:r>
    </w:p>
    <w:p w:rsidR="009177C0" w:rsidRPr="009177C0" w:rsidRDefault="009177C0" w:rsidP="00452B4E">
      <w:pPr>
        <w:pStyle w:val="Zkladntext"/>
        <w:numPr>
          <w:ilvl w:val="0"/>
          <w:numId w:val="54"/>
        </w:numPr>
        <w:tabs>
          <w:tab w:val="left" w:pos="1276"/>
        </w:tabs>
        <w:spacing w:after="60"/>
        <w:jc w:val="both"/>
        <w:rPr>
          <w:rFonts w:ascii="Arial" w:hAnsi="Arial" w:cs="Arial"/>
          <w:sz w:val="22"/>
          <w:szCs w:val="22"/>
        </w:rPr>
      </w:pPr>
      <w:r w:rsidRPr="009177C0">
        <w:rPr>
          <w:rFonts w:ascii="Arial" w:hAnsi="Arial" w:cs="Arial"/>
          <w:sz w:val="22"/>
          <w:szCs w:val="22"/>
        </w:rPr>
        <w:t>ve věstníku veřejných zakázek nebo</w:t>
      </w:r>
    </w:p>
    <w:p w:rsidR="009177C0" w:rsidRPr="009177C0" w:rsidRDefault="00B8662C" w:rsidP="00452B4E">
      <w:pPr>
        <w:pStyle w:val="Zkladntext"/>
        <w:numPr>
          <w:ilvl w:val="0"/>
          <w:numId w:val="54"/>
        </w:numPr>
        <w:tabs>
          <w:tab w:val="left" w:pos="1276"/>
        </w:tabs>
        <w:spacing w:after="60"/>
        <w:jc w:val="both"/>
        <w:rPr>
          <w:rFonts w:ascii="Arial" w:hAnsi="Arial" w:cs="Arial"/>
          <w:sz w:val="22"/>
          <w:szCs w:val="22"/>
        </w:rPr>
      </w:pPr>
      <w:r>
        <w:rPr>
          <w:rFonts w:ascii="Arial" w:hAnsi="Arial" w:cs="Arial"/>
          <w:sz w:val="22"/>
          <w:szCs w:val="22"/>
        </w:rPr>
        <w:lastRenderedPageBreak/>
        <w:t xml:space="preserve">na </w:t>
      </w:r>
      <w:r w:rsidR="009177C0" w:rsidRPr="009177C0">
        <w:rPr>
          <w:rFonts w:ascii="Arial" w:hAnsi="Arial" w:cs="Arial"/>
          <w:sz w:val="22"/>
          <w:szCs w:val="22"/>
        </w:rPr>
        <w:t xml:space="preserve">webových stránkách </w:t>
      </w:r>
      <w:r>
        <w:rPr>
          <w:rFonts w:ascii="Arial" w:hAnsi="Arial" w:cs="Arial"/>
          <w:sz w:val="22"/>
          <w:szCs w:val="22"/>
        </w:rPr>
        <w:t>OPTP</w:t>
      </w:r>
      <w:r w:rsidR="009177C0" w:rsidRPr="009177C0">
        <w:rPr>
          <w:rFonts w:ascii="Arial" w:hAnsi="Arial" w:cs="Arial"/>
          <w:sz w:val="22"/>
          <w:szCs w:val="22"/>
        </w:rPr>
        <w:t xml:space="preserve">. </w:t>
      </w:r>
    </w:p>
    <w:p w:rsidR="009177C0" w:rsidRPr="009177C0" w:rsidRDefault="009177C0" w:rsidP="00452B4E">
      <w:pPr>
        <w:pStyle w:val="Mjstyl3"/>
        <w:numPr>
          <w:ilvl w:val="3"/>
          <w:numId w:val="44"/>
        </w:numPr>
        <w:spacing w:before="240" w:after="240"/>
      </w:pPr>
      <w:r w:rsidRPr="009177C0">
        <w:t>V  uzavřené výzvě vyzývá zadavatel písemnou výzvou nejméně 3 zájemce k podání nabídky. Zadavatel vyzve pouze takové zájemce, o kterých má informace, že jsou způsobilí požadované plnění poskytnout. Zadavatel nesmí vyzývat opakovaně stejný okruh zájemců, není-li to odůvodněno předmětem plnění zakázky či jinými zvláštními okolnostmi, případně zrušením předcházejícího výběrového řízení.</w:t>
      </w:r>
    </w:p>
    <w:p w:rsidR="009177C0" w:rsidRPr="009177C0" w:rsidRDefault="009177C0" w:rsidP="00452B4E">
      <w:pPr>
        <w:pStyle w:val="Mjstyl3"/>
        <w:numPr>
          <w:ilvl w:val="3"/>
          <w:numId w:val="44"/>
        </w:numPr>
        <w:spacing w:before="240" w:after="240"/>
      </w:pPr>
      <w:r w:rsidRPr="009177C0">
        <w:t xml:space="preserve">Umožňuje-li to předmět zakázky, může zadavatel zadat zakázku na elektronickém tržišti. Je-li zadavateli usnesením vlády uložena povinnost zadávat zakázky prostřednictvím elektronického tržiště, je povinen postupovat dle tohoto usnesení. Zadání zakázky na elektronickém tržišti zadává zadavatel podle pravidel elektronického tržiště, v takovém případě ustanovení upravující zadávání zakázek dle </w:t>
      </w:r>
      <w:r w:rsidR="00833334">
        <w:t>PŽP</w:t>
      </w:r>
      <w:r w:rsidR="00833334" w:rsidRPr="009177C0">
        <w:t xml:space="preserve"> </w:t>
      </w:r>
      <w:r w:rsidRPr="009177C0">
        <w:t>se nepoužijí. Současně však musí být dodrženy Obecné zásady Smlouvy o fungování EU při zadávání zakázek.</w:t>
      </w:r>
    </w:p>
    <w:p w:rsidR="009177C0" w:rsidRPr="009177C0" w:rsidRDefault="009177C0" w:rsidP="00452B4E">
      <w:pPr>
        <w:pStyle w:val="Mjstyl3"/>
        <w:numPr>
          <w:ilvl w:val="1"/>
          <w:numId w:val="44"/>
        </w:numPr>
        <w:spacing w:before="240" w:after="240"/>
        <w:rPr>
          <w:b/>
        </w:rPr>
      </w:pPr>
      <w:r w:rsidRPr="009177C0">
        <w:rPr>
          <w:b/>
        </w:rPr>
        <w:t>Zadávací podmínky</w:t>
      </w:r>
    </w:p>
    <w:p w:rsidR="009177C0" w:rsidRPr="009177C0" w:rsidRDefault="009177C0" w:rsidP="00452B4E">
      <w:pPr>
        <w:pStyle w:val="Mjstyl3"/>
        <w:numPr>
          <w:ilvl w:val="3"/>
          <w:numId w:val="44"/>
        </w:numPr>
        <w:spacing w:before="240" w:after="240"/>
      </w:pPr>
      <w:r w:rsidRPr="009177C0">
        <w:t>Součástí oznámení otevřené výzvy, oznámení uzavřené výzvy nebo informací uveřejněných na elektronickém tržišti (dále „oznámení výběrového řízení“) musí být základní informace o zakázce a výběrovém řízení. Oznámení musí obsahovat alespoň tyto údaje:</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Identifikační údaje zadavatele</w:t>
      </w:r>
      <w:r w:rsidRPr="0028752E">
        <w:rPr>
          <w:rStyle w:val="Znakapoznpodarou"/>
          <w:rFonts w:ascii="Arial" w:hAnsi="Arial" w:cs="Arial"/>
          <w:szCs w:val="16"/>
        </w:rPr>
        <w:footnoteReference w:id="4"/>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Název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Druh zakázky (dodávky</w:t>
      </w:r>
      <w:r w:rsidR="00E27EC4">
        <w:rPr>
          <w:rFonts w:ascii="Arial" w:hAnsi="Arial" w:cs="Arial"/>
          <w:sz w:val="22"/>
          <w:szCs w:val="22"/>
        </w:rPr>
        <w:t xml:space="preserve"> nebo</w:t>
      </w:r>
      <w:r w:rsidRPr="009177C0">
        <w:rPr>
          <w:rFonts w:ascii="Arial" w:hAnsi="Arial" w:cs="Arial"/>
          <w:sz w:val="22"/>
          <w:szCs w:val="22"/>
        </w:rPr>
        <w:t xml:space="preserve"> služby);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Lhůta a místo pro podání nabídky;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Předmět zakázky v podrobnostech nezbytných pro zpracování nabídky; </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 xml:space="preserve">Základní hodnotící kritérium, kterým je i) ekonomická výhodnost nabídky, nebo </w:t>
      </w:r>
      <w:proofErr w:type="spellStart"/>
      <w:r w:rsidRPr="009177C0">
        <w:rPr>
          <w:rFonts w:ascii="Arial" w:hAnsi="Arial" w:cs="Arial"/>
          <w:sz w:val="22"/>
          <w:szCs w:val="22"/>
        </w:rPr>
        <w:t>ii</w:t>
      </w:r>
      <w:proofErr w:type="spellEnd"/>
      <w:r w:rsidRPr="009177C0">
        <w:rPr>
          <w:rFonts w:ascii="Arial" w:hAnsi="Arial" w:cs="Arial"/>
          <w:sz w:val="22"/>
          <w:szCs w:val="22"/>
        </w:rPr>
        <w:t>) nejnižší nabídková cena. V případě, že je základním hodnotícím kritériem ekonomická výhodnost nabídky, stanoví zadavatel vždy dílčí hodnotící kritéria tak, aby vyjadřovala vztah užitné hodnoty a ceny. Dílčí hodnotící kritéria se musí vztahovat k nabízenému plnění zakázky. Mohou jimi být zejména nabídková cena, kvalita, technická úroveň nabízeného plnění, estetické a funkční vlastnosti, vlastnosti plnění z hlediska vlivu na životní prostředí, vliv na zaměstnanost osob se zdravotním postižením, provozní náklady, návratnost nákladů, záruční a pozáruční servis, zabezpečení dodávek, dodací lhůta nebo lhůta pro dokončení. Dílčím hodnotícím kritériem nemohou být kvalifikační předpoklady, smluvní podmínky, jejichž účelem je zajištění povinností dodavatele, nebo platební podmínky;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hodnocení hodnotících kritérií</w:t>
      </w:r>
      <w:r w:rsidRPr="0028752E">
        <w:rPr>
          <w:rStyle w:val="Znakapoznpodarou"/>
          <w:rFonts w:ascii="Arial" w:hAnsi="Arial" w:cs="Arial"/>
          <w:szCs w:val="16"/>
        </w:rPr>
        <w:footnoteReference w:id="5"/>
      </w:r>
      <w:r w:rsidRPr="009177C0">
        <w:rPr>
          <w:rFonts w:ascii="Arial" w:hAnsi="Arial" w:cs="Arial"/>
          <w:sz w:val="22"/>
          <w:szCs w:val="22"/>
        </w:rPr>
        <w:t>;</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Způsob jednání s uchazeči, pokud hodlá zadavatel s uchazeči jednat podle bodu B.5.;</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Podmínky a požadavky na zpracování nabídky, jaké údaje týkající se předmětu zakázky a jeho realizace mají uchazeči v nabídkách uvést, aby mohl zadavatel posoudit soulad nabídky se zadávacími podmínkami;</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lastRenderedPageBreak/>
        <w:t>Požadavek na způsob zpracování nabídkové ceny;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Doba a místo plnění zakázky;</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Požadavky na varianty nabídek, pokud je zadavatel připouští;</w:t>
      </w:r>
    </w:p>
    <w:p w:rsidR="009177C0" w:rsidRPr="009177C0" w:rsidRDefault="009177C0" w:rsidP="00452B4E">
      <w:pPr>
        <w:pStyle w:val="Zkladntext"/>
        <w:numPr>
          <w:ilvl w:val="0"/>
          <w:numId w:val="55"/>
        </w:numPr>
        <w:tabs>
          <w:tab w:val="left" w:pos="1276"/>
        </w:tabs>
        <w:spacing w:after="60"/>
        <w:jc w:val="both"/>
        <w:rPr>
          <w:rFonts w:ascii="Arial" w:hAnsi="Arial" w:cs="Arial"/>
          <w:sz w:val="22"/>
          <w:szCs w:val="22"/>
        </w:rPr>
      </w:pPr>
      <w:r w:rsidRPr="009177C0">
        <w:rPr>
          <w:rFonts w:ascii="Arial" w:hAnsi="Arial" w:cs="Arial"/>
          <w:sz w:val="22"/>
          <w:szCs w:val="22"/>
        </w:rPr>
        <w:t>Poskytování dodatečných informací dle bodu B.4.3;</w:t>
      </w:r>
    </w:p>
    <w:p w:rsidR="009177C0" w:rsidRPr="009177C0" w:rsidRDefault="009177C0" w:rsidP="00452B4E">
      <w:pPr>
        <w:pStyle w:val="Mjstyl3"/>
        <w:numPr>
          <w:ilvl w:val="3"/>
          <w:numId w:val="44"/>
        </w:numPr>
        <w:spacing w:before="240" w:after="240"/>
      </w:pPr>
      <w:r w:rsidRPr="009177C0">
        <w:t>Zadávací podmínky mohou dále obsahovat zejména:</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Požadavky na prokázání kvalifikace uchazeče, pokud zadavatel požadavky na kvalifikaci stanoví;</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Obchodní podmínky, včetně platebních podmínek nebo závazný vzor smlouvy na plnění zakázky; </w:t>
      </w:r>
    </w:p>
    <w:p w:rsidR="009177C0" w:rsidRPr="009177C0" w:rsidRDefault="009177C0" w:rsidP="00452B4E">
      <w:pPr>
        <w:pStyle w:val="Zkladntext"/>
        <w:numPr>
          <w:ilvl w:val="0"/>
          <w:numId w:val="56"/>
        </w:numPr>
        <w:tabs>
          <w:tab w:val="left" w:pos="1276"/>
        </w:tabs>
        <w:spacing w:after="60"/>
        <w:jc w:val="both"/>
        <w:rPr>
          <w:rFonts w:ascii="Arial" w:hAnsi="Arial" w:cs="Arial"/>
          <w:sz w:val="22"/>
          <w:szCs w:val="22"/>
        </w:rPr>
      </w:pPr>
      <w:r w:rsidRPr="009177C0">
        <w:rPr>
          <w:rFonts w:ascii="Arial" w:hAnsi="Arial" w:cs="Arial"/>
          <w:sz w:val="22"/>
          <w:szCs w:val="22"/>
        </w:rPr>
        <w:t xml:space="preserve">Požadavky na specifikaci případných subdodavatelů (identifikační údaje) a věcné vymezení plnění dodaného jejich prostřednictvím; </w:t>
      </w:r>
    </w:p>
    <w:p w:rsidR="009177C0" w:rsidRPr="009177C0" w:rsidRDefault="009177C0" w:rsidP="00452B4E">
      <w:pPr>
        <w:pStyle w:val="Mjstyl3"/>
        <w:numPr>
          <w:ilvl w:val="3"/>
          <w:numId w:val="44"/>
        </w:numPr>
        <w:spacing w:before="240" w:after="240"/>
      </w:pPr>
      <w:r w:rsidRPr="009177C0">
        <w:t xml:space="preserve">Pokud zadavatel v rámci uzavřené nebo otevřené výzvy přímo vyzývá zájemce, musí být schopen prokázat odeslání </w:t>
      </w:r>
      <w:r w:rsidR="00EE2D55">
        <w:t xml:space="preserve">nebo uveřejnění </w:t>
      </w:r>
      <w:r w:rsidRPr="009177C0">
        <w:t xml:space="preserve">této výzvy. </w:t>
      </w:r>
    </w:p>
    <w:p w:rsidR="009177C0" w:rsidRPr="009177C0" w:rsidRDefault="009177C0" w:rsidP="00452B4E">
      <w:pPr>
        <w:pStyle w:val="Mjstyl3"/>
        <w:numPr>
          <w:ilvl w:val="3"/>
          <w:numId w:val="44"/>
        </w:numPr>
        <w:spacing w:before="240" w:after="240"/>
      </w:pPr>
      <w:r w:rsidRPr="009177C0">
        <w:t xml:space="preserve">Vzorový formulář oznámení výběrového řízení - zadávacích podmínek je přílohou č. 2 MPZ. Tento formulář má pouze doporučující charakter, nicméně vždy je nutné dodržet minimálně požadavky stanovené v bodě B.3.1. </w:t>
      </w:r>
    </w:p>
    <w:p w:rsidR="009177C0" w:rsidRPr="009177C0" w:rsidRDefault="009177C0" w:rsidP="00452B4E">
      <w:pPr>
        <w:pStyle w:val="Mjstyl3"/>
        <w:numPr>
          <w:ilvl w:val="1"/>
          <w:numId w:val="44"/>
        </w:numPr>
        <w:spacing w:before="240" w:after="240"/>
        <w:rPr>
          <w:b/>
        </w:rPr>
      </w:pPr>
      <w:bookmarkStart w:id="17" w:name="_Toc320285887"/>
      <w:bookmarkStart w:id="18" w:name="_Toc283647555"/>
      <w:bookmarkStart w:id="19" w:name="_Toc323899547"/>
      <w:r w:rsidRPr="009177C0">
        <w:rPr>
          <w:b/>
        </w:rPr>
        <w:t>Lhůta pro podání nabídek</w:t>
      </w:r>
      <w:bookmarkEnd w:id="17"/>
      <w:bookmarkEnd w:id="18"/>
      <w:bookmarkEnd w:id="19"/>
      <w:r w:rsidRPr="009177C0">
        <w:rPr>
          <w:b/>
        </w:rPr>
        <w:t xml:space="preserve"> a dodatečné informace k zadávacím podmínkám</w:t>
      </w:r>
    </w:p>
    <w:p w:rsidR="009177C0" w:rsidRPr="009177C0" w:rsidRDefault="009177C0" w:rsidP="00452B4E">
      <w:pPr>
        <w:pStyle w:val="Mjstyl3"/>
        <w:numPr>
          <w:ilvl w:val="3"/>
          <w:numId w:val="44"/>
        </w:numPr>
        <w:spacing w:before="240" w:after="240"/>
      </w:pPr>
      <w:r w:rsidRPr="009177C0">
        <w:t>Lhůtu pro podání nabídek stanoví zadavatel vždy s ohledem na předmět zakázky v</w:t>
      </w:r>
      <w:r w:rsidR="00327514">
        <w:t> </w:t>
      </w:r>
      <w:r w:rsidRPr="009177C0">
        <w:t xml:space="preserve">oznámení výběrového řízení stanovením konce lhůty pro podání nabídek. Lhůta stanovená podle </w:t>
      </w:r>
      <w:r w:rsidR="00833334">
        <w:t>PŽP</w:t>
      </w:r>
      <w:r w:rsidR="00833334" w:rsidRPr="009177C0">
        <w:t xml:space="preserve"> </w:t>
      </w:r>
      <w:r w:rsidRPr="009177C0">
        <w:t xml:space="preserve">počíná dnem, který následuje po události, jež je rozhodující pro její počátek. Rozhodnou událostí je uveřejnění oznámení o zahájení výběrového řízení/odeslání výzvy k podání nabídky. </w:t>
      </w:r>
    </w:p>
    <w:p w:rsidR="009177C0" w:rsidRPr="00E77072" w:rsidRDefault="009177C0" w:rsidP="0028752E">
      <w:pPr>
        <w:pStyle w:val="Mjstyl3"/>
        <w:numPr>
          <w:ilvl w:val="3"/>
          <w:numId w:val="44"/>
        </w:numPr>
        <w:spacing w:before="240" w:after="240"/>
      </w:pPr>
      <w:r w:rsidRPr="009177C0">
        <w:t>Lhůta pro podání nabídek nesmí být</w:t>
      </w:r>
      <w:r w:rsidR="00E77072">
        <w:t xml:space="preserve"> </w:t>
      </w:r>
      <w:r w:rsidRPr="00E77072">
        <w:t>kratší než 10 kalendářních dnů</w:t>
      </w:r>
      <w:r w:rsidR="00E77072">
        <w:t>.</w:t>
      </w:r>
    </w:p>
    <w:p w:rsidR="009177C0" w:rsidRPr="009177C0" w:rsidRDefault="009177C0" w:rsidP="00452B4E">
      <w:pPr>
        <w:pStyle w:val="Mjstyl3"/>
        <w:numPr>
          <w:ilvl w:val="3"/>
          <w:numId w:val="44"/>
        </w:numPr>
        <w:spacing w:before="240" w:after="240"/>
      </w:pPr>
      <w:r w:rsidRPr="009177C0">
        <w:t>Dodavatel je oprávněn po zadavateli požadovat písemně dodatečné informace k</w:t>
      </w:r>
      <w:r w:rsidR="00327514">
        <w:t> </w:t>
      </w:r>
      <w:r w:rsidRPr="009177C0">
        <w:t>zadávacím podmínkám. Písemná žádost musí být zadavateli doručena nejpozději 4</w:t>
      </w:r>
      <w:r w:rsidR="00A61A39">
        <w:t> </w:t>
      </w:r>
      <w:r w:rsidRPr="009177C0">
        <w:t>pracovní dny před uplynutím lhůty pro podání nabídek. Dodatečné informace může zadavatel poskytnout i</w:t>
      </w:r>
      <w:r w:rsidR="00327514">
        <w:t> </w:t>
      </w:r>
      <w:r w:rsidRPr="009177C0">
        <w:t>bez předchozí žádosti.</w:t>
      </w:r>
    </w:p>
    <w:p w:rsidR="009177C0" w:rsidRPr="009177C0" w:rsidRDefault="009177C0" w:rsidP="00452B4E">
      <w:pPr>
        <w:pStyle w:val="Mjstyl3"/>
        <w:numPr>
          <w:ilvl w:val="3"/>
          <w:numId w:val="44"/>
        </w:numPr>
        <w:spacing w:before="240" w:after="240"/>
      </w:pPr>
      <w:r w:rsidRPr="009177C0">
        <w:t xml:space="preserve">Zadavatel odešle dodatečné informace k zadávacím podmínkám, případně související dokumenty, nejpozději do 2 pracovních dnů po doručení žádosti podle předchozího odstavce. </w:t>
      </w:r>
    </w:p>
    <w:p w:rsidR="009177C0" w:rsidRPr="009177C0" w:rsidRDefault="009177C0" w:rsidP="00452B4E">
      <w:pPr>
        <w:pStyle w:val="Mjstyl3"/>
        <w:numPr>
          <w:ilvl w:val="3"/>
          <w:numId w:val="44"/>
        </w:numPr>
        <w:spacing w:before="240" w:after="240"/>
      </w:pPr>
      <w:r w:rsidRPr="009177C0">
        <w:t xml:space="preserve">Dodatečné informace, včetně přesného znění požadavku podle odstavce B.4.3, odešle zadavatel současně všem zájemcům, které vyzval v rámci uzavřené výzvy nebo uveřejní dodatečné informace včetně přesného znění žádosti stejným způsobem, jakým uveřejnil oznámení otevřené výzvy, případně tyto připojí k zadávací dokumentaci na elektronickém tržišti.  </w:t>
      </w:r>
    </w:p>
    <w:p w:rsidR="009177C0" w:rsidRPr="006D4F21" w:rsidRDefault="009177C0" w:rsidP="00591E0F">
      <w:pPr>
        <w:pStyle w:val="Mjstyl3"/>
        <w:numPr>
          <w:ilvl w:val="3"/>
          <w:numId w:val="44"/>
        </w:numPr>
        <w:spacing w:before="240" w:after="240"/>
      </w:pPr>
      <w:r w:rsidRPr="009177C0">
        <w:t>Provede-li zadavatel (prostřednictvím dodatečných informací) úpravy zadávacích podmínek, přiměřeně prodlouží lhůtu pro podání nabídek, a to podle povahy provedené úpravy. V případě takové změny zadávacích podmínek, která může rozšířit okruh možných dodavatelů, prodlouží zadavatel lhůtu tak, aby od okamžiku změny činila celou původní délku lhůty pro podání nabídek.</w:t>
      </w:r>
    </w:p>
    <w:p w:rsidR="009177C0" w:rsidRPr="009177C0" w:rsidRDefault="009177C0" w:rsidP="00452B4E">
      <w:pPr>
        <w:pStyle w:val="Mjstyl3"/>
        <w:numPr>
          <w:ilvl w:val="1"/>
          <w:numId w:val="44"/>
        </w:numPr>
        <w:spacing w:before="240" w:after="240"/>
        <w:rPr>
          <w:b/>
        </w:rPr>
      </w:pPr>
      <w:bookmarkStart w:id="20" w:name="_Toc211932112"/>
      <w:bookmarkStart w:id="21" w:name="_Toc320285888"/>
      <w:r w:rsidRPr="009177C0">
        <w:rPr>
          <w:b/>
        </w:rPr>
        <w:lastRenderedPageBreak/>
        <w:t>Jednání o nabídkách</w:t>
      </w:r>
    </w:p>
    <w:p w:rsidR="009177C0" w:rsidRPr="009177C0" w:rsidRDefault="009177C0" w:rsidP="00452B4E">
      <w:pPr>
        <w:pStyle w:val="Mjstyl3"/>
        <w:numPr>
          <w:ilvl w:val="3"/>
          <w:numId w:val="44"/>
        </w:numPr>
        <w:spacing w:before="240" w:after="240"/>
      </w:pPr>
      <w:r w:rsidRPr="009177C0">
        <w:t xml:space="preserve">Zadavatel si může v zadávacích podmínkách vyhradit, že o podaných nabídkách bude s uchazeči jednat. V takovém případě je v zadávací dokumentaci povinen uvést: </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a zásady jednání s uchazeči o nabídkách,</w:t>
      </w:r>
    </w:p>
    <w:p w:rsidR="009177C0" w:rsidRPr="009177C0" w:rsidRDefault="009177C0" w:rsidP="00452B4E">
      <w:pPr>
        <w:pStyle w:val="Zkladntext"/>
        <w:numPr>
          <w:ilvl w:val="0"/>
          <w:numId w:val="46"/>
        </w:numPr>
        <w:tabs>
          <w:tab w:val="left" w:pos="1276"/>
        </w:tabs>
        <w:spacing w:after="60"/>
        <w:jc w:val="both"/>
        <w:rPr>
          <w:rFonts w:ascii="Arial" w:hAnsi="Arial" w:cs="Arial"/>
          <w:sz w:val="22"/>
          <w:szCs w:val="22"/>
        </w:rPr>
      </w:pPr>
      <w:r w:rsidRPr="009177C0">
        <w:rPr>
          <w:rFonts w:ascii="Arial" w:hAnsi="Arial" w:cs="Arial"/>
          <w:sz w:val="22"/>
          <w:szCs w:val="22"/>
        </w:rPr>
        <w:t>způsob výběru uchazečů pro další fáze jednání, rozhodne-li se zadavatel postupně omezovat počet uchazečů podle bodu B.5</w:t>
      </w:r>
      <w:r w:rsidRPr="009177C0">
        <w:rPr>
          <w:rFonts w:ascii="Arial" w:hAnsi="Arial" w:cs="Arial"/>
          <w:sz w:val="22"/>
          <w:szCs w:val="22"/>
          <w:lang w:val="en-US" w:eastAsia="en-US"/>
        </w:rPr>
        <w:t>.8</w:t>
      </w:r>
      <w:r w:rsidRPr="009177C0">
        <w:rPr>
          <w:rFonts w:ascii="Arial" w:hAnsi="Arial" w:cs="Arial"/>
          <w:sz w:val="22"/>
          <w:szCs w:val="22"/>
        </w:rPr>
        <w:t>, o jejichž nabídkách bude v</w:t>
      </w:r>
      <w:r w:rsidR="004D123D">
        <w:rPr>
          <w:rFonts w:ascii="Arial" w:hAnsi="Arial" w:cs="Arial"/>
          <w:sz w:val="22"/>
          <w:szCs w:val="22"/>
        </w:rPr>
        <w:t> </w:t>
      </w:r>
      <w:r w:rsidRPr="009177C0">
        <w:rPr>
          <w:rFonts w:ascii="Arial" w:hAnsi="Arial" w:cs="Arial"/>
          <w:sz w:val="22"/>
          <w:szCs w:val="22"/>
        </w:rPr>
        <w:t>jednotlivých fázích jednat.</w:t>
      </w:r>
    </w:p>
    <w:p w:rsidR="009177C0" w:rsidRPr="009177C0" w:rsidRDefault="009177C0" w:rsidP="00452B4E">
      <w:pPr>
        <w:pStyle w:val="Mjstyl3"/>
        <w:numPr>
          <w:ilvl w:val="3"/>
          <w:numId w:val="44"/>
        </w:numPr>
        <w:spacing w:before="240" w:after="240"/>
      </w:pPr>
      <w:r w:rsidRPr="009177C0">
        <w:t>Po otevření obálek s nabídkami, po posouzení a hodnocení nabídek podle bodů B.6., B.7.</w:t>
      </w:r>
      <w:r w:rsidR="003C6814">
        <w:t xml:space="preserve"> </w:t>
      </w:r>
      <w:r w:rsidRPr="009177C0">
        <w:t>a B.8. oznámí zadavatel písemně všem uchazečům, jejichž nabídky byly hodnoceny a kteří nebyli vyloučeni, předběžný výsledek hodnocení nabídek. Současně s oznámením o předběžném výsledku hodnocení nabídek zadavatel tyto uchazeče písemně vyzve k prvnímu jednání o nabídkách a uvede dobu, místo a jazyk jednání.</w:t>
      </w:r>
    </w:p>
    <w:p w:rsidR="009177C0" w:rsidRPr="009177C0" w:rsidRDefault="009177C0" w:rsidP="00452B4E">
      <w:pPr>
        <w:pStyle w:val="Mjstyl3"/>
        <w:numPr>
          <w:ilvl w:val="3"/>
          <w:numId w:val="44"/>
        </w:numPr>
        <w:spacing w:before="240" w:after="240"/>
      </w:pPr>
      <w:r w:rsidRPr="009177C0">
        <w:t>Zadavatel je oprávněn jednat s uchazeči o všech podmínkách plnění obsažených v</w:t>
      </w:r>
      <w:r w:rsidR="004D123D">
        <w:t> </w:t>
      </w:r>
      <w:r w:rsidRPr="009177C0">
        <w:t>nabídkách, zejména o podmínkách, které jsou předmětem hodnocení. Zadavatel není oprávněn v průběhu jednání o nabídkách měnit zadávací podmínky.</w:t>
      </w:r>
    </w:p>
    <w:p w:rsidR="009177C0" w:rsidRPr="009177C0" w:rsidRDefault="009177C0" w:rsidP="00452B4E">
      <w:pPr>
        <w:pStyle w:val="Mjstyl3"/>
        <w:numPr>
          <w:ilvl w:val="3"/>
          <w:numId w:val="44"/>
        </w:numPr>
        <w:spacing w:before="240" w:after="240"/>
      </w:pPr>
      <w:r w:rsidRPr="009177C0">
        <w:t>Zadavatel může jednáním o nabídkách pověřit hodnotící komisi, některé její členy či</w:t>
      </w:r>
      <w:r w:rsidR="004D123D">
        <w:t> </w:t>
      </w:r>
      <w:r w:rsidRPr="009177C0">
        <w:t xml:space="preserve">pověřenou osobu. </w:t>
      </w:r>
    </w:p>
    <w:p w:rsidR="009177C0" w:rsidRPr="009177C0" w:rsidRDefault="009177C0" w:rsidP="00452B4E">
      <w:pPr>
        <w:pStyle w:val="Mjstyl3"/>
        <w:numPr>
          <w:ilvl w:val="3"/>
          <w:numId w:val="44"/>
        </w:numPr>
        <w:spacing w:before="240" w:after="240"/>
      </w:pPr>
      <w:r w:rsidRPr="009177C0">
        <w:t>Zadavatel není oprávněn v průběhu jednání o nabídkách sdělovat uchazečům údaje týkající se nabídky jiného uchazeče bez předchozího souhlasu takového uchazeče, vyjma aktuální výše nabídkové ceny a dalších číselných údajů rozhodných pro hodnocení.</w:t>
      </w:r>
    </w:p>
    <w:p w:rsidR="009177C0" w:rsidRPr="009177C0" w:rsidRDefault="009177C0" w:rsidP="00452B4E">
      <w:pPr>
        <w:pStyle w:val="Mjstyl3"/>
        <w:numPr>
          <w:ilvl w:val="3"/>
          <w:numId w:val="44"/>
        </w:numPr>
        <w:spacing w:before="240" w:after="240"/>
      </w:pPr>
      <w:r w:rsidRPr="009177C0">
        <w:t>Zadavatel může jednat o nabídkách se všemi uchazeči současně či odděleně.</w:t>
      </w:r>
    </w:p>
    <w:p w:rsidR="009177C0" w:rsidRPr="009177C0" w:rsidRDefault="009177C0" w:rsidP="00452B4E">
      <w:pPr>
        <w:pStyle w:val="Mjstyl3"/>
        <w:numPr>
          <w:ilvl w:val="3"/>
          <w:numId w:val="44"/>
        </w:numPr>
        <w:spacing w:before="240" w:after="240"/>
      </w:pPr>
      <w:r w:rsidRPr="009177C0">
        <w:t>Z každého jednání o nabídkách vyhotovuje zadavatel protokol s uvedením všech ujednání, která mohou mít za následek změnu nabídky či návrhu smlouvy (dále "protokol z jednání"). Protokol z jednání podepisuje zadavatel a uchazeč či uchazeči, kteří se jednání o nabídkách účastnili.</w:t>
      </w:r>
    </w:p>
    <w:p w:rsidR="009177C0" w:rsidRPr="009177C0" w:rsidRDefault="009177C0" w:rsidP="00452B4E">
      <w:pPr>
        <w:pStyle w:val="Mjstyl3"/>
        <w:numPr>
          <w:ilvl w:val="3"/>
          <w:numId w:val="44"/>
        </w:numPr>
        <w:spacing w:before="240" w:after="240"/>
      </w:pPr>
      <w:r w:rsidRPr="009177C0">
        <w:t>Po ukončení každé fáze jednání o nabídkách stanoví zadavatel na základě výsledků jednání pořadí uchazečů. Pořadí uchazečů stanoví zadavatel na základě hodnotících kritérií, a to vždy za použití všech hodnotících kritérií. Zadavatel je povinen o stanovení pořadí uchazečů vyhotovit protokol, v němž uvede výsledky hodnocení jednání o</w:t>
      </w:r>
      <w:r w:rsidR="004D123D">
        <w:t> </w:t>
      </w:r>
      <w:r w:rsidRPr="009177C0">
        <w:t>nabídkách, pořadí uchazečů a informaci o tom, se kterými uchazeči bude jednáno v</w:t>
      </w:r>
      <w:r w:rsidR="004D123D">
        <w:t> </w:t>
      </w:r>
      <w:r w:rsidRPr="009177C0">
        <w:t>další fázi (dále "protokol o konečném výsledku hodnocení"). Protokol o konečném výsledku hodnocení je zadavatel povinen odeslat všem uchazečům, s nimiž bylo jednání o nabídkách v dané fázi uskutečněno bez zbytečného odkladu.</w:t>
      </w:r>
    </w:p>
    <w:p w:rsidR="00E517E7" w:rsidRPr="00FA2EC7" w:rsidRDefault="009177C0" w:rsidP="00CC1BDF">
      <w:pPr>
        <w:pStyle w:val="Mjstyl3"/>
        <w:numPr>
          <w:ilvl w:val="3"/>
          <w:numId w:val="44"/>
        </w:numPr>
        <w:spacing w:before="240" w:after="240"/>
      </w:pPr>
      <w:r w:rsidRPr="009177C0">
        <w:t>Zadavatel může před zahájením jakékoliv fáze jednání o nabídkách oznámit uchazečům, že jde o poslední fázi jednání o nabídkách; na této skutečnosti se také může zadavatel se všemi uchazeči kdykoliv písemně dohodnout.</w:t>
      </w:r>
    </w:p>
    <w:p w:rsidR="009177C0" w:rsidRPr="009177C0" w:rsidRDefault="009177C0" w:rsidP="00452B4E">
      <w:pPr>
        <w:pStyle w:val="Mjstyl3"/>
        <w:numPr>
          <w:ilvl w:val="1"/>
          <w:numId w:val="44"/>
        </w:numPr>
        <w:spacing w:before="240" w:after="240"/>
        <w:rPr>
          <w:b/>
        </w:rPr>
      </w:pPr>
      <w:bookmarkStart w:id="22" w:name="_Toc320285889"/>
      <w:bookmarkStart w:id="23" w:name="_Toc283647557"/>
      <w:bookmarkStart w:id="24" w:name="_Toc323899549"/>
      <w:bookmarkEnd w:id="20"/>
      <w:bookmarkEnd w:id="21"/>
      <w:r w:rsidRPr="009177C0">
        <w:rPr>
          <w:b/>
        </w:rPr>
        <w:t>Otevírání obálek, posouzení a hodnocení nabídek</w:t>
      </w:r>
      <w:bookmarkEnd w:id="22"/>
      <w:bookmarkEnd w:id="23"/>
      <w:bookmarkEnd w:id="24"/>
    </w:p>
    <w:p w:rsidR="009177C0" w:rsidRPr="009177C0" w:rsidRDefault="009177C0" w:rsidP="00452B4E">
      <w:pPr>
        <w:pStyle w:val="Mjstyl3"/>
        <w:numPr>
          <w:ilvl w:val="3"/>
          <w:numId w:val="44"/>
        </w:numPr>
        <w:spacing w:before="240" w:after="240"/>
      </w:pPr>
      <w:r w:rsidRPr="009177C0">
        <w:t>Otevírání obálek, posouzení a hodnocení nabídek provádí:</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zadavatel,</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lastRenderedPageBreak/>
        <w:t>jiná osoba, pověřená zadavatelem (dále „pověřená osoba“), tímto způsobem je možné posuzovat a hodnotit pouze zakázky malé hodnoty nebo</w:t>
      </w:r>
    </w:p>
    <w:p w:rsidR="009177C0" w:rsidRPr="009177C0" w:rsidRDefault="009177C0" w:rsidP="00452B4E">
      <w:pPr>
        <w:pStyle w:val="Zkladntext"/>
        <w:numPr>
          <w:ilvl w:val="0"/>
          <w:numId w:val="48"/>
        </w:numPr>
        <w:tabs>
          <w:tab w:val="left" w:pos="1276"/>
        </w:tabs>
        <w:spacing w:after="60"/>
        <w:jc w:val="both"/>
        <w:rPr>
          <w:rFonts w:ascii="Arial" w:hAnsi="Arial" w:cs="Arial"/>
          <w:sz w:val="22"/>
          <w:szCs w:val="22"/>
        </w:rPr>
      </w:pPr>
      <w:r w:rsidRPr="009177C0">
        <w:rPr>
          <w:rFonts w:ascii="Arial" w:hAnsi="Arial" w:cs="Arial"/>
          <w:sz w:val="22"/>
          <w:szCs w:val="22"/>
        </w:rPr>
        <w:t xml:space="preserve">hodnotící komise, která má alespoň 3 členy, kterou jmenuje zadavatel. </w:t>
      </w:r>
    </w:p>
    <w:p w:rsidR="009177C0" w:rsidRPr="009177C0" w:rsidRDefault="009177C0" w:rsidP="00452B4E">
      <w:pPr>
        <w:pStyle w:val="Mjstyl3"/>
        <w:numPr>
          <w:ilvl w:val="3"/>
          <w:numId w:val="44"/>
        </w:numPr>
        <w:spacing w:before="240" w:after="240"/>
      </w:pPr>
      <w:r w:rsidRPr="009177C0">
        <w:t>O otevírání obálek, posouzení a hodnocení nabídek se pořizuje protokol obsahující rozhodné skutečnosti, týkající se posouzení a hodnocení nabídek:</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doručených nabídek, včetně identifikačních údajů uchazečů;</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seznam uchazečů vyzvaných k doplnění/objasnění nabídky, pokud byli vyzváni;</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seznam vyřazených nabídek a zdůvodnění vyřazení nabídek, pokud byly nějaké nabídky vyřazeny;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popis způsobu a odůvodnění hodnocení nabídek, pokud je hodnotícím kritériem ekonomická výhodnost nabídky; </w:t>
      </w:r>
    </w:p>
    <w:p w:rsidR="009177C0" w:rsidRPr="009177C0" w:rsidRDefault="009177C0" w:rsidP="00452B4E">
      <w:pPr>
        <w:pStyle w:val="Zkladntext"/>
        <w:numPr>
          <w:ilvl w:val="0"/>
          <w:numId w:val="49"/>
        </w:numPr>
        <w:tabs>
          <w:tab w:val="left" w:pos="1276"/>
        </w:tabs>
        <w:spacing w:after="60"/>
        <w:jc w:val="both"/>
        <w:rPr>
          <w:rFonts w:ascii="Arial" w:hAnsi="Arial" w:cs="Arial"/>
          <w:sz w:val="22"/>
          <w:szCs w:val="22"/>
        </w:rPr>
      </w:pPr>
      <w:r w:rsidRPr="009177C0">
        <w:rPr>
          <w:rFonts w:ascii="Arial" w:hAnsi="Arial" w:cs="Arial"/>
          <w:sz w:val="22"/>
          <w:szCs w:val="22"/>
        </w:rPr>
        <w:t xml:space="preserve">výsledek hodnocení. </w:t>
      </w:r>
    </w:p>
    <w:p w:rsidR="009177C0" w:rsidRPr="009177C0" w:rsidRDefault="009177C0" w:rsidP="00452B4E">
      <w:pPr>
        <w:pStyle w:val="Mjstyl3"/>
        <w:numPr>
          <w:ilvl w:val="3"/>
          <w:numId w:val="44"/>
        </w:numPr>
        <w:spacing w:before="240" w:after="240"/>
      </w:pPr>
      <w:r w:rsidRPr="009177C0">
        <w:t>Vzory protokolu o otevírání obálek, posouzení a hodnocení nabídek je přílohou č. 3 MPZ. Tento protokol má pouze doporučující charakter, nicméně vždy je nutné dodržet minimálně požadavky stanovené v bodě B.6.2.</w:t>
      </w:r>
    </w:p>
    <w:p w:rsidR="009177C0" w:rsidRPr="009177C0" w:rsidRDefault="009177C0" w:rsidP="00452B4E">
      <w:pPr>
        <w:pStyle w:val="Mjstyl3"/>
        <w:numPr>
          <w:ilvl w:val="1"/>
          <w:numId w:val="44"/>
        </w:numPr>
        <w:spacing w:before="240" w:after="240"/>
        <w:rPr>
          <w:b/>
        </w:rPr>
      </w:pPr>
      <w:r w:rsidRPr="009177C0">
        <w:rPr>
          <w:b/>
        </w:rPr>
        <w:t xml:space="preserve"> Otevírání obálek a nabídek podaných v elektronické podobě</w:t>
      </w:r>
    </w:p>
    <w:p w:rsidR="009177C0" w:rsidRPr="009177C0" w:rsidRDefault="009177C0" w:rsidP="00452B4E">
      <w:pPr>
        <w:pStyle w:val="Mjstyl3"/>
        <w:numPr>
          <w:ilvl w:val="3"/>
          <w:numId w:val="44"/>
        </w:numPr>
        <w:spacing w:before="240" w:after="240"/>
      </w:pPr>
      <w:r w:rsidRPr="009177C0">
        <w:t xml:space="preserve">Obálky nesmí být otevřeny před uplynutím lhůty pro podání nabídek. Otevírají se pouze obálky doručené ve lhůtě pro podání nabídek. </w:t>
      </w:r>
    </w:p>
    <w:p w:rsidR="009177C0" w:rsidRPr="009177C0" w:rsidRDefault="009177C0" w:rsidP="00452B4E">
      <w:pPr>
        <w:pStyle w:val="Mjstyl3"/>
        <w:numPr>
          <w:ilvl w:val="3"/>
          <w:numId w:val="44"/>
        </w:numPr>
        <w:spacing w:before="240" w:after="240"/>
      </w:pPr>
      <w:r w:rsidRPr="009177C0">
        <w:t xml:space="preserve">Otevřením nabídky podané v elektronické podobě se rozumí zpřístupnění jejího obsahu. Nabídky podané v elektronické podobě nesmí být zpřístupněny před uplynutím lhůty pro podání nabídek. Zpřístupňují se pouze nabídky podané ve lhůtě pro podání nabídek, podepsané zaručeným elektronickým podpisem. </w:t>
      </w:r>
    </w:p>
    <w:p w:rsidR="009177C0" w:rsidRPr="009177C0" w:rsidRDefault="009177C0" w:rsidP="00452B4E">
      <w:pPr>
        <w:pStyle w:val="Mjstyl3"/>
        <w:numPr>
          <w:ilvl w:val="1"/>
          <w:numId w:val="44"/>
        </w:numPr>
        <w:spacing w:before="240" w:after="240"/>
        <w:rPr>
          <w:b/>
        </w:rPr>
      </w:pPr>
      <w:bookmarkStart w:id="25" w:name="_Toc320285890"/>
      <w:bookmarkStart w:id="26" w:name="_Toc283647558"/>
      <w:bookmarkStart w:id="27" w:name="_Toc323899550"/>
      <w:r w:rsidRPr="009177C0">
        <w:rPr>
          <w:b/>
        </w:rPr>
        <w:t xml:space="preserve">Posouzení a hodnocení nabídek </w:t>
      </w:r>
      <w:bookmarkEnd w:id="25"/>
      <w:bookmarkEnd w:id="26"/>
      <w:bookmarkEnd w:id="27"/>
    </w:p>
    <w:p w:rsidR="009177C0" w:rsidRPr="009177C0" w:rsidRDefault="009177C0" w:rsidP="00452B4E">
      <w:pPr>
        <w:pStyle w:val="Mjstyl3"/>
        <w:numPr>
          <w:ilvl w:val="3"/>
          <w:numId w:val="44"/>
        </w:numPr>
        <w:spacing w:before="240" w:after="240"/>
      </w:pPr>
      <w:r w:rsidRPr="009177C0">
        <w:t>Osoby, které posuzují a hodnotí nabídky, nesmí být ve vztahu k zakázce a uchazečům podjaté a musí zachovávat mlčenlivost o skutečnostech, které se dozvědí v  průběhu posouzení a hodnocení nabídek. Před zahájením posouzení a hodnocení nabídek musí potvrdit svou nepodjatost a převzetí závazku mlčenlivosti formou čestného prohlášení.</w:t>
      </w:r>
    </w:p>
    <w:p w:rsidR="009177C0" w:rsidRPr="009177C0" w:rsidRDefault="009177C0" w:rsidP="00452B4E">
      <w:pPr>
        <w:pStyle w:val="Mjstyl3"/>
        <w:numPr>
          <w:ilvl w:val="3"/>
          <w:numId w:val="44"/>
        </w:numPr>
        <w:spacing w:before="240" w:after="240"/>
      </w:pPr>
      <w:r w:rsidRPr="009177C0">
        <w:t>Po otevření obálek provede zadavatel, hodnotící komise nebo pověřená osoba posouzení nabídek. Posouzení nabídek spočívá v posouzení, zda jsou nabídky zpracovány v souladu se zadávacími podmínkami.</w:t>
      </w:r>
    </w:p>
    <w:p w:rsidR="009177C0" w:rsidRPr="009177C0" w:rsidRDefault="009177C0" w:rsidP="00452B4E">
      <w:pPr>
        <w:pStyle w:val="Mjstyl3"/>
        <w:numPr>
          <w:ilvl w:val="3"/>
          <w:numId w:val="44"/>
        </w:numPr>
        <w:spacing w:before="240" w:after="240"/>
      </w:pPr>
      <w:r w:rsidRPr="009177C0">
        <w:t>Jestliže je nabídka shledána jako nejasná nebo neúplná, může být uchazeč vyzván k jejímu doplnění nebo objasnění. Doplněním nebo objasněním nabídek nesmí být změněna nabídková cena a/nebo údaje a informace, které jsou předmětem hodnocení.</w:t>
      </w:r>
    </w:p>
    <w:p w:rsidR="009177C0" w:rsidRPr="009177C0" w:rsidRDefault="009177C0" w:rsidP="00452B4E">
      <w:pPr>
        <w:pStyle w:val="Mjstyl3"/>
        <w:numPr>
          <w:ilvl w:val="3"/>
          <w:numId w:val="44"/>
        </w:numPr>
        <w:spacing w:before="240" w:after="240"/>
      </w:pPr>
      <w:r w:rsidRPr="009177C0">
        <w:t xml:space="preserve">V případě, že uchazeč nabídku v dodatečné lhůtě nedoplní nebo neobjasní, případně zadavatel nepromine pozdní doplnění nebo objasnění, musí být tato nabídka vyřazena. </w:t>
      </w:r>
    </w:p>
    <w:p w:rsidR="009177C0" w:rsidRPr="009177C0" w:rsidRDefault="009177C0" w:rsidP="00452B4E">
      <w:pPr>
        <w:pStyle w:val="Mjstyl3"/>
        <w:numPr>
          <w:ilvl w:val="3"/>
          <w:numId w:val="44"/>
        </w:numPr>
        <w:spacing w:before="240" w:after="240"/>
      </w:pPr>
      <w:r w:rsidRPr="009177C0">
        <w:t xml:space="preserve">Hodnocení nabídek provádí zadavatel, hodnotící komise nebo pověřená osoba podle hodnotících kritérií uvedených v zadávacích podmínkách. Jako nejvhodnější nabídku vyhodnotí ekonomicky nejvýhodnější nabídku nebo nabídku s nejnižší nabídkovou cenou. Hodnocení nabídek může být provedeno před jejich posouzením, v takovém </w:t>
      </w:r>
      <w:r w:rsidRPr="009177C0">
        <w:lastRenderedPageBreak/>
        <w:t>případě dojde k posouzení nabídky, která byla podána uchazečem, se kterým má být uzavřena smlouva. Tuto skutečnost je v takovém případě uvedena v protokolu dle bodu B.6.2.</w:t>
      </w:r>
    </w:p>
    <w:p w:rsidR="009177C0" w:rsidRPr="009177C0" w:rsidRDefault="009177C0" w:rsidP="00452B4E">
      <w:pPr>
        <w:pStyle w:val="Mjstyl3"/>
        <w:numPr>
          <w:ilvl w:val="3"/>
          <w:numId w:val="44"/>
        </w:numPr>
        <w:spacing w:before="240" w:after="240"/>
      </w:pPr>
      <w:r w:rsidRPr="009177C0">
        <w:t xml:space="preserve">Zadavatel rozhodne o novém posouzení a hodnocení nabídek, pokud zjistí, že hodnotící komise nebo pověřená osoba porušila postup stanovený </w:t>
      </w:r>
      <w:r w:rsidR="00777903">
        <w:t>PŽP</w:t>
      </w:r>
      <w:r w:rsidRPr="009177C0">
        <w:t xml:space="preserve">. Pro nové posouzení a hodnocení nabídek může zadavatel ustanovit jinou hodnotící komisi nebo tímto pověřit jinou osobu, případně provede nové posouzení a hodnocení nabídek sám. </w:t>
      </w:r>
    </w:p>
    <w:p w:rsidR="009177C0" w:rsidRPr="009177C0" w:rsidRDefault="009177C0" w:rsidP="00452B4E">
      <w:pPr>
        <w:pStyle w:val="Mjstyl3"/>
        <w:numPr>
          <w:ilvl w:val="1"/>
          <w:numId w:val="44"/>
        </w:numPr>
        <w:spacing w:before="240" w:after="240"/>
        <w:rPr>
          <w:b/>
        </w:rPr>
      </w:pPr>
      <w:bookmarkStart w:id="28" w:name="_Toc211932113"/>
      <w:bookmarkStart w:id="29" w:name="_Toc320285893"/>
      <w:bookmarkStart w:id="30" w:name="_Toc283647561"/>
      <w:bookmarkStart w:id="31" w:name="_Toc323899553"/>
      <w:r w:rsidRPr="009177C0">
        <w:rPr>
          <w:b/>
        </w:rPr>
        <w:t>Uzavření smlouvy s dodavatelem</w:t>
      </w:r>
      <w:bookmarkEnd w:id="28"/>
      <w:bookmarkEnd w:id="29"/>
      <w:bookmarkEnd w:id="30"/>
      <w:bookmarkEnd w:id="31"/>
    </w:p>
    <w:p w:rsidR="009177C0" w:rsidRPr="009177C0" w:rsidRDefault="009177C0" w:rsidP="00452B4E">
      <w:pPr>
        <w:pStyle w:val="Mjstyl3"/>
        <w:numPr>
          <w:ilvl w:val="3"/>
          <w:numId w:val="44"/>
        </w:numPr>
        <w:spacing w:before="240" w:after="240"/>
      </w:pPr>
      <w:bookmarkStart w:id="32" w:name="_Toc212001895"/>
      <w:bookmarkStart w:id="33" w:name="_Toc212002200"/>
      <w:bookmarkStart w:id="34" w:name="_Toc214090532"/>
      <w:bookmarkStart w:id="35" w:name="_Toc215308344"/>
      <w:bookmarkStart w:id="36" w:name="_Toc215312451"/>
      <w:bookmarkStart w:id="37" w:name="_Toc215900683"/>
      <w:bookmarkStart w:id="38" w:name="_Toc272342898"/>
      <w:bookmarkStart w:id="39" w:name="_Toc272343089"/>
      <w:bookmarkStart w:id="40" w:name="_Toc283647562"/>
      <w:bookmarkStart w:id="41" w:name="_Toc320280100"/>
      <w:bookmarkStart w:id="42" w:name="_Toc320281389"/>
      <w:bookmarkStart w:id="43" w:name="_Toc320285894"/>
      <w:bookmarkStart w:id="44" w:name="_Toc323899554"/>
      <w:bookmarkStart w:id="45" w:name="_Toc320258825"/>
      <w:r w:rsidRPr="009177C0">
        <w:t>V případě uzavírání smlouvy platí, že zadavatel je oprávněn uzavřít smlouvu pouze s uchazečem, který podal vítěznou nabídku (dále „vybraný uchazeč“). V případě, že vybraný uchazeč odmítne uzavřít smlouvu se zadavatelem nebo mu neposkytne dostatečnou součinnost, může uzavřít zadavatel smlouvu s uchazečem, který se umístil jako druhý v pořadí. Postup dle předchozí věty může zadavatel opakovat pro uchazeče, který se umístil na třetím místě v pořadí. Smlouva musí být uzavřena ve shodě s podmínkami výběrového řízení a vybranou nabídkou. Za nedostatečnou součinnost je považována skutečnost, kdy vybraný uchazeč nereaguje žádným způsobem (tzn. listině nebo elektronicky) na výzvy zadavatele. V případě, že uchazeč neposkytl zadavateli dostatečnou součinnost, doloží zadavatel tuto skutečnost písemně formou čestného prohlášení.</w:t>
      </w:r>
      <w:bookmarkEnd w:id="32"/>
      <w:bookmarkEnd w:id="33"/>
      <w:bookmarkEnd w:id="34"/>
      <w:bookmarkEnd w:id="35"/>
      <w:bookmarkEnd w:id="36"/>
      <w:bookmarkEnd w:id="37"/>
      <w:bookmarkEnd w:id="38"/>
      <w:bookmarkEnd w:id="39"/>
      <w:bookmarkEnd w:id="40"/>
      <w:bookmarkEnd w:id="41"/>
      <w:bookmarkEnd w:id="42"/>
      <w:bookmarkEnd w:id="43"/>
      <w:bookmarkEnd w:id="44"/>
      <w:r w:rsidRPr="009177C0">
        <w:t xml:space="preserve"> </w:t>
      </w:r>
      <w:bookmarkEnd w:id="45"/>
    </w:p>
    <w:p w:rsidR="009177C0" w:rsidRPr="009177C0" w:rsidRDefault="009177C0" w:rsidP="00452B4E">
      <w:pPr>
        <w:pStyle w:val="Mjstyl3"/>
        <w:numPr>
          <w:ilvl w:val="3"/>
          <w:numId w:val="44"/>
        </w:numPr>
        <w:spacing w:before="240" w:after="240"/>
      </w:pPr>
      <w:bookmarkStart w:id="46" w:name="_Toc212001896"/>
      <w:bookmarkStart w:id="47" w:name="_Toc212002201"/>
      <w:bookmarkStart w:id="48" w:name="_Toc214090533"/>
      <w:bookmarkStart w:id="49" w:name="_Toc215308345"/>
      <w:bookmarkStart w:id="50" w:name="_Toc215312452"/>
      <w:bookmarkStart w:id="51" w:name="_Toc215900684"/>
      <w:bookmarkStart w:id="52" w:name="_Toc272342899"/>
      <w:bookmarkStart w:id="53" w:name="_Toc272343090"/>
      <w:bookmarkStart w:id="54" w:name="_Toc283647563"/>
      <w:bookmarkStart w:id="55" w:name="_Toc320258826"/>
      <w:bookmarkStart w:id="56" w:name="_Toc320280101"/>
      <w:bookmarkStart w:id="57" w:name="_Toc320281390"/>
      <w:bookmarkStart w:id="58" w:name="_Toc320285895"/>
      <w:bookmarkStart w:id="59" w:name="_Toc323899555"/>
      <w:r w:rsidRPr="009177C0">
        <w:t>Zadavatel nesmí uzavřít smlouvu s uchazečem,</w:t>
      </w:r>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177C0">
        <w:t xml:space="preserve">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pokud se na zpracování uchazečovy nabídky 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 xml:space="preserve">resp. s uchazečem ve sdružení, který je zaměstnancem zadavatele či členem realizačního týmu či osobou, která se na základě smluvního vztahu podílela na zadání předmětného výběrového řízení, nebo </w:t>
      </w:r>
    </w:p>
    <w:p w:rsidR="009177C0" w:rsidRPr="009177C0" w:rsidRDefault="009177C0" w:rsidP="00452B4E">
      <w:pPr>
        <w:pStyle w:val="Zkladntext"/>
        <w:numPr>
          <w:ilvl w:val="0"/>
          <w:numId w:val="50"/>
        </w:numPr>
        <w:tabs>
          <w:tab w:val="left" w:pos="1276"/>
        </w:tabs>
        <w:spacing w:after="60"/>
        <w:jc w:val="both"/>
        <w:rPr>
          <w:rFonts w:ascii="Arial" w:hAnsi="Arial" w:cs="Arial"/>
          <w:sz w:val="22"/>
          <w:szCs w:val="22"/>
        </w:rPr>
      </w:pPr>
      <w:r w:rsidRPr="009177C0">
        <w:rPr>
          <w:rFonts w:ascii="Arial" w:hAnsi="Arial" w:cs="Arial"/>
          <w:sz w:val="22"/>
          <w:szCs w:val="22"/>
        </w:rPr>
        <w:t>jehož subdodavatelem je zaměstnanec zadavatele, člen realizačního týmu či osoba, která se na základě smluvního vztahu podílela na zadání předmětného výběrového řízení.</w:t>
      </w:r>
    </w:p>
    <w:p w:rsidR="009177C0" w:rsidRPr="009177C0" w:rsidRDefault="009177C0" w:rsidP="00452B4E">
      <w:pPr>
        <w:pStyle w:val="Mjstyl3"/>
        <w:numPr>
          <w:ilvl w:val="3"/>
          <w:numId w:val="44"/>
        </w:numPr>
        <w:spacing w:before="240" w:after="240"/>
      </w:pPr>
      <w:bookmarkStart w:id="60" w:name="_Toc212001897"/>
      <w:bookmarkStart w:id="61" w:name="_Toc212002202"/>
      <w:bookmarkStart w:id="62" w:name="_Toc214090534"/>
      <w:bookmarkStart w:id="63" w:name="_Toc215308346"/>
      <w:bookmarkStart w:id="64" w:name="_Toc215312453"/>
      <w:bookmarkStart w:id="65" w:name="_Toc215900685"/>
      <w:bookmarkStart w:id="66" w:name="_Toc272342900"/>
      <w:bookmarkStart w:id="67" w:name="_Toc272343091"/>
      <w:bookmarkStart w:id="68" w:name="_Toc283647564"/>
      <w:bookmarkStart w:id="69" w:name="_Toc320258827"/>
      <w:bookmarkStart w:id="70" w:name="_Toc320280102"/>
      <w:bookmarkStart w:id="71" w:name="_Toc320281391"/>
      <w:bookmarkStart w:id="72" w:name="_Toc320285896"/>
      <w:bookmarkStart w:id="73" w:name="_Toc323899556"/>
      <w:r w:rsidRPr="009177C0">
        <w:t>Smlouva musí mít písemnou formu a musí obsahovat alespoň tyto náležitosti:</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177C0">
        <w:t xml:space="preserve">  </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označení smluvních stran vč. IČO a DIČ pokud jsou přiděleny;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předmět plnění (konkretizovaný kvantitativně i kvalitativně);</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 xml:space="preserve">cena bez daně </w:t>
      </w:r>
      <w:proofErr w:type="spellStart"/>
      <w:r w:rsidR="00CC1BDF">
        <w:rPr>
          <w:rFonts w:ascii="Arial" w:hAnsi="Arial" w:cs="Arial"/>
          <w:sz w:val="22"/>
          <w:szCs w:val="22"/>
        </w:rPr>
        <w:t>z</w:t>
      </w:r>
      <w:r w:rsidRPr="009177C0">
        <w:rPr>
          <w:rFonts w:ascii="Arial" w:hAnsi="Arial" w:cs="Arial"/>
          <w:sz w:val="22"/>
          <w:szCs w:val="22"/>
        </w:rPr>
        <w:t>přidané</w:t>
      </w:r>
      <w:proofErr w:type="spellEnd"/>
      <w:r w:rsidRPr="009177C0">
        <w:rPr>
          <w:rFonts w:ascii="Arial" w:hAnsi="Arial" w:cs="Arial"/>
          <w:sz w:val="22"/>
          <w:szCs w:val="22"/>
        </w:rPr>
        <w:t xml:space="preserve"> hodnoty, vč.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a uvedení samotné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 xml:space="preserve">přidané hodnoty, příp. uvést, že dodavatel není plátcem daně </w:t>
      </w:r>
      <w:r w:rsidR="00CC1BDF">
        <w:rPr>
          <w:rFonts w:ascii="Arial" w:hAnsi="Arial" w:cs="Arial"/>
          <w:sz w:val="22"/>
          <w:szCs w:val="22"/>
        </w:rPr>
        <w:t>z</w:t>
      </w:r>
      <w:r w:rsidR="00CC1BDF" w:rsidRPr="009177C0">
        <w:rPr>
          <w:rFonts w:ascii="Arial" w:hAnsi="Arial" w:cs="Arial"/>
          <w:sz w:val="22"/>
          <w:szCs w:val="22"/>
        </w:rPr>
        <w:t xml:space="preserve"> </w:t>
      </w:r>
      <w:r w:rsidRPr="009177C0">
        <w:rPr>
          <w:rFonts w:ascii="Arial" w:hAnsi="Arial" w:cs="Arial"/>
          <w:sz w:val="22"/>
          <w:szCs w:val="22"/>
        </w:rPr>
        <w:t>přidané hodnoty, platební podmínky;</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doba a místo plnění;</w:t>
      </w:r>
    </w:p>
    <w:p w:rsidR="009177C0" w:rsidRPr="009177C0" w:rsidRDefault="009177C0" w:rsidP="00452B4E">
      <w:pPr>
        <w:pStyle w:val="Zkladntext"/>
        <w:numPr>
          <w:ilvl w:val="0"/>
          <w:numId w:val="51"/>
        </w:numPr>
        <w:tabs>
          <w:tab w:val="left" w:pos="1276"/>
        </w:tabs>
        <w:spacing w:after="60"/>
        <w:jc w:val="both"/>
        <w:rPr>
          <w:rFonts w:ascii="Arial" w:hAnsi="Arial" w:cs="Arial"/>
          <w:sz w:val="22"/>
          <w:szCs w:val="22"/>
        </w:rPr>
      </w:pPr>
      <w:r w:rsidRPr="009177C0">
        <w:rPr>
          <w:rFonts w:ascii="Arial" w:hAnsi="Arial" w:cs="Arial"/>
          <w:sz w:val="22"/>
          <w:szCs w:val="22"/>
        </w:rPr>
        <w:t>další obligatorní náležitosti dle zákona č. 89/2012 Sb., občanského zákoníku.</w:t>
      </w:r>
    </w:p>
    <w:p w:rsidR="009177C0" w:rsidRPr="009177C0" w:rsidRDefault="009177C0" w:rsidP="00452B4E">
      <w:pPr>
        <w:pStyle w:val="Mjstyl3"/>
        <w:numPr>
          <w:ilvl w:val="3"/>
          <w:numId w:val="44"/>
        </w:numPr>
        <w:spacing w:before="240" w:after="240"/>
      </w:pPr>
      <w:bookmarkStart w:id="74" w:name="_Toc320258828"/>
      <w:bookmarkStart w:id="75" w:name="_Toc320280103"/>
      <w:bookmarkStart w:id="76" w:name="_Toc320281392"/>
      <w:bookmarkStart w:id="77" w:name="_Toc320285897"/>
      <w:bookmarkStart w:id="78" w:name="_Toc323899557"/>
      <w:r w:rsidRPr="009177C0">
        <w:t>Zadavatel nesmí umožnit podstatnou změnu práv a povinností vyplývajících ze smlouvy, kterou uzavřel na plnění zakázky. Za podstatnou se považuje taková změna, která by</w:t>
      </w:r>
      <w:bookmarkEnd w:id="74"/>
      <w:bookmarkEnd w:id="75"/>
      <w:bookmarkEnd w:id="76"/>
      <w:bookmarkEnd w:id="77"/>
      <w:bookmarkEnd w:id="78"/>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ro</w:t>
      </w:r>
      <w:proofErr w:type="spellStart"/>
      <w:r w:rsidRPr="009177C0">
        <w:rPr>
          <w:rFonts w:ascii="Arial" w:hAnsi="Arial" w:cs="Arial"/>
          <w:sz w:val="22"/>
          <w:szCs w:val="22"/>
          <w:lang w:val="en-US" w:eastAsia="en-US"/>
        </w:rPr>
        <w:t>zšířila</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předmět</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veřejné</w:t>
      </w:r>
      <w:proofErr w:type="spellEnd"/>
      <w:r w:rsidRPr="009177C0">
        <w:rPr>
          <w:rFonts w:ascii="Arial" w:hAnsi="Arial" w:cs="Arial"/>
          <w:sz w:val="22"/>
          <w:szCs w:val="22"/>
          <w:lang w:val="en-US" w:eastAsia="en-US"/>
        </w:rPr>
        <w:t xml:space="preserve"> </w:t>
      </w:r>
      <w:proofErr w:type="spellStart"/>
      <w:r w:rsidRPr="009177C0">
        <w:rPr>
          <w:rFonts w:ascii="Arial" w:hAnsi="Arial" w:cs="Arial"/>
          <w:sz w:val="22"/>
          <w:szCs w:val="22"/>
          <w:lang w:val="en-US" w:eastAsia="en-US"/>
        </w:rPr>
        <w:t>zakázky</w:t>
      </w:r>
      <w:proofErr w:type="spellEnd"/>
      <w:r w:rsidRPr="009177C0">
        <w:rPr>
          <w:rFonts w:ascii="Arial" w:hAnsi="Arial" w:cs="Arial"/>
          <w:sz w:val="22"/>
          <w:szCs w:val="22"/>
        </w:rPr>
        <w:t>;</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lastRenderedPageBreak/>
        <w:t>za použití v původním výběrovém řízení umožnila účast jiných dodavatelů;</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za použití v původním výběrovém řízení mohla ovlivnit výběr nejvhodnější nabídky nebo</w:t>
      </w:r>
    </w:p>
    <w:p w:rsidR="009177C0" w:rsidRPr="009177C0" w:rsidRDefault="009177C0" w:rsidP="00452B4E">
      <w:pPr>
        <w:pStyle w:val="Zkladntext"/>
        <w:numPr>
          <w:ilvl w:val="0"/>
          <w:numId w:val="52"/>
        </w:numPr>
        <w:tabs>
          <w:tab w:val="left" w:pos="1276"/>
        </w:tabs>
        <w:spacing w:after="60"/>
        <w:jc w:val="both"/>
        <w:rPr>
          <w:rFonts w:ascii="Arial" w:hAnsi="Arial" w:cs="Arial"/>
          <w:sz w:val="22"/>
          <w:szCs w:val="22"/>
        </w:rPr>
      </w:pPr>
      <w:r w:rsidRPr="009177C0">
        <w:rPr>
          <w:rFonts w:ascii="Arial" w:hAnsi="Arial" w:cs="Arial"/>
          <w:sz w:val="22"/>
          <w:szCs w:val="22"/>
        </w:rPr>
        <w:t>měnila ekonomickou rovnováhu smlouvy ve prospěch uchazeče.</w:t>
      </w:r>
    </w:p>
    <w:p w:rsidR="009177C0" w:rsidRPr="009177C0" w:rsidRDefault="009177C0" w:rsidP="00452B4E">
      <w:pPr>
        <w:pStyle w:val="Mjstyl3"/>
        <w:numPr>
          <w:ilvl w:val="1"/>
          <w:numId w:val="44"/>
        </w:numPr>
        <w:spacing w:before="240" w:after="240"/>
        <w:rPr>
          <w:b/>
        </w:rPr>
      </w:pPr>
      <w:r w:rsidRPr="009177C0">
        <w:rPr>
          <w:b/>
        </w:rPr>
        <w:t>Zrušení výběrového řízení</w:t>
      </w:r>
    </w:p>
    <w:p w:rsidR="009177C0" w:rsidRPr="009177C0" w:rsidRDefault="009177C0" w:rsidP="00452B4E">
      <w:pPr>
        <w:pStyle w:val="Mjstyl3"/>
        <w:numPr>
          <w:ilvl w:val="3"/>
          <w:numId w:val="44"/>
        </w:numPr>
        <w:spacing w:before="240" w:after="240"/>
      </w:pPr>
      <w:r w:rsidRPr="009177C0">
        <w:t>Zadavatel je oprávněn výběrové řízení zrušit, nejpozději však do uzavření smlouvy. O</w:t>
      </w:r>
      <w:r w:rsidR="00B7277F">
        <w:t> </w:t>
      </w:r>
      <w:r w:rsidRPr="009177C0">
        <w:t xml:space="preserve">zrušení výběrového řízení je zadavatel povinen bezodkladně písemně informovat všechny uchazeče, kteří podali nabídku ve lhůtě pro podání nabídek. </w:t>
      </w:r>
    </w:p>
    <w:p w:rsidR="009177C0" w:rsidRPr="009177C0" w:rsidRDefault="009177C0" w:rsidP="00452B4E">
      <w:pPr>
        <w:pStyle w:val="Mjstyl3"/>
        <w:numPr>
          <w:ilvl w:val="3"/>
          <w:numId w:val="44"/>
        </w:numPr>
        <w:spacing w:before="240" w:after="240"/>
        <w:rPr>
          <w:rStyle w:val="StyleArial11pt"/>
        </w:rPr>
      </w:pPr>
      <w:r w:rsidRPr="009177C0">
        <w:t>V případě zrušení výběrového řízení v době běhu lhůty pro podávání nabídek, uveřejní zadavatel informaci o zrušení výběrového řízení stejným způsobem, jakým toto výběrové řízení zahájil.</w:t>
      </w:r>
    </w:p>
    <w:p w:rsidR="009177C0" w:rsidRPr="009177C0" w:rsidRDefault="009177C0" w:rsidP="00452B4E">
      <w:pPr>
        <w:pStyle w:val="Mjstyl3"/>
        <w:numPr>
          <w:ilvl w:val="1"/>
          <w:numId w:val="44"/>
        </w:numPr>
        <w:spacing w:before="240" w:after="240"/>
        <w:rPr>
          <w:b/>
        </w:rPr>
      </w:pPr>
      <w:r w:rsidRPr="009177C0">
        <w:rPr>
          <w:b/>
        </w:rPr>
        <w:t xml:space="preserve">Poskytování informací </w:t>
      </w:r>
    </w:p>
    <w:p w:rsidR="009177C0" w:rsidRPr="009177C0" w:rsidRDefault="009177C0" w:rsidP="00452B4E">
      <w:pPr>
        <w:pStyle w:val="Mjstyl3"/>
        <w:numPr>
          <w:ilvl w:val="3"/>
          <w:numId w:val="44"/>
        </w:numPr>
        <w:spacing w:before="240" w:after="240"/>
      </w:pPr>
      <w:r w:rsidRPr="009177C0">
        <w:t xml:space="preserve">O výsledku výběrového řízení musejí být bez zbytečného odkladu informováni všichni uchazeči, kteří podali nabídky ve lhůtě pro podání nabídek a jejichž nabídka nebyla vyřazena z výběrového řízení. Oznámení o výsledku výběrového řízení musí obsahovat min. následující informace: identifikační údaje uchazečů,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DB26A9" w:rsidRPr="00D95F17" w:rsidRDefault="009177C0" w:rsidP="0028752E">
      <w:pPr>
        <w:pStyle w:val="Mjstyl3"/>
        <w:numPr>
          <w:ilvl w:val="3"/>
          <w:numId w:val="44"/>
        </w:numPr>
        <w:spacing w:before="240" w:after="240"/>
      </w:pPr>
      <w:r w:rsidRPr="009177C0">
        <w:t>Pokud si to zadavatel v oznámení výběrového řízení vyhradil, může ve výběrovém řízení uveřejnit oznámení o výsledku výběrového řízení a případné oznámení o</w:t>
      </w:r>
      <w:r w:rsidR="00B7277F">
        <w:t> </w:t>
      </w:r>
      <w:r w:rsidRPr="009177C0">
        <w:t>vyřazení nabídky stejným způsobem, jakým vyhlásil výběrové řízení. V takovém případě se oznámení o výsledku výběrového řízení a případné oznámení o vyřazení nabídky považuje za doručené všem dotčeným zájemcům a všem dotčeným uchazečům okamžikem uveřejnění.</w:t>
      </w:r>
    </w:p>
    <w:p w:rsidR="00DB26A9" w:rsidRDefault="00DB26A9" w:rsidP="009177C0">
      <w:pPr>
        <w:spacing w:line="240" w:lineRule="atLeast"/>
        <w:rPr>
          <w:rFonts w:ascii="Arial" w:hAnsi="Arial" w:cs="Arial"/>
          <w:b/>
          <w:sz w:val="22"/>
          <w:szCs w:val="22"/>
        </w:rPr>
      </w:pPr>
    </w:p>
    <w:p w:rsidR="00DB26A9" w:rsidRPr="0028752E" w:rsidRDefault="009177C0" w:rsidP="009177C0">
      <w:pPr>
        <w:spacing w:line="240" w:lineRule="atLeast"/>
        <w:rPr>
          <w:rFonts w:ascii="Arial" w:hAnsi="Arial" w:cs="Arial"/>
          <w:b/>
          <w:sz w:val="22"/>
          <w:szCs w:val="22"/>
        </w:rPr>
      </w:pPr>
      <w:r w:rsidRPr="009177C0">
        <w:rPr>
          <w:rFonts w:ascii="Arial" w:hAnsi="Arial" w:cs="Arial"/>
          <w:b/>
          <w:sz w:val="22"/>
          <w:szCs w:val="22"/>
        </w:rPr>
        <w:t>Nad rámec požadavků uvedených v MPZ je příjemce také povinen:</w:t>
      </w:r>
    </w:p>
    <w:p w:rsidR="009177C0" w:rsidRPr="009177C0" w:rsidRDefault="009177C0" w:rsidP="00452B4E">
      <w:pPr>
        <w:pStyle w:val="Mjstyl3"/>
        <w:numPr>
          <w:ilvl w:val="1"/>
          <w:numId w:val="44"/>
        </w:numPr>
        <w:spacing w:before="240" w:after="240"/>
      </w:pPr>
      <w:r w:rsidRPr="009177C0">
        <w:rPr>
          <w:b/>
        </w:rPr>
        <w:t>Před zahájením výběrového řízení</w:t>
      </w:r>
      <w:r w:rsidRPr="009177C0">
        <w:t xml:space="preserve"> předložit min. 10 pracovních dnů před zahájením výběrového řízení zadávací podmínky</w:t>
      </w:r>
      <w:r w:rsidRPr="009177C0" w:rsidDel="00735D59">
        <w:t xml:space="preserve"> </w:t>
      </w:r>
      <w:r w:rsidRPr="009177C0">
        <w:t>k posouzení ŘO OPTP. ŘO OPTP poskytne vyjádření do 10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p>
    <w:p w:rsidR="009177C0" w:rsidRPr="009177C0" w:rsidRDefault="009177C0" w:rsidP="00452B4E">
      <w:pPr>
        <w:pStyle w:val="Odstavecseseznamem"/>
        <w:numPr>
          <w:ilvl w:val="0"/>
          <w:numId w:val="37"/>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Pr="009177C0" w:rsidRDefault="009177C0" w:rsidP="0028752E">
      <w:pPr>
        <w:ind w:left="567"/>
        <w:jc w:val="both"/>
        <w:rPr>
          <w:rFonts w:ascii="Arial" w:hAnsi="Arial" w:cs="Arial"/>
          <w:sz w:val="22"/>
          <w:szCs w:val="22"/>
          <w:highlight w:val="yellow"/>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rPr>
          <w:i/>
        </w:rPr>
      </w:pPr>
      <w:r w:rsidRPr="009177C0">
        <w:lastRenderedPageBreak/>
        <w:t xml:space="preserve">Zaslat ŘO OPTP pozvánku nejpozději 5 pracovních dnů před termínem konání </w:t>
      </w:r>
      <w:r w:rsidR="00B7277F">
        <w:t>prvního</w:t>
      </w:r>
      <w:r w:rsidRPr="009177C0">
        <w:t xml:space="preserve"> jednání hodnoticí komise. </w:t>
      </w: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9177C0" w:rsidRPr="009177C0" w:rsidRDefault="009177C0" w:rsidP="00452B4E">
      <w:pPr>
        <w:pStyle w:val="Mjstyl3"/>
        <w:numPr>
          <w:ilvl w:val="1"/>
          <w:numId w:val="44"/>
        </w:numPr>
        <w:spacing w:before="240" w:after="240"/>
      </w:pPr>
      <w:r w:rsidRPr="009177C0">
        <w:rPr>
          <w:b/>
        </w:rPr>
        <w:t>Před uzavřením smlouvy</w:t>
      </w:r>
      <w:r w:rsidRPr="009177C0">
        <w:t xml:space="preserve"> na plnění zakázky předložit ihned po vydání oznámení o výběru nejvhodnější nabídky ŘO OPTP dokumentaci z průběhu výběrového řízení k posouzení správnosti postupu zadavatele ve výběrovém řízení. ŘO OPTP poskytne vyjádření do 10 pracovních dnů ode dne obdržení kompletních podkladů.</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Dodatečné informace včetně dokladů prokazujících jejich odeslání/uveřejnění, pokud byly nějaké požadovány</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hodnoticí komise (pokud byly jmenovány) včetně prohlášení o jejich nepodjatosti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Čestná prohlášení o nepodjatosti a mlčenlivosti</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MPZ (protokol o otevírání obálek, posouzení a hodnocení nabídek, protokol z každého jednání o nabídkách, protokol o konečném výsledku hodnocení, bylo-li o nabídkách jednáno)</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Nabídky podané uchazeči, včetně případného objasnění či doplnění</w:t>
      </w:r>
    </w:p>
    <w:p w:rsidR="004B07A1"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Oznámení o vyřazení nabídky, včetně dokladu prokazujícího jeho odeslání/uveřejnění, pokud byla nějaká nabídka vyřazena</w:t>
      </w:r>
    </w:p>
    <w:p w:rsidR="009177C0" w:rsidRPr="009177C0" w:rsidRDefault="004B07A1" w:rsidP="00452B4E">
      <w:pPr>
        <w:pStyle w:val="Odstavecseseznamem"/>
        <w:numPr>
          <w:ilvl w:val="0"/>
          <w:numId w:val="38"/>
        </w:numPr>
        <w:spacing w:line="240" w:lineRule="atLeast"/>
        <w:ind w:left="851" w:hanging="284"/>
        <w:jc w:val="both"/>
        <w:rPr>
          <w:rFonts w:ascii="Arial" w:hAnsi="Arial" w:cs="Arial"/>
          <w:sz w:val="22"/>
          <w:szCs w:val="22"/>
        </w:rPr>
      </w:pPr>
      <w:r>
        <w:rPr>
          <w:rFonts w:ascii="Arial" w:hAnsi="Arial" w:cs="Arial"/>
          <w:sz w:val="22"/>
          <w:szCs w:val="22"/>
        </w:rPr>
        <w:t>Oznámení o výběru nejvhodnější nabídky</w:t>
      </w:r>
      <w:r w:rsidR="009177C0" w:rsidRPr="009177C0">
        <w:rPr>
          <w:rFonts w:ascii="Arial" w:hAnsi="Arial" w:cs="Arial"/>
          <w:sz w:val="22"/>
          <w:szCs w:val="22"/>
        </w:rPr>
        <w:t xml:space="preserve"> </w:t>
      </w:r>
    </w:p>
    <w:p w:rsidR="009177C0" w:rsidRPr="009177C0" w:rsidRDefault="009177C0" w:rsidP="00452B4E">
      <w:pPr>
        <w:pStyle w:val="Odstavecseseznamem"/>
        <w:numPr>
          <w:ilvl w:val="0"/>
          <w:numId w:val="38"/>
        </w:numPr>
        <w:spacing w:line="240" w:lineRule="atLeast"/>
        <w:ind w:left="851" w:hanging="284"/>
        <w:jc w:val="both"/>
        <w:rPr>
          <w:rFonts w:ascii="Arial" w:hAnsi="Arial" w:cs="Arial"/>
          <w:sz w:val="22"/>
          <w:szCs w:val="22"/>
        </w:rPr>
      </w:pPr>
      <w:r w:rsidRPr="009177C0">
        <w:rPr>
          <w:rFonts w:ascii="Arial" w:hAnsi="Arial" w:cs="Arial"/>
          <w:sz w:val="22"/>
          <w:szCs w:val="22"/>
        </w:rPr>
        <w:t>Smlouva, jež má být s vybraným uchazečem uzavřena</w:t>
      </w:r>
    </w:p>
    <w:p w:rsidR="009177C0" w:rsidRPr="009177C0" w:rsidRDefault="009177C0" w:rsidP="009177C0">
      <w:pPr>
        <w:pStyle w:val="Odstavecseseznamem"/>
        <w:spacing w:line="240" w:lineRule="atLeast"/>
        <w:ind w:left="1560"/>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28752E" w:rsidRDefault="009177C0" w:rsidP="0028752E">
      <w:pPr>
        <w:pStyle w:val="Mjstyl3"/>
        <w:numPr>
          <w:ilvl w:val="1"/>
          <w:numId w:val="44"/>
        </w:numPr>
        <w:spacing w:before="240" w:after="240"/>
        <w:rPr>
          <w:i/>
        </w:rPr>
      </w:pPr>
      <w:r w:rsidRPr="009177C0">
        <w:rPr>
          <w:b/>
        </w:rPr>
        <w:t>Po uzavření smlouvy</w:t>
      </w:r>
      <w:r w:rsidRPr="009177C0">
        <w:t xml:space="preserve"> na plnění zakázky </w:t>
      </w:r>
      <w:r w:rsidR="0081396E">
        <w:t xml:space="preserve">předložit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žádosti o podporu</w:t>
      </w:r>
      <w:r w:rsidRPr="00FA2EC7">
        <w:t>.</w:t>
      </w:r>
    </w:p>
    <w:p w:rsidR="009177C0" w:rsidRPr="009177C0" w:rsidRDefault="009177C0" w:rsidP="009177C0">
      <w:pPr>
        <w:pStyle w:val="Odstavecseseznamem"/>
        <w:spacing w:line="240" w:lineRule="atLeast"/>
        <w:ind w:left="567"/>
        <w:rPr>
          <w:rFonts w:ascii="Arial" w:hAnsi="Arial" w:cs="Arial"/>
          <w:sz w:val="22"/>
          <w:szCs w:val="22"/>
        </w:rPr>
      </w:pPr>
      <w:r w:rsidRPr="009177C0">
        <w:rPr>
          <w:rFonts w:ascii="Arial" w:hAnsi="Arial" w:cs="Arial"/>
          <w:i/>
          <w:sz w:val="22"/>
          <w:szCs w:val="22"/>
        </w:rPr>
        <w:t>Toto ustanovení se nevztahuje na zakázky malé hodnoty I. kategorie.</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Smlouva uzavřená s vybraným uchazečem včetně jejího uveřejnění na profilu zadavatele, je-li vyžadováno její uveřejnění podle Zákona</w:t>
      </w:r>
    </w:p>
    <w:p w:rsidR="009177C0" w:rsidRPr="009177C0" w:rsidRDefault="009177C0" w:rsidP="00452B4E">
      <w:pPr>
        <w:pStyle w:val="Odstavecseseznamem"/>
        <w:numPr>
          <w:ilvl w:val="0"/>
          <w:numId w:val="39"/>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výsledku výběrového řízení zaslaná všem uchazečům, kteří podali nabídku ve lhůtě pro podání nabídek, jejichž nabídka nebyla vyřazena, včetně </w:t>
      </w:r>
      <w:r w:rsidRPr="009177C0">
        <w:rPr>
          <w:rFonts w:ascii="Arial" w:hAnsi="Arial" w:cs="Arial"/>
          <w:sz w:val="22"/>
          <w:szCs w:val="22"/>
        </w:rPr>
        <w:lastRenderedPageBreak/>
        <w:t xml:space="preserve">dokladů prokazujících jejich odeslání, pokud toto oznámení nebylo uveřejněno dle bodu </w:t>
      </w:r>
      <w:r w:rsidR="00833334">
        <w:rPr>
          <w:rFonts w:ascii="Arial" w:hAnsi="Arial" w:cs="Arial"/>
          <w:sz w:val="22"/>
          <w:szCs w:val="22"/>
        </w:rPr>
        <w:t>B.11.2</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9177C0" w:rsidRPr="009177C0" w:rsidRDefault="009177C0" w:rsidP="00452B4E">
      <w:pPr>
        <w:pStyle w:val="Mjstyl3"/>
        <w:numPr>
          <w:ilvl w:val="1"/>
          <w:numId w:val="44"/>
        </w:numPr>
        <w:spacing w:before="240" w:after="240"/>
      </w:pPr>
      <w:r w:rsidRPr="0028752E">
        <w:t>Do všech smluv</w:t>
      </w:r>
      <w:r w:rsidRPr="009177C0">
        <w:t xml:space="preserve"> </w:t>
      </w:r>
      <w:r w:rsidR="00AF281A" w:rsidRPr="009177C0">
        <w:t xml:space="preserve">s dodavateli </w:t>
      </w:r>
      <w:r w:rsidR="00AF281A" w:rsidRPr="000D36F7">
        <w:rPr>
          <w:b/>
        </w:rPr>
        <w:t>je</w:t>
      </w:r>
      <w:r w:rsidR="00AF281A">
        <w:t xml:space="preserve"> příjemce </w:t>
      </w:r>
      <w:r w:rsidR="00AF281A" w:rsidRPr="000D36F7">
        <w:rPr>
          <w:b/>
        </w:rPr>
        <w:t>povinen</w:t>
      </w:r>
      <w:r w:rsidR="00AF281A">
        <w:t xml:space="preserve"> </w:t>
      </w:r>
      <w:r w:rsidR="00AF281A" w:rsidRPr="009177C0">
        <w:t>zapracovat ustanovení:</w:t>
      </w:r>
    </w:p>
    <w:p w:rsidR="009177C0" w:rsidRPr="009177C0" w:rsidRDefault="009177C0" w:rsidP="00452B4E">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xml:space="preserve">, ve znění pozdějších předpisů (dále </w:t>
      </w:r>
      <w:r w:rsidR="00D614D4">
        <w:rPr>
          <w:rFonts w:cs="Arial"/>
          <w:sz w:val="22"/>
          <w:szCs w:val="22"/>
        </w:rPr>
        <w:t>„</w:t>
      </w:r>
      <w:r w:rsidRPr="009177C0">
        <w:rPr>
          <w:rFonts w:cs="Arial"/>
          <w:sz w:val="22"/>
          <w:szCs w:val="22"/>
        </w:rPr>
        <w:t>ZFK</w:t>
      </w:r>
      <w:r w:rsidR="00D614D4">
        <w:rPr>
          <w:rFonts w:cs="Arial"/>
          <w:sz w:val="22"/>
          <w:szCs w:val="22"/>
        </w:rPr>
        <w:t>“</w:t>
      </w:r>
      <w:r w:rsidRPr="009177C0">
        <w:rPr>
          <w:rFonts w:cs="Arial"/>
          <w:sz w:val="22"/>
          <w:szCs w:val="22"/>
        </w:rPr>
        <w:t>),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pStyle w:val="Odstavecseseznamem"/>
        <w:widowControl w:val="0"/>
        <w:adjustRightInd w:val="0"/>
        <w:spacing w:line="240" w:lineRule="atLeast"/>
        <w:ind w:left="851" w:hanging="284"/>
        <w:textAlignment w:val="baseline"/>
        <w:rPr>
          <w:rFonts w:ascii="Arial" w:hAnsi="Arial" w:cs="Arial"/>
          <w:sz w:val="22"/>
          <w:szCs w:val="22"/>
        </w:rPr>
      </w:pPr>
    </w:p>
    <w:p w:rsidR="009177C0" w:rsidRDefault="009177C0" w:rsidP="00452B4E">
      <w:pPr>
        <w:pStyle w:val="Odstavecseseznamem"/>
        <w:widowControl w:val="0"/>
        <w:numPr>
          <w:ilvl w:val="0"/>
          <w:numId w:val="32"/>
        </w:numPr>
        <w:tabs>
          <w:tab w:val="left" w:pos="851"/>
        </w:tabs>
        <w:adjustRightInd w:val="0"/>
        <w:spacing w:line="240" w:lineRule="atLeast"/>
        <w:ind w:left="851" w:hanging="284"/>
        <w:contextualSpacing w:val="0"/>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Pr>
          <w:rFonts w:ascii="Arial" w:hAnsi="Arial" w:cs="Arial"/>
          <w:snapToGrid w:val="0"/>
          <w:sz w:val="22"/>
          <w:szCs w:val="22"/>
        </w:rPr>
        <w:t>minimálně</w:t>
      </w:r>
      <w:r w:rsidRPr="009177C0">
        <w:rPr>
          <w:rFonts w:ascii="Arial" w:hAnsi="Arial" w:cs="Arial"/>
          <w:snapToGrid w:val="0"/>
          <w:sz w:val="22"/>
          <w:szCs w:val="22"/>
        </w:rPr>
        <w:t xml:space="preserve"> do </w:t>
      </w:r>
      <w:r w:rsidR="00760D93">
        <w:rPr>
          <w:rFonts w:ascii="Arial" w:hAnsi="Arial" w:cs="Arial"/>
          <w:snapToGrid w:val="0"/>
          <w:sz w:val="22"/>
          <w:szCs w:val="22"/>
        </w:rPr>
        <w:t xml:space="preserve">roku </w:t>
      </w:r>
      <w:r w:rsidRPr="00D95F17">
        <w:rPr>
          <w:rFonts w:ascii="Arial" w:hAnsi="Arial" w:cs="Arial"/>
          <w:snapToGrid w:val="0"/>
          <w:sz w:val="22"/>
          <w:szCs w:val="22"/>
        </w:rPr>
        <w:t>202</w:t>
      </w:r>
      <w:r w:rsidR="006169B7" w:rsidRPr="00D95F17">
        <w:rPr>
          <w:rFonts w:ascii="Arial" w:hAnsi="Arial" w:cs="Arial"/>
          <w:snapToGrid w:val="0"/>
          <w:sz w:val="22"/>
          <w:szCs w:val="22"/>
        </w:rPr>
        <w:t>7</w:t>
      </w:r>
      <w:r w:rsidRPr="00D95F17">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plněním smlouvy.</w:t>
      </w:r>
    </w:p>
    <w:p w:rsidR="004702EB" w:rsidRPr="009177C0" w:rsidRDefault="004702EB" w:rsidP="0028752E">
      <w:pPr>
        <w:pStyle w:val="Odstavecseseznamem"/>
        <w:widowControl w:val="0"/>
        <w:tabs>
          <w:tab w:val="left" w:pos="851"/>
        </w:tabs>
        <w:adjustRightInd w:val="0"/>
        <w:spacing w:line="240" w:lineRule="atLeast"/>
        <w:ind w:left="851"/>
        <w:contextualSpacing w:val="0"/>
        <w:jc w:val="both"/>
        <w:textAlignment w:val="baseline"/>
        <w:rPr>
          <w:rFonts w:ascii="Arial" w:hAnsi="Arial" w:cs="Arial"/>
          <w:sz w:val="22"/>
          <w:szCs w:val="22"/>
        </w:rPr>
      </w:pPr>
    </w:p>
    <w:p w:rsidR="009177C0" w:rsidRPr="0028752E" w:rsidRDefault="004702EB" w:rsidP="0028752E">
      <w:pPr>
        <w:pStyle w:val="Odstavecseseznamem"/>
        <w:spacing w:line="240" w:lineRule="atLeast"/>
        <w:ind w:left="567"/>
        <w:rPr>
          <w:rFonts w:ascii="Arial" w:hAnsi="Arial" w:cs="Arial"/>
          <w:i/>
          <w:sz w:val="22"/>
          <w:szCs w:val="22"/>
        </w:rPr>
      </w:pPr>
      <w:r w:rsidRPr="0028752E">
        <w:rPr>
          <w:rFonts w:ascii="Arial" w:hAnsi="Arial" w:cs="Arial"/>
          <w:i/>
          <w:sz w:val="22"/>
          <w:szCs w:val="22"/>
        </w:rPr>
        <w:t>Toto ustanovení se nevztahuje na zakázky malé hodnoty I. kategorie.</w:t>
      </w:r>
    </w:p>
    <w:p w:rsidR="00AF281A" w:rsidRPr="00AF281A" w:rsidRDefault="00AF281A" w:rsidP="0028752E">
      <w:pPr>
        <w:pStyle w:val="Mjstyl3"/>
        <w:numPr>
          <w:ilvl w:val="1"/>
          <w:numId w:val="44"/>
        </w:numPr>
        <w:spacing w:before="240" w:after="240"/>
      </w:pPr>
      <w:r>
        <w:t xml:space="preserve">Do smluv s dodavateli </w:t>
      </w:r>
      <w:r w:rsidRPr="000D36F7">
        <w:rPr>
          <w:b/>
        </w:rPr>
        <w:t>je doporučeno</w:t>
      </w:r>
      <w:r>
        <w:t xml:space="preserve"> zapracovat ustanovení:</w:t>
      </w:r>
    </w:p>
    <w:p w:rsidR="009177C0" w:rsidRPr="009177C0"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rPr>
          <w:rFonts w:ascii="Arial" w:hAnsi="Arial" w:cs="Arial"/>
          <w:sz w:val="22"/>
          <w:szCs w:val="22"/>
        </w:rPr>
      </w:pPr>
      <w:r w:rsidRPr="0028752E">
        <w:rPr>
          <w:rFonts w:ascii="Arial" w:hAnsi="Arial" w:cs="Arial"/>
          <w:sz w:val="22"/>
          <w:szCs w:val="22"/>
        </w:rPr>
        <w:t>Každý</w:t>
      </w:r>
      <w:r w:rsidRPr="009177C0">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9177C0" w:rsidRDefault="00DB26A9" w:rsidP="009177C0">
      <w:pPr>
        <w:spacing w:line="240" w:lineRule="atLeast"/>
        <w:ind w:left="851" w:hanging="284"/>
        <w:rPr>
          <w:rFonts w:ascii="Arial" w:hAnsi="Arial" w:cs="Arial"/>
          <w:sz w:val="22"/>
          <w:szCs w:val="22"/>
        </w:rPr>
      </w:pPr>
    </w:p>
    <w:p w:rsidR="004702EB" w:rsidRPr="004702EB" w:rsidRDefault="009177C0" w:rsidP="0028752E">
      <w:pPr>
        <w:pStyle w:val="Odstavecseseznamem"/>
        <w:widowControl w:val="0"/>
        <w:numPr>
          <w:ilvl w:val="0"/>
          <w:numId w:val="64"/>
        </w:numPr>
        <w:adjustRightInd w:val="0"/>
        <w:spacing w:line="240" w:lineRule="atLeast"/>
        <w:ind w:left="851" w:hanging="284"/>
        <w:contextualSpacing w:val="0"/>
        <w:jc w:val="both"/>
        <w:textAlignment w:val="baseline"/>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28752E">
        <w:rPr>
          <w:rStyle w:val="Znakapoznpodarou"/>
          <w:rFonts w:ascii="Arial" w:hAnsi="Arial" w:cs="Arial"/>
          <w:szCs w:val="16"/>
        </w:rPr>
        <w:footnoteReference w:id="6"/>
      </w:r>
    </w:p>
    <w:p w:rsidR="00121C0F" w:rsidRDefault="00121C0F" w:rsidP="0028752E">
      <w:pPr>
        <w:pStyle w:val="Odstavecseseznamem"/>
        <w:rPr>
          <w:i/>
        </w:rPr>
      </w:pPr>
    </w:p>
    <w:p w:rsidR="004702EB" w:rsidRPr="004702EB" w:rsidRDefault="004702EB" w:rsidP="0028752E">
      <w:pPr>
        <w:pStyle w:val="Odstavecseseznamem"/>
      </w:pPr>
      <w:r w:rsidRPr="0028752E">
        <w:rPr>
          <w:rFonts w:ascii="Arial" w:hAnsi="Arial" w:cs="Arial"/>
          <w:i/>
          <w:sz w:val="22"/>
          <w:szCs w:val="22"/>
        </w:rPr>
        <w:t>Toto ustanovení se nevztahuje na zakázky malé hodnoty I. kategorie.</w:t>
      </w:r>
    </w:p>
    <w:p w:rsidR="00CA34EA" w:rsidRPr="0028752E" w:rsidRDefault="00CA34EA" w:rsidP="00452B4E">
      <w:pPr>
        <w:pStyle w:val="Mjstyl3"/>
        <w:numPr>
          <w:ilvl w:val="1"/>
          <w:numId w:val="44"/>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t>B.16</w:t>
      </w:r>
      <w:r w:rsidRPr="00E0434B">
        <w:t>. Neuzavření dodatku ke smlouvě nebude ze strany ŘO OPTP sankcionováno.</w:t>
      </w:r>
    </w:p>
    <w:p w:rsidR="00B33550" w:rsidRDefault="00B33550" w:rsidP="00452B4E">
      <w:pPr>
        <w:pStyle w:val="Mjstyl3"/>
        <w:numPr>
          <w:ilvl w:val="1"/>
          <w:numId w:val="44"/>
        </w:numPr>
        <w:spacing w:before="240" w:after="240"/>
      </w:pPr>
      <w:r w:rsidRPr="001E6F04">
        <w:rPr>
          <w:b/>
        </w:rPr>
        <w:lastRenderedPageBreak/>
        <w:t>Před uzavřením dodatku ke smlouvě</w:t>
      </w:r>
      <w:r w:rsidRPr="009177C0">
        <w:t xml:space="preserve"> na plnění zakázky předložit min. 10 pracovních dnů před podpisem dodatku ŘO OPTP návrh dodatku k posouzení. ŘO OPTP poskytne vyjádření do 10 pracovních dnů ode dne obdržení kompletních podkladů.</w:t>
      </w:r>
    </w:p>
    <w:p w:rsidR="009177C0" w:rsidRPr="009177C0" w:rsidRDefault="009177C0" w:rsidP="00452B4E">
      <w:pPr>
        <w:pStyle w:val="Mjstyl3"/>
        <w:numPr>
          <w:ilvl w:val="1"/>
          <w:numId w:val="44"/>
        </w:numPr>
        <w:spacing w:before="240" w:after="240"/>
      </w:pPr>
      <w:r w:rsidRPr="009177C0">
        <w:t xml:space="preserve">V případě zadávání zakázek </w:t>
      </w:r>
      <w:r w:rsidRPr="009177C0">
        <w:rPr>
          <w:b/>
        </w:rPr>
        <w:t>na základě rámcové smlouvy</w:t>
      </w:r>
      <w:r w:rsidRPr="009177C0">
        <w:t xml:space="preserve"> </w:t>
      </w:r>
      <w:r w:rsidRPr="009177C0">
        <w:rPr>
          <w:b/>
        </w:rPr>
        <w:t>uzavřené s více uchazeči</w:t>
      </w:r>
      <w:r w:rsidRPr="009177C0">
        <w:t xml:space="preserve"> (analog. dle Zákona, tzv. </w:t>
      </w:r>
      <w:proofErr w:type="spellStart"/>
      <w:r w:rsidRPr="009177C0">
        <w:t>minitendr</w:t>
      </w:r>
      <w:proofErr w:type="spellEnd"/>
      <w:r w:rsidRPr="009177C0">
        <w:t>) předložit postupem uvedeným v bodech B.12., B.14., B.15. ŘO OPTP podklady k posouzení včetně zaslání pozvánky dle bodu B.13.</w:t>
      </w:r>
    </w:p>
    <w:p w:rsidR="009177C0" w:rsidRPr="009177C0" w:rsidRDefault="009177C0" w:rsidP="0028752E">
      <w:pPr>
        <w:pStyle w:val="Odstavecseseznamem"/>
        <w:widowControl w:val="0"/>
        <w:adjustRightInd w:val="0"/>
        <w:spacing w:line="240" w:lineRule="atLeast"/>
        <w:ind w:left="567"/>
        <w:jc w:val="both"/>
        <w:textAlignment w:val="baseline"/>
        <w:rPr>
          <w:rFonts w:ascii="Arial" w:hAnsi="Arial" w:cs="Arial"/>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posouzení (ustanovení bodu B.13. a B.15. tím není dotčeno). V opačném případě je příjemce povinen postupovat analogicky od bodu B.12.</w:t>
      </w:r>
    </w:p>
    <w:p w:rsidR="009177C0" w:rsidRPr="009177C0" w:rsidRDefault="009177C0" w:rsidP="00452B4E">
      <w:pPr>
        <w:pStyle w:val="Mjstyl3"/>
        <w:numPr>
          <w:ilvl w:val="1"/>
          <w:numId w:val="44"/>
        </w:numPr>
        <w:spacing w:before="240" w:after="240"/>
      </w:pPr>
      <w:r w:rsidRPr="009177C0">
        <w:t>Zadavatel je povinen</w:t>
      </w:r>
      <w:r w:rsidRPr="009177C0">
        <w:rPr>
          <w:b/>
        </w:rPr>
        <w:t xml:space="preserve"> uchovávat dokumentaci</w:t>
      </w:r>
      <w:r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Pr="009177C0">
        <w:t>.</w:t>
      </w:r>
    </w:p>
    <w:p w:rsidR="009177C0" w:rsidRPr="009177C0" w:rsidRDefault="009177C0" w:rsidP="00452B4E">
      <w:pPr>
        <w:pStyle w:val="Odstavecseseznamem"/>
        <w:widowControl w:val="0"/>
        <w:numPr>
          <w:ilvl w:val="1"/>
          <w:numId w:val="44"/>
        </w:numPr>
        <w:adjustRightInd w:val="0"/>
        <w:spacing w:line="240" w:lineRule="atLeast"/>
        <w:jc w:val="both"/>
        <w:textAlignment w:val="baseline"/>
        <w:rPr>
          <w:rFonts w:ascii="Arial" w:hAnsi="Arial" w:cs="Arial"/>
          <w:sz w:val="22"/>
          <w:szCs w:val="22"/>
        </w:rPr>
      </w:pPr>
      <w:r w:rsidRPr="009177C0">
        <w:rPr>
          <w:rFonts w:ascii="Arial" w:hAnsi="Arial" w:cs="Arial"/>
          <w:sz w:val="22"/>
          <w:szCs w:val="22"/>
        </w:rPr>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rPr>
          <w:rFonts w:ascii="Arial" w:hAnsi="Arial" w:cs="Arial"/>
          <w:sz w:val="22"/>
          <w:szCs w:val="22"/>
        </w:rPr>
        <w:t> </w:t>
      </w:r>
      <w:r w:rsidRPr="009177C0">
        <w:rPr>
          <w:rFonts w:ascii="Arial" w:hAnsi="Arial" w:cs="Arial"/>
          <w:sz w:val="22"/>
          <w:szCs w:val="22"/>
        </w:rPr>
        <w:t xml:space="preserve">let od finančního ukončení projektu, zároveň </w:t>
      </w:r>
      <w:r w:rsidR="000C62AC">
        <w:rPr>
          <w:rFonts w:ascii="Arial" w:hAnsi="Arial" w:cs="Arial"/>
          <w:snapToGrid w:val="0"/>
          <w:sz w:val="22"/>
          <w:szCs w:val="22"/>
        </w:rPr>
        <w:t>minimálně</w:t>
      </w:r>
      <w:r w:rsidR="000C62AC" w:rsidRPr="009177C0">
        <w:rPr>
          <w:rFonts w:ascii="Arial" w:hAnsi="Arial" w:cs="Arial"/>
          <w:snapToGrid w:val="0"/>
          <w:sz w:val="22"/>
          <w:szCs w:val="22"/>
        </w:rPr>
        <w:t xml:space="preserve"> do </w:t>
      </w:r>
      <w:r w:rsidR="000C62AC">
        <w:rPr>
          <w:rFonts w:ascii="Arial" w:hAnsi="Arial" w:cs="Arial"/>
          <w:snapToGrid w:val="0"/>
          <w:sz w:val="22"/>
          <w:szCs w:val="22"/>
        </w:rPr>
        <w:t xml:space="preserve">roku </w:t>
      </w:r>
      <w:r w:rsidR="000C62AC" w:rsidRPr="00D95F17">
        <w:rPr>
          <w:rFonts w:ascii="Arial" w:hAnsi="Arial" w:cs="Arial"/>
          <w:snapToGrid w:val="0"/>
          <w:sz w:val="22"/>
          <w:szCs w:val="22"/>
        </w:rPr>
        <w:t>2027</w:t>
      </w:r>
      <w:r w:rsidR="00566C6F">
        <w:rPr>
          <w:rFonts w:ascii="Arial" w:hAnsi="Arial" w:cs="Arial"/>
          <w:snapToGrid w:val="0"/>
          <w:sz w:val="22"/>
          <w:szCs w:val="22"/>
        </w:rPr>
        <w:t>.</w:t>
      </w:r>
      <w:r w:rsidRPr="00566C6F">
        <w:rPr>
          <w:rFonts w:ascii="Arial" w:hAnsi="Arial" w:cs="Arial"/>
          <w:sz w:val="22"/>
          <w:szCs w:val="22"/>
        </w:rPr>
        <w:t>.</w:t>
      </w:r>
    </w:p>
    <w:p w:rsidR="009177C0" w:rsidRPr="009177C0" w:rsidRDefault="009177C0" w:rsidP="00452B4E">
      <w:pPr>
        <w:pStyle w:val="Mjstyl3"/>
        <w:numPr>
          <w:ilvl w:val="1"/>
          <w:numId w:val="44"/>
        </w:numPr>
        <w:spacing w:before="240" w:after="240"/>
        <w:rPr>
          <w:b/>
        </w:rPr>
      </w:pPr>
      <w:r w:rsidRPr="009177C0">
        <w:rPr>
          <w:b/>
        </w:rPr>
        <w:t>Informovat ŘO OPTP o změnách</w:t>
      </w:r>
      <w:r w:rsidRPr="009177C0">
        <w:t>, které nastaly v průběhu výběrového řízení nebo realizaci samotné zakázky. Současně je třeba změnu uvést ve zprávě o realizaci projektu, v níž je nutné aktualizovat záznamy o výběrovém řízení (blíže viz příloha č. 2 PŽP).</w:t>
      </w:r>
    </w:p>
    <w:p w:rsidR="009177C0" w:rsidRPr="009177C0" w:rsidRDefault="009177C0" w:rsidP="00452B4E">
      <w:pPr>
        <w:pStyle w:val="Mjstyl3"/>
        <w:numPr>
          <w:ilvl w:val="1"/>
          <w:numId w:val="44"/>
        </w:numPr>
        <w:spacing w:before="240" w:after="240"/>
      </w:pPr>
      <w:r w:rsidRPr="009177C0">
        <w:rPr>
          <w:b/>
        </w:rPr>
        <w:t>Informovat ŘO OPTP neprodleně o všech řízeních</w:t>
      </w:r>
      <w:r w:rsidRPr="009177C0">
        <w:t xml:space="preserve"> o přezkoumání úkonů zadavatele zahájených Úřadem pro ochranu hospodářské soutěže (dále „ÚOHS“) a rozhodnutích ÚOHS o těchto řízeních.</w:t>
      </w:r>
    </w:p>
    <w:p w:rsidR="009177C0" w:rsidRPr="009177C0" w:rsidRDefault="009177C0">
      <w:pPr>
        <w:pStyle w:val="Mjstyl3"/>
        <w:numPr>
          <w:ilvl w:val="1"/>
          <w:numId w:val="44"/>
        </w:numPr>
        <w:spacing w:before="240" w:after="240"/>
      </w:pPr>
      <w:r w:rsidRPr="009177C0">
        <w:t xml:space="preserve">U projektů, v nichž výběrové řízení bylo zahájeno či ukončeno </w:t>
      </w:r>
      <w:r w:rsidRPr="009177C0">
        <w:rPr>
          <w:b/>
        </w:rPr>
        <w:t>před vydáním Rozhodnutí/Stanovení výdajů/Dopisu</w:t>
      </w:r>
      <w:r w:rsidRPr="009177C0">
        <w:t>, je žadatel povinen postupem analogicky k bodu B.12., B.14., B.15.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4756EF" w:rsidRPr="004756EF" w:rsidRDefault="009177C0">
      <w:pPr>
        <w:pStyle w:val="Mjstyl3"/>
        <w:numPr>
          <w:ilvl w:val="1"/>
          <w:numId w:val="44"/>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 vloží příjemce veškerou dokumentaci k výběrovému řízení do MS14+ k danému projektu a výběrovému řízení a informuje o tom formou interní depeše v MS2014+ příslušného projektového manažera a specialisty na veřejné zakázky. Pokud ve výběrovém řízení došlo ke změně (např. byl uzavřen dodatek), je příjemce navíc povinen předložit dokumentaci k této změně k posouzení.</w:t>
      </w:r>
    </w:p>
    <w:p w:rsidR="00162F3B" w:rsidRDefault="00162F3B" w:rsidP="00162F3B">
      <w:pPr>
        <w:pStyle w:val="Mjstyl3"/>
        <w:numPr>
          <w:ilvl w:val="1"/>
          <w:numId w:val="44"/>
        </w:numPr>
        <w:spacing w:before="240" w:after="240"/>
      </w:pPr>
      <w:r>
        <w:t xml:space="preserve">V případě administrativního ověření </w:t>
      </w:r>
      <w:r w:rsidRPr="002A0595">
        <w:rPr>
          <w:b/>
        </w:rPr>
        <w:t>interim</w:t>
      </w:r>
      <w:r>
        <w:t xml:space="preserve"> příjemce předkládá podklady k výběrovému řízení v příloze interní depeše v MS2014+ adresované specialistům na veřejné zakázky, v kopii příslušnému projektovému manažerovi. V průběhu ověřování </w:t>
      </w:r>
      <w:r>
        <w:lastRenderedPageBreak/>
        <w:t xml:space="preserve">předložené dokumentace (zasílání připomínek ze strany ŘO a jejich následné vypořádání) bude veškerá komunikace probíhat prostřednictvím interních depeší a upravená dokumentace bude zasílána v příloze těchto depeší. </w:t>
      </w:r>
    </w:p>
    <w:p w:rsidR="00162F3B" w:rsidRDefault="00162F3B" w:rsidP="002A0595">
      <w:pPr>
        <w:pStyle w:val="Mjstyl3"/>
        <w:numPr>
          <w:ilvl w:val="0"/>
          <w:numId w:val="0"/>
        </w:numPr>
        <w:spacing w:before="240" w:after="240"/>
        <w:ind w:left="576"/>
      </w:pPr>
      <w:r>
        <w:t>Po vydání finálního stanoviska z</w:t>
      </w:r>
      <w:r w:rsidR="002536B2">
        <w:t xml:space="preserve"> dané fáze administrativního </w:t>
      </w:r>
      <w:r>
        <w:t>ověření zakázky (tj. po schválení finální verze dokumentace k</w:t>
      </w:r>
      <w:r w:rsidR="002536B2">
        <w:t> dané fázi administrativního ověření</w:t>
      </w:r>
      <w:r>
        <w:t xml:space="preserve">), příjemce vloží </w:t>
      </w:r>
      <w:r w:rsidR="002536B2">
        <w:t xml:space="preserve">takto schválenou </w:t>
      </w:r>
      <w:r>
        <w:t xml:space="preserve">finální verzi podkladů k výběrovému řízení do MS2014+ k danému projektu a </w:t>
      </w:r>
      <w:r w:rsidR="002536B2">
        <w:t xml:space="preserve">výběrovému řízení buď formou „Oznámení o změně“ </w:t>
      </w:r>
      <w:r>
        <w:t xml:space="preserve">nebo prostřednictvím „Zprávy o </w:t>
      </w:r>
      <w:r w:rsidRPr="00351BF3">
        <w:t>realizaci</w:t>
      </w:r>
      <w:r w:rsidR="002536B2" w:rsidRPr="00351BF3">
        <w:t>“</w:t>
      </w:r>
      <w:r w:rsidRPr="00351BF3">
        <w:t>.</w:t>
      </w:r>
    </w:p>
    <w:p w:rsidR="00196154" w:rsidRDefault="00162F3B">
      <w:pPr>
        <w:pStyle w:val="Mjstyl3"/>
        <w:numPr>
          <w:ilvl w:val="1"/>
          <w:numId w:val="44"/>
        </w:numPr>
        <w:spacing w:before="240" w:after="240"/>
      </w:pPr>
      <w:r>
        <w:t xml:space="preserve">V případě administrativního ověření </w:t>
      </w:r>
      <w:r w:rsidRPr="002A0595">
        <w:rPr>
          <w:b/>
        </w:rPr>
        <w:t>ex-ante</w:t>
      </w:r>
      <w:r>
        <w:t xml:space="preserve"> p</w:t>
      </w:r>
      <w:r w:rsidR="00196154" w:rsidRPr="00196154">
        <w:t>říjemce předkládá podklady k</w:t>
      </w:r>
      <w:r w:rsidR="00FC7755">
        <w:t> </w:t>
      </w:r>
      <w:r w:rsidR="00196154">
        <w:t>výběrovému</w:t>
      </w:r>
      <w:r w:rsidR="00196154" w:rsidRPr="00196154">
        <w:t xml:space="preserve"> řízení</w:t>
      </w:r>
      <w:r w:rsidR="00FC7755">
        <w:t xml:space="preserve"> v příloze interní depeše v MS2014+ adresované specialistům na veřejné zakázky, v kopii příslušnému projektovému manažerovi, a rovněž vloží veškerou dokumentaci k výběrovému řízení do MS2014+ k danému projektu a výběrovému řízení. </w:t>
      </w:r>
    </w:p>
    <w:p w:rsidR="00162F3B" w:rsidRPr="00351BF3" w:rsidRDefault="00162F3B" w:rsidP="00351BF3">
      <w:pPr>
        <w:pStyle w:val="Mjstyl3"/>
        <w:numPr>
          <w:ilvl w:val="1"/>
          <w:numId w:val="44"/>
        </w:numPr>
        <w:spacing w:before="240" w:after="240"/>
      </w:pPr>
      <w:r>
        <w:t>Příjemce při podání projektu zašle příslušnému projektovému manažerovi informaci, zda výběrová řízení, která mají být v rámci daného projektu financována, byla již ŘO OPTP dříve ověřována a u již ověřených výběrových řízení uvede název a registrační číslo projektu, v rámci kterého byly ověřovány.</w:t>
      </w:r>
    </w:p>
    <w:p w:rsidR="00921416" w:rsidRPr="00921416" w:rsidRDefault="009177C0" w:rsidP="002A0595">
      <w:pPr>
        <w:pStyle w:val="Mjstyl3"/>
        <w:numPr>
          <w:ilvl w:val="1"/>
          <w:numId w:val="44"/>
        </w:numPr>
        <w:spacing w:before="240" w:after="240"/>
      </w:pPr>
      <w:r w:rsidRPr="0028752E">
        <w:t>V případě porušení ustanovení</w:t>
      </w:r>
      <w:r w:rsidRPr="009177C0">
        <w:t xml:space="preserve"> </w:t>
      </w:r>
      <w:r w:rsidR="00CE7652">
        <w:t xml:space="preserve">PŽP a </w:t>
      </w:r>
      <w:r w:rsidR="0086367F">
        <w:t>Metodického</w:t>
      </w:r>
      <w:r w:rsidR="0086367F" w:rsidRPr="008D19CA">
        <w:t xml:space="preserve"> pokyn</w:t>
      </w:r>
      <w:r w:rsidR="0086367F">
        <w:t>u</w:t>
      </w:r>
      <w:r w:rsidR="0086367F" w:rsidRPr="008D19CA">
        <w:t xml:space="preserve"> pro oblast zadávání zakázek pro programové období 2014-2020</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Metodického</w:t>
      </w:r>
      <w:r w:rsidR="0086367F" w:rsidRPr="008D19CA">
        <w:t xml:space="preserve"> pokyn</w:t>
      </w:r>
      <w:r w:rsidR="0086367F">
        <w:t>u</w:t>
      </w:r>
      <w:r w:rsidR="0086367F" w:rsidRPr="008D19CA">
        <w:t xml:space="preserve"> pro oblast zadávání zakázek pro programové období 2014-2020</w:t>
      </w:r>
      <w:r w:rsidR="0086367F" w:rsidRPr="009177C0">
        <w:t xml:space="preserve"> pro stanovení finančních oprav</w:t>
      </w:r>
      <w:r w:rsidRPr="00690B7F">
        <w:t xml:space="preserve">.  </w:t>
      </w:r>
      <w:bookmarkStart w:id="79" w:name="_GoBack"/>
      <w:bookmarkEnd w:id="79"/>
    </w:p>
    <w:p w:rsidR="006D7058" w:rsidRPr="009177C0" w:rsidRDefault="006D7058">
      <w:pPr>
        <w:pStyle w:val="Mjstyl3"/>
        <w:numPr>
          <w:ilvl w:val="1"/>
          <w:numId w:val="44"/>
        </w:numPr>
        <w:spacing w:before="240" w:after="240"/>
      </w:pPr>
      <w:r w:rsidRPr="009177C0">
        <w:rPr>
          <w:b/>
        </w:rPr>
        <w:t>V případě zakáz</w:t>
      </w:r>
      <w:r w:rsidR="00097E1C">
        <w:rPr>
          <w:b/>
        </w:rPr>
        <w:t>ek</w:t>
      </w:r>
      <w:r w:rsidRPr="009177C0">
        <w:rPr>
          <w:b/>
        </w:rPr>
        <w:t xml:space="preserve"> malé hodnoty I. kategorie je příjemce povinen</w:t>
      </w:r>
      <w:r w:rsidRPr="009177C0" w:rsidDel="003A19FC">
        <w:rPr>
          <w:b/>
        </w:rPr>
        <w:t xml:space="preserve"> </w:t>
      </w:r>
      <w:r>
        <w:rPr>
          <w:b/>
        </w:rPr>
        <w:t>spolu s žádostí o podporu</w:t>
      </w:r>
      <w:r w:rsidRPr="009177C0">
        <w:t>:</w:t>
      </w:r>
    </w:p>
    <w:p w:rsidR="006D7058" w:rsidRPr="009177C0" w:rsidRDefault="006D7058">
      <w:pPr>
        <w:pStyle w:val="Zkladntext"/>
        <w:numPr>
          <w:ilvl w:val="0"/>
          <w:numId w:val="53"/>
        </w:numPr>
        <w:tabs>
          <w:tab w:val="left" w:pos="1276"/>
        </w:tabs>
        <w:spacing w:after="60"/>
        <w:jc w:val="both"/>
        <w:rPr>
          <w:rFonts w:ascii="Arial" w:hAnsi="Arial" w:cs="Arial"/>
          <w:sz w:val="22"/>
          <w:szCs w:val="22"/>
        </w:rPr>
      </w:pPr>
      <w:r w:rsidRPr="009177C0">
        <w:rPr>
          <w:rFonts w:ascii="Arial" w:hAnsi="Arial" w:cs="Arial"/>
          <w:sz w:val="22"/>
          <w:szCs w:val="22"/>
        </w:rPr>
        <w:t xml:space="preserve">předložit účetní doklad o realizaci přímého nákupu </w:t>
      </w:r>
    </w:p>
    <w:p w:rsidR="006D7058" w:rsidRPr="009177C0" w:rsidRDefault="006D7058" w:rsidP="0028752E">
      <w:pPr>
        <w:pStyle w:val="Zkladntext"/>
        <w:tabs>
          <w:tab w:val="left" w:pos="1276"/>
        </w:tabs>
        <w:ind w:left="924"/>
        <w:jc w:val="both"/>
        <w:rPr>
          <w:rFonts w:ascii="Arial" w:hAnsi="Arial" w:cs="Arial"/>
          <w:sz w:val="22"/>
          <w:szCs w:val="22"/>
        </w:rPr>
      </w:pPr>
      <w:r w:rsidRPr="009177C0">
        <w:rPr>
          <w:rFonts w:ascii="Arial" w:hAnsi="Arial" w:cs="Arial"/>
          <w:i/>
          <w:sz w:val="22"/>
          <w:szCs w:val="22"/>
        </w:rPr>
        <w:t xml:space="preserve">Příjemce může prokázat realizaci přímého nákupu kromě účetního dokladu také písemnou objednávkou plnění. </w:t>
      </w:r>
    </w:p>
    <w:p w:rsidR="006D7058" w:rsidRPr="009177C0" w:rsidRDefault="006D7058">
      <w:pPr>
        <w:pStyle w:val="Zkladntext"/>
        <w:numPr>
          <w:ilvl w:val="0"/>
          <w:numId w:val="53"/>
        </w:numPr>
        <w:tabs>
          <w:tab w:val="left" w:pos="1276"/>
        </w:tabs>
        <w:spacing w:after="60"/>
        <w:jc w:val="both"/>
        <w:rPr>
          <w:rFonts w:ascii="Arial" w:hAnsi="Arial" w:cs="Arial"/>
          <w:sz w:val="22"/>
          <w:szCs w:val="22"/>
          <w:lang w:val="en-US" w:eastAsia="en-US"/>
        </w:rPr>
      </w:pPr>
      <w:r w:rsidRPr="009177C0">
        <w:rPr>
          <w:rFonts w:ascii="Arial" w:hAnsi="Arial" w:cs="Arial"/>
          <w:sz w:val="22"/>
          <w:szCs w:val="22"/>
        </w:rPr>
        <w:t>prokázat způsob stanovení předpokládané hodnoty zakázky.</w:t>
      </w:r>
    </w:p>
    <w:p w:rsidR="006D7058" w:rsidRPr="009177C0" w:rsidRDefault="006D7058" w:rsidP="0028752E">
      <w:pPr>
        <w:pStyle w:val="Odstavecseseznamem"/>
        <w:spacing w:before="120"/>
        <w:ind w:left="576"/>
        <w:contextualSpacing w:val="0"/>
        <w:jc w:val="both"/>
        <w:rPr>
          <w:rFonts w:ascii="Arial" w:hAnsi="Arial" w:cs="Arial"/>
          <w:sz w:val="22"/>
          <w:szCs w:val="22"/>
        </w:rPr>
      </w:pPr>
    </w:p>
    <w:p w:rsidR="00694FF9" w:rsidRPr="009177C0" w:rsidRDefault="00694FF9"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6B1984" w:rsidRPr="009177C0" w:rsidRDefault="006B1984" w:rsidP="006B1984">
      <w:pPr>
        <w:tabs>
          <w:tab w:val="left" w:pos="5387"/>
        </w:tabs>
        <w:rPr>
          <w:rFonts w:ascii="Arial" w:hAnsi="Arial" w:cs="Arial"/>
          <w:sz w:val="22"/>
          <w:szCs w:val="22"/>
        </w:rPr>
      </w:pPr>
    </w:p>
    <w:sectPr w:rsidR="006B1984" w:rsidRPr="009177C0" w:rsidSect="0028752E">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F" w:rsidRDefault="0018198F">
      <w:r>
        <w:separator/>
      </w:r>
    </w:p>
  </w:endnote>
  <w:endnote w:type="continuationSeparator" w:id="0">
    <w:p w:rsidR="0018198F" w:rsidRDefault="001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00"/>
    <w:family w:val="roman"/>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1284"/>
      <w:docPartObj>
        <w:docPartGallery w:val="Page Numbers (Bottom of Page)"/>
        <w:docPartUnique/>
      </w:docPartObj>
    </w:sdtPr>
    <w:sdtEndPr>
      <w:rPr>
        <w:rStyle w:val="slostrnky"/>
        <w:noProof/>
      </w:rPr>
    </w:sdtEndPr>
    <w:sdtContent>
      <w:p w:rsidR="0018198F" w:rsidRPr="0028752E" w:rsidRDefault="00671E60" w:rsidP="0028752E">
        <w:pPr>
          <w:pStyle w:val="Zpat"/>
          <w:rPr>
            <w:noProof/>
          </w:rPr>
        </w:pPr>
        <w:r w:rsidRPr="0028752E">
          <w:rPr>
            <w:rStyle w:val="slostrnky"/>
            <w:noProof/>
          </w:rPr>
          <w:fldChar w:fldCharType="begin"/>
        </w:r>
        <w:r w:rsidRPr="0028752E">
          <w:rPr>
            <w:rStyle w:val="slostrnky"/>
            <w:noProof/>
          </w:rPr>
          <w:instrText>PAGE   \* MERGEFORMAT</w:instrText>
        </w:r>
        <w:r w:rsidRPr="0028752E">
          <w:rPr>
            <w:rStyle w:val="slostrnky"/>
            <w:noProof/>
          </w:rPr>
          <w:fldChar w:fldCharType="separate"/>
        </w:r>
        <w:r w:rsidR="00D95F17">
          <w:rPr>
            <w:rStyle w:val="slostrnky"/>
            <w:noProof/>
          </w:rPr>
          <w:t>20</w:t>
        </w:r>
        <w:r w:rsidRPr="0028752E">
          <w:rPr>
            <w:rStyle w:val="slostrnky"/>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95F17">
      <w:rPr>
        <w:rStyle w:val="slostrnky"/>
        <w:noProof/>
      </w:rPr>
      <w:t>19</w:t>
    </w:r>
    <w:r>
      <w:rPr>
        <w:rStyle w:val="slostrnky"/>
      </w:rPr>
      <w:fldChar w:fldCharType="end"/>
    </w:r>
  </w:p>
  <w:p w:rsidR="0018198F" w:rsidRDefault="0018198F"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F" w:rsidRDefault="0018198F">
      <w:r>
        <w:separator/>
      </w:r>
    </w:p>
  </w:footnote>
  <w:footnote w:type="continuationSeparator" w:id="0">
    <w:p w:rsidR="0018198F" w:rsidRDefault="0018198F">
      <w:r>
        <w:continuationSeparator/>
      </w:r>
    </w:p>
  </w:footnote>
  <w:footnote w:id="1">
    <w:p w:rsidR="0018198F" w:rsidRDefault="0018198F" w:rsidP="009177C0">
      <w:pPr>
        <w:pStyle w:val="Textpoznpodarou"/>
      </w:pPr>
      <w:r w:rsidRPr="00913CF4">
        <w:rPr>
          <w:rStyle w:val="Znakapoznpodarou"/>
          <w:rFonts w:ascii="Arial" w:hAnsi="Arial" w:cs="Arial"/>
        </w:rPr>
        <w:footnoteRef/>
      </w:r>
      <w:r>
        <w:t xml:space="preserve"> </w:t>
      </w:r>
      <w:r w:rsidRPr="0038167D">
        <w:rPr>
          <w:color w:val="000000"/>
          <w:sz w:val="16"/>
          <w:szCs w:val="16"/>
        </w:rPr>
        <w:t>Účetní období definuje § 3 odst. 2 zákona č. 563/1991 Sb., o účetnictví, ve znění pozdějších předpisů.</w:t>
      </w:r>
    </w:p>
  </w:footnote>
  <w:footnote w:id="2">
    <w:p w:rsidR="0018198F" w:rsidRDefault="0018198F" w:rsidP="009177C0">
      <w:pPr>
        <w:pStyle w:val="Textpoznpodarou"/>
      </w:pPr>
      <w:r w:rsidRPr="00913CF4">
        <w:rPr>
          <w:rStyle w:val="Znakapoznpodarou"/>
          <w:rFonts w:ascii="Arial" w:hAnsi="Arial" w:cs="Arial"/>
          <w:szCs w:val="16"/>
        </w:rPr>
        <w:footnoteRef/>
      </w:r>
      <w:r>
        <w:t xml:space="preserve"> </w:t>
      </w:r>
      <w:r w:rsidRPr="0038167D">
        <w:rPr>
          <w:color w:val="000000"/>
          <w:sz w:val="16"/>
          <w:szCs w:val="16"/>
        </w:rPr>
        <w:t xml:space="preserve">viz </w:t>
      </w:r>
      <w:r w:rsidR="006B15FB">
        <w:rPr>
          <w:color w:val="000000"/>
          <w:sz w:val="16"/>
          <w:szCs w:val="16"/>
        </w:rPr>
        <w:t xml:space="preserve">PŽP </w:t>
      </w:r>
      <w:r w:rsidRPr="0038167D">
        <w:rPr>
          <w:color w:val="000000"/>
          <w:sz w:val="16"/>
          <w:szCs w:val="16"/>
        </w:rPr>
        <w:t xml:space="preserve">kapitola 2.2 </w:t>
      </w:r>
      <w:r w:rsidR="006B15FB" w:rsidRPr="0038167D">
        <w:rPr>
          <w:color w:val="000000"/>
          <w:sz w:val="16"/>
          <w:szCs w:val="16"/>
        </w:rPr>
        <w:t>P</w:t>
      </w:r>
      <w:r w:rsidR="006B15FB">
        <w:rPr>
          <w:color w:val="000000"/>
          <w:sz w:val="16"/>
          <w:szCs w:val="16"/>
        </w:rPr>
        <w:t>ublicita</w:t>
      </w:r>
    </w:p>
  </w:footnote>
  <w:footnote w:id="3">
    <w:p w:rsidR="0018198F" w:rsidRPr="0038167D" w:rsidRDefault="0018198F" w:rsidP="009177C0">
      <w:pPr>
        <w:pStyle w:val="Textpoznpodarou"/>
        <w:rPr>
          <w:sz w:val="16"/>
          <w:szCs w:val="16"/>
        </w:rPr>
      </w:pPr>
      <w:r w:rsidRPr="00A920B0">
        <w:rPr>
          <w:rStyle w:val="Znakapoznpodarou"/>
          <w:rFonts w:ascii="Arial" w:hAnsi="Arial" w:cs="Arial"/>
          <w:szCs w:val="16"/>
        </w:rPr>
        <w:footnoteRef/>
      </w:r>
      <w:r w:rsidRPr="00A920B0">
        <w:rPr>
          <w:rFonts w:cs="Arial"/>
          <w:sz w:val="16"/>
          <w:szCs w:val="16"/>
        </w:rPr>
        <w:t xml:space="preserve"> </w:t>
      </w:r>
      <w:r w:rsidRPr="00A920B0">
        <w:rPr>
          <w:rFonts w:cs="Arial"/>
          <w:color w:val="000000"/>
          <w:sz w:val="16"/>
          <w:szCs w:val="16"/>
        </w:rPr>
        <w:t>D</w:t>
      </w:r>
      <w:r w:rsidRPr="0038167D">
        <w:rPr>
          <w:color w:val="000000"/>
          <w:sz w:val="16"/>
          <w:szCs w:val="16"/>
        </w:rPr>
        <w:t xml:space="preserve">efinována v bodě 3.2. </w:t>
      </w:r>
      <w:r w:rsidR="00E27EC4">
        <w:rPr>
          <w:color w:val="000000"/>
          <w:sz w:val="16"/>
          <w:szCs w:val="16"/>
        </w:rPr>
        <w:t xml:space="preserve">Přílohy č. 14 </w:t>
      </w:r>
      <w:r w:rsidRPr="0038167D">
        <w:rPr>
          <w:color w:val="000000"/>
          <w:sz w:val="16"/>
          <w:szCs w:val="16"/>
        </w:rPr>
        <w:t>PŽP</w:t>
      </w:r>
    </w:p>
  </w:footnote>
  <w:footnote w:id="4">
    <w:p w:rsidR="0018198F" w:rsidRPr="00671E60" w:rsidRDefault="0018198F" w:rsidP="0028752E">
      <w:pPr>
        <w:pStyle w:val="Textpoznpodarou"/>
        <w:ind w:left="170" w:hanging="170"/>
        <w:rPr>
          <w:rFonts w:cs="Arial"/>
        </w:rPr>
      </w:pPr>
      <w:r w:rsidRPr="00A920B0">
        <w:rPr>
          <w:rStyle w:val="Znakapoznpodarou"/>
          <w:rFonts w:ascii="Arial" w:hAnsi="Arial" w:cs="Arial"/>
        </w:rPr>
        <w:footnoteRef/>
      </w:r>
      <w:r w:rsidRPr="00A920B0">
        <w:rPr>
          <w:rFonts w:cs="Arial"/>
        </w:rPr>
        <w:t xml:space="preserve"> </w:t>
      </w:r>
      <w:r w:rsidRPr="00A920B0">
        <w:rPr>
          <w:rFonts w:cs="Arial"/>
          <w:sz w:val="16"/>
          <w:szCs w:val="16"/>
        </w:rPr>
        <w:t>Identifikačními údaji se rozumí obchodní firma nebo název, sídlo, identifikační číslo, bylo-li přiděleno, pokud jde o právnickou</w:t>
      </w:r>
      <w:r w:rsidR="00A920B0" w:rsidRPr="00A920B0">
        <w:rPr>
          <w:rFonts w:cs="Arial"/>
          <w:sz w:val="16"/>
          <w:szCs w:val="16"/>
        </w:rPr>
        <w:t xml:space="preserve"> </w:t>
      </w:r>
      <w:r w:rsidRPr="00671E60">
        <w:rPr>
          <w:rFonts w:cs="Arial"/>
          <w:sz w:val="16"/>
          <w:szCs w:val="16"/>
        </w:rPr>
        <w:t>osobu, a obchodní firma nebo jméno a příjmení, místo podnikání, popřípadě místo trvalého pobytu, identifikační číslo, bylo-li přiděleno, pokud jde o fyzickou osobu.</w:t>
      </w:r>
    </w:p>
  </w:footnote>
  <w:footnote w:id="5">
    <w:p w:rsidR="0018198F" w:rsidRDefault="0018198F" w:rsidP="0028752E">
      <w:pPr>
        <w:pStyle w:val="Textpoznpodarou"/>
        <w:ind w:left="170" w:hanging="170"/>
      </w:pPr>
      <w:r w:rsidRPr="0028752E">
        <w:rPr>
          <w:rStyle w:val="Znakapoznpodarou"/>
          <w:rFonts w:ascii="Arial" w:hAnsi="Arial" w:cs="Arial"/>
          <w:szCs w:val="16"/>
        </w:rPr>
        <w:footnoteRef/>
      </w:r>
      <w:r w:rsidRPr="00671E60">
        <w:rPr>
          <w:rFonts w:cs="Arial"/>
        </w:rPr>
        <w:t xml:space="preserve"> </w:t>
      </w:r>
      <w:r>
        <w:rPr>
          <w:color w:val="000000"/>
          <w:sz w:val="16"/>
          <w:szCs w:val="16"/>
        </w:rPr>
        <w:t>Pro</w:t>
      </w:r>
      <w:r w:rsidRPr="001A49CD">
        <w:rPr>
          <w:color w:val="000000"/>
          <w:sz w:val="16"/>
          <w:szCs w:val="16"/>
        </w:rPr>
        <w:t xml:space="preserve"> zajištění transparentnosti </w:t>
      </w:r>
      <w:r>
        <w:rPr>
          <w:color w:val="000000"/>
          <w:sz w:val="16"/>
          <w:szCs w:val="16"/>
        </w:rPr>
        <w:t>výběrové</w:t>
      </w:r>
      <w:r w:rsidRPr="001A49CD">
        <w:rPr>
          <w:color w:val="000000"/>
          <w:sz w:val="16"/>
          <w:szCs w:val="16"/>
        </w:rPr>
        <w:t xml:space="preserve">ho řízení </w:t>
      </w:r>
      <w:r>
        <w:rPr>
          <w:color w:val="000000"/>
          <w:sz w:val="16"/>
          <w:szCs w:val="16"/>
        </w:rPr>
        <w:t xml:space="preserve">je </w:t>
      </w:r>
      <w:r w:rsidRPr="001A49CD">
        <w:rPr>
          <w:color w:val="000000"/>
          <w:sz w:val="16"/>
          <w:szCs w:val="16"/>
        </w:rPr>
        <w:t>nezbytné stanovit, jaké údaje či parametry z nabídek budou předmětem hodnocení a jakým způsobem bude hodnocení provedeno</w:t>
      </w:r>
      <w:r>
        <w:rPr>
          <w:color w:val="000000"/>
          <w:sz w:val="16"/>
          <w:szCs w:val="16"/>
        </w:rPr>
        <w:t>.</w:t>
      </w:r>
    </w:p>
  </w:footnote>
  <w:footnote w:id="6">
    <w:p w:rsidR="0018198F" w:rsidRPr="0028752E" w:rsidRDefault="0018198F" w:rsidP="009177C0">
      <w:pPr>
        <w:pStyle w:val="Textpoznpodarou"/>
        <w:rPr>
          <w:rFonts w:cs="Arial"/>
          <w:sz w:val="16"/>
          <w:szCs w:val="16"/>
        </w:rPr>
      </w:pPr>
      <w:r w:rsidRPr="00BB6358">
        <w:rPr>
          <w:rStyle w:val="Znakapoznpodarou"/>
          <w:rFonts w:ascii="Arial" w:hAnsi="Arial" w:cs="Arial"/>
          <w:szCs w:val="16"/>
        </w:rPr>
        <w:footnoteRef/>
      </w:r>
      <w:r w:rsidRPr="0028752E">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F" w:rsidRDefault="0018198F">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1345130"/>
    <w:multiLevelType w:val="hybridMultilevel"/>
    <w:tmpl w:val="725A691E"/>
    <w:lvl w:ilvl="0" w:tplc="D6C28288">
      <w:start w:val="3"/>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nsid w:val="05A41C3F"/>
    <w:multiLevelType w:val="multilevel"/>
    <w:tmpl w:val="4540125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b w:val="0"/>
        <w:i w:val="0"/>
      </w:rPr>
    </w:lvl>
    <w:lvl w:ilvl="2">
      <w:start w:val="1"/>
      <w:numFmt w:val="lowerLetter"/>
      <w:lvlText w:val="%3)"/>
      <w:lvlJc w:val="left"/>
      <w:pPr>
        <w:ind w:left="720" w:hanging="720"/>
      </w:pPr>
      <w:rPr>
        <w:rFonts w:hint="default"/>
      </w:rPr>
    </w:lvl>
    <w:lvl w:ilvl="3">
      <w:start w:val="1"/>
      <w:numFmt w:val="decimal"/>
      <w:lvlText w:val="%1.%2.%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576BB2"/>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172BA5"/>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9">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nsid w:val="0E017AB9"/>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1">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2">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
    <w:nsid w:val="157970FE"/>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C7A3D6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19">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nsid w:val="24B20BCB"/>
    <w:multiLevelType w:val="hybridMultilevel"/>
    <w:tmpl w:val="7C4E58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4">
    <w:nsid w:val="25932767"/>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5">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AAF471D"/>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27">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D02B08"/>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2">
    <w:nsid w:val="365C37EE"/>
    <w:multiLevelType w:val="hybridMultilevel"/>
    <w:tmpl w:val="E6F83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40FE08B1"/>
    <w:multiLevelType w:val="multilevel"/>
    <w:tmpl w:val="9B6E39D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sz w:val="22"/>
        <w:szCs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2725574"/>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tentative="1">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37">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8">
    <w:nsid w:val="44813CD1"/>
    <w:multiLevelType w:val="hybridMultilevel"/>
    <w:tmpl w:val="B3FA164E"/>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9">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nsid w:val="4E583A09"/>
    <w:multiLevelType w:val="hybridMultilevel"/>
    <w:tmpl w:val="7704365A"/>
    <w:lvl w:ilvl="0" w:tplc="E2F4575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3">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55CC49C6"/>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5">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D414451"/>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47">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812CB3"/>
    <w:multiLevelType w:val="hybridMultilevel"/>
    <w:tmpl w:val="B5F892B6"/>
    <w:lvl w:ilvl="0" w:tplc="C862DD4A">
      <w:start w:val="1"/>
      <w:numFmt w:val="lowerLetter"/>
      <w:lvlText w:val="%1)"/>
      <w:lvlJc w:val="left"/>
      <w:pPr>
        <w:tabs>
          <w:tab w:val="num" w:pos="720"/>
        </w:tabs>
        <w:ind w:left="720" w:hanging="360"/>
      </w:pPr>
      <w:rPr>
        <w:rFonts w:ascii="Arial" w:hAnsi="Arial" w:cs="Arial" w:hint="default"/>
        <w:b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1">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E563602"/>
    <w:multiLevelType w:val="hybridMultilevel"/>
    <w:tmpl w:val="DC32077A"/>
    <w:lvl w:ilvl="0" w:tplc="9E12820E">
      <w:start w:val="1"/>
      <w:numFmt w:val="upperRoman"/>
      <w:lvlText w:val="%1."/>
      <w:lvlJc w:val="left"/>
      <w:pPr>
        <w:ind w:left="2124" w:hanging="720"/>
      </w:pPr>
      <w:rPr>
        <w:rFonts w:hint="default"/>
      </w:rPr>
    </w:lvl>
    <w:lvl w:ilvl="1" w:tplc="04050019">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53">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4">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5">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nsid w:val="79CC485A"/>
    <w:multiLevelType w:val="hybridMultilevel"/>
    <w:tmpl w:val="A740D10C"/>
    <w:lvl w:ilvl="0" w:tplc="BDF2667C">
      <w:start w:val="1"/>
      <w:numFmt w:val="lowerLetter"/>
      <w:lvlText w:val="%1)"/>
      <w:lvlJc w:val="left"/>
      <w:pPr>
        <w:tabs>
          <w:tab w:val="num" w:pos="927"/>
        </w:tabs>
        <w:ind w:left="927" w:hanging="360"/>
      </w:pPr>
      <w:rPr>
        <w:rFonts w:hint="default"/>
        <w:b w:val="0"/>
      </w:rPr>
    </w:lvl>
    <w:lvl w:ilvl="1" w:tplc="425A06FE">
      <w:start w:val="1"/>
      <w:numFmt w:val="lowerLetter"/>
      <w:lvlText w:val="%2."/>
      <w:lvlJc w:val="left"/>
      <w:pPr>
        <w:tabs>
          <w:tab w:val="num" w:pos="1647"/>
        </w:tabs>
        <w:ind w:left="1647" w:hanging="360"/>
      </w:pPr>
    </w:lvl>
    <w:lvl w:ilvl="2" w:tplc="7A941468" w:tentative="1">
      <w:start w:val="1"/>
      <w:numFmt w:val="lowerRoman"/>
      <w:lvlText w:val="%3."/>
      <w:lvlJc w:val="right"/>
      <w:pPr>
        <w:tabs>
          <w:tab w:val="num" w:pos="2367"/>
        </w:tabs>
        <w:ind w:left="2367" w:hanging="180"/>
      </w:pPr>
    </w:lvl>
    <w:lvl w:ilvl="3" w:tplc="39C225F8" w:tentative="1">
      <w:start w:val="1"/>
      <w:numFmt w:val="decimal"/>
      <w:lvlText w:val="%4."/>
      <w:lvlJc w:val="left"/>
      <w:pPr>
        <w:tabs>
          <w:tab w:val="num" w:pos="3087"/>
        </w:tabs>
        <w:ind w:left="3087" w:hanging="360"/>
      </w:pPr>
    </w:lvl>
    <w:lvl w:ilvl="4" w:tplc="00B67DFE" w:tentative="1">
      <w:start w:val="1"/>
      <w:numFmt w:val="lowerLetter"/>
      <w:lvlText w:val="%5."/>
      <w:lvlJc w:val="left"/>
      <w:pPr>
        <w:tabs>
          <w:tab w:val="num" w:pos="3807"/>
        </w:tabs>
        <w:ind w:left="3807" w:hanging="360"/>
      </w:pPr>
    </w:lvl>
    <w:lvl w:ilvl="5" w:tplc="016AA2FA" w:tentative="1">
      <w:start w:val="1"/>
      <w:numFmt w:val="lowerRoman"/>
      <w:lvlText w:val="%6."/>
      <w:lvlJc w:val="right"/>
      <w:pPr>
        <w:tabs>
          <w:tab w:val="num" w:pos="4527"/>
        </w:tabs>
        <w:ind w:left="4527" w:hanging="180"/>
      </w:pPr>
    </w:lvl>
    <w:lvl w:ilvl="6" w:tplc="BE484A5A" w:tentative="1">
      <w:start w:val="1"/>
      <w:numFmt w:val="decimal"/>
      <w:lvlText w:val="%7."/>
      <w:lvlJc w:val="left"/>
      <w:pPr>
        <w:tabs>
          <w:tab w:val="num" w:pos="5247"/>
        </w:tabs>
        <w:ind w:left="5247" w:hanging="360"/>
      </w:pPr>
    </w:lvl>
    <w:lvl w:ilvl="7" w:tplc="F29C0548" w:tentative="1">
      <w:start w:val="1"/>
      <w:numFmt w:val="lowerLetter"/>
      <w:lvlText w:val="%8."/>
      <w:lvlJc w:val="left"/>
      <w:pPr>
        <w:tabs>
          <w:tab w:val="num" w:pos="5967"/>
        </w:tabs>
        <w:ind w:left="5967" w:hanging="360"/>
      </w:pPr>
    </w:lvl>
    <w:lvl w:ilvl="8" w:tplc="F8022B6C" w:tentative="1">
      <w:start w:val="1"/>
      <w:numFmt w:val="lowerRoman"/>
      <w:lvlText w:val="%9."/>
      <w:lvlJc w:val="right"/>
      <w:pPr>
        <w:tabs>
          <w:tab w:val="num" w:pos="6687"/>
        </w:tabs>
        <w:ind w:left="6687" w:hanging="180"/>
      </w:pPr>
    </w:lvl>
  </w:abstractNum>
  <w:abstractNum w:abstractNumId="57">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58">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29"/>
  </w:num>
  <w:num w:numId="4">
    <w:abstractNumId w:val="20"/>
  </w:num>
  <w:num w:numId="5">
    <w:abstractNumId w:val="17"/>
  </w:num>
  <w:num w:numId="6">
    <w:abstractNumId w:val="42"/>
  </w:num>
  <w:num w:numId="7">
    <w:abstractNumId w:val="58"/>
  </w:num>
  <w:num w:numId="8">
    <w:abstractNumId w:val="1"/>
  </w:num>
  <w:num w:numId="9">
    <w:abstractNumId w:val="50"/>
  </w:num>
  <w:num w:numId="10">
    <w:abstractNumId w:val="57"/>
  </w:num>
  <w:num w:numId="11">
    <w:abstractNumId w:val="0"/>
  </w:num>
  <w:num w:numId="12">
    <w:abstractNumId w:val="34"/>
  </w:num>
  <w:num w:numId="13">
    <w:abstractNumId w:val="3"/>
  </w:num>
  <w:num w:numId="14">
    <w:abstractNumId w:val="7"/>
  </w:num>
  <w:num w:numId="15">
    <w:abstractNumId w:val="30"/>
  </w:num>
  <w:num w:numId="16">
    <w:abstractNumId w:val="25"/>
  </w:num>
  <w:num w:numId="17">
    <w:abstractNumId w:val="9"/>
  </w:num>
  <w:num w:numId="18">
    <w:abstractNumId w:val="53"/>
  </w:num>
  <w:num w:numId="19">
    <w:abstractNumId w:val="16"/>
  </w:num>
  <w:num w:numId="20">
    <w:abstractNumId w:val="13"/>
  </w:num>
  <w:num w:numId="21">
    <w:abstractNumId w:val="14"/>
  </w:num>
  <w:num w:numId="22">
    <w:abstractNumId w:val="45"/>
  </w:num>
  <w:num w:numId="23">
    <w:abstractNumId w:val="39"/>
  </w:num>
  <w:num w:numId="24">
    <w:abstractNumId w:val="48"/>
  </w:num>
  <w:num w:numId="25">
    <w:abstractNumId w:val="47"/>
  </w:num>
  <w:num w:numId="26">
    <w:abstractNumId w:val="12"/>
  </w:num>
  <w:num w:numId="27">
    <w:abstractNumId w:val="11"/>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4"/>
  </w:num>
  <w:num w:numId="30">
    <w:abstractNumId w:val="27"/>
  </w:num>
  <w:num w:numId="31">
    <w:abstractNumId w:val="43"/>
  </w:num>
  <w:num w:numId="32">
    <w:abstractNumId w:val="41"/>
  </w:num>
  <w:num w:numId="33">
    <w:abstractNumId w:val="2"/>
  </w:num>
  <w:num w:numId="34">
    <w:abstractNumId w:val="37"/>
  </w:num>
  <w:num w:numId="35">
    <w:abstractNumId w:val="55"/>
  </w:num>
  <w:num w:numId="36">
    <w:abstractNumId w:val="22"/>
  </w:num>
  <w:num w:numId="37">
    <w:abstractNumId w:val="28"/>
  </w:num>
  <w:num w:numId="38">
    <w:abstractNumId w:val="38"/>
  </w:num>
  <w:num w:numId="39">
    <w:abstractNumId w:val="51"/>
  </w:num>
  <w:num w:numId="40">
    <w:abstractNumId w:val="52"/>
  </w:num>
  <w:num w:numId="41">
    <w:abstractNumId w:val="19"/>
  </w:num>
  <w:num w:numId="42">
    <w:abstractNumId w:val="40"/>
  </w:num>
  <w:num w:numId="43">
    <w:abstractNumId w:val="35"/>
  </w:num>
  <w:num w:numId="44">
    <w:abstractNumId w:val="4"/>
  </w:num>
  <w:num w:numId="45">
    <w:abstractNumId w:val="56"/>
  </w:num>
  <w:num w:numId="46">
    <w:abstractNumId w:val="31"/>
  </w:num>
  <w:num w:numId="47">
    <w:abstractNumId w:val="46"/>
  </w:num>
  <w:num w:numId="48">
    <w:abstractNumId w:val="26"/>
  </w:num>
  <w:num w:numId="49">
    <w:abstractNumId w:val="24"/>
  </w:num>
  <w:num w:numId="50">
    <w:abstractNumId w:val="36"/>
  </w:num>
  <w:num w:numId="51">
    <w:abstractNumId w:val="18"/>
  </w:num>
  <w:num w:numId="52">
    <w:abstractNumId w:val="6"/>
  </w:num>
  <w:num w:numId="53">
    <w:abstractNumId w:val="15"/>
  </w:num>
  <w:num w:numId="54">
    <w:abstractNumId w:val="10"/>
  </w:num>
  <w:num w:numId="55">
    <w:abstractNumId w:val="8"/>
  </w:num>
  <w:num w:numId="56">
    <w:abstractNumId w:val="44"/>
  </w:num>
  <w:num w:numId="57">
    <w:abstractNumId w:val="32"/>
  </w:num>
  <w:num w:numId="58">
    <w:abstractNumId w:val="21"/>
  </w:num>
  <w:num w:numId="59">
    <w:abstractNumId w:val="40"/>
  </w:num>
  <w:num w:numId="60">
    <w:abstractNumId w:val="59"/>
  </w:num>
  <w:num w:numId="61">
    <w:abstractNumId w:val="40"/>
  </w:num>
  <w:num w:numId="62">
    <w:abstractNumId w:val="40"/>
  </w:num>
  <w:num w:numId="63">
    <w:abstractNumId w:val="40"/>
  </w:num>
  <w:num w:numId="64">
    <w:abstractNumId w:val="49"/>
  </w:num>
  <w:num w:numId="65">
    <w:abstractNumId w:val="40"/>
  </w:num>
  <w:num w:numId="66">
    <w:abstractNumId w:val="40"/>
  </w:num>
  <w:num w:numId="67">
    <w:abstractNumId w:val="40"/>
  </w:num>
  <w:num w:numId="68">
    <w:abstractNumId w:val="40"/>
  </w:num>
  <w:num w:numId="69">
    <w:abstractNumId w:val="40"/>
  </w:num>
  <w:num w:numId="70">
    <w:abstractNumId w:val="40"/>
  </w:num>
  <w:num w:numId="71">
    <w:abstractNumId w:val="40"/>
  </w:num>
  <w:num w:numId="72">
    <w:abstractNumId w:val="40"/>
  </w:num>
  <w:num w:numId="73">
    <w:abstractNumId w:val="40"/>
  </w:num>
  <w:num w:numId="74">
    <w:abstractNumId w:val="40"/>
  </w:num>
  <w:num w:numId="75">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CF"/>
    <w:rsid w:val="000112DB"/>
    <w:rsid w:val="0001519B"/>
    <w:rsid w:val="00020A81"/>
    <w:rsid w:val="000252E9"/>
    <w:rsid w:val="00030EEE"/>
    <w:rsid w:val="00032CA2"/>
    <w:rsid w:val="00043CC0"/>
    <w:rsid w:val="00047780"/>
    <w:rsid w:val="000559B1"/>
    <w:rsid w:val="0006434D"/>
    <w:rsid w:val="00070C1A"/>
    <w:rsid w:val="0007195E"/>
    <w:rsid w:val="00076E93"/>
    <w:rsid w:val="0008165A"/>
    <w:rsid w:val="00082832"/>
    <w:rsid w:val="00090363"/>
    <w:rsid w:val="00097E1C"/>
    <w:rsid w:val="000A3A00"/>
    <w:rsid w:val="000A5969"/>
    <w:rsid w:val="000A6733"/>
    <w:rsid w:val="000C3E96"/>
    <w:rsid w:val="000C45A5"/>
    <w:rsid w:val="000C62AC"/>
    <w:rsid w:val="000D4C75"/>
    <w:rsid w:val="000D52F3"/>
    <w:rsid w:val="000D6709"/>
    <w:rsid w:val="000D7060"/>
    <w:rsid w:val="000E099C"/>
    <w:rsid w:val="000F089F"/>
    <w:rsid w:val="000F3375"/>
    <w:rsid w:val="000F7CB4"/>
    <w:rsid w:val="00100094"/>
    <w:rsid w:val="00100C0F"/>
    <w:rsid w:val="00102F54"/>
    <w:rsid w:val="00113215"/>
    <w:rsid w:val="00116B47"/>
    <w:rsid w:val="00120332"/>
    <w:rsid w:val="00121094"/>
    <w:rsid w:val="00121C0F"/>
    <w:rsid w:val="00132880"/>
    <w:rsid w:val="00132D5A"/>
    <w:rsid w:val="00151975"/>
    <w:rsid w:val="00152BB1"/>
    <w:rsid w:val="001621F7"/>
    <w:rsid w:val="00162F3B"/>
    <w:rsid w:val="001638F1"/>
    <w:rsid w:val="001747D2"/>
    <w:rsid w:val="0018198F"/>
    <w:rsid w:val="001842A6"/>
    <w:rsid w:val="00196154"/>
    <w:rsid w:val="00196555"/>
    <w:rsid w:val="001A48DF"/>
    <w:rsid w:val="001B5132"/>
    <w:rsid w:val="001C12B9"/>
    <w:rsid w:val="001C762B"/>
    <w:rsid w:val="001D3DF3"/>
    <w:rsid w:val="001E3661"/>
    <w:rsid w:val="001E49AD"/>
    <w:rsid w:val="001E6147"/>
    <w:rsid w:val="001E752A"/>
    <w:rsid w:val="001F6680"/>
    <w:rsid w:val="00202417"/>
    <w:rsid w:val="00205BD5"/>
    <w:rsid w:val="002109F0"/>
    <w:rsid w:val="00212819"/>
    <w:rsid w:val="0022234A"/>
    <w:rsid w:val="00225BCD"/>
    <w:rsid w:val="0023038F"/>
    <w:rsid w:val="00230A57"/>
    <w:rsid w:val="00230C1A"/>
    <w:rsid w:val="002473F5"/>
    <w:rsid w:val="002526C3"/>
    <w:rsid w:val="002536B2"/>
    <w:rsid w:val="002655E5"/>
    <w:rsid w:val="00274489"/>
    <w:rsid w:val="00281DA1"/>
    <w:rsid w:val="00282954"/>
    <w:rsid w:val="00283CF0"/>
    <w:rsid w:val="00283EBB"/>
    <w:rsid w:val="0028752E"/>
    <w:rsid w:val="00290738"/>
    <w:rsid w:val="002921C5"/>
    <w:rsid w:val="00295B77"/>
    <w:rsid w:val="0029750E"/>
    <w:rsid w:val="002A0595"/>
    <w:rsid w:val="002A4081"/>
    <w:rsid w:val="002A462C"/>
    <w:rsid w:val="002A4839"/>
    <w:rsid w:val="002A728B"/>
    <w:rsid w:val="002A7EB5"/>
    <w:rsid w:val="002B092B"/>
    <w:rsid w:val="002B1D25"/>
    <w:rsid w:val="002C0F50"/>
    <w:rsid w:val="002C22C3"/>
    <w:rsid w:val="002C4BAF"/>
    <w:rsid w:val="002C5ADD"/>
    <w:rsid w:val="002C6B2D"/>
    <w:rsid w:val="002D0B09"/>
    <w:rsid w:val="002E0064"/>
    <w:rsid w:val="002E06BC"/>
    <w:rsid w:val="002E1675"/>
    <w:rsid w:val="002E2DF2"/>
    <w:rsid w:val="002E4758"/>
    <w:rsid w:val="002E7924"/>
    <w:rsid w:val="002F14EA"/>
    <w:rsid w:val="002F3448"/>
    <w:rsid w:val="002F4B76"/>
    <w:rsid w:val="002F70E2"/>
    <w:rsid w:val="002F7408"/>
    <w:rsid w:val="002F7C32"/>
    <w:rsid w:val="00312C25"/>
    <w:rsid w:val="003165C8"/>
    <w:rsid w:val="0032070E"/>
    <w:rsid w:val="00321C78"/>
    <w:rsid w:val="00321F62"/>
    <w:rsid w:val="0032211F"/>
    <w:rsid w:val="0032529C"/>
    <w:rsid w:val="00327514"/>
    <w:rsid w:val="00335400"/>
    <w:rsid w:val="003354C8"/>
    <w:rsid w:val="00341323"/>
    <w:rsid w:val="003432C1"/>
    <w:rsid w:val="00343403"/>
    <w:rsid w:val="00351BF3"/>
    <w:rsid w:val="00353A42"/>
    <w:rsid w:val="0037050F"/>
    <w:rsid w:val="00371886"/>
    <w:rsid w:val="00384BEC"/>
    <w:rsid w:val="00384D1E"/>
    <w:rsid w:val="003865D0"/>
    <w:rsid w:val="0039661E"/>
    <w:rsid w:val="00397E00"/>
    <w:rsid w:val="003A19FC"/>
    <w:rsid w:val="003A40F0"/>
    <w:rsid w:val="003A4671"/>
    <w:rsid w:val="003B1B10"/>
    <w:rsid w:val="003B7446"/>
    <w:rsid w:val="003B75BD"/>
    <w:rsid w:val="003B781D"/>
    <w:rsid w:val="003C0EC1"/>
    <w:rsid w:val="003C29F7"/>
    <w:rsid w:val="003C6814"/>
    <w:rsid w:val="003D3A95"/>
    <w:rsid w:val="003D68A0"/>
    <w:rsid w:val="003D68FD"/>
    <w:rsid w:val="003E3819"/>
    <w:rsid w:val="003E7274"/>
    <w:rsid w:val="003F0B6F"/>
    <w:rsid w:val="003F249F"/>
    <w:rsid w:val="003F29D4"/>
    <w:rsid w:val="003F3580"/>
    <w:rsid w:val="003F5FD2"/>
    <w:rsid w:val="004064AD"/>
    <w:rsid w:val="00411444"/>
    <w:rsid w:val="00417783"/>
    <w:rsid w:val="00424708"/>
    <w:rsid w:val="00434B45"/>
    <w:rsid w:val="00435D0D"/>
    <w:rsid w:val="00437679"/>
    <w:rsid w:val="00451186"/>
    <w:rsid w:val="00452B4E"/>
    <w:rsid w:val="00454231"/>
    <w:rsid w:val="0045744B"/>
    <w:rsid w:val="004612A8"/>
    <w:rsid w:val="00461D6F"/>
    <w:rsid w:val="004702EB"/>
    <w:rsid w:val="0047169A"/>
    <w:rsid w:val="00475431"/>
    <w:rsid w:val="004756EF"/>
    <w:rsid w:val="0048101C"/>
    <w:rsid w:val="00487A77"/>
    <w:rsid w:val="00492950"/>
    <w:rsid w:val="004B06C9"/>
    <w:rsid w:val="004B07A1"/>
    <w:rsid w:val="004B3097"/>
    <w:rsid w:val="004B41E3"/>
    <w:rsid w:val="004C4AF5"/>
    <w:rsid w:val="004C7E9E"/>
    <w:rsid w:val="004D123D"/>
    <w:rsid w:val="004E5AF7"/>
    <w:rsid w:val="005107FE"/>
    <w:rsid w:val="00520DE7"/>
    <w:rsid w:val="005222BA"/>
    <w:rsid w:val="00523653"/>
    <w:rsid w:val="005260CE"/>
    <w:rsid w:val="00526540"/>
    <w:rsid w:val="00531316"/>
    <w:rsid w:val="005325AD"/>
    <w:rsid w:val="005339A9"/>
    <w:rsid w:val="005364EE"/>
    <w:rsid w:val="00540622"/>
    <w:rsid w:val="0056005F"/>
    <w:rsid w:val="00561EE0"/>
    <w:rsid w:val="00566C6F"/>
    <w:rsid w:val="00567916"/>
    <w:rsid w:val="0057177D"/>
    <w:rsid w:val="005806F3"/>
    <w:rsid w:val="005815D8"/>
    <w:rsid w:val="00591511"/>
    <w:rsid w:val="00591E0F"/>
    <w:rsid w:val="005A2CFC"/>
    <w:rsid w:val="005A5570"/>
    <w:rsid w:val="005A611D"/>
    <w:rsid w:val="005A652D"/>
    <w:rsid w:val="005B0AEE"/>
    <w:rsid w:val="005B2B7C"/>
    <w:rsid w:val="005B648F"/>
    <w:rsid w:val="005B7F53"/>
    <w:rsid w:val="005C5C73"/>
    <w:rsid w:val="005C616D"/>
    <w:rsid w:val="005D5F7B"/>
    <w:rsid w:val="005E2BCC"/>
    <w:rsid w:val="005E3D25"/>
    <w:rsid w:val="005E6FF1"/>
    <w:rsid w:val="005F66E6"/>
    <w:rsid w:val="00603756"/>
    <w:rsid w:val="00604B77"/>
    <w:rsid w:val="00606452"/>
    <w:rsid w:val="006169B7"/>
    <w:rsid w:val="00616AC4"/>
    <w:rsid w:val="00620EB6"/>
    <w:rsid w:val="00621FDD"/>
    <w:rsid w:val="0062279C"/>
    <w:rsid w:val="00630C5D"/>
    <w:rsid w:val="00633639"/>
    <w:rsid w:val="00633CD6"/>
    <w:rsid w:val="00635A40"/>
    <w:rsid w:val="006433B2"/>
    <w:rsid w:val="006468C8"/>
    <w:rsid w:val="00650730"/>
    <w:rsid w:val="006529E2"/>
    <w:rsid w:val="006626EF"/>
    <w:rsid w:val="00671E60"/>
    <w:rsid w:val="00687B62"/>
    <w:rsid w:val="00690B7F"/>
    <w:rsid w:val="00691897"/>
    <w:rsid w:val="0069199A"/>
    <w:rsid w:val="0069476E"/>
    <w:rsid w:val="00694FF9"/>
    <w:rsid w:val="006A4CF6"/>
    <w:rsid w:val="006A6E05"/>
    <w:rsid w:val="006B0144"/>
    <w:rsid w:val="006B15FB"/>
    <w:rsid w:val="006B1984"/>
    <w:rsid w:val="006B2CF1"/>
    <w:rsid w:val="006C3597"/>
    <w:rsid w:val="006C6A2E"/>
    <w:rsid w:val="006C758F"/>
    <w:rsid w:val="006D0CB5"/>
    <w:rsid w:val="006D492D"/>
    <w:rsid w:val="006D4F21"/>
    <w:rsid w:val="006D7058"/>
    <w:rsid w:val="006D7C45"/>
    <w:rsid w:val="006E22EC"/>
    <w:rsid w:val="006E4AD9"/>
    <w:rsid w:val="006F60FE"/>
    <w:rsid w:val="00702283"/>
    <w:rsid w:val="007030A2"/>
    <w:rsid w:val="00703A01"/>
    <w:rsid w:val="007057B3"/>
    <w:rsid w:val="00707D40"/>
    <w:rsid w:val="00712AD8"/>
    <w:rsid w:val="00714044"/>
    <w:rsid w:val="0071627F"/>
    <w:rsid w:val="00720C6E"/>
    <w:rsid w:val="00723212"/>
    <w:rsid w:val="007301AE"/>
    <w:rsid w:val="00734692"/>
    <w:rsid w:val="00735551"/>
    <w:rsid w:val="00742183"/>
    <w:rsid w:val="007426E3"/>
    <w:rsid w:val="00742DD9"/>
    <w:rsid w:val="00745AB9"/>
    <w:rsid w:val="00746126"/>
    <w:rsid w:val="00752978"/>
    <w:rsid w:val="00760D93"/>
    <w:rsid w:val="00761F37"/>
    <w:rsid w:val="007642B1"/>
    <w:rsid w:val="00767342"/>
    <w:rsid w:val="007705E7"/>
    <w:rsid w:val="00771EA2"/>
    <w:rsid w:val="007751C9"/>
    <w:rsid w:val="00776764"/>
    <w:rsid w:val="00777903"/>
    <w:rsid w:val="00793A44"/>
    <w:rsid w:val="007954F9"/>
    <w:rsid w:val="00795CF6"/>
    <w:rsid w:val="007A2683"/>
    <w:rsid w:val="007A2817"/>
    <w:rsid w:val="007A7DD1"/>
    <w:rsid w:val="007B03C1"/>
    <w:rsid w:val="007B30AA"/>
    <w:rsid w:val="007B377E"/>
    <w:rsid w:val="007B3B84"/>
    <w:rsid w:val="007C17BB"/>
    <w:rsid w:val="007C2BBC"/>
    <w:rsid w:val="007D3003"/>
    <w:rsid w:val="007D5A5E"/>
    <w:rsid w:val="007E1EF9"/>
    <w:rsid w:val="007E3DF7"/>
    <w:rsid w:val="007E561B"/>
    <w:rsid w:val="007E756F"/>
    <w:rsid w:val="007F1157"/>
    <w:rsid w:val="007F1423"/>
    <w:rsid w:val="007F5265"/>
    <w:rsid w:val="00800192"/>
    <w:rsid w:val="0080373B"/>
    <w:rsid w:val="008046A3"/>
    <w:rsid w:val="008078D5"/>
    <w:rsid w:val="00807DDA"/>
    <w:rsid w:val="0081121C"/>
    <w:rsid w:val="00811C95"/>
    <w:rsid w:val="0081202B"/>
    <w:rsid w:val="0081396E"/>
    <w:rsid w:val="00814C84"/>
    <w:rsid w:val="00822B49"/>
    <w:rsid w:val="00826F6F"/>
    <w:rsid w:val="00832BB5"/>
    <w:rsid w:val="00833334"/>
    <w:rsid w:val="00842D6C"/>
    <w:rsid w:val="00846AE4"/>
    <w:rsid w:val="008551EB"/>
    <w:rsid w:val="0086367F"/>
    <w:rsid w:val="00863A37"/>
    <w:rsid w:val="0086689A"/>
    <w:rsid w:val="00867C7E"/>
    <w:rsid w:val="00870A78"/>
    <w:rsid w:val="00871823"/>
    <w:rsid w:val="00871C67"/>
    <w:rsid w:val="008737D2"/>
    <w:rsid w:val="008817F9"/>
    <w:rsid w:val="00883F5F"/>
    <w:rsid w:val="00885423"/>
    <w:rsid w:val="008874A2"/>
    <w:rsid w:val="008927AD"/>
    <w:rsid w:val="00894F28"/>
    <w:rsid w:val="008A0952"/>
    <w:rsid w:val="008A1C8C"/>
    <w:rsid w:val="008A28A5"/>
    <w:rsid w:val="008A3268"/>
    <w:rsid w:val="008B01E3"/>
    <w:rsid w:val="008B18EC"/>
    <w:rsid w:val="008B7ACF"/>
    <w:rsid w:val="008C139A"/>
    <w:rsid w:val="008C1AAB"/>
    <w:rsid w:val="008C1E2C"/>
    <w:rsid w:val="008D19CA"/>
    <w:rsid w:val="008D27E9"/>
    <w:rsid w:val="008D52BA"/>
    <w:rsid w:val="00902092"/>
    <w:rsid w:val="00906AFA"/>
    <w:rsid w:val="00913CF4"/>
    <w:rsid w:val="009177C0"/>
    <w:rsid w:val="009209E5"/>
    <w:rsid w:val="00921416"/>
    <w:rsid w:val="00925347"/>
    <w:rsid w:val="0093252D"/>
    <w:rsid w:val="00934D7A"/>
    <w:rsid w:val="009371B7"/>
    <w:rsid w:val="009426D9"/>
    <w:rsid w:val="00945FF5"/>
    <w:rsid w:val="00952DB3"/>
    <w:rsid w:val="00962F84"/>
    <w:rsid w:val="00970D81"/>
    <w:rsid w:val="00975054"/>
    <w:rsid w:val="009753BD"/>
    <w:rsid w:val="00981718"/>
    <w:rsid w:val="00982C62"/>
    <w:rsid w:val="00982D54"/>
    <w:rsid w:val="00984F7A"/>
    <w:rsid w:val="009935F3"/>
    <w:rsid w:val="009936A0"/>
    <w:rsid w:val="00994CF3"/>
    <w:rsid w:val="009A1A68"/>
    <w:rsid w:val="009A2EF2"/>
    <w:rsid w:val="009B6C61"/>
    <w:rsid w:val="009B7716"/>
    <w:rsid w:val="009C2303"/>
    <w:rsid w:val="009C5548"/>
    <w:rsid w:val="009D445C"/>
    <w:rsid w:val="009F06AE"/>
    <w:rsid w:val="009F2EFB"/>
    <w:rsid w:val="00A036DA"/>
    <w:rsid w:val="00A04060"/>
    <w:rsid w:val="00A07ABE"/>
    <w:rsid w:val="00A12928"/>
    <w:rsid w:val="00A17904"/>
    <w:rsid w:val="00A179D9"/>
    <w:rsid w:val="00A23ED3"/>
    <w:rsid w:val="00A23F3A"/>
    <w:rsid w:val="00A31C8E"/>
    <w:rsid w:val="00A37983"/>
    <w:rsid w:val="00A51A0D"/>
    <w:rsid w:val="00A5453B"/>
    <w:rsid w:val="00A602A9"/>
    <w:rsid w:val="00A6092B"/>
    <w:rsid w:val="00A61A39"/>
    <w:rsid w:val="00A6258D"/>
    <w:rsid w:val="00A71115"/>
    <w:rsid w:val="00A71A06"/>
    <w:rsid w:val="00A733CE"/>
    <w:rsid w:val="00A75AAB"/>
    <w:rsid w:val="00A7635F"/>
    <w:rsid w:val="00A76F8E"/>
    <w:rsid w:val="00A80333"/>
    <w:rsid w:val="00A804AB"/>
    <w:rsid w:val="00A82806"/>
    <w:rsid w:val="00A831BE"/>
    <w:rsid w:val="00A839DA"/>
    <w:rsid w:val="00A876C0"/>
    <w:rsid w:val="00A87A18"/>
    <w:rsid w:val="00A920B0"/>
    <w:rsid w:val="00A92C8E"/>
    <w:rsid w:val="00A954C2"/>
    <w:rsid w:val="00A9552C"/>
    <w:rsid w:val="00A95894"/>
    <w:rsid w:val="00AB0D2A"/>
    <w:rsid w:val="00AB3573"/>
    <w:rsid w:val="00AC1DAA"/>
    <w:rsid w:val="00AC5AC3"/>
    <w:rsid w:val="00AD7B2D"/>
    <w:rsid w:val="00AE1BEA"/>
    <w:rsid w:val="00AE1D0A"/>
    <w:rsid w:val="00AE42C3"/>
    <w:rsid w:val="00AE6390"/>
    <w:rsid w:val="00AE692A"/>
    <w:rsid w:val="00AF1C0F"/>
    <w:rsid w:val="00AF281A"/>
    <w:rsid w:val="00B02671"/>
    <w:rsid w:val="00B02F6F"/>
    <w:rsid w:val="00B104CB"/>
    <w:rsid w:val="00B164E7"/>
    <w:rsid w:val="00B20DD4"/>
    <w:rsid w:val="00B2657C"/>
    <w:rsid w:val="00B31785"/>
    <w:rsid w:val="00B33550"/>
    <w:rsid w:val="00B37779"/>
    <w:rsid w:val="00B40291"/>
    <w:rsid w:val="00B51817"/>
    <w:rsid w:val="00B530C8"/>
    <w:rsid w:val="00B5496E"/>
    <w:rsid w:val="00B60318"/>
    <w:rsid w:val="00B6697E"/>
    <w:rsid w:val="00B70D39"/>
    <w:rsid w:val="00B721A0"/>
    <w:rsid w:val="00B7277F"/>
    <w:rsid w:val="00B816D7"/>
    <w:rsid w:val="00B8662C"/>
    <w:rsid w:val="00B90890"/>
    <w:rsid w:val="00B9134B"/>
    <w:rsid w:val="00BB6358"/>
    <w:rsid w:val="00BC056D"/>
    <w:rsid w:val="00BC32CE"/>
    <w:rsid w:val="00BC681A"/>
    <w:rsid w:val="00BD4D43"/>
    <w:rsid w:val="00BE38CA"/>
    <w:rsid w:val="00BE3965"/>
    <w:rsid w:val="00BF02FE"/>
    <w:rsid w:val="00BF09F9"/>
    <w:rsid w:val="00BF312E"/>
    <w:rsid w:val="00BF57C4"/>
    <w:rsid w:val="00C008A4"/>
    <w:rsid w:val="00C00A10"/>
    <w:rsid w:val="00C0458F"/>
    <w:rsid w:val="00C14465"/>
    <w:rsid w:val="00C150CD"/>
    <w:rsid w:val="00C165E4"/>
    <w:rsid w:val="00C25938"/>
    <w:rsid w:val="00C51836"/>
    <w:rsid w:val="00C53727"/>
    <w:rsid w:val="00C57912"/>
    <w:rsid w:val="00C61AAE"/>
    <w:rsid w:val="00C65338"/>
    <w:rsid w:val="00C72CFD"/>
    <w:rsid w:val="00C96BEB"/>
    <w:rsid w:val="00CA166A"/>
    <w:rsid w:val="00CA1B6E"/>
    <w:rsid w:val="00CA34EA"/>
    <w:rsid w:val="00CA39C5"/>
    <w:rsid w:val="00CA5A0A"/>
    <w:rsid w:val="00CA7EEB"/>
    <w:rsid w:val="00CB0FEC"/>
    <w:rsid w:val="00CC1BDF"/>
    <w:rsid w:val="00CC2CAD"/>
    <w:rsid w:val="00CD2711"/>
    <w:rsid w:val="00CE74F0"/>
    <w:rsid w:val="00CE7652"/>
    <w:rsid w:val="00CF4522"/>
    <w:rsid w:val="00D17601"/>
    <w:rsid w:val="00D23CEB"/>
    <w:rsid w:val="00D2464E"/>
    <w:rsid w:val="00D2550B"/>
    <w:rsid w:val="00D33C83"/>
    <w:rsid w:val="00D37086"/>
    <w:rsid w:val="00D417B7"/>
    <w:rsid w:val="00D55A3E"/>
    <w:rsid w:val="00D55A88"/>
    <w:rsid w:val="00D567BD"/>
    <w:rsid w:val="00D603C1"/>
    <w:rsid w:val="00D614D4"/>
    <w:rsid w:val="00D649BC"/>
    <w:rsid w:val="00D70D1A"/>
    <w:rsid w:val="00D73CB0"/>
    <w:rsid w:val="00D81695"/>
    <w:rsid w:val="00D83761"/>
    <w:rsid w:val="00D84B50"/>
    <w:rsid w:val="00D862FF"/>
    <w:rsid w:val="00D86A09"/>
    <w:rsid w:val="00D87E40"/>
    <w:rsid w:val="00D95F17"/>
    <w:rsid w:val="00DA4397"/>
    <w:rsid w:val="00DA5E34"/>
    <w:rsid w:val="00DA6156"/>
    <w:rsid w:val="00DA76B4"/>
    <w:rsid w:val="00DB26A9"/>
    <w:rsid w:val="00DC55D3"/>
    <w:rsid w:val="00DD4C26"/>
    <w:rsid w:val="00DD5336"/>
    <w:rsid w:val="00DE09AD"/>
    <w:rsid w:val="00DE0B4E"/>
    <w:rsid w:val="00DE19BC"/>
    <w:rsid w:val="00DE38DB"/>
    <w:rsid w:val="00DF1A24"/>
    <w:rsid w:val="00DF429F"/>
    <w:rsid w:val="00DF5105"/>
    <w:rsid w:val="00E02E36"/>
    <w:rsid w:val="00E06E2F"/>
    <w:rsid w:val="00E074B8"/>
    <w:rsid w:val="00E13DD0"/>
    <w:rsid w:val="00E14427"/>
    <w:rsid w:val="00E14F2C"/>
    <w:rsid w:val="00E23F08"/>
    <w:rsid w:val="00E2798F"/>
    <w:rsid w:val="00E27EC4"/>
    <w:rsid w:val="00E301DD"/>
    <w:rsid w:val="00E347F2"/>
    <w:rsid w:val="00E373CA"/>
    <w:rsid w:val="00E418EC"/>
    <w:rsid w:val="00E41CAF"/>
    <w:rsid w:val="00E41DE2"/>
    <w:rsid w:val="00E50CD9"/>
    <w:rsid w:val="00E517E7"/>
    <w:rsid w:val="00E52D18"/>
    <w:rsid w:val="00E56AB0"/>
    <w:rsid w:val="00E67A84"/>
    <w:rsid w:val="00E716FD"/>
    <w:rsid w:val="00E74D9F"/>
    <w:rsid w:val="00E755BA"/>
    <w:rsid w:val="00E77072"/>
    <w:rsid w:val="00E8561A"/>
    <w:rsid w:val="00E85BC9"/>
    <w:rsid w:val="00E94A40"/>
    <w:rsid w:val="00EA6869"/>
    <w:rsid w:val="00EB1B95"/>
    <w:rsid w:val="00EB7883"/>
    <w:rsid w:val="00EC1E07"/>
    <w:rsid w:val="00EC34DE"/>
    <w:rsid w:val="00EC66F5"/>
    <w:rsid w:val="00ED0ACC"/>
    <w:rsid w:val="00ED1478"/>
    <w:rsid w:val="00ED252C"/>
    <w:rsid w:val="00ED6566"/>
    <w:rsid w:val="00EE1735"/>
    <w:rsid w:val="00EE21AE"/>
    <w:rsid w:val="00EE2D55"/>
    <w:rsid w:val="00EE5D57"/>
    <w:rsid w:val="00EF28F4"/>
    <w:rsid w:val="00F110BD"/>
    <w:rsid w:val="00F16315"/>
    <w:rsid w:val="00F177D1"/>
    <w:rsid w:val="00F20001"/>
    <w:rsid w:val="00F23115"/>
    <w:rsid w:val="00F30B08"/>
    <w:rsid w:val="00F30EC3"/>
    <w:rsid w:val="00F32496"/>
    <w:rsid w:val="00F372EC"/>
    <w:rsid w:val="00F37C00"/>
    <w:rsid w:val="00F40AA3"/>
    <w:rsid w:val="00F47485"/>
    <w:rsid w:val="00F542A5"/>
    <w:rsid w:val="00F55218"/>
    <w:rsid w:val="00F65560"/>
    <w:rsid w:val="00F673C8"/>
    <w:rsid w:val="00F72330"/>
    <w:rsid w:val="00F74D5F"/>
    <w:rsid w:val="00F77461"/>
    <w:rsid w:val="00F812DA"/>
    <w:rsid w:val="00F82202"/>
    <w:rsid w:val="00F83116"/>
    <w:rsid w:val="00F83B7D"/>
    <w:rsid w:val="00F85B97"/>
    <w:rsid w:val="00F94560"/>
    <w:rsid w:val="00FA0884"/>
    <w:rsid w:val="00FA0B90"/>
    <w:rsid w:val="00FA136A"/>
    <w:rsid w:val="00FA2EC7"/>
    <w:rsid w:val="00FA3F82"/>
    <w:rsid w:val="00FC66EA"/>
    <w:rsid w:val="00FC7755"/>
    <w:rsid w:val="00FD3A96"/>
    <w:rsid w:val="00FD65D3"/>
    <w:rsid w:val="00FE1017"/>
    <w:rsid w:val="00FE1D94"/>
    <w:rsid w:val="00FE1DAD"/>
    <w:rsid w:val="00FE6545"/>
    <w:rsid w:val="00FE74F9"/>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42"/>
      </w:numPr>
      <w:spacing w:before="120" w:after="120"/>
      <w:jc w:val="both"/>
    </w:pPr>
    <w:rPr>
      <w:rFonts w:ascii="Arial" w:hAnsi="Arial" w:cs="Arial"/>
      <w:sz w:val="22"/>
      <w:szCs w:val="22"/>
    </w:rPr>
  </w:style>
  <w:style w:type="numbering" w:customStyle="1" w:styleId="Aktulnseznam1">
    <w:name w:val="Aktuální seznam1"/>
    <w:rsid w:val="009177C0"/>
    <w:pPr>
      <w:numPr>
        <w:numId w:val="41"/>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rukturalni-fondy.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FEC3-4D43-4C0A-A9A5-83B2FF99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20</Pages>
  <Words>7073</Words>
  <Characters>41733</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48709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249</cp:revision>
  <cp:lastPrinted>2016-06-07T08:45:00Z</cp:lastPrinted>
  <dcterms:created xsi:type="dcterms:W3CDTF">2016-02-02T17:51:00Z</dcterms:created>
  <dcterms:modified xsi:type="dcterms:W3CDTF">2016-11-11T11:18:00Z</dcterms:modified>
</cp:coreProperties>
</file>