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87" w:rsidRPr="00334D87" w:rsidRDefault="00334D87" w:rsidP="00334D87">
      <w:pPr>
        <w:pStyle w:val="Nadpis3"/>
        <w:ind w:right="72"/>
        <w:jc w:val="left"/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</w:pPr>
      <w:r w:rsidRPr="00ED6A94"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  <w:t xml:space="preserve">Příloha č. 1 k usnesení Rady HMP č. </w:t>
      </w:r>
      <w:r w:rsidR="00BE33BB"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  <w:t>1970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u w:val="single"/>
        </w:rPr>
        <w:t xml:space="preserve"> ze dne 29. 7. 2014</w:t>
      </w:r>
    </w:p>
    <w:p w:rsidR="009E7F82" w:rsidRPr="009E7F82" w:rsidRDefault="009E7F82" w:rsidP="009E7F82">
      <w:pPr>
        <w:keepNext/>
        <w:overflowPunct/>
        <w:autoSpaceDE/>
        <w:autoSpaceDN/>
        <w:adjustRightInd/>
        <w:spacing w:before="240" w:after="120"/>
        <w:ind w:right="72"/>
        <w:jc w:val="center"/>
        <w:textAlignment w:val="auto"/>
        <w:outlineLvl w:val="2"/>
        <w:rPr>
          <w:rFonts w:cs="Arial"/>
          <w:bCs/>
        </w:rPr>
      </w:pPr>
      <w:r w:rsidRPr="009E7F82">
        <w:rPr>
          <w:rFonts w:cs="Arial"/>
          <w:bCs/>
        </w:rPr>
        <w:t>Hlavní město Praha</w:t>
      </w:r>
    </w:p>
    <w:p w:rsidR="009E7F82" w:rsidRPr="009E7F82" w:rsidRDefault="009E7F82" w:rsidP="009E7F82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Cs w:val="24"/>
        </w:rPr>
      </w:pPr>
      <w:r w:rsidRPr="009E7F82">
        <w:rPr>
          <w:rFonts w:cs="Arial"/>
          <w:b/>
          <w:bCs/>
          <w:szCs w:val="24"/>
        </w:rPr>
        <w:t>vyhlašuje dne 30. 7. 2014</w:t>
      </w:r>
    </w:p>
    <w:p w:rsidR="009E7F82" w:rsidRPr="009E7F82" w:rsidRDefault="009E7F82" w:rsidP="009E7F82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9E7F82" w:rsidRPr="009E7F82" w:rsidRDefault="009E7F82" w:rsidP="009E7F82">
      <w:pPr>
        <w:jc w:val="center"/>
        <w:rPr>
          <w:rFonts w:cs="Arial"/>
          <w:b/>
          <w:bCs/>
        </w:rPr>
      </w:pPr>
      <w:r w:rsidRPr="009E7F82">
        <w:rPr>
          <w:rFonts w:cs="Arial"/>
          <w:b/>
          <w:bCs/>
        </w:rPr>
        <w:t xml:space="preserve">výzvu k předkládání projektových žádostí </w:t>
      </w:r>
    </w:p>
    <w:p w:rsidR="009E7F82" w:rsidRPr="009E7F82" w:rsidRDefault="009E7F82" w:rsidP="009E7F82">
      <w:pPr>
        <w:jc w:val="center"/>
        <w:rPr>
          <w:b/>
          <w:bCs/>
          <w:sz w:val="28"/>
        </w:rPr>
      </w:pPr>
      <w:r w:rsidRPr="009E7F82">
        <w:rPr>
          <w:rFonts w:cs="Arial"/>
          <w:b/>
          <w:bCs/>
        </w:rPr>
        <w:t>v rámci Operačního programu Praha – Konkurenceschopnost</w:t>
      </w:r>
    </w:p>
    <w:p w:rsidR="009E7F82" w:rsidRPr="009E7F82" w:rsidRDefault="009E7F82" w:rsidP="009E7F82">
      <w:pPr>
        <w:rPr>
          <w:b/>
          <w:bCs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1. Identifikace výzvy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87"/>
      </w:tblGrid>
      <w:tr w:rsidR="009E7F82" w:rsidRPr="009E7F82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Operační program</w:t>
            </w:r>
          </w:p>
        </w:tc>
        <w:tc>
          <w:tcPr>
            <w:tcW w:w="6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Operační program Praha - Konkurenceschopnost</w:t>
            </w:r>
          </w:p>
        </w:tc>
      </w:tr>
      <w:tr w:rsidR="009E7F82" w:rsidRPr="009E7F82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Prioritní osa</w:t>
            </w:r>
          </w:p>
        </w:tc>
        <w:tc>
          <w:tcPr>
            <w:tcW w:w="6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keepNext/>
              <w:overflowPunct/>
              <w:autoSpaceDE/>
              <w:autoSpaceDN/>
              <w:adjustRightInd/>
              <w:textAlignment w:val="auto"/>
              <w:outlineLvl w:val="3"/>
              <w:rPr>
                <w:rFonts w:cs="Arial"/>
                <w:b/>
                <w:bCs/>
                <w:sz w:val="20"/>
                <w:szCs w:val="24"/>
              </w:rPr>
            </w:pPr>
            <w:r w:rsidRPr="009E7F82">
              <w:rPr>
                <w:rFonts w:cs="Arial"/>
                <w:b/>
                <w:bCs/>
                <w:sz w:val="20"/>
                <w:szCs w:val="24"/>
              </w:rPr>
              <w:t xml:space="preserve">3 - Inovace a podnikání </w:t>
            </w:r>
          </w:p>
        </w:tc>
      </w:tr>
      <w:tr w:rsidR="009E7F82" w:rsidRPr="009E7F82" w:rsidTr="008D012B">
        <w:trPr>
          <w:trHeight w:val="369"/>
        </w:trPr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Oblast podpory</w:t>
            </w:r>
          </w:p>
        </w:tc>
        <w:tc>
          <w:tcPr>
            <w:tcW w:w="6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keepNext/>
              <w:tabs>
                <w:tab w:val="left" w:pos="-2127"/>
              </w:tabs>
              <w:textAlignment w:val="auto"/>
              <w:rPr>
                <w:rFonts w:cs="Arial"/>
                <w:b/>
                <w:bCs/>
                <w:color w:val="000000"/>
                <w:sz w:val="20"/>
                <w:szCs w:val="26"/>
              </w:rPr>
            </w:pPr>
            <w:r w:rsidRPr="009E7F82">
              <w:rPr>
                <w:rFonts w:cs="Arial"/>
                <w:b/>
                <w:bCs/>
                <w:color w:val="000000"/>
                <w:sz w:val="20"/>
                <w:szCs w:val="26"/>
              </w:rPr>
              <w:t>3.1 Rozvoj inovačního prostředí a partnerství mezi základnou výzkumu a vývoje a praxí</w:t>
            </w:r>
          </w:p>
        </w:tc>
      </w:tr>
      <w:tr w:rsidR="009E7F82" w:rsidRPr="009E7F82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Číslo výzvy</w:t>
            </w:r>
          </w:p>
        </w:tc>
        <w:tc>
          <w:tcPr>
            <w:tcW w:w="6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14</w:t>
            </w:r>
          </w:p>
        </w:tc>
      </w:tr>
      <w:tr w:rsidR="009E7F82" w:rsidRPr="009E7F82" w:rsidTr="008D012B"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>Typ výzvy</w:t>
            </w:r>
          </w:p>
        </w:tc>
        <w:tc>
          <w:tcPr>
            <w:tcW w:w="6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F82" w:rsidRPr="009E7F82" w:rsidRDefault="009E7F82" w:rsidP="009E7F82">
            <w:pPr>
              <w:rPr>
                <w:rFonts w:cs="Arial"/>
                <w:b/>
                <w:sz w:val="20"/>
              </w:rPr>
            </w:pPr>
            <w:r w:rsidRPr="009E7F82">
              <w:rPr>
                <w:rFonts w:cs="Arial"/>
                <w:b/>
                <w:sz w:val="20"/>
              </w:rPr>
              <w:t xml:space="preserve"> Kontinuální</w:t>
            </w:r>
          </w:p>
        </w:tc>
      </w:tr>
    </w:tbl>
    <w:p w:rsidR="009E7F82" w:rsidRPr="009E7F82" w:rsidRDefault="009E7F82" w:rsidP="009E7F82">
      <w:pPr>
        <w:tabs>
          <w:tab w:val="left" w:pos="360"/>
        </w:tabs>
        <w:rPr>
          <w:rFonts w:cs="Arial"/>
          <w:b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2. Termín pro konzultace projektových záměrů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  <w:r w:rsidRPr="009E7F82">
        <w:rPr>
          <w:rFonts w:cs="Arial"/>
          <w:sz w:val="20"/>
          <w:szCs w:val="24"/>
        </w:rPr>
        <w:t xml:space="preserve">Konzultace zajišťuje oddělení Evropského fondu pro regionální rozvoj odboru evropských fondů Magistrátu hl. m. Prahy. Termín konzultace je třeba domluvit s kontaktními pracovníky (viz. </w:t>
      </w:r>
      <w:hyperlink w:anchor="_Kontaktní_informace" w:history="1">
        <w:r w:rsidRPr="009E7F82">
          <w:rPr>
            <w:rFonts w:cs="Arial"/>
            <w:sz w:val="20"/>
            <w:szCs w:val="24"/>
            <w:u w:val="single"/>
          </w:rPr>
          <w:t>15. Kontaktní informace</w:t>
        </w:r>
      </w:hyperlink>
      <w:r w:rsidRPr="009E7F82">
        <w:rPr>
          <w:rFonts w:cs="Arial"/>
          <w:sz w:val="20"/>
          <w:szCs w:val="24"/>
        </w:rPr>
        <w:t>) předem (telefonicky nebo e-mailem). Pokud mají žadatelé zpracovatele projektové žádosti, je požadováno, aby se konzultací účastnili vždy společně se svými zpracovateli.</w:t>
      </w:r>
    </w:p>
    <w:p w:rsidR="009E7F82" w:rsidRPr="009E7F82" w:rsidRDefault="009E7F82" w:rsidP="009E7F82">
      <w:pPr>
        <w:tabs>
          <w:tab w:val="left" w:pos="360"/>
        </w:tabs>
        <w:rPr>
          <w:rFonts w:cs="Arial"/>
          <w:b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3. Cíl programu, specifické cíle oblasti podpory 3.1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Globálním cílem OP PK je zvýšení konkurenceschopnosti Prahy jako dynamické metropole členské země EU prostřednictvím odstranění rozvojových bariér a slabin regionu, zkvalitněním městského prostředí, zlepšením dostupnosti dopravních a telekomunikačních služeb a rozvinutím inovačního potenciálu města.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0"/>
        </w:rPr>
      </w:pPr>
      <w:r w:rsidRPr="009E7F82">
        <w:rPr>
          <w:rFonts w:cs="Arial"/>
          <w:b/>
          <w:sz w:val="20"/>
        </w:rPr>
        <w:t>Specifické cíle oblasti podpory 3.1: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0"/>
        </w:rPr>
      </w:pP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zdokonalit inovační infrastrukturu na území města, umožňující vyšší využití </w:t>
      </w:r>
      <w:proofErr w:type="gramStart"/>
      <w:r w:rsidRPr="009E7F82">
        <w:rPr>
          <w:rFonts w:cs="Arial"/>
          <w:sz w:val="20"/>
        </w:rPr>
        <w:t>potenciálu  výzkumu</w:t>
      </w:r>
      <w:proofErr w:type="gramEnd"/>
      <w:r w:rsidRPr="009E7F82">
        <w:rPr>
          <w:rFonts w:cs="Arial"/>
          <w:sz w:val="20"/>
        </w:rPr>
        <w:t xml:space="preserve"> a vývoje,</w:t>
      </w: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posílit spolupráci mezi základnou výzkumu a vývoje a ostatními (uživatelskými) subjekty na území města,</w:t>
      </w: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zlepšení praktické aplikace výzkumu a vývoje v přímé vazbě na MSP,</w:t>
      </w: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přispět k realizaci BRIS.</w:t>
      </w:r>
    </w:p>
    <w:p w:rsidR="009E7F82" w:rsidRPr="009E7F82" w:rsidRDefault="009E7F82" w:rsidP="009E7F82">
      <w:pPr>
        <w:tabs>
          <w:tab w:val="left" w:pos="360"/>
        </w:tabs>
        <w:rPr>
          <w:rFonts w:cs="Arial"/>
          <w:b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trike/>
          <w:sz w:val="20"/>
        </w:rPr>
      </w:pPr>
      <w:r w:rsidRPr="009E7F82">
        <w:rPr>
          <w:rFonts w:cs="Arial"/>
          <w:b/>
          <w:bCs/>
          <w:sz w:val="20"/>
          <w:szCs w:val="24"/>
        </w:rPr>
        <w:t>4. Podporované aktivity oblasti podpory 3.1</w:t>
      </w:r>
    </w:p>
    <w:p w:rsidR="009E7F82" w:rsidRPr="009E7F82" w:rsidRDefault="009E7F82" w:rsidP="009E7F82">
      <w:pPr>
        <w:numPr>
          <w:ilvl w:val="0"/>
          <w:numId w:val="5"/>
        </w:numPr>
        <w:overflowPunct/>
        <w:spacing w:afterLines="50" w:after="120" w:line="240" w:lineRule="atLeast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investiční aktivity spojené se vznikem nových a rozvoj stávajících inovačních jednotek s přímou účastí organizací výzkumu a vývoje, rozvoj infrastruktury pro </w:t>
      </w:r>
      <w:proofErr w:type="spellStart"/>
      <w:r w:rsidRPr="009E7F82">
        <w:rPr>
          <w:rFonts w:cs="Arial"/>
          <w:sz w:val="20"/>
        </w:rPr>
        <w:t>VaV</w:t>
      </w:r>
      <w:proofErr w:type="spellEnd"/>
      <w:r w:rsidRPr="009E7F82">
        <w:rPr>
          <w:rFonts w:cs="Arial"/>
          <w:sz w:val="20"/>
        </w:rPr>
        <w:t xml:space="preserve"> (technologické a vědecké parky, podnikatelské inkubátory, centra excelence, inovační centra); </w:t>
      </w:r>
    </w:p>
    <w:p w:rsidR="009E7F82" w:rsidRPr="009E7F82" w:rsidRDefault="009E7F82" w:rsidP="009E7F82">
      <w:pPr>
        <w:numPr>
          <w:ilvl w:val="0"/>
          <w:numId w:val="5"/>
        </w:numPr>
        <w:overflowPunct/>
        <w:spacing w:afterLines="50" w:after="120" w:line="240" w:lineRule="atLeast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pořízení / modernizace přístrojového a laboratorního vybavení pro výzkum, vývoj, inovace;</w:t>
      </w:r>
    </w:p>
    <w:p w:rsidR="009E7F82" w:rsidRPr="009E7F82" w:rsidRDefault="009E7F82" w:rsidP="009E7F82">
      <w:pPr>
        <w:numPr>
          <w:ilvl w:val="0"/>
          <w:numId w:val="5"/>
        </w:numPr>
        <w:overflowPunct/>
        <w:spacing w:afterLines="50" w:after="120" w:line="240" w:lineRule="atLeast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vytváření sítí organizací vědy a výzkumu, podnikatelských firem a dalších subjektu (neziskový a veřejný sektor); společné projekty realizované v těchto sítích s významným inovačním charakterem; </w:t>
      </w:r>
    </w:p>
    <w:p w:rsidR="009E7F82" w:rsidRPr="009E7F82" w:rsidRDefault="009E7F82" w:rsidP="009E7F82">
      <w:pPr>
        <w:numPr>
          <w:ilvl w:val="0"/>
          <w:numId w:val="5"/>
        </w:numPr>
        <w:overflowPunct/>
        <w:spacing w:afterLines="50" w:after="120" w:line="240" w:lineRule="atLeast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rozvoj výzkumných kapacit MSP, činnosti MSP v oblasti výzkumu, vývoje a inovací</w:t>
      </w:r>
    </w:p>
    <w:p w:rsidR="009E7F82" w:rsidRPr="009E7F82" w:rsidRDefault="009E7F82" w:rsidP="009E7F82">
      <w:pPr>
        <w:jc w:val="both"/>
        <w:rPr>
          <w:rFonts w:cs="Arial"/>
          <w:sz w:val="20"/>
        </w:rPr>
      </w:pPr>
    </w:p>
    <w:p w:rsidR="009E7F82" w:rsidRPr="009E7F82" w:rsidRDefault="009E7F82" w:rsidP="009E7F82">
      <w:pPr>
        <w:spacing w:after="120"/>
        <w:jc w:val="both"/>
        <w:rPr>
          <w:rFonts w:cs="Arial"/>
          <w:sz w:val="20"/>
        </w:rPr>
      </w:pPr>
      <w:r w:rsidRPr="009E7F82">
        <w:rPr>
          <w:rFonts w:cs="Arial"/>
          <w:sz w:val="20"/>
        </w:rPr>
        <w:lastRenderedPageBreak/>
        <w:t xml:space="preserve">Pozn.: Z hlediska oborového zaměření budou preferovány obory spadající mezi dlouhodobé základní směry výzkumu. Předmětem podpory nejsou projekty čistě výzkumného charakteru a projekty, jejichž výstupem jsou studie, analýzy apod. </w:t>
      </w:r>
      <w:r w:rsidRPr="009E7F82">
        <w:rPr>
          <w:rFonts w:cs="Arial"/>
          <w:sz w:val="20"/>
          <w:u w:val="single"/>
        </w:rPr>
        <w:t>Podpora je určena pro projekty investičního charakteru.</w:t>
      </w:r>
    </w:p>
    <w:p w:rsidR="009E7F82" w:rsidRPr="009E7F82" w:rsidRDefault="009E7F82" w:rsidP="009E7F82">
      <w:pPr>
        <w:tabs>
          <w:tab w:val="left" w:pos="360"/>
        </w:tabs>
        <w:rPr>
          <w:rFonts w:cs="Arial"/>
          <w:b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5. Oprávnění předkladatelé projektových žádostí</w:t>
      </w:r>
      <w:r w:rsidRPr="009E7F82">
        <w:rPr>
          <w:rFonts w:cs="Arial"/>
          <w:sz w:val="20"/>
        </w:rPr>
        <w:t xml:space="preserve"> </w:t>
      </w:r>
    </w:p>
    <w:p w:rsidR="009E7F82" w:rsidRPr="009E7F82" w:rsidRDefault="009E7F82" w:rsidP="009E7F82">
      <w:pPr>
        <w:numPr>
          <w:ilvl w:val="1"/>
          <w:numId w:val="6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Organizace pro výzkum a šíření znalostí splňující podmínky Rámce pro státní podporu výzkumu, vývoje a inovací (2014/C 198/01), zejména vysoké školy, veřejné výzkumné instituce, </w:t>
      </w:r>
      <w:proofErr w:type="spellStart"/>
      <w:r w:rsidRPr="009E7F82">
        <w:rPr>
          <w:rFonts w:cs="Arial"/>
          <w:sz w:val="20"/>
        </w:rPr>
        <w:t>Akadamie</w:t>
      </w:r>
      <w:proofErr w:type="spellEnd"/>
      <w:r w:rsidRPr="009E7F82">
        <w:rPr>
          <w:rFonts w:cs="Arial"/>
          <w:sz w:val="20"/>
        </w:rPr>
        <w:t xml:space="preserve"> věd ČR, výzkumné ústavy apod.</w:t>
      </w: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Podnikatelské subjekty (zejména malé a střední podniky)</w:t>
      </w: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Nestátní neziskové organizace</w:t>
      </w:r>
    </w:p>
    <w:p w:rsidR="009E7F82" w:rsidRPr="009E7F82" w:rsidRDefault="009E7F82" w:rsidP="009E7F82">
      <w:pPr>
        <w:numPr>
          <w:ilvl w:val="1"/>
          <w:numId w:val="1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Profesní a zájmová sdružení (podnikatelská sdružení, hospodářské komory apod.)</w:t>
      </w:r>
    </w:p>
    <w:p w:rsidR="009E7F82" w:rsidRPr="009E7F82" w:rsidRDefault="009E7F82" w:rsidP="009E7F82">
      <w:pPr>
        <w:widowControl w:val="0"/>
        <w:overflowPunct/>
        <w:autoSpaceDE/>
        <w:autoSpaceDN/>
        <w:adjustRightInd/>
        <w:textAlignment w:val="auto"/>
        <w:rPr>
          <w:rFonts w:cs="Arial"/>
          <w:sz w:val="20"/>
          <w:szCs w:val="21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6. Rozpočet výzvy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Na výzvu je vyčleněno 85 000 000,- Kč. Podpora bude poskytována formou nevratné přímé pomoci. Na poskytnutí podpory není právní nárok. </w:t>
      </w:r>
    </w:p>
    <w:p w:rsidR="009E7F82" w:rsidRPr="009E7F82" w:rsidRDefault="009E7F82" w:rsidP="009E7F82">
      <w:pPr>
        <w:overflowPunct/>
        <w:autoSpaceDE/>
        <w:autoSpaceDN/>
        <w:adjustRightInd/>
        <w:ind w:left="284"/>
        <w:jc w:val="both"/>
        <w:textAlignment w:val="auto"/>
        <w:rPr>
          <w:rFonts w:cs="Arial"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7. Finanční limity podpory projektů</w:t>
      </w:r>
    </w:p>
    <w:p w:rsidR="009E7F82" w:rsidRPr="009E7F82" w:rsidRDefault="009E7F82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i/>
          <w:iCs/>
          <w:sz w:val="20"/>
        </w:rPr>
      </w:pPr>
      <w:r w:rsidRPr="009E7F82">
        <w:rPr>
          <w:rFonts w:cs="Arial"/>
          <w:sz w:val="20"/>
        </w:rPr>
        <w:t xml:space="preserve">Minimální přípustná výše celkových způsobilých výdajů na jeden individuální projekt činí </w:t>
      </w:r>
      <w:smartTag w:uri="urn:schemas-microsoft-com:office:smarttags" w:element="metricconverter">
        <w:smartTagPr>
          <w:attr w:name="ProductID" w:val="1 mil"/>
        </w:smartTagPr>
        <w:r w:rsidRPr="009E7F82">
          <w:rPr>
            <w:rFonts w:cs="Arial"/>
            <w:sz w:val="20"/>
          </w:rPr>
          <w:t>1 mil</w:t>
        </w:r>
      </w:smartTag>
      <w:r w:rsidRPr="009E7F82">
        <w:rPr>
          <w:rFonts w:cs="Arial"/>
          <w:sz w:val="20"/>
        </w:rPr>
        <w:t>. Kč</w:t>
      </w:r>
      <w:r w:rsidRPr="009E7F82">
        <w:rPr>
          <w:rFonts w:cs="Arial"/>
          <w:i/>
          <w:iCs/>
          <w:sz w:val="20"/>
        </w:rPr>
        <w:t>.</w:t>
      </w:r>
    </w:p>
    <w:p w:rsidR="009E7F82" w:rsidRPr="009E7F82" w:rsidRDefault="009E7F82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Projekty, které </w:t>
      </w:r>
      <w:r w:rsidRPr="009E7F82">
        <w:rPr>
          <w:rFonts w:cs="Arial"/>
          <w:b/>
          <w:sz w:val="20"/>
        </w:rPr>
        <w:t xml:space="preserve">nezakládají veřejnou podporu, </w:t>
      </w:r>
      <w:r w:rsidRPr="009E7F82">
        <w:rPr>
          <w:rFonts w:cs="Arial"/>
          <w:sz w:val="20"/>
        </w:rPr>
        <w:t>tj. které splňují podmínky Rámce pro státní podporu výzkumu, vývoje a inovací (2014/C 198/01), nebo jinak nenaplňují znaky veřejné podpory, mohou být podpořeny až do výše 92,5 % celkových způsobilých výdajů projektu a to v případě, že je žadatelem veřejnoprávní subjekt</w:t>
      </w:r>
      <w:r w:rsidRPr="009E7F82">
        <w:rPr>
          <w:rFonts w:ascii="Times New Roman" w:hAnsi="Times New Roman" w:cs="Arial"/>
          <w:sz w:val="20"/>
          <w:vertAlign w:val="superscript"/>
        </w:rPr>
        <w:footnoteReference w:customMarkFollows="1" w:id="1"/>
        <w:t>1</w:t>
      </w:r>
      <w:r w:rsidRPr="009E7F82">
        <w:rPr>
          <w:rFonts w:cs="Arial"/>
          <w:sz w:val="20"/>
        </w:rPr>
        <w:t xml:space="preserve">; soukromoprávní subjekty mají povinnost zajistit spolufinancování ve výši 10 % celkových způsobilých výdajů projektu. 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  <w:r w:rsidRPr="009E7F82">
        <w:rPr>
          <w:rFonts w:cs="Arial"/>
          <w:sz w:val="20"/>
          <w:szCs w:val="24"/>
        </w:rPr>
        <w:t xml:space="preserve">Projekty, které </w:t>
      </w:r>
      <w:r w:rsidRPr="009E7F82">
        <w:rPr>
          <w:rFonts w:cs="Arial"/>
          <w:b/>
          <w:sz w:val="20"/>
          <w:szCs w:val="24"/>
        </w:rPr>
        <w:t xml:space="preserve">zakládají veřejnou podporu, </w:t>
      </w:r>
      <w:r w:rsidRPr="009E7F82">
        <w:rPr>
          <w:rFonts w:cs="Arial"/>
          <w:sz w:val="20"/>
          <w:szCs w:val="24"/>
        </w:rPr>
        <w:t xml:space="preserve">mohou být podpořeny podle </w:t>
      </w:r>
      <w:r w:rsidRPr="009E7F82">
        <w:rPr>
          <w:rFonts w:cs="Arial"/>
          <w:b/>
          <w:sz w:val="20"/>
          <w:szCs w:val="24"/>
        </w:rPr>
        <w:t>Nařízení Komise (EU) č. 1407/2013</w:t>
      </w:r>
      <w:r w:rsidRPr="009E7F82">
        <w:rPr>
          <w:rFonts w:cs="Arial"/>
          <w:sz w:val="20"/>
          <w:szCs w:val="24"/>
        </w:rPr>
        <w:t xml:space="preserve">, o použití článků 107 a 108 Smlouvy o fungování Evropské unie na podporu </w:t>
      </w:r>
      <w:r w:rsidRPr="009E7F82">
        <w:rPr>
          <w:rFonts w:cs="Arial"/>
          <w:b/>
          <w:i/>
          <w:sz w:val="20"/>
          <w:szCs w:val="24"/>
        </w:rPr>
        <w:t xml:space="preserve">de </w:t>
      </w:r>
      <w:proofErr w:type="spellStart"/>
      <w:r w:rsidRPr="009E7F82">
        <w:rPr>
          <w:rFonts w:cs="Arial"/>
          <w:b/>
          <w:i/>
          <w:sz w:val="20"/>
          <w:szCs w:val="24"/>
        </w:rPr>
        <w:t>minimis</w:t>
      </w:r>
      <w:proofErr w:type="spellEnd"/>
      <w:r w:rsidRPr="009E7F82">
        <w:rPr>
          <w:rFonts w:cs="Arial"/>
          <w:b/>
          <w:i/>
          <w:sz w:val="20"/>
          <w:szCs w:val="24"/>
        </w:rPr>
        <w:t>;</w:t>
      </w:r>
      <w:r w:rsidRPr="009E7F82">
        <w:rPr>
          <w:rFonts w:cs="Arial"/>
          <w:sz w:val="20"/>
          <w:szCs w:val="24"/>
        </w:rPr>
        <w:t xml:space="preserve"> výše dotace je omezena článkem 3 </w:t>
      </w:r>
      <w:proofErr w:type="gramStart"/>
      <w:r w:rsidRPr="009E7F82">
        <w:rPr>
          <w:rFonts w:cs="Arial"/>
          <w:sz w:val="20"/>
          <w:szCs w:val="24"/>
        </w:rPr>
        <w:t>odst.2 tohoto</w:t>
      </w:r>
      <w:proofErr w:type="gramEnd"/>
      <w:r w:rsidRPr="009E7F82">
        <w:rPr>
          <w:rFonts w:cs="Arial"/>
          <w:sz w:val="20"/>
          <w:szCs w:val="24"/>
        </w:rPr>
        <w:t xml:space="preserve"> Nařízení (max. 200 tis. EUR za libovolná tři po sobě jdoucí jednoletá účetní období pro jeden podnik) s podmínkou, že procentuální výše dotace z veřejných zdrojů bude max. 80 % způsobilých výdajů projektu.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Projekty, které </w:t>
      </w:r>
      <w:r w:rsidRPr="009E7F82">
        <w:rPr>
          <w:rFonts w:cs="Arial"/>
          <w:b/>
          <w:sz w:val="20"/>
        </w:rPr>
        <w:t xml:space="preserve">zakládají veřejnou podporu, </w:t>
      </w:r>
      <w:r w:rsidRPr="009E7F82">
        <w:rPr>
          <w:rFonts w:cs="Arial"/>
          <w:sz w:val="20"/>
        </w:rPr>
        <w:t xml:space="preserve">mohou být dále podpořeny podle </w:t>
      </w:r>
      <w:r w:rsidRPr="009E7F82">
        <w:rPr>
          <w:rFonts w:cs="Arial"/>
          <w:b/>
          <w:sz w:val="20"/>
        </w:rPr>
        <w:t>Nařízení Komise (EU) č. 651/2014</w:t>
      </w:r>
      <w:r w:rsidRPr="009E7F82">
        <w:rPr>
          <w:rFonts w:cs="Arial"/>
          <w:sz w:val="20"/>
        </w:rPr>
        <w:t xml:space="preserve">, kterým se v souladu s články 107 a 108 Smlouvy prohlašují určité kategorie podpory za slučitelné s vnitřním trhem (obecné nařízení o blokových výjimkách); podpora může být poskytnuta </w:t>
      </w:r>
      <w:r w:rsidRPr="009E7F82">
        <w:rPr>
          <w:rFonts w:cs="Arial"/>
          <w:b/>
          <w:sz w:val="20"/>
        </w:rPr>
        <w:t>dle článku 26 Investiční podpora na výzkumnou infrastrukturu</w:t>
      </w:r>
      <w:r w:rsidRPr="009E7F82">
        <w:rPr>
          <w:b/>
          <w:bCs/>
          <w:sz w:val="19"/>
          <w:szCs w:val="19"/>
        </w:rPr>
        <w:t>,</w:t>
      </w:r>
      <w:r w:rsidRPr="009E7F82">
        <w:rPr>
          <w:rFonts w:cs="Arial"/>
          <w:b/>
          <w:sz w:val="20"/>
        </w:rPr>
        <w:t xml:space="preserve"> </w:t>
      </w:r>
      <w:r w:rsidRPr="009E7F82">
        <w:rPr>
          <w:rFonts w:cs="Arial"/>
          <w:sz w:val="20"/>
        </w:rPr>
        <w:t>a to ve výši míry podpory dle následující tabulky č. 1. Podpora může být poskytnuta jen na způsobilé výdaje dle uvedeného Nařízení Komise, resp. výdaje, které jsou taxativně vymezené v Projektové příručce, verze 5.3.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Tab. </w:t>
      </w:r>
      <w:proofErr w:type="gramStart"/>
      <w:r w:rsidRPr="009E7F82">
        <w:rPr>
          <w:rFonts w:cs="Arial"/>
          <w:sz w:val="20"/>
        </w:rPr>
        <w:t>č.</w:t>
      </w:r>
      <w:proofErr w:type="gramEnd"/>
      <w:r w:rsidRPr="009E7F82">
        <w:rPr>
          <w:rFonts w:cs="Arial"/>
          <w:sz w:val="20"/>
        </w:rPr>
        <w:t xml:space="preserve"> 1 – Míry podpory pro oblast podpory 3.1 dle Nařízení Komise (EU) č. 651/2014, čl. 26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1699"/>
        <w:gridCol w:w="2693"/>
      </w:tblGrid>
      <w:tr w:rsidR="009E7F82" w:rsidRPr="009E7F82" w:rsidTr="008D012B">
        <w:trPr>
          <w:cantSplit/>
          <w:trHeight w:val="510"/>
        </w:trPr>
        <w:tc>
          <w:tcPr>
            <w:tcW w:w="4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82" w:rsidRPr="009E7F82" w:rsidRDefault="009E7F82" w:rsidP="009E7F82">
            <w:pPr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E7F82">
              <w:rPr>
                <w:rFonts w:cs="Arial"/>
                <w:b/>
                <w:bCs/>
                <w:sz w:val="18"/>
                <w:szCs w:val="18"/>
              </w:rPr>
              <w:t>Typ podpory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82" w:rsidRPr="009E7F82" w:rsidRDefault="009E7F82" w:rsidP="009E7F82">
            <w:pPr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E7F82">
              <w:rPr>
                <w:rFonts w:cs="Arial"/>
                <w:b/>
                <w:bCs/>
                <w:sz w:val="18"/>
                <w:szCs w:val="18"/>
              </w:rPr>
              <w:t>Míra podpory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82" w:rsidRPr="009E7F82" w:rsidRDefault="009E7F82" w:rsidP="009E7F82">
            <w:pPr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E7F82">
              <w:rPr>
                <w:rFonts w:cs="Arial"/>
                <w:b/>
                <w:bCs/>
                <w:sz w:val="18"/>
                <w:szCs w:val="18"/>
              </w:rPr>
              <w:t>Vlastní zdroje žadatele</w:t>
            </w:r>
          </w:p>
        </w:tc>
      </w:tr>
      <w:tr w:rsidR="009E7F82" w:rsidRPr="009E7F82" w:rsidTr="008D012B">
        <w:trPr>
          <w:cantSplit/>
          <w:trHeight w:val="225"/>
        </w:trPr>
        <w:tc>
          <w:tcPr>
            <w:tcW w:w="4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E7F82" w:rsidRPr="009E7F82" w:rsidRDefault="009E7F82" w:rsidP="009E7F8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7F82" w:rsidRPr="009E7F82" w:rsidRDefault="009E7F82" w:rsidP="009E7F8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7F82" w:rsidRPr="009E7F82" w:rsidRDefault="009E7F82" w:rsidP="009E7F8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E7F82" w:rsidRPr="009E7F82" w:rsidTr="008D012B">
        <w:trPr>
          <w:trHeight w:val="525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82" w:rsidRPr="009E7F82" w:rsidRDefault="009E7F82" w:rsidP="009E7F82">
            <w:pPr>
              <w:ind w:left="57"/>
              <w:textAlignment w:val="auto"/>
              <w:rPr>
                <w:rFonts w:cs="Arial"/>
                <w:sz w:val="18"/>
                <w:szCs w:val="18"/>
              </w:rPr>
            </w:pPr>
            <w:r w:rsidRPr="009E7F82">
              <w:rPr>
                <w:rFonts w:cs="Arial"/>
                <w:sz w:val="18"/>
                <w:szCs w:val="18"/>
              </w:rPr>
              <w:t>výzkumná infrastruktura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82" w:rsidRPr="009E7F82" w:rsidRDefault="009E7F82" w:rsidP="009E7F82">
            <w:pPr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E7F82">
              <w:rPr>
                <w:rFonts w:cs="Arial"/>
                <w:b/>
                <w:bCs/>
                <w:sz w:val="18"/>
                <w:szCs w:val="18"/>
              </w:rPr>
              <w:t>50,0 %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82" w:rsidRPr="009E7F82" w:rsidRDefault="009E7F82" w:rsidP="009E7F82">
            <w:pPr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9E7F82">
              <w:rPr>
                <w:rFonts w:cs="Arial"/>
                <w:sz w:val="18"/>
                <w:szCs w:val="18"/>
              </w:rPr>
              <w:t>50,0 %</w:t>
            </w:r>
          </w:p>
        </w:tc>
      </w:tr>
    </w:tbl>
    <w:p w:rsidR="009E7F82" w:rsidRPr="009E7F82" w:rsidRDefault="009E7F82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</w:p>
    <w:p w:rsidR="009E7F82" w:rsidRDefault="009E7F82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</w:p>
    <w:p w:rsidR="007A7557" w:rsidRDefault="007A7557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</w:p>
    <w:p w:rsidR="007A7557" w:rsidRPr="009E7F82" w:rsidRDefault="007A7557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  <w:bookmarkStart w:id="0" w:name="_GoBack"/>
      <w:bookmarkEnd w:id="0"/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lastRenderedPageBreak/>
        <w:t>8. Doba trvání individuálních projektů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Realizace projektu musí být zahájena nejpozději do 6 měsíců od schválení podpory Zastupitelstvem hl. m. Prahy a ukončena nejpozději do 30. 9. 2015. Projekt nesmí být ukončen před podpisem smlouvy.</w:t>
      </w:r>
    </w:p>
    <w:p w:rsidR="009E7F82" w:rsidRPr="009E7F82" w:rsidRDefault="009E7F82" w:rsidP="009E7F82">
      <w:pPr>
        <w:rPr>
          <w:rFonts w:cs="Arial"/>
          <w:b/>
          <w:sz w:val="20"/>
        </w:rPr>
      </w:pPr>
    </w:p>
    <w:p w:rsidR="009E7F82" w:rsidRPr="009E7F82" w:rsidRDefault="009E7F82" w:rsidP="009E7F82">
      <w:pPr>
        <w:rPr>
          <w:rFonts w:cs="Arial"/>
          <w:b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  <w:szCs w:val="24"/>
        </w:rPr>
      </w:pPr>
      <w:r w:rsidRPr="009E7F82">
        <w:rPr>
          <w:rFonts w:cs="Arial"/>
          <w:b/>
          <w:bCs/>
          <w:sz w:val="20"/>
          <w:szCs w:val="24"/>
        </w:rPr>
        <w:t>9. Časová způsobilost výdajů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V případě, že projekt nezakládá veřejnou podporu, jsou výdaje způsobilé pro podporu z OPPK v rámci 14. výzvy k předkládání projektů jestliže vznikly a byly skutečně uhrazeny po datu od 1. 5. 2014. V případě, že projekt zakládá veřejnou podporu, </w:t>
      </w:r>
      <w:r w:rsidRPr="009E7F82">
        <w:rPr>
          <w:rFonts w:cs="Arial"/>
          <w:sz w:val="20"/>
          <w:u w:val="single"/>
        </w:rPr>
        <w:t>výdaje jsou způsobilé od data podání žádosti,</w:t>
      </w:r>
      <w:r w:rsidRPr="009E7F82">
        <w:rPr>
          <w:rFonts w:cs="Arial"/>
          <w:sz w:val="20"/>
        </w:rPr>
        <w:t xml:space="preserve"> a to jak při aplikaci </w:t>
      </w:r>
      <w:r w:rsidRPr="009E7F82">
        <w:rPr>
          <w:rFonts w:cs="Arial"/>
          <w:b/>
          <w:sz w:val="20"/>
        </w:rPr>
        <w:t>Nařízení Komise (EU) č. 1407/2013</w:t>
      </w:r>
      <w:r w:rsidRPr="009E7F82">
        <w:rPr>
          <w:rFonts w:cs="Arial"/>
          <w:sz w:val="20"/>
        </w:rPr>
        <w:t xml:space="preserve">, o použití článků 107 a 108 Smlouvy o fungování Evropské unie na podporu pravidla de </w:t>
      </w:r>
      <w:proofErr w:type="spellStart"/>
      <w:r w:rsidRPr="009E7F82">
        <w:rPr>
          <w:rFonts w:cs="Arial"/>
          <w:sz w:val="20"/>
        </w:rPr>
        <w:t>minimis</w:t>
      </w:r>
      <w:proofErr w:type="spellEnd"/>
      <w:r w:rsidRPr="009E7F82">
        <w:rPr>
          <w:rFonts w:cs="Arial"/>
          <w:sz w:val="20"/>
        </w:rPr>
        <w:t xml:space="preserve">, tak i při aplikaci </w:t>
      </w:r>
      <w:r w:rsidRPr="009E7F82">
        <w:rPr>
          <w:rFonts w:cs="Arial"/>
          <w:b/>
          <w:sz w:val="20"/>
        </w:rPr>
        <w:t>Nařízení Komise (EU) č. 651/2014</w:t>
      </w:r>
      <w:r w:rsidRPr="009E7F82">
        <w:rPr>
          <w:rFonts w:cs="Arial"/>
          <w:sz w:val="20"/>
        </w:rPr>
        <w:t>, kterým se v souladu s články 107 a 108 Smlouvy prohlašují určité kategorie podpory za slučitelné s vnitřním trhem.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10. Formální podoba žádosti a způsob jejího podávání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Projektová žádost musí být vyplněna v předepsaném elektronickém formuláři v programu Benefit7, který se vyplňuje on-line na stránkách </w:t>
      </w:r>
      <w:proofErr w:type="gramStart"/>
      <w:r w:rsidRPr="009E7F82">
        <w:rPr>
          <w:rFonts w:cs="Arial"/>
          <w:sz w:val="20"/>
        </w:rPr>
        <w:t>www.eu-zadost</w:t>
      </w:r>
      <w:proofErr w:type="gramEnd"/>
      <w:r w:rsidRPr="009E7F82">
        <w:rPr>
          <w:rFonts w:cs="Arial"/>
          <w:sz w:val="20"/>
        </w:rPr>
        <w:t>.cz. Pokyny k vyplnění žádosti jsou uvedeny na internetových stránkách www.oppk.cz.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Po finálním uložení elektronické podoby projektové žádosti je nutné žádost vytisknout, podepsat statutárním zástupcem žadatele (nebo jinou oprávněnou osobou s plnou mocí) a předložit. Listinná podoba žádosti musí mít stejný identifikační kód jako elektronická forma. Tento kód žádostem přiděluje program Benefit7.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</w:rPr>
      </w:pPr>
      <w:r w:rsidRPr="009E7F82">
        <w:rPr>
          <w:rFonts w:cs="Arial"/>
          <w:color w:val="000000"/>
          <w:sz w:val="20"/>
        </w:rPr>
        <w:t xml:space="preserve">Originál tištěné verze žádosti a všechny povinné a nepovinné přílohy se předkládají v souladu s platnou Projektovou příručkou, verze 5.3 pro 14. výzvu OPPK, kapitola 5 Seznam povinných příloh. Jednotlivé listy žádosti musí být pevně spojeny. Jednotlivé přílohy musí být očíslované v souladu se seznamem příloh. Pokud mají přílohy více než jeden list, musí být tyto listy pevně spojené. 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</w:rPr>
      </w:pPr>
      <w:r w:rsidRPr="009E7F82">
        <w:rPr>
          <w:rFonts w:cs="Arial"/>
          <w:color w:val="000000"/>
          <w:sz w:val="20"/>
        </w:rPr>
        <w:t>Žádost a všechny přílohy se předkládají v řádně zalepené obálce, na které musí být připevněn „štítek na obálku“, který je automaticky generován z programu Benefit7.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  <w:szCs w:val="24"/>
        </w:rPr>
      </w:pPr>
      <w:r w:rsidRPr="009E7F82">
        <w:rPr>
          <w:rFonts w:cs="Arial"/>
          <w:b/>
          <w:bCs/>
          <w:sz w:val="20"/>
          <w:szCs w:val="24"/>
        </w:rPr>
        <w:t xml:space="preserve">11. </w:t>
      </w:r>
      <w:r w:rsidRPr="009E7F82">
        <w:rPr>
          <w:rFonts w:cs="Arial"/>
          <w:b/>
          <w:bCs/>
          <w:color w:val="000000"/>
          <w:sz w:val="20"/>
        </w:rPr>
        <w:t>Termín a místo pro překládání projektových žádostí – KONTINUÁLNÍ VÝZVA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b/>
          <w:bCs/>
          <w:color w:val="000000"/>
          <w:sz w:val="20"/>
        </w:rPr>
      </w:pPr>
      <w:r w:rsidRPr="009E7F82">
        <w:rPr>
          <w:rFonts w:cs="Arial"/>
          <w:color w:val="000000"/>
          <w:sz w:val="20"/>
        </w:rPr>
        <w:t>Listinnou podobu projektové žádosti je možné předkládat pouze osobně od 30. 7. 2014 průběžně</w:t>
      </w:r>
      <w:r w:rsidRPr="009E7F82">
        <w:rPr>
          <w:rFonts w:cs="Arial"/>
          <w:b/>
          <w:bCs/>
          <w:color w:val="000000"/>
          <w:sz w:val="20"/>
        </w:rPr>
        <w:t>. Nejzazší termín pro podání žádosti je 10. 12. 2014 do 14.00 hodin nebo do vyčerpání alokace</w:t>
      </w:r>
      <w:r w:rsidRPr="009E7F82">
        <w:rPr>
          <w:rFonts w:cs="Arial"/>
          <w:b/>
          <w:bCs/>
          <w:sz w:val="20"/>
          <w:vertAlign w:val="superscript"/>
        </w:rPr>
        <w:footnoteReference w:id="2"/>
      </w:r>
      <w:r w:rsidRPr="009E7F82">
        <w:rPr>
          <w:rFonts w:ascii="Times New Roman" w:hAnsi="Times New Roman"/>
          <w:b/>
          <w:bCs/>
          <w:sz w:val="24"/>
        </w:rPr>
        <w:t xml:space="preserve">. </w:t>
      </w:r>
      <w:r w:rsidRPr="009E7F82">
        <w:rPr>
          <w:rFonts w:cs="Arial"/>
          <w:b/>
          <w:sz w:val="20"/>
        </w:rPr>
        <w:t>Vše</w:t>
      </w:r>
      <w:r w:rsidRPr="009E7F82">
        <w:rPr>
          <w:rFonts w:cs="Arial"/>
          <w:b/>
          <w:bCs/>
          <w:color w:val="000000"/>
          <w:sz w:val="20"/>
        </w:rPr>
        <w:t xml:space="preserve">chny žádosti doručené po stanoveném datu a čase budou automaticky vyřazeny. 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0"/>
        </w:rPr>
      </w:pPr>
      <w:r w:rsidRPr="009E7F82">
        <w:rPr>
          <w:rFonts w:cs="Arial"/>
          <w:color w:val="000000"/>
          <w:sz w:val="20"/>
        </w:rPr>
        <w:t xml:space="preserve">Místem pro předkládání projektových žádostí je oddělení Evropského fondu pro regionální rozvoj, odbor evropských fondů Magistrátu hl. m. Prahy na adrese Jungmannova 29/35, Praha 1, </w:t>
      </w:r>
      <w:r w:rsidRPr="009E7F82">
        <w:rPr>
          <w:rFonts w:cs="Arial"/>
          <w:sz w:val="20"/>
        </w:rPr>
        <w:t>2. patro, dveře č. 203c.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b/>
          <w:color w:val="000000"/>
          <w:sz w:val="20"/>
        </w:rPr>
      </w:pPr>
      <w:r w:rsidRPr="009E7F82">
        <w:rPr>
          <w:rFonts w:cs="Arial"/>
          <w:color w:val="000000"/>
          <w:sz w:val="20"/>
        </w:rPr>
        <w:t>Příjem žádostí probíhá v návštěvní dny Magistrátu hl. m. Prahy (</w:t>
      </w:r>
      <w:proofErr w:type="gramStart"/>
      <w:r w:rsidRPr="009E7F82">
        <w:rPr>
          <w:rFonts w:cs="Arial"/>
          <w:color w:val="000000"/>
          <w:sz w:val="20"/>
        </w:rPr>
        <w:t>po</w:t>
      </w:r>
      <w:proofErr w:type="gramEnd"/>
      <w:r w:rsidRPr="009E7F82">
        <w:rPr>
          <w:rFonts w:cs="Arial"/>
          <w:color w:val="000000"/>
          <w:sz w:val="20"/>
        </w:rPr>
        <w:t>: 12,00-17,00 hod., st: 9,00-16,00 hod.) i mimo návštěvní dny, po předchozí dohodě.</w:t>
      </w:r>
    </w:p>
    <w:p w:rsidR="009E7F82" w:rsidRPr="009E7F82" w:rsidRDefault="009E7F82" w:rsidP="009E7F82">
      <w:pPr>
        <w:tabs>
          <w:tab w:val="left" w:pos="360"/>
        </w:tabs>
        <w:overflowPunct/>
        <w:autoSpaceDE/>
        <w:autoSpaceDN/>
        <w:adjustRightInd/>
        <w:spacing w:after="120"/>
        <w:textAlignment w:val="auto"/>
        <w:outlineLvl w:val="6"/>
        <w:rPr>
          <w:rFonts w:cs="Arial"/>
          <w:b/>
          <w:bCs/>
          <w:color w:val="000000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12. Předpokládaný termín schválení projektových žádostí Zastupitelstvem hl. m. Prahy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Průběžně, dle harmonogramu stanoveného v Projektové příručce OPPK, verze 5.3, tj. nejpozději do 20 týdnů od přijetí žádosti.</w:t>
      </w: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b/>
          <w:bCs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lastRenderedPageBreak/>
        <w:t>13. Místo realizace projektů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Projekt musí být realizován na území hl. m. Prahy. U investičních projektů je místem realizace vždy místo fyzické realizace projektu. </w:t>
      </w:r>
    </w:p>
    <w:p w:rsidR="009E7F82" w:rsidRPr="009E7F82" w:rsidRDefault="009E7F82" w:rsidP="009E7F82">
      <w:pPr>
        <w:rPr>
          <w:rFonts w:cs="Arial"/>
          <w:b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14. Projektová příručka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Informace o požadavcích na projekty podporované z OPPK je možné získat v Projektové příručce OPPK verze 5.3, která je k dispozici na internetové adrese </w:t>
      </w:r>
      <w:hyperlink r:id="rId8" w:history="1">
        <w:r w:rsidRPr="009E7F82">
          <w:rPr>
            <w:rFonts w:cs="Arial"/>
            <w:sz w:val="20"/>
          </w:rPr>
          <w:t>www.oppk.cz</w:t>
        </w:r>
      </w:hyperlink>
      <w:r w:rsidRPr="009E7F82">
        <w:rPr>
          <w:rFonts w:cs="Arial"/>
          <w:sz w:val="20"/>
        </w:rPr>
        <w:t xml:space="preserve">. </w:t>
      </w:r>
    </w:p>
    <w:p w:rsidR="009E7F82" w:rsidRPr="009E7F82" w:rsidRDefault="009E7F82" w:rsidP="009E7F82">
      <w:pPr>
        <w:overflowPunct/>
        <w:autoSpaceDE/>
        <w:autoSpaceDN/>
        <w:adjustRightInd/>
        <w:spacing w:after="120"/>
        <w:jc w:val="both"/>
        <w:textAlignment w:val="auto"/>
        <w:rPr>
          <w:rFonts w:cs="Arial"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b/>
          <w:bCs/>
          <w:sz w:val="20"/>
          <w:szCs w:val="24"/>
        </w:rPr>
        <w:t>15. Kontaktní informace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Magistrát hl. m. Prahy, odbor evropských fondů, oddělení Evropského fondu pro regionální rozvoj Jungmannova 29/35, Praha 1.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sz w:val="20"/>
        </w:rPr>
      </w:pPr>
      <w:r w:rsidRPr="009E7F82">
        <w:rPr>
          <w:rFonts w:cs="Arial"/>
          <w:sz w:val="20"/>
        </w:rPr>
        <w:t xml:space="preserve">Mgr. Markéta Králová - </w:t>
      </w:r>
      <w:r w:rsidRPr="009E7F82">
        <w:rPr>
          <w:rFonts w:cs="Arial"/>
          <w:i/>
          <w:iCs/>
          <w:sz w:val="20"/>
        </w:rPr>
        <w:t>programová manažerka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E-mail: </w:t>
      </w:r>
      <w:hyperlink r:id="rId9" w:history="1">
        <w:r w:rsidRPr="009E7F82">
          <w:rPr>
            <w:rFonts w:cs="Arial"/>
            <w:color w:val="0000FF"/>
            <w:sz w:val="20"/>
            <w:u w:val="single"/>
          </w:rPr>
          <w:t>Marketa.Kralova@praha.eu</w:t>
        </w:r>
      </w:hyperlink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Tel.: 236 002 973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Mgr. Jana Rylichová - </w:t>
      </w:r>
      <w:r w:rsidRPr="009E7F82">
        <w:rPr>
          <w:rFonts w:cs="Arial"/>
          <w:i/>
          <w:iCs/>
          <w:sz w:val="20"/>
        </w:rPr>
        <w:t>projektová</w:t>
      </w:r>
      <w:r w:rsidRPr="009E7F82">
        <w:rPr>
          <w:rFonts w:cs="Arial"/>
          <w:sz w:val="20"/>
        </w:rPr>
        <w:t xml:space="preserve"> </w:t>
      </w:r>
      <w:r w:rsidRPr="009E7F82">
        <w:rPr>
          <w:rFonts w:cs="Arial"/>
          <w:i/>
          <w:iCs/>
          <w:sz w:val="20"/>
        </w:rPr>
        <w:t>manažerka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E-mail: </w:t>
      </w:r>
      <w:hyperlink r:id="rId10" w:history="1">
        <w:r w:rsidRPr="009E7F82">
          <w:rPr>
            <w:rFonts w:cs="Arial"/>
            <w:color w:val="0000FF"/>
            <w:sz w:val="20"/>
            <w:u w:val="single"/>
          </w:rPr>
          <w:t>Jana.Rylichova@praha.eu</w:t>
        </w:r>
      </w:hyperlink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Tel.: 236 002 066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i/>
          <w:sz w:val="20"/>
        </w:rPr>
      </w:pPr>
      <w:r w:rsidRPr="009E7F82">
        <w:rPr>
          <w:rFonts w:cs="Arial"/>
          <w:sz w:val="20"/>
        </w:rPr>
        <w:t xml:space="preserve">Ing. Denisa </w:t>
      </w:r>
      <w:proofErr w:type="spellStart"/>
      <w:r w:rsidRPr="009E7F82">
        <w:rPr>
          <w:rFonts w:cs="Arial"/>
          <w:sz w:val="20"/>
        </w:rPr>
        <w:t>Šlemrová</w:t>
      </w:r>
      <w:proofErr w:type="spellEnd"/>
      <w:r w:rsidRPr="009E7F82">
        <w:rPr>
          <w:rFonts w:cs="Arial"/>
          <w:sz w:val="20"/>
        </w:rPr>
        <w:t xml:space="preserve"> – </w:t>
      </w:r>
      <w:r w:rsidRPr="009E7F82">
        <w:rPr>
          <w:rFonts w:cs="Arial"/>
          <w:i/>
          <w:sz w:val="20"/>
        </w:rPr>
        <w:t>projektová manažerka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 xml:space="preserve">E-mail: </w:t>
      </w:r>
      <w:hyperlink r:id="rId11" w:history="1">
        <w:r w:rsidRPr="009E7F82">
          <w:rPr>
            <w:rFonts w:cs="Arial"/>
            <w:color w:val="0000FF"/>
            <w:sz w:val="20"/>
            <w:u w:val="single"/>
          </w:rPr>
          <w:t>Denisa.Slemrova@praha.eu</w:t>
        </w:r>
      </w:hyperlink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9E7F82">
        <w:rPr>
          <w:rFonts w:cs="Arial"/>
          <w:sz w:val="20"/>
        </w:rPr>
        <w:t>Tel.:236 002 2352</w:t>
      </w:r>
    </w:p>
    <w:p w:rsidR="009E7F82" w:rsidRPr="009E7F82" w:rsidRDefault="009E7F82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9E7F82" w:rsidRPr="009E7F82" w:rsidRDefault="00EA5798" w:rsidP="009E7F82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hyperlink r:id="rId12" w:history="1">
        <w:r w:rsidR="009E7F82" w:rsidRPr="009E7F82">
          <w:rPr>
            <w:rFonts w:cs="Arial"/>
            <w:sz w:val="20"/>
          </w:rPr>
          <w:t>www.oppk.cz</w:t>
        </w:r>
      </w:hyperlink>
    </w:p>
    <w:p w:rsidR="00E03FCC" w:rsidRDefault="00E03FCC" w:rsidP="009E7F82">
      <w:pPr>
        <w:pStyle w:val="Nadpis3"/>
        <w:ind w:right="72"/>
        <w:jc w:val="center"/>
      </w:pPr>
    </w:p>
    <w:sectPr w:rsidR="00E03FC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98" w:rsidRDefault="00EA5798" w:rsidP="00334D87">
      <w:r>
        <w:separator/>
      </w:r>
    </w:p>
  </w:endnote>
  <w:endnote w:type="continuationSeparator" w:id="0">
    <w:p w:rsidR="00EA5798" w:rsidRDefault="00EA5798" w:rsidP="0033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87" w:rsidRDefault="00334D87" w:rsidP="00334D87">
    <w:pPr>
      <w:pStyle w:val="Zpat"/>
      <w:rPr>
        <w:b/>
        <w:sz w:val="20"/>
      </w:rPr>
    </w:pPr>
    <w:r w:rsidRPr="00C07EBC">
      <w:rPr>
        <w:b/>
        <w:sz w:val="20"/>
      </w:rPr>
      <w:t>Evropský fond pro regionální rozvoj</w:t>
    </w:r>
  </w:p>
  <w:p w:rsidR="00334D87" w:rsidRPr="00C07EBC" w:rsidRDefault="00334D87" w:rsidP="00334D87">
    <w:pPr>
      <w:pStyle w:val="Zpat"/>
      <w:rPr>
        <w:b/>
        <w:sz w:val="20"/>
      </w:rPr>
    </w:pPr>
    <w:r w:rsidRPr="00C07EBC">
      <w:rPr>
        <w:b/>
        <w:sz w:val="20"/>
      </w:rPr>
      <w:t>Praha a EU – Investujeme do vaší budoucnosti</w:t>
    </w:r>
  </w:p>
  <w:p w:rsidR="00334D87" w:rsidRDefault="00334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98" w:rsidRDefault="00EA5798" w:rsidP="00334D87">
      <w:r>
        <w:separator/>
      </w:r>
    </w:p>
  </w:footnote>
  <w:footnote w:type="continuationSeparator" w:id="0">
    <w:p w:rsidR="00EA5798" w:rsidRDefault="00EA5798" w:rsidP="00334D87">
      <w:r>
        <w:continuationSeparator/>
      </w:r>
    </w:p>
  </w:footnote>
  <w:footnote w:id="1">
    <w:p w:rsidR="009E7F82" w:rsidRDefault="009E7F82" w:rsidP="009E7F82">
      <w:pPr>
        <w:pStyle w:val="Textpoznpodarou"/>
      </w:pPr>
      <w:r>
        <w:rPr>
          <w:rStyle w:val="Znakapoznpodarou"/>
        </w:rPr>
        <w:t>1</w:t>
      </w:r>
      <w:r>
        <w:t xml:space="preserve"> Definice veřejnoprávního subjektu je uvedena v Projektové příručce OPPK, verze 5.3</w:t>
      </w:r>
    </w:p>
  </w:footnote>
  <w:footnote w:id="2">
    <w:p w:rsidR="009E7F82" w:rsidRDefault="009E7F82" w:rsidP="009E7F82">
      <w:pPr>
        <w:pStyle w:val="Textpoznpodarou"/>
      </w:pPr>
      <w:r>
        <w:rPr>
          <w:rStyle w:val="Znakapoznpodarou"/>
        </w:rPr>
        <w:footnoteRef/>
      </w:r>
      <w:r>
        <w:t xml:space="preserve"> Informace o vyčerpání alokace bude zveřejněna na internetových stránkách </w:t>
      </w:r>
      <w:hyperlink r:id="rId1" w:history="1">
        <w:r w:rsidRPr="00173821">
          <w:rPr>
            <w:rStyle w:val="Hypertextovodkaz"/>
          </w:rPr>
          <w:t>www.oppk.cz</w:t>
        </w:r>
      </w:hyperlink>
      <w:r>
        <w:t xml:space="preserve"> v sekci Aktuality.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1"/>
      <w:gridCol w:w="2193"/>
      <w:gridCol w:w="1508"/>
    </w:tblGrid>
    <w:tr w:rsidR="00334D87" w:rsidTr="008D012B">
      <w:tc>
        <w:tcPr>
          <w:tcW w:w="5471" w:type="dxa"/>
          <w:vAlign w:val="center"/>
        </w:tcPr>
        <w:p w:rsidR="00334D87" w:rsidRDefault="00334D87" w:rsidP="008D012B">
          <w:pPr>
            <w:pStyle w:val="normln0"/>
            <w:ind w:left="157"/>
            <w:jc w:val="left"/>
          </w:pPr>
          <w:r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54.75pt" o:ole="">
                <v:imagedata r:id="rId1" o:title=""/>
              </v:shape>
              <o:OLEObject Type="Embed" ProgID="MSPhotoEd.3" ShapeID="_x0000_i1025" DrawAspect="Content" ObjectID="_1468215027" r:id="rId2"/>
            </w:object>
          </w:r>
        </w:p>
      </w:tc>
      <w:tc>
        <w:tcPr>
          <w:tcW w:w="2193" w:type="dxa"/>
          <w:vAlign w:val="center"/>
        </w:tcPr>
        <w:p w:rsidR="00334D87" w:rsidRDefault="00334D87" w:rsidP="008D012B">
          <w:pPr>
            <w:pStyle w:val="normln0"/>
            <w:ind w:right="42"/>
            <w:jc w:val="right"/>
          </w:pPr>
          <w:r>
            <w:rPr>
              <w:noProof/>
              <w:sz w:val="16"/>
            </w:rPr>
            <w:drawing>
              <wp:inline distT="0" distB="0" distL="0" distR="0">
                <wp:extent cx="685800" cy="685800"/>
                <wp:effectExtent l="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8" w:type="dxa"/>
          <w:vAlign w:val="center"/>
        </w:tcPr>
        <w:p w:rsidR="00334D87" w:rsidRDefault="00334D87" w:rsidP="008D012B">
          <w:pPr>
            <w:pStyle w:val="normln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828675" cy="552450"/>
                <wp:effectExtent l="0" t="0" r="9525" b="0"/>
                <wp:docPr id="1" name="Obrázek 1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4D87" w:rsidRDefault="00334D87" w:rsidP="008D012B">
          <w:pPr>
            <w:pStyle w:val="normln0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EVROPSKÁ UNIE</w:t>
          </w:r>
        </w:p>
      </w:tc>
    </w:tr>
  </w:tbl>
  <w:p w:rsidR="00334D87" w:rsidRDefault="00334D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35A"/>
    <w:multiLevelType w:val="hybridMultilevel"/>
    <w:tmpl w:val="CE52D9A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7D07FE"/>
    <w:multiLevelType w:val="hybridMultilevel"/>
    <w:tmpl w:val="DA186884"/>
    <w:lvl w:ilvl="0" w:tplc="1A442BE2">
      <w:start w:val="1"/>
      <w:numFmt w:val="decimal"/>
      <w:pStyle w:val="Nadpis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4859"/>
    <w:multiLevelType w:val="hybridMultilevel"/>
    <w:tmpl w:val="5FD2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A29AB"/>
    <w:multiLevelType w:val="hybridMultilevel"/>
    <w:tmpl w:val="A3FA1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56A97"/>
    <w:multiLevelType w:val="hybridMultilevel"/>
    <w:tmpl w:val="D91C98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87"/>
    <w:rsid w:val="00205B6B"/>
    <w:rsid w:val="00327B4D"/>
    <w:rsid w:val="00334D87"/>
    <w:rsid w:val="004C51C9"/>
    <w:rsid w:val="007A7557"/>
    <w:rsid w:val="009E7F82"/>
    <w:rsid w:val="00BE33BB"/>
    <w:rsid w:val="00C86F5A"/>
    <w:rsid w:val="00D60710"/>
    <w:rsid w:val="00E03FCC"/>
    <w:rsid w:val="00E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aliases w:val="adpis 3,Nadpis 3 Char1,Nadpis 3 Char Char,adpis 3 Char Char1 Char,Nadpis 3 Char1 Char Char,Nadpis 3 Char Char Char Char,adpis 3 Char Char Char1 Char,Nadpis 3 Char1 Char Char Char Char,Nadpis 3 Char Char Char Char Char Char"/>
    <w:basedOn w:val="Normln"/>
    <w:next w:val="Normln"/>
    <w:link w:val="Nadpis3Char"/>
    <w:qFormat/>
    <w:rsid w:val="00334D87"/>
    <w:pPr>
      <w:keepNext/>
      <w:overflowPunct/>
      <w:autoSpaceDE/>
      <w:autoSpaceDN/>
      <w:adjustRightInd/>
      <w:spacing w:before="240" w:after="120"/>
      <w:ind w:right="1134"/>
      <w:jc w:val="both"/>
      <w:textAlignment w:val="auto"/>
      <w:outlineLvl w:val="2"/>
    </w:pPr>
    <w:rPr>
      <w:rFonts w:cs="Arial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7F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334D87"/>
    <w:pPr>
      <w:numPr>
        <w:numId w:val="1"/>
      </w:numPr>
      <w:overflowPunct/>
      <w:autoSpaceDE/>
      <w:autoSpaceDN/>
      <w:adjustRightInd/>
      <w:spacing w:before="120" w:after="120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adpis 3 Char,Nadpis 3 Char1 Char,Nadpis 3 Char Char Char,adpis 3 Char Char1 Char Char,Nadpis 3 Char1 Char Char Char,Nadpis 3 Char Char Char Char Char,adpis 3 Char Char Char1 Char Char,Nadpis 3 Char1 Char Char Char Char Char"/>
    <w:basedOn w:val="Standardnpsmoodstavce"/>
    <w:link w:val="Nadpis3"/>
    <w:rsid w:val="00334D87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34D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0">
    <w:name w:val="normální"/>
    <w:basedOn w:val="Normln"/>
    <w:rsid w:val="00334D8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styleId="Hypertextovodkaz">
    <w:name w:val="Hyperlink"/>
    <w:rsid w:val="00334D87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34D8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4D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34D87"/>
    <w:rPr>
      <w:b/>
      <w:noProof w:val="0"/>
      <w:lang w:val="cs-CZ"/>
    </w:rPr>
  </w:style>
  <w:style w:type="paragraph" w:customStyle="1" w:styleId="AMskupiny">
    <w:name w:val="AM_skupiny"/>
    <w:basedOn w:val="Normln"/>
    <w:rsid w:val="00334D87"/>
    <w:pPr>
      <w:numPr>
        <w:ilvl w:val="12"/>
      </w:num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40"/>
    </w:pPr>
    <w:rPr>
      <w:rFonts w:ascii="Times New Roman" w:hAnsi="Times New Roman"/>
      <w:sz w:val="24"/>
    </w:rPr>
  </w:style>
  <w:style w:type="paragraph" w:styleId="Textpoznpodarou">
    <w:name w:val="footnote text"/>
    <w:aliases w:val="Footnote,Text poznámky pod čiarou 007,Text pozn. pod čarou Char2,Text pozn. pod čarou Char Char,Text pozn. pod čarou Char1 Char,Schriftart: 8 pt Char,Text pozn. pod čarou Char1,Schriftart: 8 pt,Geneva 9,f"/>
    <w:basedOn w:val="Normln"/>
    <w:link w:val="TextpoznpodarouChar3"/>
    <w:semiHidden/>
    <w:rsid w:val="00334D87"/>
    <w:pPr>
      <w:overflowPunct/>
      <w:autoSpaceDE/>
      <w:autoSpaceDN/>
      <w:adjustRightInd/>
      <w:spacing w:before="120"/>
      <w:jc w:val="both"/>
      <w:textAlignment w:val="auto"/>
    </w:pPr>
    <w:rPr>
      <w:rFonts w:cs="Arial"/>
      <w:sz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334D8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semiHidden/>
    <w:rsid w:val="00334D87"/>
    <w:rPr>
      <w:vertAlign w:val="superscript"/>
    </w:rPr>
  </w:style>
  <w:style w:type="paragraph" w:customStyle="1" w:styleId="AMzkladn">
    <w:name w:val="AM_základní"/>
    <w:basedOn w:val="Normln"/>
    <w:rsid w:val="00334D87"/>
    <w:pPr>
      <w:numPr>
        <w:ilvl w:val="12"/>
      </w:num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TextpoznpodarouChar3">
    <w:name w:val="Text pozn. pod čarou Char3"/>
    <w:aliases w:val="Footnote Char,Text poznámky pod čiarou 007 Char,Text pozn. pod čarou Char2 Char,Text pozn. pod čarou Char Char Char,Text pozn. pod čarou Char1 Char Char,Schriftart: 8 pt Char Char,Text pozn. pod čarou Char1 Char1,Geneva 9 Char"/>
    <w:link w:val="Textpoznpodarou"/>
    <w:semiHidden/>
    <w:locked/>
    <w:rsid w:val="00334D87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4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D87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334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D87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D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7F82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character" w:customStyle="1" w:styleId="FootnoteChar1">
    <w:name w:val="Footnote Char1"/>
    <w:aliases w:val="Text poznámky pod čiarou 007 Char1,Text pozn. pod čarou Char2 Char1,Text pozn. pod čarou Char Char Char1,Text pozn. pod čarou Char1 Char Char1,Schriftart: 8 pt Char Char1,Text pozn. pod čarou Char1 Char2,f Char"/>
    <w:semiHidden/>
    <w:locked/>
    <w:rsid w:val="009E7F8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aliases w:val="adpis 3,Nadpis 3 Char1,Nadpis 3 Char Char,adpis 3 Char Char1 Char,Nadpis 3 Char1 Char Char,Nadpis 3 Char Char Char Char,adpis 3 Char Char Char1 Char,Nadpis 3 Char1 Char Char Char Char,Nadpis 3 Char Char Char Char Char Char"/>
    <w:basedOn w:val="Normln"/>
    <w:next w:val="Normln"/>
    <w:link w:val="Nadpis3Char"/>
    <w:qFormat/>
    <w:rsid w:val="00334D87"/>
    <w:pPr>
      <w:keepNext/>
      <w:overflowPunct/>
      <w:autoSpaceDE/>
      <w:autoSpaceDN/>
      <w:adjustRightInd/>
      <w:spacing w:before="240" w:after="120"/>
      <w:ind w:right="1134"/>
      <w:jc w:val="both"/>
      <w:textAlignment w:val="auto"/>
      <w:outlineLvl w:val="2"/>
    </w:pPr>
    <w:rPr>
      <w:rFonts w:cs="Arial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7F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334D87"/>
    <w:pPr>
      <w:numPr>
        <w:numId w:val="1"/>
      </w:numPr>
      <w:overflowPunct/>
      <w:autoSpaceDE/>
      <w:autoSpaceDN/>
      <w:adjustRightInd/>
      <w:spacing w:before="120" w:after="120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adpis 3 Char,Nadpis 3 Char1 Char,Nadpis 3 Char Char Char,adpis 3 Char Char1 Char Char,Nadpis 3 Char1 Char Char Char,Nadpis 3 Char Char Char Char Char,adpis 3 Char Char Char1 Char Char,Nadpis 3 Char1 Char Char Char Char Char"/>
    <w:basedOn w:val="Standardnpsmoodstavce"/>
    <w:link w:val="Nadpis3"/>
    <w:rsid w:val="00334D87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34D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0">
    <w:name w:val="normální"/>
    <w:basedOn w:val="Normln"/>
    <w:rsid w:val="00334D8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styleId="Hypertextovodkaz">
    <w:name w:val="Hyperlink"/>
    <w:rsid w:val="00334D87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34D8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4D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34D87"/>
    <w:rPr>
      <w:b/>
      <w:noProof w:val="0"/>
      <w:lang w:val="cs-CZ"/>
    </w:rPr>
  </w:style>
  <w:style w:type="paragraph" w:customStyle="1" w:styleId="AMskupiny">
    <w:name w:val="AM_skupiny"/>
    <w:basedOn w:val="Normln"/>
    <w:rsid w:val="00334D87"/>
    <w:pPr>
      <w:numPr>
        <w:ilvl w:val="12"/>
      </w:num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40"/>
    </w:pPr>
    <w:rPr>
      <w:rFonts w:ascii="Times New Roman" w:hAnsi="Times New Roman"/>
      <w:sz w:val="24"/>
    </w:rPr>
  </w:style>
  <w:style w:type="paragraph" w:styleId="Textpoznpodarou">
    <w:name w:val="footnote text"/>
    <w:aliases w:val="Footnote,Text poznámky pod čiarou 007,Text pozn. pod čarou Char2,Text pozn. pod čarou Char Char,Text pozn. pod čarou Char1 Char,Schriftart: 8 pt Char,Text pozn. pod čarou Char1,Schriftart: 8 pt,Geneva 9,f"/>
    <w:basedOn w:val="Normln"/>
    <w:link w:val="TextpoznpodarouChar3"/>
    <w:semiHidden/>
    <w:rsid w:val="00334D87"/>
    <w:pPr>
      <w:overflowPunct/>
      <w:autoSpaceDE/>
      <w:autoSpaceDN/>
      <w:adjustRightInd/>
      <w:spacing w:before="120"/>
      <w:jc w:val="both"/>
      <w:textAlignment w:val="auto"/>
    </w:pPr>
    <w:rPr>
      <w:rFonts w:cs="Arial"/>
      <w:sz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334D8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semiHidden/>
    <w:rsid w:val="00334D87"/>
    <w:rPr>
      <w:vertAlign w:val="superscript"/>
    </w:rPr>
  </w:style>
  <w:style w:type="paragraph" w:customStyle="1" w:styleId="AMzkladn">
    <w:name w:val="AM_základní"/>
    <w:basedOn w:val="Normln"/>
    <w:rsid w:val="00334D87"/>
    <w:pPr>
      <w:numPr>
        <w:ilvl w:val="12"/>
      </w:num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TextpoznpodarouChar3">
    <w:name w:val="Text pozn. pod čarou Char3"/>
    <w:aliases w:val="Footnote Char,Text poznámky pod čiarou 007 Char,Text pozn. pod čarou Char2 Char,Text pozn. pod čarou Char Char Char,Text pozn. pod čarou Char1 Char Char,Schriftart: 8 pt Char Char,Text pozn. pod čarou Char1 Char1,Geneva 9 Char"/>
    <w:link w:val="Textpoznpodarou"/>
    <w:semiHidden/>
    <w:locked/>
    <w:rsid w:val="00334D87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4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D87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334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D87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D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7F82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character" w:customStyle="1" w:styleId="FootnoteChar1">
    <w:name w:val="Footnote Char1"/>
    <w:aliases w:val="Text poznámky pod čiarou 007 Char1,Text pozn. pod čarou Char2 Char1,Text pozn. pod čarou Char Char Char1,Text pozn. pod čarou Char1 Char Char1,Schriftart: 8 pt Char Char1,Text pozn. pod čarou Char1 Char2,f Char"/>
    <w:semiHidden/>
    <w:locked/>
    <w:rsid w:val="009E7F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pk.cz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p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nisa.Slemrova@prah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a.Rylich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a.Kralova@praha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p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Šlemrová Denisa ()</dc:creator>
  <cp:lastModifiedBy>Šlemrová Denisa ()</cp:lastModifiedBy>
  <cp:revision>5</cp:revision>
  <dcterms:created xsi:type="dcterms:W3CDTF">2014-07-29T08:54:00Z</dcterms:created>
  <dcterms:modified xsi:type="dcterms:W3CDTF">2014-07-30T06:44:00Z</dcterms:modified>
</cp:coreProperties>
</file>