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4A" w:rsidRDefault="00E7044A" w:rsidP="00E7044A">
      <w:pPr>
        <w:pBdr>
          <w:top w:val="single" w:sz="4" w:space="6" w:color="auto"/>
          <w:left w:val="single" w:sz="4" w:space="4" w:color="auto"/>
          <w:bottom w:val="single" w:sz="4" w:space="6" w:color="auto"/>
          <w:right w:val="single" w:sz="4" w:space="4" w:color="auto"/>
        </w:pBdr>
        <w:shd w:val="clear" w:color="auto" w:fill="FFFF00"/>
        <w:spacing w:before="120" w:after="120"/>
        <w:jc w:val="center"/>
        <w:rPr>
          <w:rFonts w:eastAsia="MS Mincho"/>
          <w:b/>
        </w:rPr>
      </w:pPr>
      <w:r w:rsidRPr="00E7044A">
        <w:rPr>
          <w:rFonts w:eastAsia="MS Mincho"/>
          <w:b/>
        </w:rPr>
        <w:t>FICHE ON THE "NO OPINION-NO ACTION" CLAUSE IN COMITOLOGY</w:t>
      </w:r>
    </w:p>
    <w:p w:rsidR="00E7044A" w:rsidRPr="00E7044A" w:rsidRDefault="00E7044A" w:rsidP="00E7044A">
      <w:pPr>
        <w:pBdr>
          <w:top w:val="single" w:sz="4" w:space="6" w:color="auto"/>
          <w:left w:val="single" w:sz="4" w:space="4" w:color="auto"/>
          <w:bottom w:val="single" w:sz="4" w:space="6" w:color="auto"/>
          <w:right w:val="single" w:sz="4" w:space="4" w:color="auto"/>
        </w:pBdr>
        <w:shd w:val="clear" w:color="auto" w:fill="FFFF00"/>
        <w:spacing w:before="120" w:after="120"/>
        <w:jc w:val="center"/>
        <w:rPr>
          <w:rFonts w:eastAsia="MS Mincho"/>
          <w:b/>
        </w:rPr>
      </w:pPr>
      <w:r>
        <w:rPr>
          <w:rFonts w:eastAsia="MS Mincho"/>
          <w:b/>
        </w:rPr>
        <w:t>Fiche no 35</w:t>
      </w:r>
    </w:p>
    <w:p w:rsidR="00E7044A" w:rsidRPr="00E7044A" w:rsidRDefault="00E7044A" w:rsidP="00E7044A">
      <w:pPr>
        <w:pBdr>
          <w:top w:val="single" w:sz="4" w:space="6" w:color="auto"/>
          <w:left w:val="single" w:sz="4" w:space="4" w:color="auto"/>
          <w:bottom w:val="single" w:sz="4" w:space="6" w:color="auto"/>
          <w:right w:val="single" w:sz="4" w:space="4" w:color="auto"/>
        </w:pBdr>
        <w:shd w:val="clear" w:color="auto" w:fill="FFFF00"/>
        <w:spacing w:before="120" w:after="120"/>
        <w:jc w:val="center"/>
        <w:rPr>
          <w:rFonts w:eastAsia="MS Mincho"/>
          <w:b/>
        </w:rPr>
      </w:pPr>
      <w:r w:rsidRPr="00E7044A">
        <w:rPr>
          <w:rFonts w:eastAsia="MS Mincho"/>
          <w:b/>
        </w:rPr>
        <w:t>Brussels, 14 May 2013</w:t>
      </w:r>
    </w:p>
    <w:p w:rsidR="00DA33A4" w:rsidRPr="00F00749" w:rsidRDefault="00DA33A4" w:rsidP="00DA33A4">
      <w:pPr>
        <w:pStyle w:val="Annextitle"/>
        <w:spacing w:before="120" w:after="120"/>
        <w:contextualSpacing/>
        <w:rPr>
          <w:sz w:val="24"/>
          <w:szCs w:val="24"/>
        </w:rPr>
      </w:pPr>
    </w:p>
    <w:tbl>
      <w:tblPr>
        <w:tblW w:w="7506" w:type="dxa"/>
        <w:jc w:val="center"/>
        <w:tblInd w:w="4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4"/>
        <w:gridCol w:w="2292"/>
      </w:tblGrid>
      <w:tr w:rsidR="00DA33A4" w:rsidRPr="00F00749" w:rsidTr="009171D1">
        <w:trPr>
          <w:trHeight w:val="567"/>
          <w:jc w:val="center"/>
        </w:trPr>
        <w:tc>
          <w:tcPr>
            <w:tcW w:w="5214" w:type="dxa"/>
            <w:shd w:val="clear" w:color="auto" w:fill="F3F3F3"/>
            <w:vAlign w:val="center"/>
          </w:tcPr>
          <w:p w:rsidR="00DA33A4" w:rsidRPr="005E09B8" w:rsidRDefault="00DA33A4" w:rsidP="009171D1">
            <w:pPr>
              <w:contextualSpacing/>
              <w:jc w:val="center"/>
              <w:rPr>
                <w:b/>
              </w:rPr>
            </w:pPr>
            <w:r w:rsidRPr="005E09B8">
              <w:rPr>
                <w:b/>
              </w:rPr>
              <w:t>Commission Proposal</w:t>
            </w:r>
          </w:p>
        </w:tc>
        <w:tc>
          <w:tcPr>
            <w:tcW w:w="2292" w:type="dxa"/>
            <w:shd w:val="clear" w:color="auto" w:fill="F3F3F3"/>
            <w:vAlign w:val="center"/>
          </w:tcPr>
          <w:p w:rsidR="00DA33A4" w:rsidRPr="00707333" w:rsidRDefault="00DA33A4" w:rsidP="009171D1">
            <w:pPr>
              <w:contextualSpacing/>
              <w:jc w:val="center"/>
              <w:rPr>
                <w:b/>
              </w:rPr>
            </w:pPr>
            <w:r w:rsidRPr="005E09B8">
              <w:rPr>
                <w:b/>
              </w:rPr>
              <w:t>Relevant Article</w:t>
            </w:r>
            <w:r w:rsidRPr="00707333">
              <w:rPr>
                <w:b/>
              </w:rPr>
              <w:t xml:space="preserve"> </w:t>
            </w:r>
          </w:p>
        </w:tc>
      </w:tr>
      <w:tr w:rsidR="00DA33A4" w:rsidRPr="00F00749" w:rsidTr="007E02CE">
        <w:trPr>
          <w:trHeight w:val="567"/>
          <w:jc w:val="center"/>
        </w:trPr>
        <w:tc>
          <w:tcPr>
            <w:tcW w:w="5214" w:type="dxa"/>
            <w:vAlign w:val="center"/>
          </w:tcPr>
          <w:p w:rsidR="00DA33A4" w:rsidRPr="00F00749" w:rsidRDefault="00DA33A4" w:rsidP="009171D1">
            <w:pPr>
              <w:contextualSpacing/>
              <w:jc w:val="center"/>
            </w:pPr>
            <w:r w:rsidRPr="00F00749">
              <w:t>Common Provisions Regulation COM(2011) 615</w:t>
            </w:r>
          </w:p>
        </w:tc>
        <w:tc>
          <w:tcPr>
            <w:tcW w:w="2292" w:type="dxa"/>
            <w:vAlign w:val="center"/>
          </w:tcPr>
          <w:p w:rsidR="00DA33A4" w:rsidRPr="005E09B8" w:rsidRDefault="00DA33A4" w:rsidP="009171D1">
            <w:pPr>
              <w:contextualSpacing/>
              <w:jc w:val="center"/>
            </w:pPr>
            <w:r>
              <w:t>Article</w:t>
            </w:r>
            <w:r w:rsidRPr="00F00749">
              <w:t xml:space="preserve"> </w:t>
            </w:r>
            <w:r>
              <w:t>143</w:t>
            </w:r>
          </w:p>
        </w:tc>
      </w:tr>
    </w:tbl>
    <w:p w:rsidR="00DA33A4" w:rsidRPr="00F00749" w:rsidRDefault="00DA33A4" w:rsidP="00DA33A4">
      <w:pPr>
        <w:spacing w:before="120" w:after="120"/>
        <w:contextualSpacing/>
        <w:jc w:val="center"/>
      </w:pPr>
    </w:p>
    <w:p w:rsidR="00DA33A4" w:rsidRDefault="00DA33A4"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Default="00E7044A" w:rsidP="00DA33A4">
      <w:pPr>
        <w:spacing w:before="120" w:after="120"/>
        <w:contextualSpacing/>
        <w:jc w:val="center"/>
      </w:pPr>
    </w:p>
    <w:p w:rsidR="00E7044A" w:rsidRPr="00F00749" w:rsidRDefault="00E7044A" w:rsidP="00DA33A4">
      <w:pPr>
        <w:spacing w:before="120" w:after="120"/>
        <w:contextualSpacing/>
        <w:jc w:val="center"/>
      </w:pPr>
    </w:p>
    <w:p w:rsidR="009171D1" w:rsidRPr="002B380B" w:rsidRDefault="00E7044A" w:rsidP="00E7044A">
      <w:pPr>
        <w:pStyle w:val="Text1"/>
        <w:pBdr>
          <w:top w:val="single" w:sz="4" w:space="4" w:color="auto"/>
          <w:left w:val="single" w:sz="4" w:space="4" w:color="auto"/>
          <w:bottom w:val="single" w:sz="4" w:space="4" w:color="auto"/>
          <w:right w:val="single" w:sz="4" w:space="4" w:color="auto"/>
        </w:pBdr>
        <w:spacing w:before="120" w:after="0" w:line="276" w:lineRule="auto"/>
        <w:ind w:left="0"/>
        <w:jc w:val="center"/>
        <w:rPr>
          <w:i/>
        </w:rPr>
      </w:pPr>
      <w:r w:rsidRPr="00165A9E">
        <w:rPr>
          <w:i/>
        </w:rPr>
        <w:t>This paper has been drawn up on the basis of the proposals for regulations adopted by the European Commission on 6 October 2011</w:t>
      </w:r>
      <w:r>
        <w:rPr>
          <w:i/>
        </w:rPr>
        <w:t xml:space="preserve"> and the subsequent amended proposals for a Common Provisions Regulation. </w:t>
      </w:r>
      <w:r w:rsidRPr="00165A9E">
        <w:rPr>
          <w:i/>
        </w:rPr>
        <w:t>It does not prejudge the final nature of the act, or the content of any delegated or implementing act that may be prepared by the Commission</w:t>
      </w:r>
    </w:p>
    <w:p w:rsidR="00E7044A" w:rsidRDefault="00E7044A">
      <w:pPr>
        <w:spacing w:after="200" w:line="276" w:lineRule="auto"/>
      </w:pPr>
      <w:r>
        <w:br w:type="page"/>
      </w:r>
    </w:p>
    <w:p w:rsidR="007E3073" w:rsidRPr="00F00749" w:rsidRDefault="007E3073" w:rsidP="00E7044A">
      <w:pPr>
        <w:spacing w:before="120" w:after="120" w:line="360" w:lineRule="auto"/>
        <w:contextualSpacing/>
        <w:jc w:val="center"/>
      </w:pPr>
    </w:p>
    <w:p w:rsidR="00F77304" w:rsidRDefault="00F77304" w:rsidP="001F0D34">
      <w:pPr>
        <w:jc w:val="both"/>
        <w:rPr>
          <w:rFonts w:eastAsiaTheme="minorHAnsi"/>
          <w:lang w:eastAsia="en-US"/>
        </w:rPr>
      </w:pPr>
      <w:r w:rsidRPr="00E7044A">
        <w:t xml:space="preserve">The provisions on comitology in the Common Provisions Regulation proposal (CPR) foresee that, under the examination procedure, </w:t>
      </w:r>
      <w:r w:rsidRPr="00E7044A">
        <w:rPr>
          <w:i/>
        </w:rPr>
        <w:t xml:space="preserve">"where </w:t>
      </w:r>
      <w:r w:rsidRPr="00E7044A">
        <w:rPr>
          <w:rFonts w:eastAsiaTheme="minorHAnsi"/>
          <w:i/>
          <w:lang w:eastAsia="en-US"/>
        </w:rPr>
        <w:t>the committee delivers no opinion, the Commission shall not adopt the draft implementing act"</w:t>
      </w:r>
      <w:r w:rsidRPr="00E7044A">
        <w:rPr>
          <w:rFonts w:eastAsiaTheme="minorHAnsi"/>
          <w:lang w:eastAsia="en-US"/>
        </w:rPr>
        <w:t xml:space="preserve"> (Article 143(3)).</w:t>
      </w:r>
    </w:p>
    <w:p w:rsidR="001F0D34" w:rsidRPr="00E7044A" w:rsidRDefault="001F0D34" w:rsidP="001F0D34">
      <w:pPr>
        <w:jc w:val="both"/>
        <w:rPr>
          <w:rFonts w:eastAsiaTheme="minorHAnsi"/>
          <w:lang w:eastAsia="en-US"/>
        </w:rPr>
      </w:pPr>
    </w:p>
    <w:p w:rsidR="000300C4" w:rsidRDefault="000300C4" w:rsidP="001F0D34">
      <w:pPr>
        <w:jc w:val="both"/>
        <w:rPr>
          <w:rFonts w:eastAsiaTheme="minorHAnsi"/>
          <w:lang w:eastAsia="en-US"/>
        </w:rPr>
      </w:pPr>
      <w:r w:rsidRPr="00E7044A">
        <w:rPr>
          <w:rFonts w:eastAsiaTheme="minorHAnsi"/>
          <w:lang w:eastAsia="en-US"/>
        </w:rPr>
        <w:t xml:space="preserve">As negotiations on MFF sectorial proposals have moved on, it now appears that this general clause in the CPR </w:t>
      </w:r>
      <w:r w:rsidR="008429ED" w:rsidRPr="00E7044A">
        <w:rPr>
          <w:rFonts w:eastAsiaTheme="minorHAnsi"/>
          <w:lang w:eastAsia="en-US"/>
        </w:rPr>
        <w:t>stand</w:t>
      </w:r>
      <w:r w:rsidR="00AC54EF" w:rsidRPr="00E7044A">
        <w:rPr>
          <w:rFonts w:eastAsiaTheme="minorHAnsi"/>
          <w:lang w:eastAsia="en-US"/>
        </w:rPr>
        <w:t>s</w:t>
      </w:r>
      <w:r w:rsidRPr="00E7044A">
        <w:rPr>
          <w:rFonts w:eastAsiaTheme="minorHAnsi"/>
          <w:lang w:eastAsia="en-US"/>
        </w:rPr>
        <w:t xml:space="preserve"> as a unique case</w:t>
      </w:r>
      <w:r w:rsidR="00024831" w:rsidRPr="00E7044A">
        <w:rPr>
          <w:rFonts w:eastAsiaTheme="minorHAnsi"/>
          <w:lang w:eastAsia="en-US"/>
        </w:rPr>
        <w:t>, which</w:t>
      </w:r>
      <w:r w:rsidRPr="00E7044A">
        <w:rPr>
          <w:rFonts w:eastAsiaTheme="minorHAnsi"/>
          <w:lang w:eastAsia="en-US"/>
        </w:rPr>
        <w:t xml:space="preserve"> </w:t>
      </w:r>
      <w:r w:rsidR="00AC54EF" w:rsidRPr="00E7044A">
        <w:rPr>
          <w:rFonts w:eastAsiaTheme="minorHAnsi"/>
          <w:lang w:eastAsia="en-US"/>
        </w:rPr>
        <w:t>w</w:t>
      </w:r>
      <w:r w:rsidRPr="00E7044A">
        <w:rPr>
          <w:rFonts w:eastAsiaTheme="minorHAnsi"/>
          <w:lang w:eastAsia="en-US"/>
        </w:rPr>
        <w:t xml:space="preserve">ould lead to an unbalanced </w:t>
      </w:r>
      <w:r w:rsidR="00024831" w:rsidRPr="00E7044A">
        <w:rPr>
          <w:rFonts w:eastAsiaTheme="minorHAnsi"/>
          <w:lang w:eastAsia="en-US"/>
        </w:rPr>
        <w:t>solution</w:t>
      </w:r>
      <w:r w:rsidRPr="00E7044A">
        <w:rPr>
          <w:rFonts w:eastAsiaTheme="minorHAnsi"/>
          <w:lang w:eastAsia="en-US"/>
        </w:rPr>
        <w:t xml:space="preserve"> as compared with </w:t>
      </w:r>
      <w:r w:rsidR="00024831" w:rsidRPr="00E7044A">
        <w:rPr>
          <w:rFonts w:eastAsiaTheme="minorHAnsi"/>
          <w:lang w:eastAsia="en-US"/>
        </w:rPr>
        <w:t xml:space="preserve">implementing procedures for </w:t>
      </w:r>
      <w:r w:rsidRPr="00E7044A">
        <w:rPr>
          <w:rFonts w:eastAsiaTheme="minorHAnsi"/>
          <w:lang w:eastAsia="en-US"/>
        </w:rPr>
        <w:t>other financing programmes.</w:t>
      </w:r>
    </w:p>
    <w:p w:rsidR="001F0D34" w:rsidRPr="00E7044A" w:rsidRDefault="001F0D34" w:rsidP="001F0D34">
      <w:pPr>
        <w:jc w:val="both"/>
        <w:rPr>
          <w:rFonts w:eastAsiaTheme="minorHAnsi"/>
          <w:lang w:eastAsia="en-US"/>
        </w:rPr>
      </w:pPr>
    </w:p>
    <w:p w:rsidR="00FC26CE" w:rsidRDefault="00736EDF" w:rsidP="001F0D34">
      <w:pPr>
        <w:jc w:val="both"/>
        <w:rPr>
          <w:rFonts w:eastAsiaTheme="minorHAnsi"/>
          <w:lang w:eastAsia="en-US"/>
        </w:rPr>
      </w:pPr>
      <w:r w:rsidRPr="00E7044A">
        <w:rPr>
          <w:rFonts w:eastAsiaTheme="minorHAnsi"/>
          <w:lang w:eastAsia="en-US"/>
        </w:rPr>
        <w:t>Indeed, t</w:t>
      </w:r>
      <w:r w:rsidR="00F77304" w:rsidRPr="00E7044A">
        <w:rPr>
          <w:rFonts w:eastAsiaTheme="minorHAnsi"/>
          <w:lang w:eastAsia="en-US"/>
        </w:rPr>
        <w:t>h</w:t>
      </w:r>
      <w:r w:rsidRPr="00E7044A">
        <w:rPr>
          <w:rFonts w:eastAsiaTheme="minorHAnsi"/>
          <w:lang w:eastAsia="en-US"/>
        </w:rPr>
        <w:t>e</w:t>
      </w:r>
      <w:r w:rsidR="00F77304" w:rsidRPr="00E7044A">
        <w:rPr>
          <w:rFonts w:eastAsiaTheme="minorHAnsi"/>
          <w:lang w:eastAsia="en-US"/>
        </w:rPr>
        <w:t xml:space="preserve"> "no opinion-no action</w:t>
      </w:r>
      <w:r w:rsidR="00B01B1D" w:rsidRPr="00E7044A">
        <w:rPr>
          <w:rFonts w:eastAsiaTheme="minorHAnsi"/>
          <w:lang w:eastAsia="en-US"/>
        </w:rPr>
        <w:t>"</w:t>
      </w:r>
      <w:r w:rsidR="00F77304" w:rsidRPr="00E7044A">
        <w:rPr>
          <w:rFonts w:eastAsiaTheme="minorHAnsi"/>
          <w:lang w:eastAsia="en-US"/>
        </w:rPr>
        <w:t xml:space="preserve"> clause is</w:t>
      </w:r>
      <w:r w:rsidR="000300C4" w:rsidRPr="00E7044A">
        <w:rPr>
          <w:rFonts w:eastAsiaTheme="minorHAnsi"/>
          <w:lang w:eastAsia="en-US"/>
        </w:rPr>
        <w:t xml:space="preserve"> </w:t>
      </w:r>
      <w:r w:rsidR="00FC26CE" w:rsidRPr="00E7044A">
        <w:rPr>
          <w:rFonts w:eastAsiaTheme="minorHAnsi"/>
          <w:lang w:eastAsia="en-US"/>
        </w:rPr>
        <w:t xml:space="preserve">a derogation from the general rule laid down in the new </w:t>
      </w:r>
      <w:r w:rsidR="00E270A0" w:rsidRPr="00E7044A">
        <w:rPr>
          <w:rFonts w:eastAsiaTheme="minorHAnsi"/>
          <w:lang w:eastAsia="en-US"/>
        </w:rPr>
        <w:t>C</w:t>
      </w:r>
      <w:r w:rsidR="00FC26CE" w:rsidRPr="00E7044A">
        <w:rPr>
          <w:rFonts w:eastAsiaTheme="minorHAnsi"/>
          <w:lang w:eastAsia="en-US"/>
        </w:rPr>
        <w:t xml:space="preserve">omitology </w:t>
      </w:r>
      <w:r w:rsidR="00E270A0" w:rsidRPr="00E7044A">
        <w:rPr>
          <w:rFonts w:eastAsiaTheme="minorHAnsi"/>
          <w:lang w:eastAsia="en-US"/>
        </w:rPr>
        <w:t>R</w:t>
      </w:r>
      <w:r w:rsidR="00FC26CE" w:rsidRPr="00E7044A">
        <w:rPr>
          <w:rFonts w:eastAsiaTheme="minorHAnsi"/>
          <w:lang w:eastAsia="en-US"/>
        </w:rPr>
        <w:t>egulation</w:t>
      </w:r>
      <w:r w:rsidR="00062F5C" w:rsidRPr="00E7044A">
        <w:rPr>
          <w:rStyle w:val="FootnoteReference"/>
          <w:rFonts w:eastAsiaTheme="minorHAnsi"/>
          <w:lang w:eastAsia="en-US"/>
        </w:rPr>
        <w:footnoteReference w:id="1"/>
      </w:r>
      <w:r w:rsidR="00FC26CE" w:rsidRPr="00E7044A">
        <w:rPr>
          <w:rFonts w:eastAsiaTheme="minorHAnsi"/>
          <w:lang w:eastAsia="en-US"/>
        </w:rPr>
        <w:t xml:space="preserve"> according to which, where no opinion is delivered, the Commission may adopt the draf</w:t>
      </w:r>
      <w:r w:rsidR="00062F5C" w:rsidRPr="00E7044A">
        <w:rPr>
          <w:rFonts w:eastAsiaTheme="minorHAnsi"/>
          <w:lang w:eastAsia="en-US"/>
        </w:rPr>
        <w:t>t implementing act (Article 5</w:t>
      </w:r>
      <w:r w:rsidR="001B5612" w:rsidRPr="00E7044A">
        <w:rPr>
          <w:rFonts w:eastAsiaTheme="minorHAnsi"/>
          <w:lang w:eastAsia="en-US"/>
        </w:rPr>
        <w:t>(</w:t>
      </w:r>
      <w:r w:rsidR="00062F5C" w:rsidRPr="00E7044A">
        <w:rPr>
          <w:rFonts w:eastAsiaTheme="minorHAnsi"/>
          <w:lang w:eastAsia="en-US"/>
        </w:rPr>
        <w:t>4</w:t>
      </w:r>
      <w:r w:rsidR="00FC26CE" w:rsidRPr="00E7044A">
        <w:rPr>
          <w:rFonts w:eastAsiaTheme="minorHAnsi"/>
          <w:lang w:eastAsia="en-US"/>
        </w:rPr>
        <w:t>)</w:t>
      </w:r>
      <w:r w:rsidR="001B5612" w:rsidRPr="00E7044A">
        <w:rPr>
          <w:rFonts w:eastAsiaTheme="minorHAnsi"/>
          <w:lang w:eastAsia="en-US"/>
        </w:rPr>
        <w:t>)</w:t>
      </w:r>
      <w:r w:rsidR="00FC26CE" w:rsidRPr="00E7044A">
        <w:rPr>
          <w:rFonts w:eastAsiaTheme="minorHAnsi"/>
          <w:lang w:eastAsia="en-US"/>
        </w:rPr>
        <w:t>. This derogation is foreseen for specific issues: acts concerning taxation, financial services, health or safety protection or definitive multilateral safeguard measures</w:t>
      </w:r>
      <w:r w:rsidR="00FC26CE" w:rsidRPr="00E7044A">
        <w:rPr>
          <w:rStyle w:val="FootnoteReference"/>
          <w:rFonts w:eastAsiaTheme="minorHAnsi"/>
          <w:lang w:eastAsia="en-US"/>
        </w:rPr>
        <w:footnoteReference w:id="2"/>
      </w:r>
      <w:r w:rsidR="00FC26CE" w:rsidRPr="00E7044A">
        <w:rPr>
          <w:rFonts w:eastAsiaTheme="minorHAnsi"/>
          <w:lang w:eastAsia="en-US"/>
        </w:rPr>
        <w:t xml:space="preserve">. </w:t>
      </w:r>
      <w:r w:rsidR="00062F5C" w:rsidRPr="00E7044A">
        <w:rPr>
          <w:rFonts w:eastAsiaTheme="minorHAnsi"/>
          <w:lang w:eastAsia="en-US"/>
        </w:rPr>
        <w:t xml:space="preserve">For other issues, a basic act may also specifically provide for the </w:t>
      </w:r>
      <w:r w:rsidR="008429ED" w:rsidRPr="00E7044A">
        <w:rPr>
          <w:rFonts w:eastAsiaTheme="minorHAnsi"/>
          <w:lang w:eastAsia="en-US"/>
        </w:rPr>
        <w:t>"</w:t>
      </w:r>
      <w:r w:rsidR="00062F5C" w:rsidRPr="00E7044A">
        <w:rPr>
          <w:rFonts w:eastAsiaTheme="minorHAnsi"/>
          <w:lang w:eastAsia="en-US"/>
        </w:rPr>
        <w:t>no opinion-no action</w:t>
      </w:r>
      <w:r w:rsidR="008429ED" w:rsidRPr="00E7044A">
        <w:rPr>
          <w:rFonts w:eastAsiaTheme="minorHAnsi"/>
          <w:lang w:eastAsia="en-US"/>
        </w:rPr>
        <w:t>"</w:t>
      </w:r>
      <w:r w:rsidR="00062F5C" w:rsidRPr="00E7044A">
        <w:rPr>
          <w:rFonts w:eastAsiaTheme="minorHAnsi"/>
          <w:lang w:eastAsia="en-US"/>
        </w:rPr>
        <w:t xml:space="preserve"> clause</w:t>
      </w:r>
      <w:r w:rsidR="00062F5C" w:rsidRPr="00E7044A">
        <w:rPr>
          <w:rStyle w:val="FootnoteReference"/>
          <w:rFonts w:eastAsiaTheme="minorHAnsi"/>
          <w:lang w:eastAsia="en-US"/>
        </w:rPr>
        <w:footnoteReference w:id="3"/>
      </w:r>
      <w:r w:rsidR="00062F5C" w:rsidRPr="00E7044A">
        <w:rPr>
          <w:rFonts w:eastAsiaTheme="minorHAnsi"/>
          <w:lang w:eastAsia="en-US"/>
        </w:rPr>
        <w:t xml:space="preserve">, but it should be in duly justified cases, in line with the spirit of the new </w:t>
      </w:r>
      <w:r w:rsidR="00E270A0" w:rsidRPr="00E7044A">
        <w:rPr>
          <w:rFonts w:eastAsiaTheme="minorHAnsi"/>
          <w:lang w:eastAsia="en-US"/>
        </w:rPr>
        <w:t>C</w:t>
      </w:r>
      <w:r w:rsidR="00062F5C" w:rsidRPr="00E7044A">
        <w:rPr>
          <w:rFonts w:eastAsiaTheme="minorHAnsi"/>
          <w:lang w:eastAsia="en-US"/>
        </w:rPr>
        <w:t xml:space="preserve">omitology </w:t>
      </w:r>
      <w:r w:rsidR="00E270A0" w:rsidRPr="00E7044A">
        <w:rPr>
          <w:rFonts w:eastAsiaTheme="minorHAnsi"/>
          <w:lang w:eastAsia="en-US"/>
        </w:rPr>
        <w:t>R</w:t>
      </w:r>
      <w:r w:rsidR="00062F5C" w:rsidRPr="00E7044A">
        <w:rPr>
          <w:rFonts w:eastAsiaTheme="minorHAnsi"/>
          <w:lang w:eastAsia="en-US"/>
        </w:rPr>
        <w:t>egulation, which states that "the procedural requirements should be proportionate to the nature and impact of the implementing acts to be adopted"</w:t>
      </w:r>
      <w:r w:rsidR="00286563" w:rsidRPr="00E7044A">
        <w:rPr>
          <w:rFonts w:eastAsiaTheme="minorHAnsi"/>
          <w:lang w:eastAsia="en-US"/>
        </w:rPr>
        <w:t xml:space="preserve"> (Recital 10)</w:t>
      </w:r>
      <w:r w:rsidR="00062F5C" w:rsidRPr="00E7044A">
        <w:rPr>
          <w:rFonts w:eastAsiaTheme="minorHAnsi"/>
          <w:lang w:eastAsia="en-US"/>
        </w:rPr>
        <w:t>.</w:t>
      </w:r>
    </w:p>
    <w:p w:rsidR="001F0D34" w:rsidRPr="00E7044A" w:rsidRDefault="001F0D34" w:rsidP="001F0D34">
      <w:pPr>
        <w:jc w:val="both"/>
        <w:rPr>
          <w:rFonts w:eastAsiaTheme="minorHAnsi"/>
          <w:lang w:eastAsia="en-US"/>
        </w:rPr>
      </w:pPr>
    </w:p>
    <w:p w:rsidR="00121788" w:rsidRDefault="006A5688" w:rsidP="001F0D34">
      <w:pPr>
        <w:jc w:val="both"/>
        <w:rPr>
          <w:rFonts w:eastAsiaTheme="minorHAnsi"/>
          <w:lang w:eastAsia="en-US"/>
        </w:rPr>
      </w:pPr>
      <w:r w:rsidRPr="00E7044A">
        <w:rPr>
          <w:rFonts w:eastAsiaTheme="minorHAnsi"/>
          <w:lang w:eastAsia="en-US"/>
        </w:rPr>
        <w:t xml:space="preserve">A general </w:t>
      </w:r>
      <w:r w:rsidR="00B01B1D" w:rsidRPr="00E7044A">
        <w:rPr>
          <w:rFonts w:eastAsiaTheme="minorHAnsi"/>
          <w:lang w:eastAsia="en-US"/>
        </w:rPr>
        <w:t>"</w:t>
      </w:r>
      <w:r w:rsidRPr="00E7044A">
        <w:rPr>
          <w:rFonts w:eastAsiaTheme="minorHAnsi"/>
          <w:lang w:eastAsia="en-US"/>
        </w:rPr>
        <w:t>no opinion-no action</w:t>
      </w:r>
      <w:r w:rsidR="00B01B1D" w:rsidRPr="00E7044A">
        <w:rPr>
          <w:rFonts w:eastAsiaTheme="minorHAnsi"/>
          <w:lang w:eastAsia="en-US"/>
        </w:rPr>
        <w:t>"</w:t>
      </w:r>
      <w:r w:rsidRPr="00E7044A">
        <w:rPr>
          <w:rFonts w:eastAsiaTheme="minorHAnsi"/>
          <w:lang w:eastAsia="en-US"/>
        </w:rPr>
        <w:t xml:space="preserve"> clause, as foreseen at the moment for the CPR, </w:t>
      </w:r>
      <w:r w:rsidR="00B01658" w:rsidRPr="00E7044A">
        <w:rPr>
          <w:rFonts w:eastAsiaTheme="minorHAnsi"/>
          <w:lang w:eastAsia="en-US"/>
        </w:rPr>
        <w:t xml:space="preserve">would complicate implementation and cause undue </w:t>
      </w:r>
      <w:r w:rsidR="00F941BC" w:rsidRPr="00E7044A">
        <w:rPr>
          <w:rFonts w:eastAsiaTheme="minorHAnsi"/>
          <w:lang w:eastAsia="en-US"/>
        </w:rPr>
        <w:t>delays as pointed out in the Commission’s scoreboard on simplification adopted by the College on 26 February 2013 (COM (2013) 98). Indeed,</w:t>
      </w:r>
      <w:r w:rsidR="00623909" w:rsidRPr="00E7044A">
        <w:rPr>
          <w:rFonts w:eastAsiaTheme="minorHAnsi"/>
          <w:lang w:eastAsia="en-US"/>
        </w:rPr>
        <w:t xml:space="preserve"> </w:t>
      </w:r>
      <w:r w:rsidR="00286563" w:rsidRPr="00E7044A">
        <w:rPr>
          <w:rFonts w:eastAsiaTheme="minorHAnsi"/>
          <w:lang w:eastAsia="en-US"/>
        </w:rPr>
        <w:t>if no opinion is</w:t>
      </w:r>
      <w:r w:rsidR="00F941BC" w:rsidRPr="00E7044A">
        <w:rPr>
          <w:rFonts w:eastAsiaTheme="minorHAnsi"/>
          <w:lang w:eastAsia="en-US"/>
        </w:rPr>
        <w:t xml:space="preserve"> delivered by the committee</w:t>
      </w:r>
      <w:r w:rsidR="00121788" w:rsidRPr="00E7044A">
        <w:rPr>
          <w:rFonts w:eastAsiaTheme="minorHAnsi"/>
          <w:lang w:eastAsia="en-US"/>
        </w:rPr>
        <w:t xml:space="preserve">, the Commission has the choice between submitting an amended version of the draft implementing act to the same committee </w:t>
      </w:r>
      <w:r w:rsidR="00286563" w:rsidRPr="00E7044A">
        <w:rPr>
          <w:rFonts w:eastAsiaTheme="minorHAnsi"/>
          <w:lang w:eastAsia="en-US"/>
        </w:rPr>
        <w:t>and</w:t>
      </w:r>
      <w:r w:rsidR="00121788" w:rsidRPr="00E7044A">
        <w:rPr>
          <w:rFonts w:eastAsiaTheme="minorHAnsi"/>
          <w:lang w:eastAsia="en-US"/>
        </w:rPr>
        <w:t xml:space="preserve"> submit</w:t>
      </w:r>
      <w:r w:rsidR="00286563" w:rsidRPr="00E7044A">
        <w:rPr>
          <w:rFonts w:eastAsiaTheme="minorHAnsi"/>
          <w:lang w:eastAsia="en-US"/>
        </w:rPr>
        <w:t>ting</w:t>
      </w:r>
      <w:r w:rsidR="00121788" w:rsidRPr="00E7044A">
        <w:rPr>
          <w:rFonts w:eastAsiaTheme="minorHAnsi"/>
          <w:lang w:eastAsia="en-US"/>
        </w:rPr>
        <w:t xml:space="preserve"> the </w:t>
      </w:r>
      <w:r w:rsidR="004169F5" w:rsidRPr="00E7044A">
        <w:rPr>
          <w:rFonts w:eastAsiaTheme="minorHAnsi"/>
          <w:lang w:eastAsia="en-US"/>
        </w:rPr>
        <w:t xml:space="preserve">same draft implementing </w:t>
      </w:r>
      <w:r w:rsidR="00121788" w:rsidRPr="00E7044A">
        <w:rPr>
          <w:rFonts w:eastAsiaTheme="minorHAnsi"/>
          <w:lang w:eastAsia="en-US"/>
        </w:rPr>
        <w:t>act to an appeal committee for further deliberation</w:t>
      </w:r>
      <w:r w:rsidR="00121788" w:rsidRPr="00E7044A">
        <w:rPr>
          <w:rStyle w:val="FootnoteReference"/>
          <w:rFonts w:eastAsiaTheme="minorHAnsi"/>
          <w:lang w:eastAsia="en-US"/>
        </w:rPr>
        <w:footnoteReference w:id="4"/>
      </w:r>
      <w:r w:rsidR="00121788" w:rsidRPr="00E7044A">
        <w:rPr>
          <w:rFonts w:eastAsiaTheme="minorHAnsi"/>
          <w:lang w:eastAsia="en-US"/>
        </w:rPr>
        <w:t>. In either case,</w:t>
      </w:r>
      <w:r w:rsidR="00286563" w:rsidRPr="00E7044A">
        <w:rPr>
          <w:rFonts w:eastAsiaTheme="minorHAnsi"/>
          <w:lang w:eastAsia="en-US"/>
        </w:rPr>
        <w:t xml:space="preserve"> given the committees' rules of procedure,</w:t>
      </w:r>
      <w:r w:rsidR="00121788" w:rsidRPr="00E7044A">
        <w:rPr>
          <w:rFonts w:eastAsiaTheme="minorHAnsi"/>
          <w:lang w:eastAsia="en-US"/>
        </w:rPr>
        <w:t xml:space="preserve"> the delay is a matter of months</w:t>
      </w:r>
      <w:r w:rsidR="00286563" w:rsidRPr="00E7044A">
        <w:rPr>
          <w:rFonts w:eastAsiaTheme="minorHAnsi"/>
          <w:lang w:eastAsia="en-US"/>
        </w:rPr>
        <w:t xml:space="preserve"> rather than weeks</w:t>
      </w:r>
      <w:r w:rsidR="00121788" w:rsidRPr="00E7044A">
        <w:rPr>
          <w:rFonts w:eastAsiaTheme="minorHAnsi"/>
          <w:lang w:eastAsia="en-US"/>
        </w:rPr>
        <w:t>.</w:t>
      </w:r>
    </w:p>
    <w:p w:rsidR="001F0D34" w:rsidRPr="00E7044A" w:rsidRDefault="001F0D34" w:rsidP="001F0D34">
      <w:pPr>
        <w:jc w:val="both"/>
        <w:rPr>
          <w:rFonts w:eastAsiaTheme="minorHAnsi"/>
          <w:lang w:eastAsia="en-US"/>
        </w:rPr>
      </w:pPr>
    </w:p>
    <w:p w:rsidR="002C13B8" w:rsidRDefault="00D03C31" w:rsidP="001F0D34">
      <w:pPr>
        <w:jc w:val="both"/>
        <w:rPr>
          <w:rFonts w:eastAsiaTheme="minorHAnsi"/>
          <w:lang w:eastAsia="en-US"/>
        </w:rPr>
      </w:pPr>
      <w:r w:rsidRPr="00E7044A">
        <w:rPr>
          <w:rFonts w:eastAsiaTheme="minorHAnsi"/>
          <w:lang w:eastAsia="en-US"/>
        </w:rPr>
        <w:t xml:space="preserve">It needs to be stressed that, in practical terms, the clause would mean that the Commission would not be able to adopt an implementing act in the case where a (simple) majority of Member States would support the measure in the committee. </w:t>
      </w:r>
      <w:r w:rsidR="004169F5" w:rsidRPr="00E7044A">
        <w:rPr>
          <w:rFonts w:eastAsiaTheme="minorHAnsi"/>
          <w:lang w:eastAsia="en-US"/>
        </w:rPr>
        <w:t xml:space="preserve">If the Commission considers appropriate to maintain the initial draft implementing act, it </w:t>
      </w:r>
      <w:r w:rsidRPr="00E7044A">
        <w:rPr>
          <w:rFonts w:eastAsiaTheme="minorHAnsi"/>
          <w:lang w:eastAsia="en-US"/>
        </w:rPr>
        <w:t>would then have to go to the appeal committee</w:t>
      </w:r>
      <w:r w:rsidR="004169F5" w:rsidRPr="00E7044A">
        <w:rPr>
          <w:rFonts w:eastAsiaTheme="minorHAnsi"/>
          <w:lang w:eastAsia="en-US"/>
        </w:rPr>
        <w:t xml:space="preserve"> </w:t>
      </w:r>
      <w:r w:rsidR="0096301E" w:rsidRPr="00E7044A">
        <w:rPr>
          <w:rFonts w:eastAsiaTheme="minorHAnsi"/>
          <w:lang w:eastAsia="en-US"/>
        </w:rPr>
        <w:t>to repeat the vote</w:t>
      </w:r>
      <w:r w:rsidR="004169F5" w:rsidRPr="00E7044A">
        <w:rPr>
          <w:rFonts w:eastAsiaTheme="minorHAnsi"/>
          <w:lang w:eastAsia="en-US"/>
        </w:rPr>
        <w:t>.</w:t>
      </w:r>
      <w:r w:rsidRPr="00E7044A">
        <w:rPr>
          <w:rFonts w:eastAsiaTheme="minorHAnsi"/>
          <w:lang w:eastAsia="en-US"/>
        </w:rPr>
        <w:t xml:space="preserve"> </w:t>
      </w:r>
      <w:r w:rsidR="004169F5" w:rsidRPr="00E7044A">
        <w:rPr>
          <w:rFonts w:eastAsiaTheme="minorHAnsi"/>
          <w:lang w:eastAsia="en-US"/>
        </w:rPr>
        <w:t xml:space="preserve">If the appeal committee delivers no opinion, </w:t>
      </w:r>
      <w:r w:rsidRPr="00E7044A">
        <w:rPr>
          <w:rFonts w:eastAsiaTheme="minorHAnsi"/>
          <w:lang w:eastAsia="en-US"/>
        </w:rPr>
        <w:t xml:space="preserve">then the Commission </w:t>
      </w:r>
      <w:r w:rsidR="0096301E" w:rsidRPr="00E7044A">
        <w:rPr>
          <w:rFonts w:eastAsiaTheme="minorHAnsi"/>
          <w:lang w:eastAsia="en-US"/>
        </w:rPr>
        <w:t xml:space="preserve">can </w:t>
      </w:r>
      <w:r w:rsidRPr="00E7044A">
        <w:rPr>
          <w:rFonts w:eastAsiaTheme="minorHAnsi"/>
          <w:lang w:eastAsia="en-US"/>
        </w:rPr>
        <w:t>adopt the act</w:t>
      </w:r>
      <w:r w:rsidR="004169F5" w:rsidRPr="00E7044A">
        <w:rPr>
          <w:rFonts w:eastAsiaTheme="minorHAnsi"/>
          <w:lang w:eastAsia="en-US"/>
        </w:rPr>
        <w:t>,</w:t>
      </w:r>
      <w:r w:rsidR="0096301E" w:rsidRPr="00E7044A">
        <w:rPr>
          <w:rFonts w:eastAsiaTheme="minorHAnsi"/>
          <w:lang w:eastAsia="en-US"/>
        </w:rPr>
        <w:t xml:space="preserve"> even with a simple majority against</w:t>
      </w:r>
      <w:r w:rsidRPr="00E7044A">
        <w:rPr>
          <w:rFonts w:eastAsiaTheme="minorHAnsi"/>
          <w:lang w:eastAsia="en-US"/>
        </w:rPr>
        <w:t xml:space="preserve"> </w:t>
      </w:r>
      <w:r w:rsidR="002C13B8" w:rsidRPr="00E7044A">
        <w:rPr>
          <w:rFonts w:eastAsiaTheme="minorHAnsi"/>
          <w:lang w:eastAsia="en-US"/>
        </w:rPr>
        <w:t>(Artic</w:t>
      </w:r>
      <w:r w:rsidRPr="00E7044A">
        <w:rPr>
          <w:rFonts w:eastAsiaTheme="minorHAnsi"/>
          <w:lang w:eastAsia="en-US"/>
        </w:rPr>
        <w:t>le 6(3) Comitology Regulation).</w:t>
      </w:r>
    </w:p>
    <w:p w:rsidR="001F0D34" w:rsidRPr="00E7044A" w:rsidRDefault="001F0D34" w:rsidP="001F0D34">
      <w:pPr>
        <w:jc w:val="both"/>
        <w:rPr>
          <w:rFonts w:eastAsiaTheme="minorHAnsi"/>
          <w:lang w:eastAsia="en-US"/>
        </w:rPr>
      </w:pPr>
    </w:p>
    <w:p w:rsidR="00062F5C" w:rsidRDefault="007358F4" w:rsidP="001F0D34">
      <w:pPr>
        <w:jc w:val="both"/>
        <w:rPr>
          <w:rFonts w:eastAsiaTheme="minorHAnsi"/>
          <w:lang w:eastAsia="en-US"/>
        </w:rPr>
      </w:pPr>
      <w:r w:rsidRPr="00E7044A">
        <w:rPr>
          <w:rFonts w:eastAsiaTheme="minorHAnsi"/>
          <w:lang w:eastAsia="en-US"/>
        </w:rPr>
        <w:t xml:space="preserve">This is why the Commission </w:t>
      </w:r>
      <w:r w:rsidR="00286563" w:rsidRPr="00E7044A">
        <w:rPr>
          <w:rFonts w:eastAsiaTheme="minorHAnsi"/>
          <w:lang w:eastAsia="en-US"/>
        </w:rPr>
        <w:t>considers that</w:t>
      </w:r>
      <w:r w:rsidRPr="00E7044A">
        <w:rPr>
          <w:rFonts w:eastAsiaTheme="minorHAnsi"/>
          <w:lang w:eastAsia="en-US"/>
        </w:rPr>
        <w:t xml:space="preserve"> </w:t>
      </w:r>
      <w:r w:rsidRPr="00E7044A">
        <w:t xml:space="preserve">such a clause should be used only in exceptional </w:t>
      </w:r>
      <w:r w:rsidR="00B01658" w:rsidRPr="00E7044A">
        <w:t xml:space="preserve">and duly justified </w:t>
      </w:r>
      <w:r w:rsidRPr="00E7044A">
        <w:t xml:space="preserve">cases and not </w:t>
      </w:r>
      <w:r w:rsidR="00B01658" w:rsidRPr="00E7044A">
        <w:t>as</w:t>
      </w:r>
      <w:r w:rsidRPr="00E7044A">
        <w:t xml:space="preserve"> a general rule.</w:t>
      </w:r>
      <w:r w:rsidR="00B01B1D" w:rsidRPr="00E7044A">
        <w:t xml:space="preserve"> </w:t>
      </w:r>
      <w:r w:rsidR="00B01B1D" w:rsidRPr="00E7044A">
        <w:rPr>
          <w:rFonts w:eastAsiaTheme="minorHAnsi"/>
          <w:lang w:eastAsia="en-US"/>
        </w:rPr>
        <w:t xml:space="preserve">In </w:t>
      </w:r>
      <w:r w:rsidR="00A26E74" w:rsidRPr="00E7044A">
        <w:rPr>
          <w:rFonts w:eastAsiaTheme="minorHAnsi"/>
          <w:lang w:eastAsia="en-US"/>
        </w:rPr>
        <w:t>this context</w:t>
      </w:r>
      <w:r w:rsidR="00B01B1D" w:rsidRPr="00E7044A">
        <w:rPr>
          <w:rFonts w:eastAsiaTheme="minorHAnsi"/>
          <w:lang w:eastAsia="en-US"/>
        </w:rPr>
        <w:t xml:space="preserve">, </w:t>
      </w:r>
      <w:r w:rsidR="00471BDE" w:rsidRPr="00E7044A">
        <w:rPr>
          <w:rFonts w:eastAsiaTheme="minorHAnsi"/>
          <w:lang w:eastAsia="en-US"/>
        </w:rPr>
        <w:t xml:space="preserve">even where the Council introduced a "no opinion-no action" clause, it </w:t>
      </w:r>
      <w:r w:rsidR="00286563" w:rsidRPr="00E7044A">
        <w:rPr>
          <w:rFonts w:eastAsiaTheme="minorHAnsi"/>
          <w:lang w:eastAsia="en-US"/>
        </w:rPr>
        <w:t>was</w:t>
      </w:r>
      <w:r w:rsidR="00B01B1D" w:rsidRPr="00E7044A">
        <w:rPr>
          <w:rFonts w:eastAsiaTheme="minorHAnsi"/>
          <w:lang w:eastAsia="en-US"/>
        </w:rPr>
        <w:t xml:space="preserve"> only for</w:t>
      </w:r>
      <w:r w:rsidR="000A7827" w:rsidRPr="00E7044A">
        <w:rPr>
          <w:rFonts w:eastAsiaTheme="minorHAnsi"/>
          <w:lang w:eastAsia="en-US"/>
        </w:rPr>
        <w:t xml:space="preserve"> a limited number of</w:t>
      </w:r>
      <w:r w:rsidR="00B01B1D" w:rsidRPr="00E7044A">
        <w:rPr>
          <w:rFonts w:eastAsiaTheme="minorHAnsi"/>
          <w:lang w:eastAsia="en-US"/>
        </w:rPr>
        <w:t xml:space="preserve"> acts and </w:t>
      </w:r>
      <w:r w:rsidR="000A7827" w:rsidRPr="00E7044A">
        <w:rPr>
          <w:rFonts w:eastAsiaTheme="minorHAnsi"/>
          <w:lang w:eastAsia="en-US"/>
        </w:rPr>
        <w:t>specific cases</w:t>
      </w:r>
      <w:r w:rsidR="00773E13" w:rsidRPr="00E7044A">
        <w:rPr>
          <w:rFonts w:eastAsiaTheme="minorHAnsi"/>
          <w:lang w:eastAsia="en-US"/>
        </w:rPr>
        <w:t xml:space="preserve"> (see </w:t>
      </w:r>
      <w:r w:rsidR="00F7399F" w:rsidRPr="00E7044A">
        <w:rPr>
          <w:rFonts w:eastAsiaTheme="minorHAnsi"/>
          <w:lang w:eastAsia="en-US"/>
        </w:rPr>
        <w:t>attached table</w:t>
      </w:r>
      <w:r w:rsidR="00773E13" w:rsidRPr="00E7044A">
        <w:rPr>
          <w:rFonts w:eastAsiaTheme="minorHAnsi"/>
          <w:lang w:eastAsia="en-US"/>
        </w:rPr>
        <w:t>)</w:t>
      </w:r>
      <w:r w:rsidR="00B01B1D" w:rsidRPr="00E7044A">
        <w:rPr>
          <w:rFonts w:eastAsiaTheme="minorHAnsi"/>
          <w:lang w:eastAsia="en-US"/>
        </w:rPr>
        <w:t>.</w:t>
      </w:r>
    </w:p>
    <w:p w:rsidR="001F0D34" w:rsidRPr="00E7044A" w:rsidRDefault="001F0D34" w:rsidP="001F0D34">
      <w:pPr>
        <w:jc w:val="both"/>
        <w:rPr>
          <w:rFonts w:eastAsiaTheme="minorHAnsi"/>
          <w:lang w:eastAsia="en-US"/>
        </w:rPr>
      </w:pPr>
    </w:p>
    <w:p w:rsidR="001B5612" w:rsidRDefault="002C13B8" w:rsidP="001F0D34">
      <w:pPr>
        <w:jc w:val="both"/>
        <w:rPr>
          <w:rFonts w:eastAsiaTheme="minorHAnsi"/>
          <w:lang w:eastAsia="en-US"/>
        </w:rPr>
      </w:pPr>
      <w:r w:rsidRPr="00E7044A">
        <w:rPr>
          <w:rFonts w:eastAsiaTheme="minorHAnsi"/>
          <w:lang w:eastAsia="en-US"/>
        </w:rPr>
        <w:t>In the case of CAP, which is the most relevant sector for comparison with the CPR in terms of financial envelope and of</w:t>
      </w:r>
      <w:r w:rsidR="00DC0E50" w:rsidRPr="00E7044A">
        <w:rPr>
          <w:rFonts w:eastAsiaTheme="minorHAnsi"/>
          <w:lang w:eastAsia="en-US"/>
        </w:rPr>
        <w:t xml:space="preserve"> method of implementation</w:t>
      </w:r>
      <w:r w:rsidRPr="00E7044A">
        <w:rPr>
          <w:rFonts w:eastAsiaTheme="minorHAnsi"/>
          <w:lang w:eastAsia="en-US"/>
        </w:rPr>
        <w:t xml:space="preserve"> </w:t>
      </w:r>
      <w:r w:rsidR="00DC0E50" w:rsidRPr="00E7044A">
        <w:rPr>
          <w:rFonts w:eastAsiaTheme="minorHAnsi"/>
          <w:lang w:eastAsia="en-US"/>
        </w:rPr>
        <w:t>(</w:t>
      </w:r>
      <w:r w:rsidRPr="00E7044A">
        <w:rPr>
          <w:rFonts w:eastAsiaTheme="minorHAnsi"/>
          <w:lang w:eastAsia="en-US"/>
        </w:rPr>
        <w:t>shared management</w:t>
      </w:r>
      <w:r w:rsidR="00DC0E50" w:rsidRPr="00E7044A">
        <w:rPr>
          <w:rFonts w:eastAsiaTheme="minorHAnsi"/>
          <w:lang w:eastAsia="en-US"/>
        </w:rPr>
        <w:t>)</w:t>
      </w:r>
      <w:r w:rsidRPr="00E7044A">
        <w:rPr>
          <w:rFonts w:eastAsiaTheme="minorHAnsi"/>
          <w:lang w:eastAsia="en-US"/>
        </w:rPr>
        <w:t xml:space="preserve">, the Council has never introduced a general "no opinion-no action" clause. When it has introduced the clause, </w:t>
      </w:r>
      <w:r w:rsidR="00D21CE1" w:rsidRPr="00E7044A">
        <w:rPr>
          <w:rFonts w:eastAsiaTheme="minorHAnsi"/>
          <w:lang w:eastAsia="en-US"/>
        </w:rPr>
        <w:t xml:space="preserve">in each case </w:t>
      </w:r>
      <w:r w:rsidRPr="00E7044A">
        <w:rPr>
          <w:rFonts w:eastAsiaTheme="minorHAnsi"/>
          <w:lang w:eastAsia="en-US"/>
        </w:rPr>
        <w:t>it is only for a very limited number of acts, listed in the relevant provision.</w:t>
      </w:r>
    </w:p>
    <w:p w:rsidR="001F0D34" w:rsidRPr="00E7044A" w:rsidRDefault="001F0D34" w:rsidP="001F0D34">
      <w:pPr>
        <w:jc w:val="both"/>
      </w:pPr>
    </w:p>
    <w:p w:rsidR="00C22B5C" w:rsidRDefault="004A56C8" w:rsidP="001F0D34">
      <w:pPr>
        <w:jc w:val="both"/>
      </w:pPr>
      <w:r w:rsidRPr="00E7044A">
        <w:t>The Commission has firmly objected to these amendments</w:t>
      </w:r>
      <w:r w:rsidR="00F7399F" w:rsidRPr="00E7044A">
        <w:t>,</w:t>
      </w:r>
      <w:r w:rsidR="00623909" w:rsidRPr="00E7044A">
        <w:t xml:space="preserve"> even though they are for specific acts only,</w:t>
      </w:r>
      <w:r w:rsidR="00F7399F" w:rsidRPr="00E7044A">
        <w:t xml:space="preserve"> </w:t>
      </w:r>
      <w:r w:rsidR="00623909" w:rsidRPr="00E7044A">
        <w:t>because</w:t>
      </w:r>
      <w:r w:rsidR="00F7399F" w:rsidRPr="00E7044A">
        <w:t xml:space="preserve"> the Council has introduced them without proper justification</w:t>
      </w:r>
      <w:r w:rsidR="00286563" w:rsidRPr="00E7044A">
        <w:t>.</w:t>
      </w:r>
    </w:p>
    <w:p w:rsidR="001F0D34" w:rsidRPr="00E7044A" w:rsidRDefault="001F0D34" w:rsidP="001F0D34">
      <w:pPr>
        <w:jc w:val="both"/>
      </w:pPr>
    </w:p>
    <w:p w:rsidR="00F7399F" w:rsidRDefault="00E270A0" w:rsidP="001F0D34">
      <w:pPr>
        <w:jc w:val="both"/>
      </w:pPr>
      <w:r w:rsidRPr="00E7044A">
        <w:t>The Parliament has supported the Commission's position</w:t>
      </w:r>
      <w:r w:rsidR="00F7399F" w:rsidRPr="00E7044A">
        <w:t xml:space="preserve"> whenever such clauses were discussed in trilogues. In particular, Parliament's negotiating teams </w:t>
      </w:r>
      <w:r w:rsidR="006D5797" w:rsidRPr="00E7044A">
        <w:t xml:space="preserve">have </w:t>
      </w:r>
      <w:r w:rsidR="00F7399F" w:rsidRPr="00E7044A">
        <w:t xml:space="preserve">asked for a written </w:t>
      </w:r>
      <w:r w:rsidR="006D5797" w:rsidRPr="00E7044A">
        <w:t>explanation</w:t>
      </w:r>
      <w:r w:rsidR="00F7399F" w:rsidRPr="00E7044A">
        <w:t xml:space="preserve"> on the Council's part, thereby embracing the idea that such a clause cannot be introduced without</w:t>
      </w:r>
      <w:r w:rsidR="00CA0E7F" w:rsidRPr="00E7044A">
        <w:t xml:space="preserve"> proper justification (e.g. tri</w:t>
      </w:r>
      <w:r w:rsidR="00F7399F" w:rsidRPr="00E7044A">
        <w:t>logue held on 6 May 2013 on the Statistical Framework Regulation</w:t>
      </w:r>
      <w:r w:rsidR="00F7399F" w:rsidRPr="00E7044A">
        <w:rPr>
          <w:rStyle w:val="FootnoteReference"/>
        </w:rPr>
        <w:footnoteReference w:id="5"/>
      </w:r>
      <w:r w:rsidR="00F7399F" w:rsidRPr="00E7044A">
        <w:t>).</w:t>
      </w:r>
    </w:p>
    <w:p w:rsidR="001F0D34" w:rsidRPr="00E7044A" w:rsidRDefault="001F0D34" w:rsidP="001F0D34">
      <w:pPr>
        <w:jc w:val="both"/>
      </w:pPr>
    </w:p>
    <w:p w:rsidR="001137D7" w:rsidRDefault="00F7399F" w:rsidP="001F0D34">
      <w:pPr>
        <w:jc w:val="both"/>
      </w:pPr>
      <w:r w:rsidRPr="00E7044A">
        <w:t>I</w:t>
      </w:r>
      <w:r w:rsidR="001137D7" w:rsidRPr="00E7044A">
        <w:t xml:space="preserve">n several instances, the Council has </w:t>
      </w:r>
      <w:r w:rsidRPr="00E7044A">
        <w:t>been persuaded</w:t>
      </w:r>
      <w:r w:rsidR="001137D7" w:rsidRPr="00E7044A">
        <w:t xml:space="preserve"> to drop the clause, such as most recently in the CAP-related </w:t>
      </w:r>
      <w:r w:rsidRPr="00E7044A">
        <w:t>proposal on</w:t>
      </w:r>
      <w:r w:rsidR="001137D7" w:rsidRPr="00E7044A">
        <w:t xml:space="preserve"> Collection of Accountancy Data for Agricultural Holdings</w:t>
      </w:r>
      <w:r w:rsidR="001137D7" w:rsidRPr="00E7044A">
        <w:rPr>
          <w:rStyle w:val="FootnoteReference"/>
        </w:rPr>
        <w:footnoteReference w:id="6"/>
      </w:r>
      <w:r w:rsidR="001137D7" w:rsidRPr="00E7044A">
        <w:t>.</w:t>
      </w:r>
    </w:p>
    <w:p w:rsidR="001F0D34" w:rsidRPr="00E7044A" w:rsidRDefault="001F0D34" w:rsidP="001F0D34">
      <w:pPr>
        <w:jc w:val="both"/>
      </w:pPr>
    </w:p>
    <w:p w:rsidR="002E72F4" w:rsidRPr="00E7044A" w:rsidRDefault="002E72F4" w:rsidP="001F0D34">
      <w:pPr>
        <w:jc w:val="both"/>
      </w:pPr>
      <w:r w:rsidRPr="00E7044A">
        <w:t xml:space="preserve">Therefore, in line with the goal of simplification and the need for balanced and proportionate </w:t>
      </w:r>
      <w:r w:rsidR="00DE3759" w:rsidRPr="00E7044A">
        <w:t>committee</w:t>
      </w:r>
      <w:r w:rsidRPr="00E7044A">
        <w:t xml:space="preserve"> procedures, the "no opinion-no action" clause should be removed from the CPR, or at the very least</w:t>
      </w:r>
      <w:r w:rsidR="00286563" w:rsidRPr="00E7044A">
        <w:t xml:space="preserve"> considerably reduced in scope, to target clearly defined acts, listed in a limitative manner</w:t>
      </w:r>
      <w:r w:rsidRPr="00E7044A">
        <w:t>.</w:t>
      </w:r>
    </w:p>
    <w:p w:rsidR="006D5797" w:rsidRPr="00E7044A" w:rsidRDefault="006D5797" w:rsidP="001F0D34">
      <w:pPr>
        <w:jc w:val="both"/>
      </w:pPr>
    </w:p>
    <w:p w:rsidR="00F7399F" w:rsidRPr="00E7044A" w:rsidRDefault="00F7399F" w:rsidP="001F0D34">
      <w:pPr>
        <w:jc w:val="both"/>
      </w:pPr>
      <w:r w:rsidRPr="00E7044A">
        <w:t>The attached table gives a comprehensive overview of the "no opinion-no action" clause in negotiations on MFF sectorial proposals.</w:t>
      </w:r>
    </w:p>
    <w:p w:rsidR="00F7399F" w:rsidRPr="00E7044A" w:rsidRDefault="00F7399F" w:rsidP="00E7044A">
      <w:pPr>
        <w:spacing w:line="360" w:lineRule="auto"/>
        <w:jc w:val="both"/>
      </w:pPr>
    </w:p>
    <w:p w:rsidR="00623909" w:rsidRPr="00E7044A" w:rsidRDefault="00623909" w:rsidP="00E7044A">
      <w:pPr>
        <w:spacing w:line="360" w:lineRule="auto"/>
        <w:jc w:val="both"/>
      </w:pPr>
      <w:r w:rsidRPr="00E7044A">
        <w:br w:type="page"/>
      </w: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3119"/>
        <w:gridCol w:w="1276"/>
        <w:gridCol w:w="5250"/>
      </w:tblGrid>
      <w:tr w:rsidR="00623909" w:rsidTr="00CA0E7F">
        <w:trPr>
          <w:tblHeader/>
        </w:trPr>
        <w:tc>
          <w:tcPr>
            <w:tcW w:w="3119" w:type="dxa"/>
            <w:tcBorders>
              <w:top w:val="single" w:sz="1" w:space="0" w:color="000000"/>
              <w:left w:val="single" w:sz="1" w:space="0" w:color="000000"/>
              <w:bottom w:val="single" w:sz="1" w:space="0" w:color="000000"/>
            </w:tcBorders>
            <w:shd w:val="clear" w:color="auto" w:fill="auto"/>
          </w:tcPr>
          <w:p w:rsidR="00623909" w:rsidRDefault="00623909" w:rsidP="009763A7">
            <w:pPr>
              <w:pStyle w:val="Contenudetableau"/>
              <w:rPr>
                <w:b/>
                <w:bCs/>
              </w:rPr>
            </w:pPr>
            <w:r>
              <w:rPr>
                <w:b/>
                <w:bCs/>
              </w:rPr>
              <w:t>Programme</w:t>
            </w:r>
          </w:p>
        </w:tc>
        <w:tc>
          <w:tcPr>
            <w:tcW w:w="1276" w:type="dxa"/>
            <w:tcBorders>
              <w:top w:val="single" w:sz="1" w:space="0" w:color="000000"/>
              <w:left w:val="single" w:sz="1" w:space="0" w:color="000000"/>
              <w:bottom w:val="single" w:sz="1" w:space="0" w:color="000000"/>
            </w:tcBorders>
            <w:shd w:val="clear" w:color="auto" w:fill="auto"/>
          </w:tcPr>
          <w:p w:rsidR="00623909" w:rsidRDefault="00623909" w:rsidP="009763A7">
            <w:pPr>
              <w:pStyle w:val="Contenudetableau"/>
              <w:rPr>
                <w:b/>
                <w:bCs/>
              </w:rPr>
            </w:pPr>
            <w:r>
              <w:rPr>
                <w:b/>
                <w:bCs/>
              </w:rPr>
              <w:t>Article</w:t>
            </w:r>
          </w:p>
        </w:tc>
        <w:tc>
          <w:tcPr>
            <w:tcW w:w="5250" w:type="dxa"/>
            <w:tcBorders>
              <w:top w:val="single" w:sz="1" w:space="0" w:color="000000"/>
              <w:left w:val="single" w:sz="1" w:space="0" w:color="000000"/>
              <w:bottom w:val="single" w:sz="1" w:space="0" w:color="000000"/>
              <w:right w:val="single" w:sz="1" w:space="0" w:color="000000"/>
            </w:tcBorders>
            <w:shd w:val="clear" w:color="auto" w:fill="auto"/>
          </w:tcPr>
          <w:p w:rsidR="00623909" w:rsidRDefault="00623909" w:rsidP="009763A7">
            <w:pPr>
              <w:pStyle w:val="Contenudetableau"/>
              <w:rPr>
                <w:b/>
                <w:bCs/>
              </w:rPr>
            </w:pPr>
            <w:r>
              <w:rPr>
                <w:b/>
                <w:bCs/>
              </w:rPr>
              <w:t>Remarks</w:t>
            </w:r>
          </w:p>
        </w:tc>
      </w:tr>
      <w:tr w:rsidR="00623909" w:rsidRPr="00F47949" w:rsidTr="00623909">
        <w:tc>
          <w:tcPr>
            <w:tcW w:w="9645" w:type="dxa"/>
            <w:gridSpan w:val="3"/>
            <w:tcBorders>
              <w:left w:val="single" w:sz="1" w:space="0" w:color="000000"/>
              <w:bottom w:val="single" w:sz="1" w:space="0" w:color="000000"/>
              <w:right w:val="single" w:sz="1" w:space="0" w:color="000000"/>
            </w:tcBorders>
            <w:shd w:val="clear" w:color="auto" w:fill="auto"/>
          </w:tcPr>
          <w:p w:rsidR="00623909" w:rsidRPr="00F47949" w:rsidRDefault="00623909" w:rsidP="009763A7">
            <w:pPr>
              <w:pStyle w:val="Contenudetableau"/>
              <w:rPr>
                <w:lang w:val="en-GB"/>
              </w:rPr>
            </w:pPr>
            <w:r w:rsidRPr="00F47949">
              <w:rPr>
                <w:b/>
                <w:bCs/>
                <w:lang w:val="en-GB"/>
              </w:rPr>
              <w:t>1. Programme</w:t>
            </w:r>
            <w:r w:rsidR="003324F1">
              <w:rPr>
                <w:b/>
                <w:bCs/>
                <w:lang w:val="en-GB"/>
              </w:rPr>
              <w:t>s</w:t>
            </w:r>
            <w:r w:rsidRPr="00F47949">
              <w:rPr>
                <w:b/>
                <w:bCs/>
                <w:lang w:val="en-GB"/>
              </w:rPr>
              <w:t xml:space="preserve"> where the Commission proposed the no opinion clause</w:t>
            </w:r>
          </w:p>
        </w:tc>
      </w:tr>
      <w:tr w:rsidR="00623909" w:rsidRPr="00F47949" w:rsidTr="00CA0E7F">
        <w:tc>
          <w:tcPr>
            <w:tcW w:w="3119" w:type="dxa"/>
            <w:tcBorders>
              <w:left w:val="single" w:sz="1" w:space="0" w:color="000000"/>
              <w:bottom w:val="single" w:sz="1" w:space="0" w:color="000000"/>
            </w:tcBorders>
            <w:shd w:val="clear" w:color="auto" w:fill="auto"/>
          </w:tcPr>
          <w:p w:rsidR="00623909" w:rsidRDefault="00623909" w:rsidP="009763A7">
            <w:pPr>
              <w:pStyle w:val="Contenudetableau"/>
            </w:pPr>
            <w:r>
              <w:t>Common Provisions Regulation</w:t>
            </w:r>
          </w:p>
          <w:p w:rsidR="00623909" w:rsidRPr="00F47949" w:rsidRDefault="00623909" w:rsidP="009763A7">
            <w:pPr>
              <w:pStyle w:val="Contenudetableau"/>
              <w:rPr>
                <w:i/>
              </w:rPr>
            </w:pPr>
            <w:r w:rsidRPr="00F47949">
              <w:rPr>
                <w:i/>
              </w:rPr>
              <w:t>COM(201</w:t>
            </w:r>
            <w:r>
              <w:rPr>
                <w:i/>
              </w:rPr>
              <w:t>1</w:t>
            </w:r>
            <w:r w:rsidRPr="00F47949">
              <w:rPr>
                <w:i/>
              </w:rPr>
              <w:t xml:space="preserve">) </w:t>
            </w:r>
            <w:r>
              <w:rPr>
                <w:i/>
              </w:rPr>
              <w:t>615</w:t>
            </w:r>
          </w:p>
        </w:tc>
        <w:tc>
          <w:tcPr>
            <w:tcW w:w="1276" w:type="dxa"/>
            <w:tcBorders>
              <w:left w:val="single" w:sz="1" w:space="0" w:color="000000"/>
              <w:bottom w:val="single" w:sz="1" w:space="0" w:color="000000"/>
            </w:tcBorders>
            <w:shd w:val="clear" w:color="auto" w:fill="auto"/>
          </w:tcPr>
          <w:p w:rsidR="00623909" w:rsidRDefault="00623909" w:rsidP="009763A7">
            <w:pPr>
              <w:pStyle w:val="Contenudetableau"/>
            </w:pPr>
            <w:r>
              <w:t>Article 143</w:t>
            </w:r>
          </w:p>
        </w:tc>
        <w:tc>
          <w:tcPr>
            <w:tcW w:w="5250" w:type="dxa"/>
            <w:tcBorders>
              <w:left w:val="single" w:sz="1" w:space="0" w:color="000000"/>
              <w:bottom w:val="single" w:sz="1" w:space="0" w:color="000000"/>
              <w:right w:val="single" w:sz="1" w:space="0" w:color="000000"/>
            </w:tcBorders>
            <w:shd w:val="clear" w:color="auto" w:fill="auto"/>
          </w:tcPr>
          <w:p w:rsidR="00623909" w:rsidRPr="00F47949" w:rsidRDefault="00623909" w:rsidP="009763A7">
            <w:pPr>
              <w:pStyle w:val="Contenudetableau"/>
              <w:rPr>
                <w:i/>
                <w:lang w:val="en-GB"/>
              </w:rPr>
            </w:pPr>
            <w:r w:rsidRPr="00F47949">
              <w:rPr>
                <w:i/>
                <w:lang w:val="en-GB"/>
              </w:rPr>
              <w:t xml:space="preserve">provisions cover </w:t>
            </w:r>
            <w:r>
              <w:rPr>
                <w:i/>
                <w:lang w:val="en-GB"/>
              </w:rPr>
              <w:t>the Coordination Committee of the ESI Funds (sole committee for the Cohesion policy Funds)</w:t>
            </w:r>
          </w:p>
        </w:tc>
      </w:tr>
      <w:tr w:rsidR="00623909" w:rsidRPr="00EF6254" w:rsidTr="00CA0E7F">
        <w:tc>
          <w:tcPr>
            <w:tcW w:w="3119" w:type="dxa"/>
            <w:tcBorders>
              <w:left w:val="single" w:sz="1" w:space="0" w:color="000000"/>
              <w:bottom w:val="single" w:sz="1" w:space="0" w:color="000000"/>
            </w:tcBorders>
            <w:shd w:val="clear" w:color="auto" w:fill="auto"/>
          </w:tcPr>
          <w:p w:rsidR="00623909" w:rsidRDefault="00623909" w:rsidP="009763A7">
            <w:pPr>
              <w:pStyle w:val="Contenudetableau"/>
              <w:rPr>
                <w:i/>
                <w:iCs/>
              </w:rPr>
            </w:pPr>
            <w:r>
              <w:t>Civil Protection Mechanism</w:t>
            </w:r>
          </w:p>
          <w:p w:rsidR="00623909" w:rsidRDefault="00623909" w:rsidP="009763A7">
            <w:pPr>
              <w:pStyle w:val="Contenudetableau"/>
            </w:pPr>
            <w:r>
              <w:rPr>
                <w:i/>
                <w:iCs/>
              </w:rPr>
              <w:t>COM(2011) 934</w:t>
            </w:r>
          </w:p>
        </w:tc>
        <w:tc>
          <w:tcPr>
            <w:tcW w:w="1276" w:type="dxa"/>
            <w:tcBorders>
              <w:left w:val="single" w:sz="1" w:space="0" w:color="000000"/>
              <w:bottom w:val="single" w:sz="1" w:space="0" w:color="000000"/>
            </w:tcBorders>
            <w:shd w:val="clear" w:color="auto" w:fill="auto"/>
          </w:tcPr>
          <w:p w:rsidR="00623909" w:rsidRDefault="00623909" w:rsidP="009763A7">
            <w:pPr>
              <w:pStyle w:val="Contenudetableau"/>
            </w:pPr>
            <w:r>
              <w:t>Article 31</w:t>
            </w:r>
          </w:p>
        </w:tc>
        <w:tc>
          <w:tcPr>
            <w:tcW w:w="5250" w:type="dxa"/>
            <w:tcBorders>
              <w:left w:val="single" w:sz="1" w:space="0" w:color="000000"/>
              <w:bottom w:val="single" w:sz="1" w:space="0" w:color="000000"/>
              <w:right w:val="single" w:sz="1" w:space="0" w:color="000000"/>
            </w:tcBorders>
            <w:shd w:val="clear" w:color="auto" w:fill="auto"/>
          </w:tcPr>
          <w:p w:rsidR="00623909" w:rsidRDefault="00623909" w:rsidP="009763A7">
            <w:pPr>
              <w:pStyle w:val="Contenudetableau"/>
              <w:rPr>
                <w:i/>
                <w:lang w:val="en-GB"/>
              </w:rPr>
            </w:pPr>
            <w:r w:rsidRPr="00EF6254">
              <w:rPr>
                <w:i/>
                <w:lang w:val="en-GB"/>
              </w:rPr>
              <w:t xml:space="preserve">for </w:t>
            </w:r>
            <w:r>
              <w:rPr>
                <w:i/>
                <w:lang w:val="en-GB"/>
              </w:rPr>
              <w:t>the following acts only:</w:t>
            </w:r>
          </w:p>
          <w:p w:rsidR="00623909" w:rsidRDefault="00623909" w:rsidP="009763A7">
            <w:pPr>
              <w:pStyle w:val="Contenudetableau"/>
              <w:rPr>
                <w:i/>
                <w:lang w:val="en-GB"/>
              </w:rPr>
            </w:pPr>
            <w:r>
              <w:rPr>
                <w:i/>
                <w:lang w:val="en-GB"/>
              </w:rPr>
              <w:t>- annual work programmes</w:t>
            </w:r>
          </w:p>
          <w:p w:rsidR="00623909" w:rsidRPr="00EF6254" w:rsidRDefault="00623909" w:rsidP="009763A7">
            <w:pPr>
              <w:pStyle w:val="Contenudetableau"/>
              <w:rPr>
                <w:i/>
                <w:lang w:val="en-GB"/>
              </w:rPr>
            </w:pPr>
            <w:r>
              <w:rPr>
                <w:i/>
                <w:lang w:val="en-GB"/>
              </w:rPr>
              <w:t>- modalities for matters listed in Article 30</w:t>
            </w:r>
          </w:p>
        </w:tc>
      </w:tr>
      <w:tr w:rsidR="00623909" w:rsidRPr="00EF6254" w:rsidTr="00623909">
        <w:tc>
          <w:tcPr>
            <w:tcW w:w="9645" w:type="dxa"/>
            <w:gridSpan w:val="3"/>
            <w:tcBorders>
              <w:left w:val="single" w:sz="1" w:space="0" w:color="000000"/>
              <w:bottom w:val="single" w:sz="1" w:space="0" w:color="000000"/>
              <w:right w:val="single" w:sz="1" w:space="0" w:color="000000"/>
            </w:tcBorders>
            <w:shd w:val="clear" w:color="auto" w:fill="auto"/>
          </w:tcPr>
          <w:p w:rsidR="00623909" w:rsidRPr="00EF6254" w:rsidRDefault="00623909" w:rsidP="009763A7">
            <w:pPr>
              <w:pStyle w:val="Contenudetableau"/>
              <w:rPr>
                <w:lang w:val="en-GB"/>
              </w:rPr>
            </w:pPr>
          </w:p>
        </w:tc>
      </w:tr>
      <w:tr w:rsidR="00623909" w:rsidRPr="00F47949" w:rsidTr="00623909">
        <w:tc>
          <w:tcPr>
            <w:tcW w:w="9645" w:type="dxa"/>
            <w:gridSpan w:val="3"/>
            <w:tcBorders>
              <w:left w:val="single" w:sz="1" w:space="0" w:color="000000"/>
              <w:bottom w:val="single" w:sz="1" w:space="0" w:color="000000"/>
              <w:right w:val="single" w:sz="1" w:space="0" w:color="000000"/>
            </w:tcBorders>
            <w:shd w:val="clear" w:color="auto" w:fill="auto"/>
          </w:tcPr>
          <w:p w:rsidR="00623909" w:rsidRPr="00F47949" w:rsidRDefault="00623909" w:rsidP="009763A7">
            <w:pPr>
              <w:pStyle w:val="Contenudetableau"/>
              <w:rPr>
                <w:lang w:val="en-GB"/>
              </w:rPr>
            </w:pPr>
            <w:r w:rsidRPr="00F47949">
              <w:rPr>
                <w:b/>
                <w:bCs/>
                <w:lang w:val="en-GB"/>
              </w:rPr>
              <w:t>2. Programmes where the Council introduced the no opinion clause</w:t>
            </w:r>
          </w:p>
        </w:tc>
      </w:tr>
      <w:tr w:rsidR="00623909" w:rsidRPr="00926121" w:rsidTr="00CA0E7F">
        <w:tc>
          <w:tcPr>
            <w:tcW w:w="3119" w:type="dxa"/>
            <w:tcBorders>
              <w:left w:val="single" w:sz="1" w:space="0" w:color="000000"/>
              <w:bottom w:val="single" w:sz="1" w:space="0" w:color="000000"/>
            </w:tcBorders>
            <w:shd w:val="clear" w:color="auto" w:fill="auto"/>
          </w:tcPr>
          <w:p w:rsidR="00623909" w:rsidRDefault="00623909" w:rsidP="009763A7">
            <w:pPr>
              <w:pStyle w:val="Contenudetableau"/>
              <w:rPr>
                <w:i/>
                <w:iCs/>
              </w:rPr>
            </w:pPr>
            <w:r>
              <w:t>CAP Horizontal</w:t>
            </w:r>
          </w:p>
          <w:p w:rsidR="00623909" w:rsidRDefault="00623909" w:rsidP="009763A7">
            <w:pPr>
              <w:pStyle w:val="Contenudetableau"/>
            </w:pPr>
            <w:r>
              <w:rPr>
                <w:i/>
                <w:iCs/>
              </w:rPr>
              <w:t>COM(2011) 628</w:t>
            </w:r>
          </w:p>
        </w:tc>
        <w:tc>
          <w:tcPr>
            <w:tcW w:w="1276" w:type="dxa"/>
            <w:tcBorders>
              <w:left w:val="single" w:sz="1" w:space="0" w:color="000000"/>
              <w:bottom w:val="single" w:sz="1" w:space="0" w:color="000000"/>
            </w:tcBorders>
            <w:shd w:val="clear" w:color="auto" w:fill="auto"/>
          </w:tcPr>
          <w:p w:rsidR="00623909" w:rsidRDefault="00623909" w:rsidP="009763A7">
            <w:pPr>
              <w:pStyle w:val="Contenudetableau"/>
              <w:rPr>
                <w:i/>
                <w:iCs/>
              </w:rPr>
            </w:pPr>
            <w:r>
              <w:t>Article 112</w:t>
            </w:r>
          </w:p>
        </w:tc>
        <w:tc>
          <w:tcPr>
            <w:tcW w:w="5250" w:type="dxa"/>
            <w:tcBorders>
              <w:left w:val="single" w:sz="1" w:space="0" w:color="000000"/>
              <w:bottom w:val="single" w:sz="1" w:space="0" w:color="000000"/>
              <w:right w:val="single" w:sz="1" w:space="0" w:color="000000"/>
            </w:tcBorders>
            <w:shd w:val="clear" w:color="auto" w:fill="auto"/>
          </w:tcPr>
          <w:p w:rsidR="00623909" w:rsidRDefault="00623909" w:rsidP="009763A7">
            <w:pPr>
              <w:pStyle w:val="Contenudetableau"/>
              <w:rPr>
                <w:lang w:val="en-GB"/>
              </w:rPr>
            </w:pPr>
            <w:r w:rsidRPr="00926121">
              <w:rPr>
                <w:i/>
                <w:iCs/>
                <w:lang w:val="en-GB"/>
              </w:rPr>
              <w:t>for the following</w:t>
            </w:r>
            <w:r>
              <w:rPr>
                <w:i/>
                <w:iCs/>
                <w:lang w:val="en-GB"/>
              </w:rPr>
              <w:t xml:space="preserve"> acts only</w:t>
            </w:r>
            <w:r w:rsidRPr="00926121">
              <w:rPr>
                <w:i/>
                <w:iCs/>
                <w:lang w:val="en-GB"/>
              </w:rPr>
              <w:t>:</w:t>
            </w:r>
            <w:r w:rsidRPr="00926121">
              <w:rPr>
                <w:lang w:val="en-GB"/>
              </w:rPr>
              <w:t xml:space="preserve"> </w:t>
            </w:r>
          </w:p>
          <w:p w:rsidR="00623909" w:rsidRDefault="00623909" w:rsidP="009763A7">
            <w:pPr>
              <w:pStyle w:val="Contenudetableau"/>
              <w:rPr>
                <w:i/>
                <w:iCs/>
                <w:lang w:val="en-GB"/>
              </w:rPr>
            </w:pPr>
            <w:r>
              <w:rPr>
                <w:lang w:val="en-GB"/>
              </w:rPr>
              <w:t xml:space="preserve">- </w:t>
            </w:r>
            <w:r w:rsidRPr="00926121">
              <w:rPr>
                <w:i/>
                <w:iCs/>
                <w:lang w:val="en-GB"/>
              </w:rPr>
              <w:t>minimu</w:t>
            </w:r>
            <w:r>
              <w:rPr>
                <w:i/>
                <w:iCs/>
                <w:lang w:val="en-GB"/>
              </w:rPr>
              <w:t>m conditions for accreditation</w:t>
            </w:r>
          </w:p>
          <w:p w:rsidR="00623909" w:rsidRDefault="00623909" w:rsidP="009763A7">
            <w:pPr>
              <w:pStyle w:val="Contenudetableau"/>
              <w:rPr>
                <w:i/>
                <w:iCs/>
                <w:lang w:val="en-GB"/>
              </w:rPr>
            </w:pPr>
            <w:r>
              <w:rPr>
                <w:i/>
                <w:iCs/>
                <w:lang w:val="en-GB"/>
              </w:rPr>
              <w:t xml:space="preserve">- </w:t>
            </w:r>
            <w:r w:rsidRPr="00926121">
              <w:rPr>
                <w:i/>
                <w:iCs/>
                <w:lang w:val="en-GB"/>
              </w:rPr>
              <w:t xml:space="preserve">procedure for issuing and withdrawing accreditation of paying agencies, as well as </w:t>
            </w:r>
            <w:r>
              <w:rPr>
                <w:i/>
                <w:iCs/>
                <w:lang w:val="en-GB"/>
              </w:rPr>
              <w:t>of coordinating bodies</w:t>
            </w:r>
          </w:p>
          <w:p w:rsidR="00623909" w:rsidRPr="00926121" w:rsidRDefault="00623909" w:rsidP="009763A7">
            <w:pPr>
              <w:pStyle w:val="Contenudetableau"/>
              <w:rPr>
                <w:lang w:val="en-GB"/>
              </w:rPr>
            </w:pPr>
            <w:r>
              <w:rPr>
                <w:i/>
                <w:iCs/>
                <w:lang w:val="en-GB"/>
              </w:rPr>
              <w:t xml:space="preserve">- </w:t>
            </w:r>
            <w:r w:rsidRPr="00926121">
              <w:rPr>
                <w:i/>
                <w:iCs/>
                <w:lang w:val="en-GB"/>
              </w:rPr>
              <w:t>obligations of paying agencies as regards public intervention and the content of their management and control responsibilities</w:t>
            </w:r>
          </w:p>
        </w:tc>
      </w:tr>
      <w:tr w:rsidR="00623909" w:rsidRPr="00926121" w:rsidTr="00CA0E7F">
        <w:tc>
          <w:tcPr>
            <w:tcW w:w="3119" w:type="dxa"/>
            <w:tcBorders>
              <w:left w:val="single" w:sz="1" w:space="0" w:color="000000"/>
              <w:bottom w:val="single" w:sz="1" w:space="0" w:color="000000"/>
            </w:tcBorders>
            <w:shd w:val="clear" w:color="auto" w:fill="auto"/>
          </w:tcPr>
          <w:p w:rsidR="00623909" w:rsidRDefault="00623909" w:rsidP="009763A7">
            <w:pPr>
              <w:pStyle w:val="Contenudetableau"/>
              <w:rPr>
                <w:i/>
                <w:iCs/>
              </w:rPr>
            </w:pPr>
            <w:r>
              <w:t>CAP Direct Payments</w:t>
            </w:r>
          </w:p>
          <w:p w:rsidR="00623909" w:rsidRDefault="00623909" w:rsidP="009763A7">
            <w:pPr>
              <w:pStyle w:val="Contenudetableau"/>
            </w:pPr>
            <w:r>
              <w:rPr>
                <w:i/>
                <w:iCs/>
              </w:rPr>
              <w:t>COM(2011) 625</w:t>
            </w:r>
          </w:p>
        </w:tc>
        <w:tc>
          <w:tcPr>
            <w:tcW w:w="1276" w:type="dxa"/>
            <w:tcBorders>
              <w:left w:val="single" w:sz="1" w:space="0" w:color="000000"/>
              <w:bottom w:val="single" w:sz="1" w:space="0" w:color="000000"/>
            </w:tcBorders>
            <w:shd w:val="clear" w:color="auto" w:fill="auto"/>
          </w:tcPr>
          <w:p w:rsidR="00623909" w:rsidRDefault="00623909" w:rsidP="009763A7">
            <w:pPr>
              <w:pStyle w:val="Contenudetableau"/>
              <w:rPr>
                <w:i/>
                <w:iCs/>
              </w:rPr>
            </w:pPr>
            <w:r>
              <w:t>Article 56</w:t>
            </w:r>
          </w:p>
        </w:tc>
        <w:tc>
          <w:tcPr>
            <w:tcW w:w="5250" w:type="dxa"/>
            <w:tcBorders>
              <w:left w:val="single" w:sz="1" w:space="0" w:color="000000"/>
              <w:bottom w:val="single" w:sz="1" w:space="0" w:color="000000"/>
              <w:right w:val="single" w:sz="1" w:space="0" w:color="000000"/>
            </w:tcBorders>
            <w:shd w:val="clear" w:color="auto" w:fill="auto"/>
          </w:tcPr>
          <w:p w:rsidR="00623909" w:rsidRPr="00926121" w:rsidRDefault="00623909" w:rsidP="009763A7">
            <w:pPr>
              <w:pStyle w:val="Contenudetableau"/>
              <w:rPr>
                <w:i/>
                <w:iCs/>
                <w:lang w:val="en-GB"/>
              </w:rPr>
            </w:pPr>
            <w:r w:rsidRPr="00926121">
              <w:rPr>
                <w:i/>
                <w:iCs/>
                <w:lang w:val="en-GB"/>
              </w:rPr>
              <w:t>for the following acts</w:t>
            </w:r>
            <w:r>
              <w:rPr>
                <w:i/>
                <w:iCs/>
                <w:lang w:val="en-GB"/>
              </w:rPr>
              <w:t xml:space="preserve"> only</w:t>
            </w:r>
            <w:r w:rsidRPr="00926121">
              <w:rPr>
                <w:i/>
                <w:iCs/>
                <w:lang w:val="en-GB"/>
              </w:rPr>
              <w:t>:</w:t>
            </w:r>
          </w:p>
          <w:p w:rsidR="00623909" w:rsidRDefault="00623909" w:rsidP="009763A7">
            <w:pPr>
              <w:pStyle w:val="Contenudetableau"/>
              <w:rPr>
                <w:i/>
                <w:lang w:val="en-GB"/>
              </w:rPr>
            </w:pPr>
            <w:r>
              <w:rPr>
                <w:i/>
                <w:lang w:val="en-GB"/>
              </w:rPr>
              <w:t xml:space="preserve">- </w:t>
            </w:r>
            <w:r w:rsidRPr="00926121">
              <w:rPr>
                <w:i/>
                <w:lang w:val="en-GB"/>
              </w:rPr>
              <w:t>rules for first al</w:t>
            </w:r>
            <w:r>
              <w:rPr>
                <w:i/>
                <w:lang w:val="en-GB"/>
              </w:rPr>
              <w:t>location of payment entitlement</w:t>
            </w:r>
          </w:p>
          <w:p w:rsidR="00623909" w:rsidRDefault="00623909" w:rsidP="009763A7">
            <w:pPr>
              <w:pStyle w:val="Contenudetableau"/>
              <w:rPr>
                <w:i/>
                <w:lang w:val="en-GB"/>
              </w:rPr>
            </w:pPr>
            <w:r>
              <w:rPr>
                <w:i/>
                <w:lang w:val="en-GB"/>
              </w:rPr>
              <w:t>-</w:t>
            </w:r>
            <w:r w:rsidRPr="00926121">
              <w:rPr>
                <w:i/>
                <w:lang w:val="en-GB"/>
              </w:rPr>
              <w:t xml:space="preserve"> measures regarding the reversion of non-activated payment entitlements to the national reserve </w:t>
            </w:r>
          </w:p>
          <w:p w:rsidR="00623909" w:rsidRPr="00926121" w:rsidRDefault="00623909" w:rsidP="009763A7">
            <w:pPr>
              <w:pStyle w:val="Contenudetableau"/>
              <w:rPr>
                <w:i/>
                <w:lang w:val="en-GB"/>
              </w:rPr>
            </w:pPr>
            <w:r>
              <w:rPr>
                <w:i/>
                <w:lang w:val="en-GB"/>
              </w:rPr>
              <w:t xml:space="preserve">- </w:t>
            </w:r>
            <w:r w:rsidRPr="00926121">
              <w:rPr>
                <w:i/>
                <w:lang w:val="en-GB"/>
              </w:rPr>
              <w:t>notification requirements</w:t>
            </w:r>
          </w:p>
        </w:tc>
      </w:tr>
      <w:tr w:rsidR="00623909" w:rsidRPr="00926121" w:rsidTr="00CA0E7F">
        <w:tc>
          <w:tcPr>
            <w:tcW w:w="3119" w:type="dxa"/>
            <w:tcBorders>
              <w:left w:val="single" w:sz="1" w:space="0" w:color="000000"/>
              <w:bottom w:val="single" w:sz="1" w:space="0" w:color="000000"/>
            </w:tcBorders>
            <w:shd w:val="clear" w:color="auto" w:fill="auto"/>
          </w:tcPr>
          <w:p w:rsidR="00623909" w:rsidRDefault="00623909" w:rsidP="009763A7">
            <w:pPr>
              <w:pStyle w:val="Contenudetableau"/>
              <w:rPr>
                <w:i/>
                <w:iCs/>
              </w:rPr>
            </w:pPr>
            <w:r>
              <w:t>CAP single CMO</w:t>
            </w:r>
          </w:p>
          <w:p w:rsidR="00623909" w:rsidRDefault="00623909" w:rsidP="009763A7">
            <w:pPr>
              <w:pStyle w:val="Contenudetableau"/>
            </w:pPr>
            <w:r>
              <w:rPr>
                <w:i/>
                <w:iCs/>
              </w:rPr>
              <w:t>COM(2011) 626</w:t>
            </w:r>
          </w:p>
        </w:tc>
        <w:tc>
          <w:tcPr>
            <w:tcW w:w="1276" w:type="dxa"/>
            <w:tcBorders>
              <w:left w:val="single" w:sz="1" w:space="0" w:color="000000"/>
              <w:bottom w:val="single" w:sz="1" w:space="0" w:color="000000"/>
            </w:tcBorders>
            <w:shd w:val="clear" w:color="auto" w:fill="auto"/>
          </w:tcPr>
          <w:p w:rsidR="00623909" w:rsidRDefault="00623909" w:rsidP="009763A7">
            <w:pPr>
              <w:pStyle w:val="Contenudetableau"/>
              <w:rPr>
                <w:i/>
                <w:iCs/>
              </w:rPr>
            </w:pPr>
            <w:r>
              <w:t>Article 162</w:t>
            </w:r>
          </w:p>
        </w:tc>
        <w:tc>
          <w:tcPr>
            <w:tcW w:w="5250" w:type="dxa"/>
            <w:tcBorders>
              <w:left w:val="single" w:sz="1" w:space="0" w:color="000000"/>
              <w:bottom w:val="single" w:sz="1" w:space="0" w:color="000000"/>
              <w:right w:val="single" w:sz="1" w:space="0" w:color="000000"/>
            </w:tcBorders>
            <w:shd w:val="clear" w:color="auto" w:fill="auto"/>
          </w:tcPr>
          <w:p w:rsidR="00623909" w:rsidRPr="00926121" w:rsidRDefault="00623909" w:rsidP="009763A7">
            <w:pPr>
              <w:pStyle w:val="Contenudetableau"/>
              <w:rPr>
                <w:lang w:val="en-GB"/>
              </w:rPr>
            </w:pPr>
            <w:r w:rsidRPr="00926121">
              <w:rPr>
                <w:i/>
                <w:iCs/>
                <w:lang w:val="en-GB"/>
              </w:rPr>
              <w:t xml:space="preserve">for </w:t>
            </w:r>
            <w:r>
              <w:rPr>
                <w:i/>
                <w:iCs/>
                <w:lang w:val="en-GB"/>
              </w:rPr>
              <w:t xml:space="preserve">some </w:t>
            </w:r>
            <w:r w:rsidRPr="00926121">
              <w:rPr>
                <w:i/>
                <w:iCs/>
                <w:lang w:val="en-GB"/>
              </w:rPr>
              <w:t xml:space="preserve">implementing acts relating to oenological </w:t>
            </w:r>
            <w:r>
              <w:rPr>
                <w:i/>
                <w:iCs/>
                <w:lang w:val="en-GB"/>
              </w:rPr>
              <w:t>products only</w:t>
            </w:r>
          </w:p>
        </w:tc>
      </w:tr>
      <w:tr w:rsidR="008E3B09" w:rsidRPr="00926121" w:rsidTr="00CA0E7F">
        <w:tc>
          <w:tcPr>
            <w:tcW w:w="3119" w:type="dxa"/>
            <w:tcBorders>
              <w:left w:val="single" w:sz="1" w:space="0" w:color="000000"/>
              <w:bottom w:val="single" w:sz="1" w:space="0" w:color="000000"/>
            </w:tcBorders>
            <w:shd w:val="clear" w:color="auto" w:fill="auto"/>
          </w:tcPr>
          <w:p w:rsidR="008E3B09" w:rsidRDefault="008E3B09" w:rsidP="0091277E">
            <w:pPr>
              <w:pStyle w:val="Contenudetableau"/>
            </w:pPr>
            <w:r>
              <w:t>CFP Regulation</w:t>
            </w:r>
          </w:p>
          <w:p w:rsidR="008E3B09" w:rsidRDefault="008E3B09" w:rsidP="0091277E">
            <w:pPr>
              <w:pStyle w:val="Contenudetableau"/>
            </w:pPr>
            <w:r w:rsidRPr="00F66525">
              <w:rPr>
                <w:i/>
              </w:rPr>
              <w:t xml:space="preserve">COM(2011) </w:t>
            </w:r>
            <w:r>
              <w:rPr>
                <w:i/>
              </w:rPr>
              <w:t>425</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56</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8E3B09">
            <w:pPr>
              <w:pStyle w:val="Contenudetableau"/>
              <w:rPr>
                <w:i/>
                <w:iCs/>
                <w:lang w:val="en-GB"/>
              </w:rPr>
            </w:pPr>
            <w:r>
              <w:rPr>
                <w:i/>
                <w:iCs/>
                <w:lang w:val="en-GB"/>
              </w:rPr>
              <w:t>for some acts relating to conservation measures and the entry/exit scheme only</w:t>
            </w:r>
          </w:p>
        </w:tc>
      </w:tr>
      <w:tr w:rsidR="008E3B09" w:rsidRPr="00926121" w:rsidTr="00CA0E7F">
        <w:tc>
          <w:tcPr>
            <w:tcW w:w="3119" w:type="dxa"/>
            <w:tcBorders>
              <w:left w:val="single" w:sz="1" w:space="0" w:color="000000"/>
              <w:bottom w:val="single" w:sz="1" w:space="0" w:color="000000"/>
            </w:tcBorders>
            <w:shd w:val="clear" w:color="auto" w:fill="auto"/>
          </w:tcPr>
          <w:p w:rsidR="008E3B09" w:rsidRDefault="008E3B09" w:rsidP="0091277E">
            <w:pPr>
              <w:pStyle w:val="Contenudetableau"/>
            </w:pPr>
            <w:r>
              <w:t>CFP CMO</w:t>
            </w:r>
          </w:p>
          <w:p w:rsidR="008E3B09" w:rsidRDefault="008E3B09" w:rsidP="009763A7">
            <w:pPr>
              <w:pStyle w:val="Contenudetableau"/>
            </w:pPr>
            <w:r w:rsidRPr="00F66525">
              <w:rPr>
                <w:i/>
              </w:rPr>
              <w:t xml:space="preserve">COM(2011) </w:t>
            </w:r>
            <w:r>
              <w:rPr>
                <w:i/>
              </w:rPr>
              <w:t>416</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51</w:t>
            </w:r>
          </w:p>
        </w:tc>
        <w:tc>
          <w:tcPr>
            <w:tcW w:w="5250" w:type="dxa"/>
            <w:tcBorders>
              <w:left w:val="single" w:sz="1" w:space="0" w:color="000000"/>
              <w:bottom w:val="single" w:sz="1" w:space="0" w:color="000000"/>
              <w:right w:val="single" w:sz="1" w:space="0" w:color="000000"/>
            </w:tcBorders>
            <w:shd w:val="clear" w:color="auto" w:fill="auto"/>
          </w:tcPr>
          <w:p w:rsidR="008E3B09" w:rsidRPr="00926121" w:rsidRDefault="008E3B09" w:rsidP="00DC0E50">
            <w:pPr>
              <w:pStyle w:val="Contenudetableau"/>
              <w:rPr>
                <w:i/>
                <w:iCs/>
                <w:lang w:val="en-GB"/>
              </w:rPr>
            </w:pPr>
            <w:r>
              <w:rPr>
                <w:i/>
                <w:iCs/>
                <w:lang w:val="en-GB"/>
              </w:rPr>
              <w:t xml:space="preserve">for </w:t>
            </w:r>
            <w:r w:rsidR="00DC0E50">
              <w:rPr>
                <w:i/>
                <w:iCs/>
                <w:lang w:val="en-GB"/>
              </w:rPr>
              <w:t>some acts concerning the production and marketing plans of producer organisations only</w:t>
            </w: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Home Funds Horizontal</w:t>
            </w:r>
          </w:p>
          <w:p w:rsidR="008E3B09" w:rsidRDefault="008E3B09" w:rsidP="009763A7">
            <w:pPr>
              <w:pStyle w:val="Contenudetableau"/>
            </w:pPr>
            <w:r>
              <w:rPr>
                <w:i/>
                <w:iCs/>
              </w:rPr>
              <w:t>COM(2011) 752</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55</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rPr>
                <w:i/>
                <w:iCs/>
                <w:lang w:val="en-GB"/>
              </w:rPr>
            </w:pPr>
            <w:r>
              <w:rPr>
                <w:i/>
                <w:iCs/>
                <w:lang w:val="en-GB"/>
              </w:rPr>
              <w:t>for the following acts only:</w:t>
            </w:r>
          </w:p>
          <w:p w:rsidR="008E3B09" w:rsidRDefault="008E3B09" w:rsidP="009763A7">
            <w:pPr>
              <w:pStyle w:val="Contenudetableau"/>
              <w:rPr>
                <w:i/>
                <w:iCs/>
                <w:lang w:val="en-GB"/>
              </w:rPr>
            </w:pPr>
            <w:r>
              <w:rPr>
                <w:i/>
                <w:iCs/>
                <w:lang w:val="en-GB"/>
              </w:rPr>
              <w:t>- work programmes</w:t>
            </w:r>
          </w:p>
          <w:p w:rsidR="008E3B09" w:rsidRDefault="008E3B09" w:rsidP="009763A7">
            <w:pPr>
              <w:pStyle w:val="Contenudetableau"/>
              <w:rPr>
                <w:i/>
                <w:iCs/>
                <w:lang w:val="en-GB"/>
              </w:rPr>
            </w:pPr>
            <w:r>
              <w:rPr>
                <w:i/>
                <w:iCs/>
                <w:lang w:val="en-GB"/>
              </w:rPr>
              <w:t>- rules for checks carried out by MS and reporting</w:t>
            </w:r>
          </w:p>
          <w:p w:rsidR="008E3B09" w:rsidRDefault="008E3B09" w:rsidP="009763A7">
            <w:pPr>
              <w:pStyle w:val="Contenudetableau"/>
              <w:rPr>
                <w:i/>
                <w:iCs/>
                <w:lang w:val="en-GB"/>
              </w:rPr>
            </w:pPr>
            <w:r>
              <w:rPr>
                <w:i/>
                <w:iCs/>
                <w:lang w:val="en-GB"/>
              </w:rPr>
              <w:t>- rules relating to the audit authorities and the annual clearance of accounts</w:t>
            </w:r>
          </w:p>
          <w:p w:rsidR="008E3B09" w:rsidRDefault="008E3B09" w:rsidP="009763A7">
            <w:pPr>
              <w:pStyle w:val="Contenudetableau"/>
              <w:rPr>
                <w:i/>
                <w:iCs/>
                <w:lang w:val="en-GB"/>
              </w:rPr>
            </w:pPr>
            <w:r>
              <w:rPr>
                <w:i/>
                <w:iCs/>
                <w:lang w:val="en-GB"/>
              </w:rPr>
              <w:t>- rules on information and publicity</w:t>
            </w:r>
          </w:p>
          <w:p w:rsidR="008E3B09" w:rsidRPr="00926121" w:rsidRDefault="008E3B09" w:rsidP="009763A7">
            <w:pPr>
              <w:pStyle w:val="Contenudetableau"/>
              <w:rPr>
                <w:i/>
                <w:iCs/>
                <w:lang w:val="en-GB"/>
              </w:rPr>
            </w:pPr>
            <w:r>
              <w:rPr>
                <w:i/>
                <w:iCs/>
                <w:lang w:val="en-GB"/>
              </w:rPr>
              <w:t xml:space="preserve">Note: </w:t>
            </w:r>
            <w:r w:rsidRPr="00F47949">
              <w:rPr>
                <w:i/>
                <w:iCs/>
                <w:lang w:val="en-GB"/>
              </w:rPr>
              <w:t>provisions cover committees for each of the Home Funds</w:t>
            </w:r>
          </w:p>
        </w:tc>
      </w:tr>
      <w:tr w:rsidR="008E3B09" w:rsidRPr="00926121"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COSME</w:t>
            </w:r>
          </w:p>
          <w:p w:rsidR="008E3B09" w:rsidRDefault="008E3B09" w:rsidP="009763A7">
            <w:pPr>
              <w:pStyle w:val="Contenudetableau"/>
            </w:pPr>
            <w:r>
              <w:rPr>
                <w:i/>
                <w:iCs/>
              </w:rPr>
              <w:t>COM(2011) 834</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16</w:t>
            </w:r>
          </w:p>
        </w:tc>
        <w:tc>
          <w:tcPr>
            <w:tcW w:w="5250" w:type="dxa"/>
            <w:tcBorders>
              <w:left w:val="single" w:sz="1" w:space="0" w:color="000000"/>
              <w:bottom w:val="single" w:sz="1" w:space="0" w:color="000000"/>
              <w:right w:val="single" w:sz="1" w:space="0" w:color="000000"/>
            </w:tcBorders>
            <w:shd w:val="clear" w:color="auto" w:fill="auto"/>
          </w:tcPr>
          <w:p w:rsidR="008E3B09" w:rsidRPr="00926121" w:rsidRDefault="008E3B09" w:rsidP="009763A7">
            <w:pPr>
              <w:pStyle w:val="Contenudetableau"/>
              <w:rPr>
                <w:i/>
                <w:lang w:val="en-GB"/>
              </w:rPr>
            </w:pPr>
            <w:r w:rsidRPr="00926121">
              <w:rPr>
                <w:i/>
                <w:lang w:val="en-GB"/>
              </w:rPr>
              <w:t>for the annual work p</w:t>
            </w:r>
            <w:r>
              <w:rPr>
                <w:i/>
                <w:lang w:val="en-GB"/>
              </w:rPr>
              <w:t>rogrammes only</w:t>
            </w:r>
          </w:p>
        </w:tc>
      </w:tr>
      <w:tr w:rsidR="008E3B09" w:rsidRPr="00926121"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Health for Growth</w:t>
            </w:r>
          </w:p>
          <w:p w:rsidR="008E3B09" w:rsidRDefault="008E3B09" w:rsidP="009763A7">
            <w:pPr>
              <w:pStyle w:val="Contenudetableau"/>
            </w:pPr>
            <w:r>
              <w:rPr>
                <w:i/>
                <w:iCs/>
              </w:rPr>
              <w:t>COM(2011) 709</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16</w:t>
            </w:r>
          </w:p>
        </w:tc>
        <w:tc>
          <w:tcPr>
            <w:tcW w:w="5250" w:type="dxa"/>
            <w:tcBorders>
              <w:left w:val="single" w:sz="1" w:space="0" w:color="000000"/>
              <w:bottom w:val="single" w:sz="1" w:space="0" w:color="000000"/>
              <w:right w:val="single" w:sz="1" w:space="0" w:color="000000"/>
            </w:tcBorders>
            <w:shd w:val="clear" w:color="auto" w:fill="auto"/>
          </w:tcPr>
          <w:p w:rsidR="008E3B09" w:rsidRPr="00926121" w:rsidRDefault="008E3B09" w:rsidP="009763A7">
            <w:pPr>
              <w:pStyle w:val="Contenudetableau"/>
              <w:rPr>
                <w:i/>
                <w:lang w:val="en-GB"/>
              </w:rPr>
            </w:pPr>
            <w:r w:rsidRPr="00926121">
              <w:rPr>
                <w:i/>
                <w:lang w:val="en-GB"/>
              </w:rPr>
              <w:t>for the annual work p</w:t>
            </w:r>
            <w:r>
              <w:rPr>
                <w:i/>
                <w:lang w:val="en-GB"/>
              </w:rPr>
              <w:t>rogrammes only</w:t>
            </w:r>
          </w:p>
        </w:tc>
      </w:tr>
      <w:tr w:rsidR="008E3B09" w:rsidRPr="00926121" w:rsidTr="00CA0E7F">
        <w:tc>
          <w:tcPr>
            <w:tcW w:w="3119" w:type="dxa"/>
            <w:tcBorders>
              <w:left w:val="single" w:sz="1" w:space="0" w:color="000000"/>
              <w:bottom w:val="single" w:sz="1" w:space="0" w:color="000000"/>
            </w:tcBorders>
            <w:shd w:val="clear" w:color="auto" w:fill="auto"/>
          </w:tcPr>
          <w:p w:rsidR="008E3B09" w:rsidRDefault="008E3B09" w:rsidP="0091277E">
            <w:pPr>
              <w:pStyle w:val="Contenudetableau"/>
            </w:pPr>
            <w:r>
              <w:t>TEN-T Guidelines</w:t>
            </w:r>
          </w:p>
          <w:p w:rsidR="008E3B09" w:rsidRDefault="008E3B09" w:rsidP="009763A7">
            <w:pPr>
              <w:pStyle w:val="Contenudetableau"/>
            </w:pPr>
            <w:r w:rsidRPr="00160C50">
              <w:rPr>
                <w:i/>
                <w:spacing w:val="-2"/>
                <w:lang w:eastAsia="fr-FR"/>
              </w:rPr>
              <w:t>COM(2011) 650</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55</w:t>
            </w:r>
          </w:p>
        </w:tc>
        <w:tc>
          <w:tcPr>
            <w:tcW w:w="5250" w:type="dxa"/>
            <w:tcBorders>
              <w:left w:val="single" w:sz="1" w:space="0" w:color="000000"/>
              <w:bottom w:val="single" w:sz="1" w:space="0" w:color="000000"/>
              <w:right w:val="single" w:sz="1" w:space="0" w:color="000000"/>
            </w:tcBorders>
            <w:shd w:val="clear" w:color="auto" w:fill="auto"/>
          </w:tcPr>
          <w:p w:rsidR="008E3B09" w:rsidRPr="00926121" w:rsidRDefault="008E3B09" w:rsidP="009763A7">
            <w:pPr>
              <w:pStyle w:val="Contenudetableau"/>
              <w:rPr>
                <w:i/>
                <w:lang w:val="en-GB"/>
              </w:rPr>
            </w:pPr>
            <w:r>
              <w:rPr>
                <w:i/>
                <w:lang w:val="en-GB"/>
              </w:rPr>
              <w:t>for details</w:t>
            </w:r>
            <w:r w:rsidRPr="00160C50">
              <w:rPr>
                <w:i/>
                <w:lang w:val="en-GB"/>
              </w:rPr>
              <w:t xml:space="preserve"> of the core network corridor work plans</w:t>
            </w:r>
            <w:r>
              <w:rPr>
                <w:i/>
                <w:lang w:val="en-GB"/>
              </w:rPr>
              <w:t xml:space="preserve"> only</w:t>
            </w:r>
          </w:p>
        </w:tc>
      </w:tr>
      <w:tr w:rsidR="008E3B09" w:rsidRPr="00926121" w:rsidTr="00623909">
        <w:tc>
          <w:tcPr>
            <w:tcW w:w="9645" w:type="dxa"/>
            <w:gridSpan w:val="3"/>
            <w:tcBorders>
              <w:left w:val="single" w:sz="1" w:space="0" w:color="000000"/>
              <w:bottom w:val="single" w:sz="1" w:space="0" w:color="000000"/>
              <w:right w:val="single" w:sz="1" w:space="0" w:color="000000"/>
            </w:tcBorders>
            <w:shd w:val="clear" w:color="auto" w:fill="auto"/>
          </w:tcPr>
          <w:p w:rsidR="008E3B09" w:rsidRPr="00926121" w:rsidRDefault="008E3B09" w:rsidP="009763A7">
            <w:pPr>
              <w:pStyle w:val="Contenudetableau"/>
              <w:rPr>
                <w:lang w:val="en-GB"/>
              </w:rPr>
            </w:pPr>
          </w:p>
        </w:tc>
      </w:tr>
      <w:tr w:rsidR="008E3B09" w:rsidRPr="00F47949" w:rsidTr="00623909">
        <w:tc>
          <w:tcPr>
            <w:tcW w:w="9645" w:type="dxa"/>
            <w:gridSpan w:val="3"/>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r w:rsidRPr="00F47949">
              <w:rPr>
                <w:b/>
                <w:bCs/>
                <w:lang w:val="en-GB"/>
              </w:rPr>
              <w:t>3. Programmes where the Council did not introduce the no opinion clause</w:t>
            </w: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lang w:val="en-GB"/>
              </w:rPr>
            </w:pPr>
            <w:r w:rsidRPr="00F47949">
              <w:rPr>
                <w:lang w:val="en-GB"/>
              </w:rPr>
              <w:t>EAF</w:t>
            </w:r>
            <w:r>
              <w:rPr>
                <w:lang w:val="en-GB"/>
              </w:rPr>
              <w:t>RD</w:t>
            </w:r>
          </w:p>
          <w:p w:rsidR="008E3B09" w:rsidRPr="008E1224" w:rsidRDefault="008E3B09" w:rsidP="009763A7">
            <w:pPr>
              <w:pStyle w:val="Contenudetableau"/>
              <w:rPr>
                <w:i/>
                <w:lang w:val="en-GB"/>
              </w:rPr>
            </w:pPr>
            <w:r w:rsidRPr="008E1224">
              <w:rPr>
                <w:i/>
                <w:lang w:val="en-GB"/>
              </w:rPr>
              <w:t>COM(2011) 627</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91</w:t>
            </w:r>
          </w:p>
        </w:tc>
        <w:tc>
          <w:tcPr>
            <w:tcW w:w="5250" w:type="dxa"/>
            <w:tcBorders>
              <w:left w:val="single" w:sz="1" w:space="0" w:color="000000"/>
              <w:bottom w:val="single" w:sz="1" w:space="0" w:color="000000"/>
              <w:right w:val="single" w:sz="1" w:space="0" w:color="000000"/>
            </w:tcBorders>
            <w:shd w:val="clear" w:color="auto" w:fill="auto"/>
          </w:tcPr>
          <w:p w:rsidR="008E3B09" w:rsidRPr="008E1224" w:rsidRDefault="008E3B09" w:rsidP="009763A7">
            <w:pPr>
              <w:pStyle w:val="Contenudetableau"/>
              <w:rPr>
                <w:iCs/>
              </w:rPr>
            </w:pP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pPr>
            <w:r>
              <w:t>EMFF</w:t>
            </w:r>
          </w:p>
          <w:p w:rsidR="008E3B09" w:rsidRPr="00F66525" w:rsidRDefault="008E3B09" w:rsidP="009763A7">
            <w:pPr>
              <w:pStyle w:val="Contenudetableau"/>
              <w:rPr>
                <w:i/>
              </w:rPr>
            </w:pPr>
            <w:r w:rsidRPr="00F66525">
              <w:rPr>
                <w:i/>
              </w:rPr>
              <w:t>COM(2011) 804</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151</w:t>
            </w:r>
          </w:p>
        </w:tc>
        <w:tc>
          <w:tcPr>
            <w:tcW w:w="5250" w:type="dxa"/>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i/>
                <w:iCs/>
                <w:lang w:val="en-GB"/>
              </w:rPr>
            </w:pP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CEF</w:t>
            </w:r>
          </w:p>
          <w:p w:rsidR="008E3B09" w:rsidRDefault="008E3B09" w:rsidP="009763A7">
            <w:pPr>
              <w:pStyle w:val="Contenudetableau"/>
            </w:pPr>
            <w:r>
              <w:rPr>
                <w:i/>
                <w:iCs/>
              </w:rPr>
              <w:t>COM(2011) 665</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24</w:t>
            </w:r>
          </w:p>
        </w:tc>
        <w:tc>
          <w:tcPr>
            <w:tcW w:w="5250" w:type="dxa"/>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Fiscalis 2020</w:t>
            </w:r>
          </w:p>
          <w:p w:rsidR="008E3B09" w:rsidRDefault="008E3B09" w:rsidP="009763A7">
            <w:pPr>
              <w:pStyle w:val="Contenudetableau"/>
            </w:pPr>
            <w:r>
              <w:rPr>
                <w:i/>
                <w:iCs/>
              </w:rPr>
              <w:t>COM(2012) 465</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15</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Consumer Programme</w:t>
            </w:r>
          </w:p>
          <w:p w:rsidR="008E3B09" w:rsidRDefault="008E3B09" w:rsidP="009763A7">
            <w:pPr>
              <w:pStyle w:val="Contenudetableau"/>
            </w:pPr>
            <w:r>
              <w:rPr>
                <w:i/>
                <w:iCs/>
              </w:rPr>
              <w:t>COM(2011) 707</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24</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Erasmus for All</w:t>
            </w:r>
          </w:p>
          <w:p w:rsidR="008E3B09" w:rsidRDefault="008E3B09" w:rsidP="009763A7">
            <w:pPr>
              <w:pStyle w:val="Contenudetableau"/>
            </w:pPr>
            <w:r>
              <w:rPr>
                <w:i/>
                <w:iCs/>
              </w:rPr>
              <w:t>COM(2011) 788</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30</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Galileo</w:t>
            </w:r>
          </w:p>
          <w:p w:rsidR="008E3B09" w:rsidRDefault="008E3B09" w:rsidP="009763A7">
            <w:pPr>
              <w:pStyle w:val="Contenudetableau"/>
            </w:pPr>
            <w:r>
              <w:rPr>
                <w:i/>
                <w:iCs/>
              </w:rPr>
              <w:t>COM(2011) 814</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35</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PSCI</w:t>
            </w:r>
          </w:p>
          <w:p w:rsidR="008E3B09" w:rsidRDefault="008E3B09" w:rsidP="009763A7">
            <w:pPr>
              <w:pStyle w:val="Contenudetableau"/>
            </w:pPr>
            <w:r>
              <w:rPr>
                <w:i/>
                <w:iCs/>
              </w:rPr>
              <w:t>COM(2011) 609</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18</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Europe for Citizens</w:t>
            </w:r>
          </w:p>
          <w:p w:rsidR="008E3B09" w:rsidRDefault="008E3B09" w:rsidP="009763A7">
            <w:pPr>
              <w:pStyle w:val="Contenudetableau"/>
            </w:pPr>
            <w:r>
              <w:rPr>
                <w:i/>
                <w:iCs/>
              </w:rPr>
              <w:t>COM(2011) 884</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r>
              <w:t>Article 9</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RPr="00F47949" w:rsidTr="00CA0E7F">
        <w:tc>
          <w:tcPr>
            <w:tcW w:w="3119" w:type="dxa"/>
            <w:tcBorders>
              <w:left w:val="single" w:sz="1" w:space="0" w:color="000000"/>
              <w:bottom w:val="single" w:sz="1" w:space="0" w:color="000000"/>
            </w:tcBorders>
            <w:shd w:val="clear" w:color="auto" w:fill="auto"/>
          </w:tcPr>
          <w:p w:rsidR="008E3B09" w:rsidRPr="00F47949" w:rsidRDefault="008E3B09" w:rsidP="009763A7">
            <w:pPr>
              <w:pStyle w:val="Contenudetableau"/>
              <w:rPr>
                <w:i/>
                <w:iCs/>
                <w:lang w:val="en-GB"/>
              </w:rPr>
            </w:pPr>
            <w:r w:rsidRPr="00F47949">
              <w:rPr>
                <w:lang w:val="en-GB"/>
              </w:rPr>
              <w:t>RELEX Common Implementing Rules</w:t>
            </w:r>
          </w:p>
          <w:p w:rsidR="008E3B09" w:rsidRPr="00F47949" w:rsidRDefault="008E3B09" w:rsidP="009763A7">
            <w:pPr>
              <w:pStyle w:val="Contenudetableau"/>
              <w:rPr>
                <w:lang w:val="en-GB"/>
              </w:rPr>
            </w:pPr>
            <w:r w:rsidRPr="00F47949">
              <w:rPr>
                <w:i/>
                <w:iCs/>
                <w:lang w:val="en-GB"/>
              </w:rPr>
              <w:t>COM(2011) 842</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15</w:t>
            </w:r>
          </w:p>
        </w:tc>
        <w:tc>
          <w:tcPr>
            <w:tcW w:w="5250" w:type="dxa"/>
            <w:tcBorders>
              <w:left w:val="single" w:sz="1" w:space="0" w:color="000000"/>
              <w:bottom w:val="single" w:sz="1" w:space="0" w:color="000000"/>
              <w:right w:val="single" w:sz="1" w:space="0" w:color="000000"/>
            </w:tcBorders>
            <w:shd w:val="clear" w:color="auto" w:fill="auto"/>
          </w:tcPr>
          <w:p w:rsidR="008E3B09" w:rsidRPr="0086026E" w:rsidRDefault="008E3B09" w:rsidP="009763A7">
            <w:pPr>
              <w:pStyle w:val="Contenudetableau"/>
              <w:rPr>
                <w:i/>
                <w:iCs/>
                <w:lang w:val="en-GB"/>
              </w:rPr>
            </w:pPr>
            <w:r>
              <w:rPr>
                <w:i/>
                <w:iCs/>
                <w:lang w:val="en-GB"/>
              </w:rPr>
              <w:t>provisions cover committees for each RELEX instrument</w:t>
            </w: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Horizon 2020 SIP</w:t>
            </w:r>
          </w:p>
          <w:p w:rsidR="008E3B09" w:rsidRDefault="008E3B09" w:rsidP="009763A7">
            <w:pPr>
              <w:pStyle w:val="Contenudetableau"/>
            </w:pPr>
            <w:r>
              <w:rPr>
                <w:i/>
                <w:iCs/>
              </w:rPr>
              <w:t>COM(2011) 811</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9</w:t>
            </w: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rPr>
                <w:i/>
                <w:iCs/>
                <w:lang w:val="en-GB"/>
              </w:rPr>
            </w:pPr>
          </w:p>
          <w:p w:rsidR="008E3B09" w:rsidRPr="00F47949" w:rsidRDefault="008E3B09" w:rsidP="009763A7">
            <w:pPr>
              <w:pStyle w:val="Contenudetableau"/>
              <w:rPr>
                <w:lang w:val="en-GB"/>
              </w:rPr>
            </w:pP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Creative Europe</w:t>
            </w:r>
          </w:p>
          <w:p w:rsidR="008E3B09" w:rsidRDefault="008E3B09" w:rsidP="009763A7">
            <w:pPr>
              <w:pStyle w:val="Contenudetableau"/>
            </w:pPr>
            <w:r>
              <w:rPr>
                <w:i/>
                <w:iCs/>
              </w:rPr>
              <w:t>COM(2011)</w:t>
            </w:r>
            <w:r>
              <w:t xml:space="preserve"> </w:t>
            </w:r>
            <w:r>
              <w:rPr>
                <w:i/>
                <w:iCs/>
              </w:rPr>
              <w:t>785</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18</w:t>
            </w:r>
          </w:p>
        </w:tc>
        <w:tc>
          <w:tcPr>
            <w:tcW w:w="5250" w:type="dxa"/>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Justice</w:t>
            </w:r>
          </w:p>
          <w:p w:rsidR="008E3B09" w:rsidRDefault="008E3B09" w:rsidP="009763A7">
            <w:pPr>
              <w:pStyle w:val="Contenudetableau"/>
            </w:pPr>
            <w:r>
              <w:rPr>
                <w:i/>
                <w:iCs/>
              </w:rPr>
              <w:t>COM(2011) 759</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10</w:t>
            </w:r>
          </w:p>
        </w:tc>
        <w:tc>
          <w:tcPr>
            <w:tcW w:w="5250" w:type="dxa"/>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p>
        </w:tc>
      </w:tr>
      <w:tr w:rsidR="008E3B09" w:rsidRPr="00F4794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Rights &amp; Citizenship</w:t>
            </w:r>
          </w:p>
          <w:p w:rsidR="008E3B09" w:rsidRDefault="008E3B09" w:rsidP="009763A7">
            <w:pPr>
              <w:pStyle w:val="Contenudetableau"/>
            </w:pPr>
            <w:r>
              <w:rPr>
                <w:i/>
                <w:iCs/>
              </w:rPr>
              <w:t>COM(2011) 758</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rPr>
                <w:i/>
                <w:iCs/>
              </w:rPr>
            </w:pPr>
            <w:r>
              <w:t>Article 9</w:t>
            </w:r>
          </w:p>
        </w:tc>
        <w:tc>
          <w:tcPr>
            <w:tcW w:w="5250" w:type="dxa"/>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p>
        </w:tc>
      </w:tr>
      <w:tr w:rsidR="008E3B09" w:rsidRPr="00F47949" w:rsidTr="00623909">
        <w:tc>
          <w:tcPr>
            <w:tcW w:w="9645" w:type="dxa"/>
            <w:gridSpan w:val="3"/>
            <w:tcBorders>
              <w:left w:val="single" w:sz="1" w:space="0" w:color="000000"/>
              <w:bottom w:val="single" w:sz="1" w:space="0" w:color="000000"/>
              <w:right w:val="single" w:sz="1" w:space="0" w:color="000000"/>
            </w:tcBorders>
            <w:shd w:val="clear" w:color="auto" w:fill="auto"/>
          </w:tcPr>
          <w:p w:rsidR="008E3B09" w:rsidRPr="00F47949" w:rsidRDefault="008E3B09" w:rsidP="009763A7">
            <w:pPr>
              <w:pStyle w:val="Contenudetableau"/>
              <w:rPr>
                <w:lang w:val="en-GB"/>
              </w:rPr>
            </w:pPr>
          </w:p>
        </w:tc>
      </w:tr>
      <w:tr w:rsidR="008E3B09" w:rsidTr="00623909">
        <w:tc>
          <w:tcPr>
            <w:tcW w:w="9645" w:type="dxa"/>
            <w:gridSpan w:val="3"/>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r>
              <w:rPr>
                <w:b/>
                <w:bCs/>
              </w:rPr>
              <w:t>4. Programmes with no committee</w:t>
            </w: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Pericles 2020</w:t>
            </w:r>
          </w:p>
          <w:p w:rsidR="008E3B09" w:rsidRDefault="008E3B09" w:rsidP="009763A7">
            <w:pPr>
              <w:pStyle w:val="Contenudetableau"/>
            </w:pPr>
            <w:r>
              <w:rPr>
                <w:i/>
                <w:iCs/>
              </w:rPr>
              <w:t>COM(2011) 913</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Hercule III</w:t>
            </w:r>
          </w:p>
          <w:p w:rsidR="008E3B09" w:rsidRDefault="008E3B09" w:rsidP="009763A7">
            <w:pPr>
              <w:pStyle w:val="Contenudetableau"/>
            </w:pPr>
            <w:r>
              <w:rPr>
                <w:i/>
                <w:iCs/>
              </w:rPr>
              <w:t>COM(2011) 914</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r w:rsidR="008E3B09" w:rsidTr="00CA0E7F">
        <w:tc>
          <w:tcPr>
            <w:tcW w:w="3119" w:type="dxa"/>
            <w:tcBorders>
              <w:left w:val="single" w:sz="1" w:space="0" w:color="000000"/>
              <w:bottom w:val="single" w:sz="1" w:space="0" w:color="000000"/>
            </w:tcBorders>
            <w:shd w:val="clear" w:color="auto" w:fill="auto"/>
          </w:tcPr>
          <w:p w:rsidR="008E3B09" w:rsidRDefault="008E3B09" w:rsidP="009763A7">
            <w:pPr>
              <w:pStyle w:val="Contenudetableau"/>
              <w:rPr>
                <w:i/>
                <w:iCs/>
              </w:rPr>
            </w:pPr>
            <w:r>
              <w:t>EGF</w:t>
            </w:r>
          </w:p>
          <w:p w:rsidR="008E3B09" w:rsidRDefault="008E3B09" w:rsidP="009763A7">
            <w:pPr>
              <w:pStyle w:val="Contenudetableau"/>
            </w:pPr>
            <w:r>
              <w:rPr>
                <w:i/>
                <w:iCs/>
              </w:rPr>
              <w:t>COM(2011) 608</w:t>
            </w:r>
          </w:p>
        </w:tc>
        <w:tc>
          <w:tcPr>
            <w:tcW w:w="1276" w:type="dxa"/>
            <w:tcBorders>
              <w:left w:val="single" w:sz="1" w:space="0" w:color="000000"/>
              <w:bottom w:val="single" w:sz="1" w:space="0" w:color="000000"/>
            </w:tcBorders>
            <w:shd w:val="clear" w:color="auto" w:fill="auto"/>
          </w:tcPr>
          <w:p w:rsidR="008E3B09" w:rsidRDefault="008E3B09" w:rsidP="009763A7">
            <w:pPr>
              <w:pStyle w:val="Contenudetableau"/>
            </w:pPr>
          </w:p>
        </w:tc>
        <w:tc>
          <w:tcPr>
            <w:tcW w:w="5250" w:type="dxa"/>
            <w:tcBorders>
              <w:left w:val="single" w:sz="1" w:space="0" w:color="000000"/>
              <w:bottom w:val="single" w:sz="1" w:space="0" w:color="000000"/>
              <w:right w:val="single" w:sz="1" w:space="0" w:color="000000"/>
            </w:tcBorders>
            <w:shd w:val="clear" w:color="auto" w:fill="auto"/>
          </w:tcPr>
          <w:p w:rsidR="008E3B09" w:rsidRDefault="008E3B09" w:rsidP="009763A7">
            <w:pPr>
              <w:pStyle w:val="Contenudetableau"/>
            </w:pPr>
          </w:p>
        </w:tc>
      </w:tr>
    </w:tbl>
    <w:p w:rsidR="00623909" w:rsidRPr="009171D1" w:rsidRDefault="00623909" w:rsidP="000A7827">
      <w:pPr>
        <w:tabs>
          <w:tab w:val="left" w:pos="1290"/>
        </w:tabs>
        <w:jc w:val="both"/>
      </w:pPr>
    </w:p>
    <w:sectPr w:rsidR="00623909" w:rsidRPr="009171D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30" w:rsidRDefault="00D82130" w:rsidP="00FC26CE">
      <w:r>
        <w:separator/>
      </w:r>
    </w:p>
  </w:endnote>
  <w:endnote w:type="continuationSeparator" w:id="0">
    <w:p w:rsidR="00D82130" w:rsidRDefault="00D82130" w:rsidP="00FC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133359"/>
      <w:docPartObj>
        <w:docPartGallery w:val="Page Numbers (Bottom of Page)"/>
        <w:docPartUnique/>
      </w:docPartObj>
    </w:sdtPr>
    <w:sdtEndPr>
      <w:rPr>
        <w:noProof/>
      </w:rPr>
    </w:sdtEndPr>
    <w:sdtContent>
      <w:p w:rsidR="000A7827" w:rsidRDefault="000A7827">
        <w:pPr>
          <w:pStyle w:val="Footer"/>
          <w:jc w:val="center"/>
        </w:pPr>
        <w:r>
          <w:fldChar w:fldCharType="begin"/>
        </w:r>
        <w:r>
          <w:instrText xml:space="preserve"> PAGE   \* MERGEFORMAT </w:instrText>
        </w:r>
        <w:r>
          <w:fldChar w:fldCharType="separate"/>
        </w:r>
        <w:r w:rsidR="001F0D34">
          <w:rPr>
            <w:noProof/>
          </w:rPr>
          <w:t>2</w:t>
        </w:r>
        <w:r>
          <w:rPr>
            <w:noProof/>
          </w:rPr>
          <w:fldChar w:fldCharType="end"/>
        </w:r>
      </w:p>
    </w:sdtContent>
  </w:sdt>
  <w:p w:rsidR="000A7827" w:rsidRDefault="000A7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30" w:rsidRDefault="00D82130" w:rsidP="00FC26CE">
      <w:r>
        <w:separator/>
      </w:r>
    </w:p>
  </w:footnote>
  <w:footnote w:type="continuationSeparator" w:id="0">
    <w:p w:rsidR="00D82130" w:rsidRDefault="00D82130" w:rsidP="00FC26CE">
      <w:r>
        <w:continuationSeparator/>
      </w:r>
    </w:p>
  </w:footnote>
  <w:footnote w:id="1">
    <w:p w:rsidR="00062F5C" w:rsidRPr="004A56C8" w:rsidRDefault="00062F5C" w:rsidP="000D1541">
      <w:pPr>
        <w:pStyle w:val="FootnoteText"/>
        <w:jc w:val="both"/>
      </w:pPr>
      <w:r w:rsidRPr="004A56C8">
        <w:rPr>
          <w:rStyle w:val="FootnoteReference"/>
        </w:rPr>
        <w:footnoteRef/>
      </w:r>
      <w:r w:rsidRPr="004A56C8">
        <w:t xml:space="preserve"> Regulation (EU) No 182/2011 of the European Parliament and of the Council of 16 February 2011 laying down rules and general principles concerning mechanisms for control by Member States of the Commission's exercise of implementing powers.</w:t>
      </w:r>
    </w:p>
  </w:footnote>
  <w:footnote w:id="2">
    <w:p w:rsidR="00FC26CE" w:rsidRPr="004A56C8" w:rsidRDefault="00FC26CE" w:rsidP="000D1541">
      <w:pPr>
        <w:pStyle w:val="FootnoteText"/>
        <w:jc w:val="both"/>
      </w:pPr>
      <w:r w:rsidRPr="004A56C8">
        <w:rPr>
          <w:rStyle w:val="FootnoteReference"/>
        </w:rPr>
        <w:footnoteRef/>
      </w:r>
      <w:r w:rsidRPr="004A56C8">
        <w:t xml:space="preserve"> </w:t>
      </w:r>
      <w:r w:rsidRPr="004A56C8">
        <w:rPr>
          <w:rFonts w:eastAsiaTheme="minorHAnsi"/>
          <w:lang w:eastAsia="en-US"/>
        </w:rPr>
        <w:t>See point (a) of 2</w:t>
      </w:r>
      <w:r w:rsidRPr="004A56C8">
        <w:rPr>
          <w:rFonts w:eastAsiaTheme="minorHAnsi"/>
          <w:vertAlign w:val="superscript"/>
          <w:lang w:eastAsia="en-US"/>
        </w:rPr>
        <w:t>nd</w:t>
      </w:r>
      <w:r w:rsidR="00062F5C" w:rsidRPr="004A56C8">
        <w:rPr>
          <w:rFonts w:eastAsiaTheme="minorHAnsi"/>
          <w:lang w:eastAsia="en-US"/>
        </w:rPr>
        <w:t xml:space="preserve"> subparagraph of Article 5</w:t>
      </w:r>
      <w:r w:rsidR="001B5612" w:rsidRPr="004A56C8">
        <w:rPr>
          <w:rFonts w:eastAsiaTheme="minorHAnsi"/>
          <w:lang w:eastAsia="en-US"/>
        </w:rPr>
        <w:t>(</w:t>
      </w:r>
      <w:r w:rsidR="00062F5C" w:rsidRPr="004A56C8">
        <w:rPr>
          <w:rFonts w:eastAsiaTheme="minorHAnsi"/>
          <w:lang w:eastAsia="en-US"/>
        </w:rPr>
        <w:t>4</w:t>
      </w:r>
      <w:r w:rsidR="001B5612" w:rsidRPr="004A56C8">
        <w:rPr>
          <w:rFonts w:eastAsiaTheme="minorHAnsi"/>
          <w:lang w:eastAsia="en-US"/>
        </w:rPr>
        <w:t>)</w:t>
      </w:r>
      <w:r w:rsidRPr="004A56C8">
        <w:rPr>
          <w:rFonts w:eastAsiaTheme="minorHAnsi"/>
          <w:lang w:eastAsia="en-US"/>
        </w:rPr>
        <w:t xml:space="preserve"> of the </w:t>
      </w:r>
      <w:r w:rsidR="00E270A0">
        <w:rPr>
          <w:rFonts w:eastAsiaTheme="minorHAnsi"/>
          <w:lang w:eastAsia="en-US"/>
        </w:rPr>
        <w:t>C</w:t>
      </w:r>
      <w:r w:rsidRPr="004A56C8">
        <w:rPr>
          <w:rFonts w:eastAsiaTheme="minorHAnsi"/>
          <w:lang w:eastAsia="en-US"/>
        </w:rPr>
        <w:t xml:space="preserve">omitology </w:t>
      </w:r>
      <w:r w:rsidR="00E270A0">
        <w:rPr>
          <w:rFonts w:eastAsiaTheme="minorHAnsi"/>
          <w:lang w:eastAsia="en-US"/>
        </w:rPr>
        <w:t>R</w:t>
      </w:r>
      <w:r w:rsidRPr="004A56C8">
        <w:rPr>
          <w:rFonts w:eastAsiaTheme="minorHAnsi"/>
          <w:lang w:eastAsia="en-US"/>
        </w:rPr>
        <w:t>egulation.</w:t>
      </w:r>
    </w:p>
  </w:footnote>
  <w:footnote w:id="3">
    <w:p w:rsidR="00062F5C" w:rsidRPr="004A56C8" w:rsidRDefault="00062F5C" w:rsidP="000D1541">
      <w:pPr>
        <w:pStyle w:val="FootnoteText"/>
        <w:jc w:val="both"/>
      </w:pPr>
      <w:r w:rsidRPr="004A56C8">
        <w:rPr>
          <w:rStyle w:val="FootnoteReference"/>
        </w:rPr>
        <w:footnoteRef/>
      </w:r>
      <w:r w:rsidRPr="004A56C8">
        <w:t xml:space="preserve"> See point (b) </w:t>
      </w:r>
      <w:r w:rsidRPr="004A56C8">
        <w:rPr>
          <w:i/>
        </w:rPr>
        <w:t>ibid.</w:t>
      </w:r>
    </w:p>
  </w:footnote>
  <w:footnote w:id="4">
    <w:p w:rsidR="00121788" w:rsidRPr="004A56C8" w:rsidRDefault="00121788" w:rsidP="000D1541">
      <w:pPr>
        <w:pStyle w:val="FootnoteText"/>
        <w:jc w:val="both"/>
      </w:pPr>
      <w:r w:rsidRPr="004A56C8">
        <w:rPr>
          <w:rStyle w:val="FootnoteReference"/>
        </w:rPr>
        <w:footnoteRef/>
      </w:r>
      <w:r w:rsidRPr="004A56C8">
        <w:t xml:space="preserve"> See 3</w:t>
      </w:r>
      <w:r w:rsidRPr="004A56C8">
        <w:rPr>
          <w:vertAlign w:val="superscript"/>
        </w:rPr>
        <w:t>rd</w:t>
      </w:r>
      <w:r w:rsidRPr="004A56C8">
        <w:t xml:space="preserve"> </w:t>
      </w:r>
      <w:r w:rsidRPr="004A56C8">
        <w:rPr>
          <w:rFonts w:eastAsiaTheme="minorHAnsi"/>
          <w:lang w:eastAsia="en-US"/>
        </w:rPr>
        <w:t>subparagraph of Article 5</w:t>
      </w:r>
      <w:r w:rsidR="001B5612" w:rsidRPr="004A56C8">
        <w:rPr>
          <w:rFonts w:eastAsiaTheme="minorHAnsi"/>
          <w:lang w:eastAsia="en-US"/>
        </w:rPr>
        <w:t>(</w:t>
      </w:r>
      <w:r w:rsidRPr="004A56C8">
        <w:rPr>
          <w:rFonts w:eastAsiaTheme="minorHAnsi"/>
          <w:lang w:eastAsia="en-US"/>
        </w:rPr>
        <w:t>4</w:t>
      </w:r>
      <w:r w:rsidR="001B5612" w:rsidRPr="004A56C8">
        <w:rPr>
          <w:rFonts w:eastAsiaTheme="minorHAnsi"/>
          <w:lang w:eastAsia="en-US"/>
        </w:rPr>
        <w:t>)</w:t>
      </w:r>
      <w:r w:rsidRPr="004A56C8">
        <w:rPr>
          <w:rFonts w:eastAsiaTheme="minorHAnsi"/>
          <w:lang w:eastAsia="en-US"/>
        </w:rPr>
        <w:t xml:space="preserve"> of the </w:t>
      </w:r>
      <w:r w:rsidR="00E270A0">
        <w:rPr>
          <w:rFonts w:eastAsiaTheme="minorHAnsi"/>
          <w:lang w:eastAsia="en-US"/>
        </w:rPr>
        <w:t>C</w:t>
      </w:r>
      <w:r w:rsidRPr="004A56C8">
        <w:rPr>
          <w:rFonts w:eastAsiaTheme="minorHAnsi"/>
          <w:lang w:eastAsia="en-US"/>
        </w:rPr>
        <w:t xml:space="preserve">omitology </w:t>
      </w:r>
      <w:r w:rsidR="00E270A0">
        <w:rPr>
          <w:rFonts w:eastAsiaTheme="minorHAnsi"/>
          <w:lang w:eastAsia="en-US"/>
        </w:rPr>
        <w:t>R</w:t>
      </w:r>
      <w:r w:rsidRPr="004A56C8">
        <w:rPr>
          <w:rFonts w:eastAsiaTheme="minorHAnsi"/>
          <w:lang w:eastAsia="en-US"/>
        </w:rPr>
        <w:t>egulation.</w:t>
      </w:r>
    </w:p>
  </w:footnote>
  <w:footnote w:id="5">
    <w:p w:rsidR="00F7399F" w:rsidRPr="000D1541" w:rsidRDefault="00F7399F" w:rsidP="00F7399F">
      <w:pPr>
        <w:pStyle w:val="FootnoteText"/>
        <w:jc w:val="both"/>
      </w:pPr>
      <w:r>
        <w:rPr>
          <w:rStyle w:val="FootnoteReference"/>
        </w:rPr>
        <w:footnoteRef/>
      </w:r>
      <w:r>
        <w:t xml:space="preserve"> </w:t>
      </w:r>
      <w:r w:rsidRPr="009171D1">
        <w:t>COM(2012)</w:t>
      </w:r>
      <w:r>
        <w:t xml:space="preserve"> </w:t>
      </w:r>
      <w:r w:rsidRPr="009171D1">
        <w:t>167</w:t>
      </w:r>
      <w:r>
        <w:t>.</w:t>
      </w:r>
    </w:p>
  </w:footnote>
  <w:footnote w:id="6">
    <w:p w:rsidR="001137D7" w:rsidRPr="001137D7" w:rsidRDefault="001137D7" w:rsidP="000D1541">
      <w:pPr>
        <w:pStyle w:val="FootnoteText"/>
        <w:jc w:val="both"/>
      </w:pPr>
      <w:r>
        <w:rPr>
          <w:rStyle w:val="FootnoteReference"/>
        </w:rPr>
        <w:footnoteRef/>
      </w:r>
      <w:r>
        <w:t xml:space="preserve"> </w:t>
      </w:r>
      <w:r w:rsidRPr="001137D7">
        <w:t xml:space="preserve">COM(2011) 855; agreement for dropping the "no opinion-no action" clause at the </w:t>
      </w:r>
      <w:r>
        <w:t>1456</w:t>
      </w:r>
      <w:r w:rsidRPr="001137D7">
        <w:rPr>
          <w:vertAlign w:val="superscript"/>
        </w:rPr>
        <w:t>th</w:t>
      </w:r>
      <w:r>
        <w:t xml:space="preserve"> meeting of the Special Committee on Agriculture, 29 April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21B8C"/>
    <w:multiLevelType w:val="hybridMultilevel"/>
    <w:tmpl w:val="6134A5E2"/>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15A4F"/>
    <w:rsid w:val="00024831"/>
    <w:rsid w:val="00026FBB"/>
    <w:rsid w:val="000300C4"/>
    <w:rsid w:val="00062F5C"/>
    <w:rsid w:val="000672FD"/>
    <w:rsid w:val="00092820"/>
    <w:rsid w:val="000A7827"/>
    <w:rsid w:val="000D1541"/>
    <w:rsid w:val="001137D7"/>
    <w:rsid w:val="00121788"/>
    <w:rsid w:val="001B5612"/>
    <w:rsid w:val="001F0D34"/>
    <w:rsid w:val="00217C61"/>
    <w:rsid w:val="00240161"/>
    <w:rsid w:val="00286563"/>
    <w:rsid w:val="002C13B8"/>
    <w:rsid w:val="002E72F4"/>
    <w:rsid w:val="00301C03"/>
    <w:rsid w:val="003241E0"/>
    <w:rsid w:val="003324F1"/>
    <w:rsid w:val="003A5F22"/>
    <w:rsid w:val="003C45AA"/>
    <w:rsid w:val="004169F5"/>
    <w:rsid w:val="00471BDE"/>
    <w:rsid w:val="00486190"/>
    <w:rsid w:val="004A56C8"/>
    <w:rsid w:val="004C3C3B"/>
    <w:rsid w:val="004E1B33"/>
    <w:rsid w:val="00623909"/>
    <w:rsid w:val="006A5688"/>
    <w:rsid w:val="006D5797"/>
    <w:rsid w:val="007358F4"/>
    <w:rsid w:val="00736EDF"/>
    <w:rsid w:val="00773E13"/>
    <w:rsid w:val="007C203D"/>
    <w:rsid w:val="007E3073"/>
    <w:rsid w:val="007E5952"/>
    <w:rsid w:val="008429ED"/>
    <w:rsid w:val="00844131"/>
    <w:rsid w:val="008E3B09"/>
    <w:rsid w:val="009171D1"/>
    <w:rsid w:val="009177A3"/>
    <w:rsid w:val="0096301E"/>
    <w:rsid w:val="00A11115"/>
    <w:rsid w:val="00A13512"/>
    <w:rsid w:val="00A26E74"/>
    <w:rsid w:val="00A4205A"/>
    <w:rsid w:val="00AB6C09"/>
    <w:rsid w:val="00AC54EF"/>
    <w:rsid w:val="00B01658"/>
    <w:rsid w:val="00B01B1D"/>
    <w:rsid w:val="00B15A4F"/>
    <w:rsid w:val="00B71CAF"/>
    <w:rsid w:val="00C22B5C"/>
    <w:rsid w:val="00C75E30"/>
    <w:rsid w:val="00CA0E7F"/>
    <w:rsid w:val="00CB6C39"/>
    <w:rsid w:val="00CC44ED"/>
    <w:rsid w:val="00CE4709"/>
    <w:rsid w:val="00D03C31"/>
    <w:rsid w:val="00D21177"/>
    <w:rsid w:val="00D21CE1"/>
    <w:rsid w:val="00D35BE3"/>
    <w:rsid w:val="00D82130"/>
    <w:rsid w:val="00DA33A4"/>
    <w:rsid w:val="00DC0E50"/>
    <w:rsid w:val="00DE3759"/>
    <w:rsid w:val="00E270A0"/>
    <w:rsid w:val="00E44926"/>
    <w:rsid w:val="00E7044A"/>
    <w:rsid w:val="00E97620"/>
    <w:rsid w:val="00EB30EF"/>
    <w:rsid w:val="00F20265"/>
    <w:rsid w:val="00F7399F"/>
    <w:rsid w:val="00F77304"/>
    <w:rsid w:val="00F941BC"/>
    <w:rsid w:val="00FC2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autoRedefine/>
    <w:rsid w:val="00DA33A4"/>
    <w:pPr>
      <w:spacing w:after="240"/>
      <w:jc w:val="center"/>
    </w:pPr>
    <w:rPr>
      <w:b/>
      <w:sz w:val="28"/>
      <w:szCs w:val="28"/>
    </w:rPr>
  </w:style>
  <w:style w:type="paragraph" w:customStyle="1" w:styleId="Text1">
    <w:name w:val="Text 1"/>
    <w:basedOn w:val="Normal"/>
    <w:rsid w:val="009171D1"/>
    <w:pPr>
      <w:spacing w:after="240"/>
      <w:ind w:left="482"/>
      <w:jc w:val="both"/>
    </w:pPr>
    <w:rPr>
      <w:szCs w:val="20"/>
      <w:lang w:eastAsia="en-US"/>
    </w:rPr>
  </w:style>
  <w:style w:type="paragraph" w:styleId="FootnoteText">
    <w:name w:val="footnote text"/>
    <w:basedOn w:val="Normal"/>
    <w:link w:val="FootnoteTextChar"/>
    <w:uiPriority w:val="99"/>
    <w:semiHidden/>
    <w:unhideWhenUsed/>
    <w:rsid w:val="00FC26CE"/>
    <w:rPr>
      <w:sz w:val="20"/>
      <w:szCs w:val="20"/>
    </w:rPr>
  </w:style>
  <w:style w:type="character" w:customStyle="1" w:styleId="FootnoteTextChar">
    <w:name w:val="Footnote Text Char"/>
    <w:basedOn w:val="DefaultParagraphFont"/>
    <w:link w:val="FootnoteText"/>
    <w:uiPriority w:val="99"/>
    <w:semiHidden/>
    <w:rsid w:val="00FC26C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C26CE"/>
    <w:rPr>
      <w:vertAlign w:val="superscript"/>
    </w:rPr>
  </w:style>
  <w:style w:type="paragraph" w:styleId="ListParagraph">
    <w:name w:val="List Paragraph"/>
    <w:basedOn w:val="Normal"/>
    <w:uiPriority w:val="34"/>
    <w:qFormat/>
    <w:rsid w:val="00B01B1D"/>
    <w:pPr>
      <w:ind w:left="720"/>
    </w:pPr>
    <w:rPr>
      <w:rFonts w:ascii="Calibri" w:hAnsi="Calibri"/>
      <w:sz w:val="22"/>
      <w:szCs w:val="22"/>
      <w:lang w:eastAsia="en-US"/>
    </w:rPr>
  </w:style>
  <w:style w:type="paragraph" w:customStyle="1" w:styleId="Point0">
    <w:name w:val="Point 0"/>
    <w:basedOn w:val="Normal"/>
    <w:rsid w:val="00C22B5C"/>
    <w:pPr>
      <w:spacing w:before="120" w:after="120"/>
      <w:ind w:left="850" w:hanging="850"/>
      <w:jc w:val="both"/>
    </w:pPr>
    <w:rPr>
      <w:lang w:eastAsia="en-US"/>
    </w:rPr>
  </w:style>
  <w:style w:type="paragraph" w:customStyle="1" w:styleId="Point1">
    <w:name w:val="Point 1"/>
    <w:basedOn w:val="Normal"/>
    <w:rsid w:val="00C22B5C"/>
    <w:pPr>
      <w:spacing w:before="120" w:after="120"/>
      <w:ind w:left="1417" w:hanging="567"/>
      <w:jc w:val="both"/>
    </w:pPr>
    <w:rPr>
      <w:lang w:eastAsia="en-US"/>
    </w:rPr>
  </w:style>
  <w:style w:type="paragraph" w:customStyle="1" w:styleId="Contenudetableau">
    <w:name w:val="Contenu de tableau"/>
    <w:basedOn w:val="Normal"/>
    <w:rsid w:val="00623909"/>
    <w:pPr>
      <w:widowControl w:val="0"/>
      <w:suppressLineNumbers/>
      <w:suppressAutoHyphens/>
    </w:pPr>
    <w:rPr>
      <w:rFonts w:eastAsia="SimSun" w:cs="Tahoma"/>
      <w:kern w:val="1"/>
      <w:lang w:val="fr-FR" w:eastAsia="ar-SA"/>
    </w:rPr>
  </w:style>
  <w:style w:type="paragraph" w:styleId="BalloonText">
    <w:name w:val="Balloon Text"/>
    <w:basedOn w:val="Normal"/>
    <w:link w:val="BalloonTextChar"/>
    <w:uiPriority w:val="99"/>
    <w:semiHidden/>
    <w:unhideWhenUsed/>
    <w:rsid w:val="008429ED"/>
    <w:rPr>
      <w:rFonts w:ascii="Tahoma" w:hAnsi="Tahoma" w:cs="Tahoma"/>
      <w:sz w:val="16"/>
      <w:szCs w:val="16"/>
    </w:rPr>
  </w:style>
  <w:style w:type="character" w:customStyle="1" w:styleId="BalloonTextChar">
    <w:name w:val="Balloon Text Char"/>
    <w:basedOn w:val="DefaultParagraphFont"/>
    <w:link w:val="BalloonText"/>
    <w:uiPriority w:val="99"/>
    <w:semiHidden/>
    <w:rsid w:val="008429ED"/>
    <w:rPr>
      <w:rFonts w:ascii="Tahoma" w:eastAsia="Times New Roman" w:hAnsi="Tahoma" w:cs="Tahoma"/>
      <w:sz w:val="16"/>
      <w:szCs w:val="16"/>
      <w:lang w:eastAsia="en-GB"/>
    </w:rPr>
  </w:style>
  <w:style w:type="paragraph" w:styleId="Header">
    <w:name w:val="header"/>
    <w:basedOn w:val="Normal"/>
    <w:link w:val="HeaderChar"/>
    <w:uiPriority w:val="99"/>
    <w:unhideWhenUsed/>
    <w:rsid w:val="000A7827"/>
    <w:pPr>
      <w:tabs>
        <w:tab w:val="center" w:pos="4513"/>
        <w:tab w:val="right" w:pos="9026"/>
      </w:tabs>
    </w:pPr>
  </w:style>
  <w:style w:type="character" w:customStyle="1" w:styleId="HeaderChar">
    <w:name w:val="Header Char"/>
    <w:basedOn w:val="DefaultParagraphFont"/>
    <w:link w:val="Header"/>
    <w:uiPriority w:val="99"/>
    <w:rsid w:val="000A782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A7827"/>
    <w:pPr>
      <w:tabs>
        <w:tab w:val="center" w:pos="4513"/>
        <w:tab w:val="right" w:pos="9026"/>
      </w:tabs>
    </w:pPr>
  </w:style>
  <w:style w:type="character" w:customStyle="1" w:styleId="FooterChar">
    <w:name w:val="Footer Char"/>
    <w:basedOn w:val="DefaultParagraphFont"/>
    <w:link w:val="Footer"/>
    <w:uiPriority w:val="99"/>
    <w:rsid w:val="000A7827"/>
    <w:rPr>
      <w:rFonts w:ascii="Times New Roman" w:eastAsia="Times New Roman" w:hAnsi="Times New Roman" w:cs="Times New Roman"/>
      <w:sz w:val="24"/>
      <w:szCs w:val="24"/>
      <w:lang w:eastAsia="en-GB"/>
    </w:rPr>
  </w:style>
  <w:style w:type="table" w:styleId="TableGrid">
    <w:name w:val="Table Grid"/>
    <w:basedOn w:val="TableNormal"/>
    <w:uiPriority w:val="59"/>
    <w:rsid w:val="00E7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A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autoRedefine/>
    <w:rsid w:val="00DA33A4"/>
    <w:pPr>
      <w:spacing w:after="240"/>
      <w:jc w:val="center"/>
    </w:pPr>
    <w:rPr>
      <w:b/>
      <w:sz w:val="28"/>
      <w:szCs w:val="28"/>
    </w:rPr>
  </w:style>
  <w:style w:type="paragraph" w:customStyle="1" w:styleId="Text1">
    <w:name w:val="Text 1"/>
    <w:basedOn w:val="Normal"/>
    <w:rsid w:val="009171D1"/>
    <w:pPr>
      <w:spacing w:after="240"/>
      <w:ind w:left="482"/>
      <w:jc w:val="both"/>
    </w:pPr>
    <w:rPr>
      <w:szCs w:val="20"/>
      <w:lang w:eastAsia="en-US"/>
    </w:rPr>
  </w:style>
  <w:style w:type="paragraph" w:styleId="FootnoteText">
    <w:name w:val="footnote text"/>
    <w:basedOn w:val="Normal"/>
    <w:link w:val="FootnoteTextChar"/>
    <w:uiPriority w:val="99"/>
    <w:semiHidden/>
    <w:unhideWhenUsed/>
    <w:rsid w:val="00FC26CE"/>
    <w:rPr>
      <w:sz w:val="20"/>
      <w:szCs w:val="20"/>
    </w:rPr>
  </w:style>
  <w:style w:type="character" w:customStyle="1" w:styleId="FootnoteTextChar">
    <w:name w:val="Footnote Text Char"/>
    <w:basedOn w:val="DefaultParagraphFont"/>
    <w:link w:val="FootnoteText"/>
    <w:uiPriority w:val="99"/>
    <w:semiHidden/>
    <w:rsid w:val="00FC26C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FC26CE"/>
    <w:rPr>
      <w:vertAlign w:val="superscript"/>
    </w:rPr>
  </w:style>
  <w:style w:type="paragraph" w:styleId="ListParagraph">
    <w:name w:val="List Paragraph"/>
    <w:basedOn w:val="Normal"/>
    <w:uiPriority w:val="34"/>
    <w:qFormat/>
    <w:rsid w:val="00B01B1D"/>
    <w:pPr>
      <w:ind w:left="720"/>
    </w:pPr>
    <w:rPr>
      <w:rFonts w:ascii="Calibri" w:hAnsi="Calibri"/>
      <w:sz w:val="22"/>
      <w:szCs w:val="22"/>
      <w:lang w:eastAsia="en-US"/>
    </w:rPr>
  </w:style>
  <w:style w:type="paragraph" w:customStyle="1" w:styleId="Point0">
    <w:name w:val="Point 0"/>
    <w:basedOn w:val="Normal"/>
    <w:rsid w:val="00C22B5C"/>
    <w:pPr>
      <w:spacing w:before="120" w:after="120"/>
      <w:ind w:left="850" w:hanging="850"/>
      <w:jc w:val="both"/>
    </w:pPr>
    <w:rPr>
      <w:lang w:eastAsia="en-US"/>
    </w:rPr>
  </w:style>
  <w:style w:type="paragraph" w:customStyle="1" w:styleId="Point1">
    <w:name w:val="Point 1"/>
    <w:basedOn w:val="Normal"/>
    <w:rsid w:val="00C22B5C"/>
    <w:pPr>
      <w:spacing w:before="120" w:after="120"/>
      <w:ind w:left="1417" w:hanging="567"/>
      <w:jc w:val="both"/>
    </w:pPr>
    <w:rPr>
      <w:lang w:eastAsia="en-US"/>
    </w:rPr>
  </w:style>
  <w:style w:type="paragraph" w:customStyle="1" w:styleId="Contenudetableau">
    <w:name w:val="Contenu de tableau"/>
    <w:basedOn w:val="Normal"/>
    <w:rsid w:val="00623909"/>
    <w:pPr>
      <w:widowControl w:val="0"/>
      <w:suppressLineNumbers/>
      <w:suppressAutoHyphens/>
    </w:pPr>
    <w:rPr>
      <w:rFonts w:eastAsia="SimSun" w:cs="Tahoma"/>
      <w:kern w:val="1"/>
      <w:lang w:val="fr-FR" w:eastAsia="ar-SA"/>
    </w:rPr>
  </w:style>
  <w:style w:type="paragraph" w:styleId="BalloonText">
    <w:name w:val="Balloon Text"/>
    <w:basedOn w:val="Normal"/>
    <w:link w:val="BalloonTextChar"/>
    <w:uiPriority w:val="99"/>
    <w:semiHidden/>
    <w:unhideWhenUsed/>
    <w:rsid w:val="008429ED"/>
    <w:rPr>
      <w:rFonts w:ascii="Tahoma" w:hAnsi="Tahoma" w:cs="Tahoma"/>
      <w:sz w:val="16"/>
      <w:szCs w:val="16"/>
    </w:rPr>
  </w:style>
  <w:style w:type="character" w:customStyle="1" w:styleId="BalloonTextChar">
    <w:name w:val="Balloon Text Char"/>
    <w:basedOn w:val="DefaultParagraphFont"/>
    <w:link w:val="BalloonText"/>
    <w:uiPriority w:val="99"/>
    <w:semiHidden/>
    <w:rsid w:val="008429ED"/>
    <w:rPr>
      <w:rFonts w:ascii="Tahoma" w:eastAsia="Times New Roman" w:hAnsi="Tahoma" w:cs="Tahoma"/>
      <w:sz w:val="16"/>
      <w:szCs w:val="16"/>
      <w:lang w:eastAsia="en-GB"/>
    </w:rPr>
  </w:style>
  <w:style w:type="paragraph" w:styleId="Header">
    <w:name w:val="header"/>
    <w:basedOn w:val="Normal"/>
    <w:link w:val="HeaderChar"/>
    <w:uiPriority w:val="99"/>
    <w:unhideWhenUsed/>
    <w:rsid w:val="000A7827"/>
    <w:pPr>
      <w:tabs>
        <w:tab w:val="center" w:pos="4513"/>
        <w:tab w:val="right" w:pos="9026"/>
      </w:tabs>
    </w:pPr>
  </w:style>
  <w:style w:type="character" w:customStyle="1" w:styleId="HeaderChar">
    <w:name w:val="Header Char"/>
    <w:basedOn w:val="DefaultParagraphFont"/>
    <w:link w:val="Header"/>
    <w:uiPriority w:val="99"/>
    <w:rsid w:val="000A782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A7827"/>
    <w:pPr>
      <w:tabs>
        <w:tab w:val="center" w:pos="4513"/>
        <w:tab w:val="right" w:pos="9026"/>
      </w:tabs>
    </w:pPr>
  </w:style>
  <w:style w:type="character" w:customStyle="1" w:styleId="FooterChar">
    <w:name w:val="Footer Char"/>
    <w:basedOn w:val="DefaultParagraphFont"/>
    <w:link w:val="Footer"/>
    <w:uiPriority w:val="99"/>
    <w:rsid w:val="000A7827"/>
    <w:rPr>
      <w:rFonts w:ascii="Times New Roman" w:eastAsia="Times New Roman" w:hAnsi="Times New Roman" w:cs="Times New Roman"/>
      <w:sz w:val="24"/>
      <w:szCs w:val="24"/>
      <w:lang w:eastAsia="en-GB"/>
    </w:rPr>
  </w:style>
  <w:style w:type="table" w:styleId="TableGrid">
    <w:name w:val="Table Grid"/>
    <w:basedOn w:val="TableNormal"/>
    <w:uiPriority w:val="59"/>
    <w:rsid w:val="00E70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543">
      <w:bodyDiv w:val="1"/>
      <w:marLeft w:val="0"/>
      <w:marRight w:val="0"/>
      <w:marTop w:val="0"/>
      <w:marBottom w:val="0"/>
      <w:divBdr>
        <w:top w:val="none" w:sz="0" w:space="0" w:color="auto"/>
        <w:left w:val="none" w:sz="0" w:space="0" w:color="auto"/>
        <w:bottom w:val="none" w:sz="0" w:space="0" w:color="auto"/>
        <w:right w:val="none" w:sz="0" w:space="0" w:color="auto"/>
      </w:divBdr>
    </w:div>
    <w:div w:id="991830490">
      <w:bodyDiv w:val="1"/>
      <w:marLeft w:val="0"/>
      <w:marRight w:val="0"/>
      <w:marTop w:val="0"/>
      <w:marBottom w:val="0"/>
      <w:divBdr>
        <w:top w:val="none" w:sz="0" w:space="0" w:color="auto"/>
        <w:left w:val="none" w:sz="0" w:space="0" w:color="auto"/>
        <w:bottom w:val="none" w:sz="0" w:space="0" w:color="auto"/>
        <w:right w:val="none" w:sz="0" w:space="0" w:color="auto"/>
      </w:divBdr>
    </w:div>
    <w:div w:id="1004894902">
      <w:bodyDiv w:val="1"/>
      <w:marLeft w:val="0"/>
      <w:marRight w:val="0"/>
      <w:marTop w:val="0"/>
      <w:marBottom w:val="0"/>
      <w:divBdr>
        <w:top w:val="none" w:sz="0" w:space="0" w:color="auto"/>
        <w:left w:val="none" w:sz="0" w:space="0" w:color="auto"/>
        <w:bottom w:val="none" w:sz="0" w:space="0" w:color="auto"/>
        <w:right w:val="none" w:sz="0" w:space="0" w:color="auto"/>
      </w:divBdr>
      <w:divsChild>
        <w:div w:id="586619987">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15720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E154-2A93-4CF6-B0E5-50E0EEF0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 Pierre (BUDG)</dc:creator>
  <cp:lastModifiedBy>Author</cp:lastModifiedBy>
  <cp:revision>3</cp:revision>
  <cp:lastPrinted>2013-05-16T11:57:00Z</cp:lastPrinted>
  <dcterms:created xsi:type="dcterms:W3CDTF">2013-05-17T14:35:00Z</dcterms:created>
  <dcterms:modified xsi:type="dcterms:W3CDTF">2013-05-17T14:36:00Z</dcterms:modified>
</cp:coreProperties>
</file>