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7B" w:rsidRPr="00BD2CBD" w:rsidRDefault="00C4387B" w:rsidP="00C4387B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BD2CBD">
        <w:rPr>
          <w:rFonts w:ascii="Arial" w:hAnsi="Arial" w:cs="Arial"/>
          <w:b/>
          <w:sz w:val="32"/>
        </w:rPr>
        <w:t>Míra spolufinancování</w:t>
      </w:r>
      <w:r w:rsidR="000C07E9" w:rsidRPr="00BD2CBD">
        <w:rPr>
          <w:rFonts w:ascii="Arial" w:hAnsi="Arial" w:cs="Arial"/>
          <w:b/>
          <w:sz w:val="32"/>
        </w:rPr>
        <w:t xml:space="preserve"> způsobilých výdajů projektů </w:t>
      </w:r>
      <w:r w:rsidRPr="00BD2CBD">
        <w:rPr>
          <w:rFonts w:ascii="Arial" w:hAnsi="Arial" w:cs="Arial"/>
          <w:b/>
          <w:sz w:val="32"/>
        </w:rPr>
        <w:t>u jednotlivých aktivit specifických cílů IROP podle typu příjemce</w:t>
      </w:r>
    </w:p>
    <w:p w:rsidR="004302A3" w:rsidRDefault="00E419EE" w:rsidP="006524E9">
      <w:pPr>
        <w:jc w:val="both"/>
        <w:rPr>
          <w:rFonts w:ascii="Arial" w:eastAsia="Times New Roman" w:hAnsi="Arial" w:cs="Arial"/>
          <w:u w:color="FFFFFF"/>
          <w:lang w:eastAsia="cs-CZ"/>
        </w:rPr>
      </w:pPr>
      <w:r w:rsidRPr="00BD2CBD">
        <w:rPr>
          <w:rFonts w:ascii="Arial" w:eastAsia="Times New Roman" w:hAnsi="Arial" w:cs="Arial"/>
          <w:u w:color="FFFFFF"/>
          <w:lang w:eastAsia="cs-CZ"/>
        </w:rPr>
        <w:t>Finanční prostředky Evropského fondu</w:t>
      </w:r>
      <w:r w:rsidR="00436502">
        <w:rPr>
          <w:rFonts w:ascii="Arial" w:eastAsia="Times New Roman" w:hAnsi="Arial" w:cs="Arial"/>
          <w:u w:color="FFFFFF"/>
          <w:lang w:eastAsia="cs-CZ"/>
        </w:rPr>
        <w:t xml:space="preserve"> regionálního rozvoje </w:t>
      </w:r>
      <w:r w:rsidR="0078450C">
        <w:rPr>
          <w:rFonts w:ascii="Arial" w:eastAsia="Times New Roman" w:hAnsi="Arial" w:cs="Arial"/>
          <w:u w:color="FFFFFF"/>
          <w:lang w:eastAsia="cs-CZ"/>
        </w:rPr>
        <w:t xml:space="preserve">(dále „EFRR“) </w:t>
      </w:r>
      <w:r w:rsidR="00436502">
        <w:rPr>
          <w:rFonts w:ascii="Arial" w:eastAsia="Times New Roman" w:hAnsi="Arial" w:cs="Arial"/>
          <w:u w:color="FFFFFF"/>
          <w:lang w:eastAsia="cs-CZ"/>
        </w:rPr>
        <w:t>se podílej</w:t>
      </w:r>
      <w:r w:rsidRPr="00BD2CBD">
        <w:rPr>
          <w:rFonts w:ascii="Arial" w:eastAsia="Times New Roman" w:hAnsi="Arial" w:cs="Arial"/>
          <w:u w:color="FFFFFF"/>
          <w:lang w:eastAsia="cs-CZ"/>
        </w:rPr>
        <w:t>í na spolufinancování z veřejných zdrojů s </w:t>
      </w:r>
      <w:r w:rsidR="001018D6">
        <w:rPr>
          <w:rFonts w:ascii="Arial" w:eastAsia="Times New Roman" w:hAnsi="Arial" w:cs="Arial"/>
          <w:u w:color="FFFFFF"/>
          <w:lang w:eastAsia="cs-CZ"/>
        </w:rPr>
        <w:t xml:space="preserve"> </w:t>
      </w:r>
      <w:r w:rsidR="00023D41">
        <w:rPr>
          <w:rFonts w:ascii="Arial" w:eastAsia="Times New Roman" w:hAnsi="Arial" w:cs="Arial"/>
          <w:u w:color="FFFFFF"/>
          <w:lang w:eastAsia="cs-CZ"/>
        </w:rPr>
        <w:t>max</w:t>
      </w:r>
      <w:r w:rsidRPr="00BD2CBD">
        <w:rPr>
          <w:rFonts w:ascii="Arial" w:eastAsia="Times New Roman" w:hAnsi="Arial" w:cs="Arial"/>
          <w:u w:color="FFFFFF"/>
          <w:lang w:eastAsia="cs-CZ"/>
        </w:rPr>
        <w:t>imální mírou podpory ve vý</w:t>
      </w:r>
      <w:r w:rsidR="00EE07FE">
        <w:rPr>
          <w:rFonts w:ascii="Arial" w:eastAsia="Times New Roman" w:hAnsi="Arial" w:cs="Arial"/>
          <w:u w:color="FFFFFF"/>
          <w:lang w:eastAsia="cs-CZ"/>
        </w:rPr>
        <w:t xml:space="preserve">ši 85 %. </w:t>
      </w:r>
      <w:r w:rsidRPr="00BD2CBD">
        <w:rPr>
          <w:rFonts w:ascii="Arial" w:eastAsia="Times New Roman" w:hAnsi="Arial" w:cs="Arial"/>
          <w:u w:color="FFFFFF"/>
          <w:lang w:eastAsia="cs-CZ"/>
        </w:rPr>
        <w:t xml:space="preserve">Na financování projektů se kromě </w:t>
      </w:r>
      <w:r w:rsidR="00EE07FE">
        <w:rPr>
          <w:rFonts w:ascii="Arial" w:eastAsia="Times New Roman" w:hAnsi="Arial" w:cs="Arial"/>
          <w:u w:color="FFFFFF"/>
          <w:lang w:eastAsia="cs-CZ"/>
        </w:rPr>
        <w:t>cizích</w:t>
      </w:r>
      <w:r w:rsidRPr="00BD2CBD">
        <w:rPr>
          <w:rFonts w:ascii="Arial" w:eastAsia="Times New Roman" w:hAnsi="Arial" w:cs="Arial"/>
          <w:u w:color="FFFFFF"/>
          <w:lang w:eastAsia="cs-CZ"/>
        </w:rPr>
        <w:t xml:space="preserve"> zdrojů podílejí příjemci, a to v rozsahu podle </w:t>
      </w:r>
      <w:hyperlink r:id="rId9" w:history="1">
        <w:r w:rsidR="00CC0F88" w:rsidRPr="006E003C">
          <w:rPr>
            <w:rStyle w:val="Hypertextovodkaz"/>
            <w:rFonts w:ascii="Arial" w:eastAsia="Times New Roman" w:hAnsi="Arial" w:cs="Arial"/>
            <w:u w:color="FFFFFF"/>
            <w:lang w:eastAsia="cs-CZ"/>
          </w:rPr>
          <w:t>P</w:t>
        </w:r>
        <w:r w:rsidRPr="006E003C">
          <w:rPr>
            <w:rStyle w:val="Hypertextovodkaz"/>
            <w:rFonts w:ascii="Arial" w:eastAsia="Times New Roman" w:hAnsi="Arial" w:cs="Arial"/>
            <w:u w:color="FFFFFF"/>
            <w:lang w:eastAsia="cs-CZ"/>
          </w:rPr>
          <w:t>ravidel spolufinancování Evropských strukturálních a investičních fondů v programovém období 2014 – 2020</w:t>
        </w:r>
      </w:hyperlink>
      <w:r w:rsidR="0078450C">
        <w:rPr>
          <w:rStyle w:val="Hypertextovodkaz"/>
          <w:rFonts w:ascii="Arial" w:eastAsia="Times New Roman" w:hAnsi="Arial" w:cs="Arial"/>
          <w:u w:color="FFFFFF"/>
          <w:lang w:eastAsia="cs-CZ"/>
        </w:rPr>
        <w:t xml:space="preserve"> </w:t>
      </w:r>
      <w:r w:rsidR="0078450C" w:rsidRPr="00CA3B62">
        <w:rPr>
          <w:rStyle w:val="Hypertextovodkaz"/>
          <w:rFonts w:ascii="Arial" w:eastAsia="Times New Roman" w:hAnsi="Arial" w:cs="Arial"/>
          <w:color w:val="auto"/>
          <w:u w:color="FFFFFF"/>
          <w:lang w:eastAsia="cs-CZ"/>
        </w:rPr>
        <w:t>(dále jen „Pravidla spolufinancování“)</w:t>
      </w:r>
      <w:r w:rsidRPr="00CA3B62">
        <w:rPr>
          <w:rFonts w:ascii="Arial" w:eastAsia="Times New Roman" w:hAnsi="Arial" w:cs="Arial"/>
          <w:u w:color="FFFFFF"/>
          <w:lang w:eastAsia="cs-CZ"/>
        </w:rPr>
        <w:t xml:space="preserve">. </w:t>
      </w:r>
      <w:r w:rsidR="006524E9" w:rsidRPr="006524E9">
        <w:rPr>
          <w:rFonts w:ascii="Arial" w:eastAsia="Times New Roman" w:hAnsi="Arial" w:cs="Arial"/>
          <w:u w:color="FFFFFF"/>
          <w:lang w:eastAsia="cs-CZ"/>
        </w:rPr>
        <w:t>V Pravidlech spoluf</w:t>
      </w:r>
      <w:r w:rsidR="00023D41">
        <w:rPr>
          <w:rFonts w:ascii="Arial" w:eastAsia="Times New Roman" w:hAnsi="Arial" w:cs="Arial"/>
          <w:u w:color="FFFFFF"/>
          <w:lang w:eastAsia="cs-CZ"/>
        </w:rPr>
        <w:t>inancování jsou uvedeny závazné</w:t>
      </w:r>
      <w:r w:rsidR="001018D6">
        <w:rPr>
          <w:rFonts w:ascii="Arial" w:eastAsia="Times New Roman" w:hAnsi="Arial" w:cs="Arial"/>
          <w:u w:color="FFFFFF"/>
          <w:lang w:eastAsia="cs-CZ"/>
        </w:rPr>
        <w:t xml:space="preserve"> </w:t>
      </w:r>
      <w:r w:rsidR="00023D41">
        <w:rPr>
          <w:rFonts w:ascii="Arial" w:eastAsia="Times New Roman" w:hAnsi="Arial" w:cs="Arial"/>
          <w:u w:color="FFFFFF"/>
          <w:lang w:eastAsia="cs-CZ"/>
        </w:rPr>
        <w:t>max</w:t>
      </w:r>
      <w:r w:rsidR="006524E9" w:rsidRPr="006524E9">
        <w:rPr>
          <w:rFonts w:ascii="Arial" w:eastAsia="Times New Roman" w:hAnsi="Arial" w:cs="Arial"/>
          <w:u w:color="FFFFFF"/>
          <w:lang w:eastAsia="cs-CZ"/>
        </w:rPr>
        <w:t xml:space="preserve">imální podíly státního rozpočtu a minimální podíly příjemců na národním spolufinancování způsobilých výdajů, které musí být respektovány.  </w:t>
      </w:r>
    </w:p>
    <w:p w:rsidR="007D75D0" w:rsidRPr="00BD2CBD" w:rsidRDefault="00AF3F20" w:rsidP="006524E9">
      <w:pPr>
        <w:jc w:val="both"/>
        <w:rPr>
          <w:rFonts w:ascii="Arial" w:eastAsia="Times New Roman" w:hAnsi="Arial" w:cs="Arial"/>
          <w:u w:color="FFFFFF"/>
          <w:lang w:eastAsia="cs-CZ"/>
        </w:rPr>
      </w:pPr>
      <w:r>
        <w:rPr>
          <w:rFonts w:ascii="Arial" w:eastAsia="Times New Roman" w:hAnsi="Arial" w:cs="Arial"/>
          <w:u w:color="FFFFFF"/>
          <w:lang w:eastAsia="cs-CZ"/>
        </w:rPr>
        <w:t>Podnikatelské subjekty včetně státní podniků spadají pod část 5.1.6 Ostatní subjekty neobsažené ve výše uvedených kategoriích</w:t>
      </w:r>
      <w:r w:rsidR="00304264">
        <w:rPr>
          <w:rFonts w:ascii="Arial" w:eastAsia="Times New Roman" w:hAnsi="Arial" w:cs="Arial"/>
          <w:u w:color="FFFFFF"/>
          <w:lang w:eastAsia="cs-CZ"/>
        </w:rPr>
        <w:t xml:space="preserve"> Pravidel spolufinancování</w:t>
      </w:r>
      <w:r>
        <w:rPr>
          <w:rFonts w:ascii="Arial" w:eastAsia="Times New Roman" w:hAnsi="Arial" w:cs="Arial"/>
          <w:u w:color="FFFFFF"/>
          <w:lang w:eastAsia="cs-CZ"/>
        </w:rPr>
        <w:t xml:space="preserve">. </w:t>
      </w:r>
      <w:r w:rsidR="00B00F98">
        <w:rPr>
          <w:rFonts w:ascii="Arial" w:eastAsia="Times New Roman" w:hAnsi="Arial" w:cs="Arial"/>
          <w:u w:color="FFFFFF"/>
          <w:lang w:eastAsia="cs-CZ"/>
        </w:rPr>
        <w:t xml:space="preserve">Nestátní neziskové organizace spadají pod část 5.1.5 Soukromoprávní subjekty vykonávající veřejně prospěšnou činnost v případě, že jejich hlavním účelem činnosti není vytváření zisku a které vykonávají veřejně prospěšnou činnost v uvedených oblastech. Pod část 5.1.6 Ostatní subjekty neobsažené ve výše uvedených kategoriích spadají v případě, že jejich projekty nejsou zaměřeny na veřejně prospěšnou činnost. </w:t>
      </w:r>
    </w:p>
    <w:p w:rsidR="006540E3" w:rsidRPr="00BD2CBD" w:rsidRDefault="006540E3" w:rsidP="006524E9">
      <w:pPr>
        <w:jc w:val="both"/>
        <w:rPr>
          <w:rFonts w:ascii="Arial" w:eastAsia="Times New Roman" w:hAnsi="Arial" w:cs="Arial"/>
          <w:u w:color="FFFFFF"/>
          <w:lang w:eastAsia="cs-CZ"/>
        </w:rPr>
      </w:pPr>
      <w:r w:rsidRPr="00BD2CBD">
        <w:rPr>
          <w:rFonts w:ascii="Arial" w:eastAsia="Times New Roman" w:hAnsi="Arial" w:cs="Arial"/>
          <w:u w:color="FFFFFF"/>
          <w:lang w:eastAsia="cs-CZ"/>
        </w:rPr>
        <w:t>U projektů zakládajících veřejnou podporu</w:t>
      </w:r>
      <w:r w:rsidR="00C1038B">
        <w:rPr>
          <w:rFonts w:ascii="Arial" w:eastAsia="Times New Roman" w:hAnsi="Arial" w:cs="Arial"/>
          <w:u w:color="FFFFFF"/>
          <w:lang w:eastAsia="cs-CZ"/>
        </w:rPr>
        <w:t>,</w:t>
      </w:r>
      <w:r w:rsidRPr="00BD2CBD">
        <w:rPr>
          <w:rFonts w:ascii="Arial" w:eastAsia="Times New Roman" w:hAnsi="Arial" w:cs="Arial"/>
          <w:u w:color="FFFFFF"/>
          <w:lang w:eastAsia="cs-CZ"/>
        </w:rPr>
        <w:t xml:space="preserve"> upravenou </w:t>
      </w:r>
      <w:r w:rsidR="00C83405" w:rsidRPr="00BD2CBD">
        <w:rPr>
          <w:rFonts w:ascii="Arial" w:eastAsia="Times New Roman" w:hAnsi="Arial" w:cs="Arial"/>
          <w:u w:color="FFFFFF"/>
          <w:lang w:eastAsia="cs-CZ"/>
        </w:rPr>
        <w:t>příslušnými nařízeními</w:t>
      </w:r>
      <w:r w:rsidR="00C1038B">
        <w:rPr>
          <w:rFonts w:ascii="Arial" w:eastAsia="Times New Roman" w:hAnsi="Arial" w:cs="Arial"/>
          <w:u w:color="FFFFFF"/>
          <w:lang w:eastAsia="cs-CZ"/>
        </w:rPr>
        <w:t>,</w:t>
      </w:r>
      <w:r w:rsidRPr="00BD2CBD">
        <w:rPr>
          <w:rFonts w:ascii="Arial" w:eastAsia="Times New Roman" w:hAnsi="Arial" w:cs="Arial"/>
          <w:u w:color="FFFFFF"/>
          <w:lang w:eastAsia="cs-CZ"/>
        </w:rPr>
        <w:t xml:space="preserve"> zahrnuje spolufinancování  </w:t>
      </w:r>
      <w:r w:rsidR="0078450C">
        <w:rPr>
          <w:rFonts w:ascii="Arial" w:eastAsia="Times New Roman" w:hAnsi="Arial" w:cs="Arial"/>
          <w:u w:color="FFFFFF"/>
          <w:lang w:eastAsia="cs-CZ"/>
        </w:rPr>
        <w:t>EFRR</w:t>
      </w:r>
      <w:r w:rsidRPr="00BD2CBD">
        <w:rPr>
          <w:rFonts w:ascii="Arial" w:eastAsia="Times New Roman" w:hAnsi="Arial" w:cs="Arial"/>
          <w:u w:color="FFFFFF"/>
          <w:lang w:eastAsia="cs-CZ"/>
        </w:rPr>
        <w:t xml:space="preserve"> a státní rozpoč</w:t>
      </w:r>
      <w:r w:rsidR="00C80AE6">
        <w:rPr>
          <w:rFonts w:ascii="Arial" w:eastAsia="Times New Roman" w:hAnsi="Arial" w:cs="Arial"/>
          <w:u w:color="FFFFFF"/>
          <w:lang w:eastAsia="cs-CZ"/>
        </w:rPr>
        <w:t>e</w:t>
      </w:r>
      <w:r w:rsidRPr="00BD2CBD">
        <w:rPr>
          <w:rFonts w:ascii="Arial" w:eastAsia="Times New Roman" w:hAnsi="Arial" w:cs="Arial"/>
          <w:u w:color="FFFFFF"/>
          <w:lang w:eastAsia="cs-CZ"/>
        </w:rPr>
        <w:t>t. Každý projekt musí být v souladu s mírou podpory uvedenou v jednotlivých nařízení</w:t>
      </w:r>
      <w:r w:rsidR="000428FD" w:rsidRPr="00BD2CBD">
        <w:rPr>
          <w:rFonts w:ascii="Arial" w:eastAsia="Times New Roman" w:hAnsi="Arial" w:cs="Arial"/>
          <w:u w:color="FFFFFF"/>
          <w:lang w:eastAsia="cs-CZ"/>
        </w:rPr>
        <w:t>ch upravující veřejnou podporu</w:t>
      </w:r>
      <w:r w:rsidR="00BF32C3">
        <w:rPr>
          <w:rFonts w:ascii="Arial" w:eastAsia="Times New Roman" w:hAnsi="Arial" w:cs="Arial"/>
          <w:u w:color="FFFFFF"/>
          <w:lang w:eastAsia="cs-CZ"/>
        </w:rPr>
        <w:t xml:space="preserve"> a současně respektovat</w:t>
      </w:r>
      <w:r w:rsidR="001018D6">
        <w:rPr>
          <w:rFonts w:ascii="Arial" w:eastAsia="Times New Roman" w:hAnsi="Arial" w:cs="Arial"/>
          <w:u w:color="FFFFFF"/>
          <w:lang w:eastAsia="cs-CZ"/>
        </w:rPr>
        <w:t xml:space="preserve"> </w:t>
      </w:r>
      <w:r w:rsidR="00023D41">
        <w:rPr>
          <w:rFonts w:ascii="Arial" w:eastAsia="Times New Roman" w:hAnsi="Arial" w:cs="Arial"/>
          <w:u w:color="FFFFFF"/>
          <w:lang w:eastAsia="cs-CZ"/>
        </w:rPr>
        <w:t>max</w:t>
      </w:r>
      <w:r w:rsidR="00072820" w:rsidRPr="00BD2CBD">
        <w:rPr>
          <w:rFonts w:ascii="Arial" w:eastAsia="Times New Roman" w:hAnsi="Arial" w:cs="Arial"/>
          <w:u w:color="FFFFFF"/>
          <w:lang w:eastAsia="cs-CZ"/>
        </w:rPr>
        <w:t>imální míru spolufinancování ze strukturálních fondů (85 %)</w:t>
      </w:r>
      <w:r w:rsidR="00B666AB">
        <w:rPr>
          <w:rFonts w:ascii="Arial" w:eastAsia="Times New Roman" w:hAnsi="Arial" w:cs="Arial"/>
          <w:u w:color="FFFFFF"/>
          <w:lang w:eastAsia="cs-CZ"/>
        </w:rPr>
        <w:t xml:space="preserve"> při dodržení Pravidel spolufinancování</w:t>
      </w:r>
      <w:r w:rsidR="000428FD" w:rsidRPr="00BD2CBD">
        <w:rPr>
          <w:rFonts w:ascii="Arial" w:eastAsia="Times New Roman" w:hAnsi="Arial" w:cs="Arial"/>
          <w:u w:color="FFFFFF"/>
          <w:lang w:eastAsia="cs-CZ"/>
        </w:rPr>
        <w:t xml:space="preserve">. </w:t>
      </w:r>
    </w:p>
    <w:p w:rsidR="002B3E14" w:rsidRPr="00BD2CBD" w:rsidRDefault="002B3E14" w:rsidP="006524E9">
      <w:pPr>
        <w:jc w:val="both"/>
        <w:rPr>
          <w:rFonts w:ascii="Arial" w:eastAsia="Times New Roman" w:hAnsi="Arial" w:cs="Arial"/>
          <w:u w:color="FFFFFF"/>
          <w:lang w:eastAsia="cs-CZ"/>
        </w:rPr>
      </w:pPr>
      <w:r w:rsidRPr="00BD2CBD">
        <w:rPr>
          <w:rFonts w:ascii="Arial" w:eastAsia="Times New Roman" w:hAnsi="Arial" w:cs="Arial"/>
          <w:u w:color="FFFFFF"/>
          <w:lang w:eastAsia="cs-CZ"/>
        </w:rPr>
        <w:t>Míra spolufinancování se vztahuje na celkové způsobilé výdaje, včetně výdajů z veřejných zdrojů a soukromých zdrojů</w:t>
      </w:r>
      <w:r w:rsidR="00444790">
        <w:rPr>
          <w:rFonts w:ascii="Arial" w:eastAsia="Times New Roman" w:hAnsi="Arial" w:cs="Arial"/>
          <w:u w:color="FFFFFF"/>
          <w:lang w:eastAsia="cs-CZ"/>
        </w:rPr>
        <w:t xml:space="preserve"> (čl. 120 odst. 2 písm. a) obecného nařízení č. </w:t>
      </w:r>
      <w:hyperlink r:id="rId10" w:history="1">
        <w:r w:rsidR="00444790" w:rsidRPr="00444790">
          <w:rPr>
            <w:rStyle w:val="Hypertextovodkaz"/>
            <w:rFonts w:ascii="Arial" w:eastAsia="Times New Roman" w:hAnsi="Arial" w:cs="Arial"/>
            <w:u w:color="FFFFFF"/>
            <w:lang w:eastAsia="cs-CZ"/>
          </w:rPr>
          <w:t>1303/2013</w:t>
        </w:r>
      </w:hyperlink>
      <w:r w:rsidR="00444790">
        <w:rPr>
          <w:rFonts w:ascii="Arial" w:eastAsia="Times New Roman" w:hAnsi="Arial" w:cs="Arial"/>
          <w:u w:color="FFFFFF"/>
          <w:lang w:eastAsia="cs-CZ"/>
        </w:rPr>
        <w:t>)</w:t>
      </w:r>
      <w:r w:rsidRPr="00BD2CBD">
        <w:rPr>
          <w:rFonts w:ascii="Arial" w:eastAsia="Times New Roman" w:hAnsi="Arial" w:cs="Arial"/>
          <w:u w:color="FFFFFF"/>
          <w:lang w:eastAsia="cs-CZ"/>
        </w:rPr>
        <w:t xml:space="preserve">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6"/>
        <w:gridCol w:w="3887"/>
        <w:gridCol w:w="4002"/>
        <w:gridCol w:w="1867"/>
        <w:gridCol w:w="2950"/>
        <w:gridCol w:w="4396"/>
        <w:gridCol w:w="4152"/>
      </w:tblGrid>
      <w:tr w:rsidR="00F722EB" w:rsidRPr="00BD2CBD" w:rsidTr="00AB5A8B">
        <w:trPr>
          <w:trHeight w:val="649"/>
        </w:trPr>
        <w:tc>
          <w:tcPr>
            <w:tcW w:w="1156" w:type="pct"/>
            <w:gridSpan w:val="2"/>
            <w:vMerge w:val="restart"/>
            <w:shd w:val="clear" w:color="auto" w:fill="F2DBDB" w:themeFill="accen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Aktivita</w:t>
            </w:r>
          </w:p>
        </w:tc>
        <w:tc>
          <w:tcPr>
            <w:tcW w:w="886" w:type="pct"/>
            <w:vMerge w:val="restart"/>
            <w:shd w:val="clear" w:color="auto" w:fill="F2DBDB" w:themeFill="accen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Úprava veřejné podpory</w:t>
            </w:r>
          </w:p>
        </w:tc>
        <w:tc>
          <w:tcPr>
            <w:tcW w:w="2039" w:type="pct"/>
            <w:gridSpan w:val="3"/>
            <w:shd w:val="clear" w:color="auto" w:fill="F2DBDB" w:themeFill="accent2" w:themeFillTint="33"/>
            <w:vAlign w:val="center"/>
          </w:tcPr>
          <w:p w:rsidR="00F722EB" w:rsidRPr="00BD2CBD" w:rsidRDefault="00E212C6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Cizí zdroje</w:t>
            </w:r>
          </w:p>
        </w:tc>
        <w:tc>
          <w:tcPr>
            <w:tcW w:w="919" w:type="pct"/>
            <w:vMerge w:val="restart"/>
            <w:shd w:val="clear" w:color="auto" w:fill="F2DBDB" w:themeFill="accent2" w:themeFillTint="33"/>
            <w:vAlign w:val="center"/>
          </w:tcPr>
          <w:p w:rsidR="00F722EB" w:rsidRPr="00BD2CBD" w:rsidRDefault="00E212C6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</w:t>
            </w:r>
            <w:r w:rsidR="00F722EB" w:rsidRPr="00BD2CBD">
              <w:rPr>
                <w:rFonts w:ascii="Arial" w:hAnsi="Arial" w:cs="Arial"/>
                <w:b/>
                <w:sz w:val="24"/>
              </w:rPr>
              <w:t>droje příjemce</w:t>
            </w:r>
          </w:p>
        </w:tc>
      </w:tr>
      <w:tr w:rsidR="00F5544F" w:rsidRPr="00BD2CBD" w:rsidTr="00AB5A8B">
        <w:trPr>
          <w:trHeight w:val="668"/>
        </w:trPr>
        <w:tc>
          <w:tcPr>
            <w:tcW w:w="1156" w:type="pct"/>
            <w:gridSpan w:val="2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86" w:type="pct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shd w:val="clear" w:color="auto" w:fill="F2DBDB" w:themeFill="accent2" w:themeFillTint="33"/>
            <w:vAlign w:val="center"/>
          </w:tcPr>
          <w:p w:rsidR="00F722EB" w:rsidRPr="00BD2CBD" w:rsidRDefault="007D75D0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Evropský fond regionálního rozvoje</w:t>
            </w:r>
          </w:p>
        </w:tc>
        <w:tc>
          <w:tcPr>
            <w:tcW w:w="973" w:type="pct"/>
            <w:shd w:val="clear" w:color="auto" w:fill="F2DBDB" w:themeFill="accen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S</w:t>
            </w:r>
            <w:r w:rsidR="00C943FD" w:rsidRPr="00BD2CBD">
              <w:rPr>
                <w:rFonts w:ascii="Arial" w:hAnsi="Arial" w:cs="Arial"/>
                <w:b/>
              </w:rPr>
              <w:t>tátní rozpočet</w:t>
            </w:r>
          </w:p>
        </w:tc>
        <w:tc>
          <w:tcPr>
            <w:tcW w:w="919" w:type="pct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22EB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1.1: Zvýšení regionální mobility prostřednictvím modernizace a rozvoje sítí regionální silniční infrastruktury navazující na síť TEN-T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Rekonstrukce, modernizace, či výstavba silnic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pouze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6" w:type="pct"/>
            <w:gridSpan w:val="2"/>
            <w:vAlign w:val="center"/>
          </w:tcPr>
          <w:p w:rsidR="00F722EB" w:rsidRPr="00BD2CBD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Kraje</w:t>
            </w:r>
            <w:r w:rsidR="00333063" w:rsidRPr="00BD2CBD">
              <w:rPr>
                <w:rFonts w:ascii="Arial" w:hAnsi="Arial" w:cs="Arial"/>
                <w:u w:color="FFFFFF"/>
              </w:rPr>
              <w:t xml:space="preserve"> a jimi zřizované </w:t>
            </w:r>
            <w:r w:rsidRPr="00BD2CBD">
              <w:rPr>
                <w:rFonts w:ascii="Arial" w:hAnsi="Arial" w:cs="Arial"/>
                <w:u w:color="FFFFFF"/>
              </w:rPr>
              <w:t xml:space="preserve">nebo zakládané </w:t>
            </w:r>
            <w:r w:rsidR="00333063" w:rsidRPr="00BD2CBD">
              <w:rPr>
                <w:rFonts w:ascii="Arial" w:hAnsi="Arial" w:cs="Arial"/>
                <w:u w:color="FFFFFF"/>
              </w:rPr>
              <w:t xml:space="preserve">organizace </w:t>
            </w:r>
            <w:r w:rsidR="0045319B">
              <w:rPr>
                <w:rFonts w:ascii="Arial" w:hAnsi="Arial" w:cs="Arial"/>
                <w:u w:color="FFFFFF"/>
              </w:rPr>
              <w:t xml:space="preserve">max. </w:t>
            </w:r>
            <w:r w:rsidR="00F722EB" w:rsidRPr="00BD2CBD">
              <w:rPr>
                <w:rFonts w:ascii="Arial" w:hAnsi="Arial" w:cs="Arial"/>
                <w:u w:color="FFFFFF"/>
              </w:rPr>
              <w:t>8</w:t>
            </w:r>
            <w:r w:rsidR="00A90A10" w:rsidRPr="00BD2CBD">
              <w:rPr>
                <w:rFonts w:ascii="Arial" w:hAnsi="Arial" w:cs="Arial"/>
                <w:u w:color="FFFFFF"/>
              </w:rPr>
              <w:t>5</w:t>
            </w:r>
            <w:r w:rsidR="00F722EB"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722EB" w:rsidRPr="00BD2CBD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Kraje a jimi zřizované nebo zakládané organizace</w:t>
            </w:r>
            <w:r w:rsidR="0045319B">
              <w:rPr>
                <w:rFonts w:ascii="Arial" w:hAnsi="Arial" w:cs="Arial"/>
                <w:u w:color="FFFFFF"/>
              </w:rPr>
              <w:t xml:space="preserve"> max.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 w:rsidR="00F722EB"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F722EB" w:rsidRPr="00BD2CBD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Kraje a jimi zřizované nebo zakládané organizace </w:t>
            </w:r>
            <w:r w:rsidR="0045319B">
              <w:rPr>
                <w:rFonts w:ascii="Arial" w:hAnsi="Arial" w:cs="Arial"/>
                <w:u w:color="FFFFFF"/>
              </w:rPr>
              <w:t xml:space="preserve">min. </w:t>
            </w:r>
            <w:r w:rsidR="00F722EB" w:rsidRPr="00BD2CBD">
              <w:rPr>
                <w:rFonts w:ascii="Arial" w:hAnsi="Arial" w:cs="Arial"/>
                <w:u w:color="FFFFFF"/>
              </w:rPr>
              <w:t>1</w:t>
            </w:r>
            <w:r w:rsidR="00A90A10" w:rsidRPr="00BD2CBD">
              <w:rPr>
                <w:rFonts w:ascii="Arial" w:hAnsi="Arial" w:cs="Arial"/>
                <w:u w:color="FFFFFF"/>
              </w:rPr>
              <w:t>0</w:t>
            </w:r>
            <w:r w:rsidR="00F722EB"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22EB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1.2: Zvýšení podílu udržitelných forem dopravy</w:t>
            </w:r>
          </w:p>
        </w:tc>
      </w:tr>
      <w:tr w:rsidR="00F5544F" w:rsidRPr="00BD2CBD" w:rsidTr="00AB5A8B">
        <w:trPr>
          <w:trHeight w:val="1339"/>
        </w:trPr>
        <w:tc>
          <w:tcPr>
            <w:tcW w:w="1156" w:type="pct"/>
            <w:gridSpan w:val="2"/>
            <w:vMerge w:val="restart"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Terminály</w:t>
            </w:r>
          </w:p>
        </w:tc>
        <w:tc>
          <w:tcPr>
            <w:tcW w:w="886" w:type="pct"/>
            <w:vMerge w:val="restart"/>
            <w:vAlign w:val="center"/>
          </w:tcPr>
          <w:p w:rsidR="00F722EB" w:rsidRPr="00BD2CBD" w:rsidRDefault="00C327D7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Notifikace aktivity podle nařízení č. 794/2004 ze dne 21. dubna 2004, kterým se provádí nařízení Rady (ES) č. 659/1999, kterým se stanoví prováděcí pravidla k článku 93 Smlouvy o ES</w:t>
            </w:r>
          </w:p>
        </w:tc>
        <w:tc>
          <w:tcPr>
            <w:tcW w:w="1066" w:type="pct"/>
            <w:gridSpan w:val="2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</w:t>
            </w:r>
            <w:r w:rsidR="001D56FD">
              <w:rPr>
                <w:rFonts w:ascii="Arial" w:hAnsi="Arial" w:cs="Arial"/>
                <w:u w:color="FFFFFF"/>
              </w:rPr>
              <w:t>ejich příspěvkové organizace max</w:t>
            </w:r>
            <w:r w:rsidR="00C943FD" w:rsidRPr="00BD2CBD">
              <w:rPr>
                <w:rFonts w:ascii="Arial" w:hAnsi="Arial" w:cs="Arial"/>
                <w:u w:color="FFFFFF"/>
              </w:rPr>
              <w:t>.</w:t>
            </w:r>
            <w:r w:rsidR="00ED2A9D" w:rsidRPr="00BD2CBD">
              <w:rPr>
                <w:rFonts w:ascii="Arial" w:hAnsi="Arial" w:cs="Arial"/>
                <w:u w:color="FFFFFF"/>
              </w:rPr>
              <w:t xml:space="preserve"> </w:t>
            </w:r>
            <w:r w:rsidR="00D57641" w:rsidRPr="00BD2CBD">
              <w:rPr>
                <w:rFonts w:ascii="Arial" w:hAnsi="Arial" w:cs="Arial"/>
                <w:u w:color="FFFFFF"/>
              </w:rPr>
              <w:t>21,25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 w:rsidR="001D56FD">
              <w:rPr>
                <w:rFonts w:ascii="Arial" w:hAnsi="Arial" w:cs="Arial"/>
                <w:u w:color="FFFFFF"/>
              </w:rPr>
              <w:t xml:space="preserve"> a jimi zřizované organizace max</w:t>
            </w:r>
            <w:r w:rsidR="00652403" w:rsidRPr="00BD2CBD">
              <w:rPr>
                <w:rFonts w:ascii="Arial" w:hAnsi="Arial" w:cs="Arial"/>
                <w:u w:color="FFFFFF"/>
              </w:rPr>
              <w:t>.</w:t>
            </w:r>
            <w:r w:rsidR="00ED2A9D" w:rsidRPr="00BD2CBD">
              <w:rPr>
                <w:rFonts w:ascii="Arial" w:hAnsi="Arial" w:cs="Arial"/>
                <w:u w:color="FFFFFF"/>
              </w:rPr>
              <w:t xml:space="preserve"> </w:t>
            </w:r>
            <w:r w:rsidR="00D57641" w:rsidRPr="00BD2CBD">
              <w:rPr>
                <w:rFonts w:ascii="Arial" w:hAnsi="Arial" w:cs="Arial"/>
                <w:u w:color="FFFFFF"/>
              </w:rPr>
              <w:t>21,25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1D56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</w:t>
            </w:r>
            <w:r w:rsidR="00652403" w:rsidRPr="00BD2CBD">
              <w:rPr>
                <w:rFonts w:ascii="Arial" w:hAnsi="Arial" w:cs="Arial"/>
                <w:u w:color="FFFFFF"/>
              </w:rPr>
              <w:t>.</w:t>
            </w:r>
            <w:r w:rsidR="00ED2A9D" w:rsidRPr="00BD2CBD">
              <w:rPr>
                <w:rFonts w:ascii="Arial" w:hAnsi="Arial" w:cs="Arial"/>
                <w:u w:color="FFFFFF"/>
              </w:rPr>
              <w:t xml:space="preserve"> </w:t>
            </w:r>
            <w:r w:rsidR="00D57641" w:rsidRPr="00BD2CBD">
              <w:rPr>
                <w:rFonts w:ascii="Arial" w:hAnsi="Arial" w:cs="Arial"/>
                <w:u w:color="FFFFFF"/>
              </w:rPr>
              <w:t xml:space="preserve">21,25 </w:t>
            </w:r>
            <w:r w:rsidR="00F722EB"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</w:t>
            </w:r>
            <w:r w:rsidR="001D56FD">
              <w:rPr>
                <w:rFonts w:ascii="Arial" w:hAnsi="Arial" w:cs="Arial"/>
                <w:u w:color="FFFFFF"/>
              </w:rPr>
              <w:t>ejich příspěvkové organizace max.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 w:rsidR="0031414E" w:rsidRPr="00BD2CBD">
              <w:rPr>
                <w:rFonts w:ascii="Arial" w:hAnsi="Arial" w:cs="Arial"/>
                <w:u w:color="FFFFFF"/>
              </w:rPr>
              <w:t>78,75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 w:rsidR="001D56FD">
              <w:rPr>
                <w:rFonts w:ascii="Arial" w:hAnsi="Arial" w:cs="Arial"/>
                <w:u w:color="FFFFFF"/>
              </w:rPr>
              <w:t xml:space="preserve"> a jimi zřizované organizace max</w:t>
            </w:r>
            <w:r w:rsidR="00B241A1" w:rsidRPr="00BD2CBD">
              <w:rPr>
                <w:rFonts w:ascii="Arial" w:hAnsi="Arial" w:cs="Arial"/>
                <w:u w:color="FFFFFF"/>
              </w:rPr>
              <w:t>.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 w:rsidR="00ED2A9D" w:rsidRPr="00BD2CBD">
              <w:rPr>
                <w:rFonts w:ascii="Arial" w:hAnsi="Arial" w:cs="Arial"/>
                <w:u w:color="FFFFFF"/>
              </w:rPr>
              <w:t>1</w:t>
            </w:r>
            <w:r w:rsidR="007A28D9" w:rsidRPr="00BD2CBD">
              <w:rPr>
                <w:rFonts w:ascii="Arial" w:hAnsi="Arial" w:cs="Arial"/>
                <w:u w:color="FFFFFF"/>
              </w:rPr>
              <w:t>,25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C74450" w:rsidRPr="00BD2CBD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1D56FD">
              <w:rPr>
                <w:rFonts w:ascii="Arial" w:hAnsi="Arial" w:cs="Arial"/>
                <w:u w:color="FFFFFF"/>
              </w:rPr>
              <w:t>min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="0007096D" w:rsidRPr="00BD2CBD">
              <w:rPr>
                <w:rFonts w:ascii="Arial" w:hAnsi="Arial" w:cs="Arial"/>
                <w:u w:color="FFFFFF"/>
              </w:rPr>
              <w:t>77,5 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4678C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1D56FD">
              <w:rPr>
                <w:rFonts w:ascii="Arial" w:hAnsi="Arial" w:cs="Arial"/>
                <w:u w:color="FFFFFF"/>
              </w:rPr>
              <w:t>min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="0007096D" w:rsidRPr="00BD2CBD">
              <w:rPr>
                <w:rFonts w:ascii="Arial" w:hAnsi="Arial" w:cs="Arial"/>
                <w:u w:color="FFFFFF"/>
              </w:rPr>
              <w:t xml:space="preserve">78,75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</w:tr>
      <w:tr w:rsidR="00F722EB" w:rsidRPr="00BD2CBD" w:rsidTr="00AB5A8B">
        <w:trPr>
          <w:trHeight w:val="469"/>
        </w:trPr>
        <w:tc>
          <w:tcPr>
            <w:tcW w:w="1156" w:type="pct"/>
            <w:gridSpan w:val="2"/>
            <w:vMerge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iCs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722EB" w:rsidRPr="00BD2CBD" w:rsidRDefault="00F722EB" w:rsidP="006F516D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odhad, konečná výše podpory vzejde z jednání s DG Competition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Telematika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pouze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6" w:type="pct"/>
            <w:gridSpan w:val="2"/>
            <w:vAlign w:val="center"/>
          </w:tcPr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 w:rsidR="003C31BB">
              <w:rPr>
                <w:rFonts w:ascii="Arial" w:hAnsi="Arial" w:cs="Arial"/>
                <w:u w:color="FFFFFF"/>
              </w:rPr>
              <w:t xml:space="preserve"> max</w:t>
            </w:r>
            <w:r w:rsidR="0045319B">
              <w:rPr>
                <w:rFonts w:ascii="Arial" w:hAnsi="Arial" w:cs="Arial"/>
                <w:u w:color="FFFFFF"/>
              </w:rPr>
              <w:t>.</w:t>
            </w:r>
            <w:r w:rsidRPr="00BD2CBD">
              <w:rPr>
                <w:rFonts w:ascii="Arial" w:hAnsi="Arial" w:cs="Arial"/>
                <w:u w:color="FFFFFF"/>
              </w:rPr>
              <w:t xml:space="preserve"> 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 w:rsidR="00C3327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>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3C31BB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</w:t>
            </w:r>
            <w:r w:rsidR="00C33275" w:rsidRPr="00BD2CBD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C31BB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</w:t>
            </w:r>
            <w:r w:rsidR="006249E4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3C31BB" w:rsidRPr="00BD2CBD" w:rsidTr="00AB5A8B">
        <w:tc>
          <w:tcPr>
            <w:tcW w:w="1156" w:type="pct"/>
            <w:gridSpan w:val="2"/>
            <w:vAlign w:val="center"/>
          </w:tcPr>
          <w:p w:rsidR="003C31BB" w:rsidRPr="00BD2CBD" w:rsidRDefault="003C31B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Bezpečnost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3C31BB" w:rsidRPr="00BD2CBD" w:rsidRDefault="003C31B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 xml:space="preserve"> max.</w:t>
            </w:r>
            <w:r w:rsidRPr="00BD2CBD">
              <w:rPr>
                <w:rFonts w:ascii="Arial" w:hAnsi="Arial" w:cs="Arial"/>
                <w:u w:color="FFFFFF"/>
              </w:rPr>
              <w:t xml:space="preserve"> 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</w:tc>
      </w:tr>
      <w:tr w:rsidR="00F5544F" w:rsidRPr="00BD2CBD" w:rsidTr="00AB5A8B">
        <w:trPr>
          <w:trHeight w:val="1239"/>
        </w:trPr>
        <w:tc>
          <w:tcPr>
            <w:tcW w:w="1156" w:type="pct"/>
            <w:gridSpan w:val="2"/>
            <w:vMerge w:val="restart"/>
            <w:vAlign w:val="center"/>
          </w:tcPr>
          <w:p w:rsidR="00F722EB" w:rsidRPr="00915C5E" w:rsidRDefault="00F722E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Nízkoemisní vozidla a související plnící stanice</w:t>
            </w:r>
            <w:r w:rsidR="00915C5E" w:rsidRPr="00915C5E">
              <w:rPr>
                <w:b w:val="0"/>
              </w:rPr>
              <w:t xml:space="preserve"> (v jednání odstranění aktivity</w:t>
            </w:r>
            <w:r w:rsidR="00896F1A">
              <w:rPr>
                <w:b w:val="0"/>
              </w:rPr>
              <w:t xml:space="preserve"> „související plnicí stanice“</w:t>
            </w:r>
            <w:r w:rsidR="00915C5E" w:rsidRPr="00915C5E">
              <w:rPr>
                <w:b w:val="0"/>
              </w:rPr>
              <w:t>)</w:t>
            </w:r>
          </w:p>
          <w:p w:rsidR="00F722EB" w:rsidRPr="00BD2CBD" w:rsidRDefault="00F722EB" w:rsidP="006F516D">
            <w:pPr>
              <w:tabs>
                <w:tab w:val="left" w:pos="2259"/>
              </w:tabs>
              <w:spacing w:beforeLines="20" w:before="48" w:afterLines="20" w:after="48"/>
              <w:rPr>
                <w:lang w:eastAsia="cs-CZ"/>
              </w:rPr>
            </w:pPr>
            <w:r w:rsidRPr="00BD2CBD">
              <w:rPr>
                <w:lang w:eastAsia="cs-CZ"/>
              </w:rPr>
              <w:tab/>
            </w:r>
          </w:p>
        </w:tc>
        <w:tc>
          <w:tcPr>
            <w:tcW w:w="886" w:type="pct"/>
            <w:vMerge w:val="restart"/>
            <w:vAlign w:val="center"/>
          </w:tcPr>
          <w:p w:rsidR="00F722EB" w:rsidRPr="00BD2CBD" w:rsidRDefault="00F722EB" w:rsidP="00C524B3">
            <w:pPr>
              <w:spacing w:beforeLines="20" w:before="48" w:afterLines="20" w:after="48"/>
            </w:pPr>
            <w:r w:rsidRPr="00BD2CBD">
              <w:rPr>
                <w:rFonts w:ascii="Arial" w:hAnsi="Arial" w:cs="Arial"/>
                <w:iCs/>
              </w:rPr>
              <w:t xml:space="preserve">nařízení č. 1370/2007 ze dne 23. října 2007 o veřejných službách v přepravě cestujících po železnici a silnici a o zrušení nařízení Rady č. 1191/69 </w:t>
            </w:r>
            <w:r w:rsidRPr="00BD2CBD">
              <w:rPr>
                <w:rFonts w:ascii="Arial" w:hAnsi="Arial" w:cs="Arial"/>
                <w:iCs/>
              </w:rPr>
              <w:lastRenderedPageBreak/>
              <w:t>a</w:t>
            </w:r>
            <w:r w:rsidR="00C524B3">
              <w:rPr>
                <w:rFonts w:ascii="Arial" w:hAnsi="Arial" w:cs="Arial"/>
                <w:iCs/>
              </w:rPr>
              <w:t> </w:t>
            </w:r>
            <w:r w:rsidRPr="00BD2CBD">
              <w:rPr>
                <w:rFonts w:ascii="Arial" w:hAnsi="Arial" w:cs="Arial"/>
                <w:iCs/>
              </w:rPr>
              <w:t>č.</w:t>
            </w:r>
            <w:r w:rsidR="00C524B3">
              <w:rPr>
                <w:rFonts w:ascii="Arial" w:hAnsi="Arial" w:cs="Arial"/>
                <w:iCs/>
              </w:rPr>
              <w:t> </w:t>
            </w:r>
            <w:r w:rsidRPr="00BD2CBD">
              <w:rPr>
                <w:rFonts w:ascii="Arial" w:hAnsi="Arial" w:cs="Arial"/>
                <w:iCs/>
              </w:rPr>
              <w:t>1107/70</w:t>
            </w:r>
          </w:p>
        </w:tc>
        <w:tc>
          <w:tcPr>
            <w:tcW w:w="1066" w:type="pct"/>
            <w:gridSpan w:val="2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a jejich příspěvkové organizace </w:t>
            </w:r>
            <w:r w:rsidR="003C31BB">
              <w:rPr>
                <w:rFonts w:ascii="Arial" w:hAnsi="Arial" w:cs="Arial"/>
                <w:u w:color="FFFFFF"/>
              </w:rPr>
              <w:t xml:space="preserve">max. </w:t>
            </w:r>
            <w:r w:rsidR="002423E3">
              <w:rPr>
                <w:rFonts w:ascii="Arial" w:hAnsi="Arial" w:cs="Arial"/>
                <w:u w:color="FFFFFF"/>
              </w:rPr>
              <w:t>85</w:t>
            </w:r>
            <w:r w:rsidR="000E679D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3C31BB">
              <w:rPr>
                <w:rFonts w:ascii="Arial" w:hAnsi="Arial" w:cs="Arial"/>
                <w:u w:color="FFFFFF"/>
              </w:rPr>
              <w:t xml:space="preserve">max. </w:t>
            </w:r>
            <w:r w:rsidR="002423E3">
              <w:rPr>
                <w:rFonts w:ascii="Arial" w:hAnsi="Arial" w:cs="Arial"/>
                <w:u w:color="FFFFFF"/>
              </w:rPr>
              <w:t>8</w:t>
            </w:r>
            <w:r w:rsidR="0007096D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2423E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C31BB">
              <w:rPr>
                <w:rFonts w:ascii="Arial" w:hAnsi="Arial" w:cs="Arial"/>
                <w:u w:color="FFFFFF"/>
              </w:rPr>
              <w:t xml:space="preserve">max. </w:t>
            </w:r>
            <w:r w:rsidR="002423E3">
              <w:rPr>
                <w:rFonts w:ascii="Arial" w:hAnsi="Arial" w:cs="Arial"/>
                <w:u w:color="FFFFFF"/>
              </w:rPr>
              <w:t>8</w:t>
            </w:r>
            <w:r w:rsidR="0007096D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2423E3">
              <w:rPr>
                <w:rFonts w:ascii="Arial" w:hAnsi="Arial" w:cs="Arial"/>
                <w:u w:color="FFFFFF"/>
              </w:rPr>
              <w:t>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756C00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C74450" w:rsidRPr="00BD2CBD">
              <w:rPr>
                <w:rFonts w:ascii="Arial" w:hAnsi="Arial" w:cs="Arial"/>
                <w:u w:color="FFFFFF"/>
              </w:rPr>
              <w:t xml:space="preserve">0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2423E3">
              <w:rPr>
                <w:rFonts w:ascii="Arial" w:hAnsi="Arial" w:cs="Arial"/>
                <w:u w:color="FFFFFF"/>
              </w:rPr>
              <w:t>10</w:t>
            </w:r>
            <w:r w:rsidR="00756C00" w:rsidRPr="00BD2CBD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2423E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Ostatní</w:t>
            </w:r>
            <w:r w:rsidR="00FC78F7">
              <w:rPr>
                <w:rFonts w:ascii="Arial" w:hAnsi="Arial" w:cs="Arial"/>
                <w:u w:color="FFFFFF"/>
              </w:rPr>
              <w:t xml:space="preserve"> min. </w:t>
            </w:r>
            <w:r w:rsidR="002423E3">
              <w:rPr>
                <w:rFonts w:ascii="Arial" w:hAnsi="Arial" w:cs="Arial"/>
                <w:u w:color="FFFFFF"/>
              </w:rPr>
              <w:t>15</w:t>
            </w:r>
            <w:r w:rsidR="00756C00" w:rsidRPr="00BD2CBD">
              <w:rPr>
                <w:rFonts w:ascii="Arial" w:hAnsi="Arial" w:cs="Arial"/>
                <w:u w:color="FFFFFF"/>
              </w:rPr>
              <w:t xml:space="preserve">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</w:tr>
      <w:tr w:rsidR="00F722EB" w:rsidRPr="00BD2CBD" w:rsidTr="00AB5A8B">
        <w:trPr>
          <w:trHeight w:val="569"/>
        </w:trPr>
        <w:tc>
          <w:tcPr>
            <w:tcW w:w="1156" w:type="pct"/>
            <w:gridSpan w:val="2"/>
            <w:vMerge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iCs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722EB" w:rsidRPr="00BD2CBD" w:rsidRDefault="00F722EB" w:rsidP="006F516D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odhad, konečná výše podpory vzejde z jednání s DG Competition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Cyklodoprava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pouze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6" w:type="pct"/>
            <w:gridSpan w:val="2"/>
            <w:vAlign w:val="center"/>
          </w:tcPr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 w:rsidR="00C71E75">
              <w:rPr>
                <w:rFonts w:ascii="Arial" w:hAnsi="Arial" w:cs="Arial"/>
                <w:u w:color="FFFFFF"/>
              </w:rPr>
              <w:t xml:space="preserve">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:rsidR="00F722EB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 w:rsidR="00C71E75">
              <w:rPr>
                <w:rFonts w:ascii="Arial" w:hAnsi="Arial" w:cs="Arial"/>
                <w:u w:color="FFFFFF"/>
              </w:rPr>
              <w:t xml:space="preserve">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1B380E" w:rsidRPr="00BD2CBD" w:rsidRDefault="001B380E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1B380E" w:rsidRPr="00BD2CBD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1B380E" w:rsidRPr="00BD2CBD"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1B380E" w:rsidRPr="00BD2CBD">
              <w:rPr>
                <w:rFonts w:ascii="Arial" w:hAnsi="Arial" w:cs="Arial"/>
                <w:u w:color="FFFFFF"/>
              </w:rPr>
              <w:t>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22EB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1.3: Zvýšení připravenosti k řešení a řízení rizik a katastrof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Zajištění adekvátní odolnosti s důrazem na přizpůsobení se </w:t>
            </w:r>
            <w:r w:rsidR="00601468" w:rsidRPr="00BD2CBD">
              <w:rPr>
                <w:b w:val="0"/>
              </w:rPr>
              <w:t>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3E6689" w:rsidRPr="00BD2CBD" w:rsidRDefault="003E668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3E6689" w:rsidP="00023D41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</w:tc>
        <w:tc>
          <w:tcPr>
            <w:tcW w:w="973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722EB" w:rsidRPr="00BD2CBD" w:rsidRDefault="00F722EB" w:rsidP="00023D41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  <w:tc>
          <w:tcPr>
            <w:tcW w:w="919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22EB" w:rsidRPr="00BD2CBD" w:rsidRDefault="00F722EB" w:rsidP="004678C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</w:tc>
      </w:tr>
      <w:tr w:rsidR="00FC78F7" w:rsidRPr="00BD2CBD" w:rsidTr="00AB5A8B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Posílení vybavení základních složek IZS technikou a věcnými prostředky k zajištění připravenosti základních složek IZS v exponovaných územích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C78F7" w:rsidRPr="00BD2CBD" w:rsidRDefault="00FC78F7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</w:tc>
        <w:tc>
          <w:tcPr>
            <w:tcW w:w="973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  <w:tc>
          <w:tcPr>
            <w:tcW w:w="919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</w:tc>
      </w:tr>
      <w:tr w:rsidR="00FC78F7" w:rsidRPr="00BD2CBD" w:rsidTr="00AB5A8B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Modernizace vzdělávacích a výcvikových středisek pro základní složky IZS (simulátory, trenažery, polygony apod. a jejich vybavení), zaměření na rozvoj specifických dovedností a součinnost základních složek IZS při řešení mimořádných událostí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C78F7" w:rsidRPr="00BD2CBD" w:rsidRDefault="00FC78F7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</w:tc>
        <w:tc>
          <w:tcPr>
            <w:tcW w:w="973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  <w:tc>
          <w:tcPr>
            <w:tcW w:w="919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</w:tc>
      </w:tr>
      <w:tr w:rsidR="00F722EB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2.1: Zvýšení kvality a dostupnosti služeb vedoucí k sociální inkluzi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sociálních služeb za účelem sociálního začleňování a zvýšení uplatnitelnosti na trhu práce</w:t>
            </w:r>
          </w:p>
        </w:tc>
        <w:tc>
          <w:tcPr>
            <w:tcW w:w="886" w:type="pct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podporovány projekty v souladu s Rozhodnutím Komise ze dne 20. prosince 2011 o použití čl. 106 odst. 2 </w:t>
            </w:r>
            <w:r w:rsidR="00332E0D" w:rsidRPr="00BD2CBD">
              <w:rPr>
                <w:rFonts w:ascii="Arial" w:hAnsi="Arial" w:cs="Arial"/>
              </w:rPr>
              <w:t>SFEU</w:t>
            </w:r>
            <w:r w:rsidRPr="00BD2CBD">
              <w:rPr>
                <w:rFonts w:ascii="Arial" w:hAnsi="Arial" w:cs="Arial"/>
              </w:rPr>
              <w:t xml:space="preserve">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 w:rsidR="000E679D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AD0B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1</w:t>
            </w:r>
            <w:r w:rsidR="00A8442B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A8442B" w:rsidRPr="00BD2CBD">
              <w:rPr>
                <w:rFonts w:ascii="Arial" w:hAnsi="Arial" w:cs="Arial"/>
                <w:u w:color="FFFFFF"/>
              </w:rPr>
              <w:t xml:space="preserve">0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9E7243">
              <w:rPr>
                <w:rFonts w:ascii="Arial" w:hAnsi="Arial" w:cs="Arial"/>
                <w:u w:color="FFFFFF"/>
              </w:rPr>
              <w:t>10</w:t>
            </w:r>
            <w:r w:rsidR="004500DD" w:rsidRPr="00BD2CBD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4500DD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9E724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9E7243">
              <w:rPr>
                <w:rFonts w:ascii="Arial" w:hAnsi="Arial" w:cs="Arial"/>
                <w:u w:color="FFFFFF"/>
              </w:rPr>
              <w:t>1</w:t>
            </w:r>
            <w:r w:rsidR="004500DD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</w:tr>
      <w:tr w:rsidR="00FC78F7" w:rsidRPr="00BD2CBD" w:rsidTr="00AB5A8B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Infrastruktura pro dostupnost a rozvoj sociální služby</w:t>
            </w:r>
          </w:p>
        </w:tc>
        <w:tc>
          <w:tcPr>
            <w:tcW w:w="886" w:type="pct"/>
            <w:vAlign w:val="center"/>
          </w:tcPr>
          <w:p w:rsidR="00FC78F7" w:rsidRPr="00BD2CBD" w:rsidRDefault="00FC78F7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C78F7" w:rsidRPr="00BD2CBD" w:rsidTr="00AB5A8B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Podpora rozvoje infrastruktury komunitních center za účelem sociálního začleňování a zvýšení uplatnitelnosti na trhu práce</w:t>
            </w:r>
          </w:p>
        </w:tc>
        <w:tc>
          <w:tcPr>
            <w:tcW w:w="886" w:type="pct"/>
            <w:vAlign w:val="center"/>
          </w:tcPr>
          <w:p w:rsidR="00FC78F7" w:rsidRPr="00BD2CBD" w:rsidRDefault="00FC78F7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64DF8" w:rsidRPr="00BD2CBD" w:rsidTr="00AB5A8B">
        <w:tc>
          <w:tcPr>
            <w:tcW w:w="1156" w:type="pct"/>
            <w:gridSpan w:val="2"/>
            <w:vMerge w:val="restart"/>
            <w:vAlign w:val="center"/>
          </w:tcPr>
          <w:p w:rsidR="00664DF8" w:rsidRPr="00BD2CBD" w:rsidRDefault="00664DF8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Sociální bydlení</w:t>
            </w:r>
          </w:p>
        </w:tc>
        <w:tc>
          <w:tcPr>
            <w:tcW w:w="886" w:type="pct"/>
            <w:vAlign w:val="center"/>
          </w:tcPr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64DF8" w:rsidRPr="00BD2CBD" w:rsidRDefault="00664DF8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64DF8" w:rsidRPr="00BD2CBD" w:rsidRDefault="00664DF8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>
              <w:rPr>
                <w:rFonts w:ascii="Arial" w:hAnsi="Arial" w:cs="Arial"/>
                <w:u w:color="FFFFFF"/>
              </w:rPr>
              <w:t>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64DF8" w:rsidRPr="00BD2CBD" w:rsidTr="00AB5A8B">
        <w:tc>
          <w:tcPr>
            <w:tcW w:w="1156" w:type="pct"/>
            <w:gridSpan w:val="2"/>
            <w:vMerge/>
            <w:vAlign w:val="center"/>
          </w:tcPr>
          <w:p w:rsidR="00664DF8" w:rsidRPr="00BD2CBD" w:rsidRDefault="00664DF8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 souladu s Nařízení Komise č. 360/2012 ze dne 25. dubna 2012 o použití článků 107 a 108 SFEU na podporu de minimis udílenou podnikům poskytujícím služby obecného hospodářského zájmu</w:t>
            </w:r>
          </w:p>
        </w:tc>
        <w:tc>
          <w:tcPr>
            <w:tcW w:w="1066" w:type="pct"/>
            <w:gridSpan w:val="2"/>
            <w:vAlign w:val="center"/>
          </w:tcPr>
          <w:p w:rsidR="00664DF8" w:rsidRPr="00BD2CBD" w:rsidRDefault="00664DF8" w:rsidP="002A64B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664DF8" w:rsidRPr="00BD2CBD" w:rsidRDefault="00664DF8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664DF8" w:rsidRPr="00BD2CBD" w:rsidRDefault="00664DF8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19" w:type="pct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E14ED0">
              <w:rPr>
                <w:rFonts w:ascii="Arial" w:hAnsi="Arial" w:cs="Arial"/>
                <w:u w:color="FFFFFF"/>
              </w:rPr>
              <w:t xml:space="preserve">min. </w:t>
            </w:r>
            <w:r>
              <w:rPr>
                <w:rFonts w:ascii="Arial" w:hAnsi="Arial" w:cs="Arial"/>
                <w:u w:color="FFFFFF"/>
              </w:rPr>
              <w:t>1</w:t>
            </w:r>
            <w:r w:rsidR="003035A8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664DF8" w:rsidRPr="00BD2CBD" w:rsidRDefault="00664DF8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E14ED0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64DF8" w:rsidRPr="00BD2CBD" w:rsidTr="00AB5A8B">
        <w:tc>
          <w:tcPr>
            <w:tcW w:w="1156" w:type="pct"/>
            <w:gridSpan w:val="2"/>
            <w:vMerge/>
            <w:vAlign w:val="center"/>
          </w:tcPr>
          <w:p w:rsidR="00664DF8" w:rsidRPr="00BD2CBD" w:rsidRDefault="00664DF8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664DF8" w:rsidRPr="00BD2CBD" w:rsidRDefault="00664DF8" w:rsidP="006F516D">
            <w:pPr>
              <w:spacing w:before="60" w:after="60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>nesmí</w:t>
            </w:r>
            <w:r w:rsidRPr="00BD2CBD">
              <w:rPr>
                <w:rFonts w:ascii="Arial" w:hAnsi="Arial" w:cs="Arial"/>
              </w:rPr>
              <w:t xml:space="preserve"> 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500 000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664DF8" w:rsidRPr="00BD2CBD" w:rsidRDefault="00664DF8" w:rsidP="006F516D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 xml:space="preserve">okud účetní období odpovídá kalendářnímu roku – pro všechny podpory udělené v roce 2015 se započítávají všechny podpory de minimis udělené po 1. lednu 2013. </w:t>
            </w:r>
          </w:p>
        </w:tc>
      </w:tr>
      <w:tr w:rsidR="00664DF8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664DF8" w:rsidRPr="00BD2CBD" w:rsidRDefault="00664DF8" w:rsidP="006F51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Vyrovnávací platba, definovaná v článku 5 Rozhodnutí 2012/21/EU, nepřesáhne rozsah nezbytný k pokrytí čistých nákladů vynaložených při plnění závazků veřejné služby, včetně přiměřeného zisku. </w:t>
            </w:r>
          </w:p>
          <w:p w:rsidR="00664DF8" w:rsidRPr="00BD2CBD" w:rsidRDefault="00664DF8" w:rsidP="006F51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64DF8" w:rsidRPr="00BD2CBD" w:rsidRDefault="00664DF8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Výše vyrovnávací platby ≤ čisté náklady služby obecného hospodářského zájmu </w:t>
            </w:r>
          </w:p>
          <w:p w:rsidR="00664DF8" w:rsidRPr="00BD2CBD" w:rsidRDefault="00664DF8" w:rsidP="00372622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Čisté náklady služby obecného hospodářského zájmu = náklad</w:t>
            </w:r>
            <w:r w:rsidRPr="00BD2CBD">
              <w:rPr>
                <w:rStyle w:val="Znakapoznpodarou"/>
                <w:rFonts w:ascii="Arial" w:hAnsi="Arial" w:cs="Arial"/>
              </w:rPr>
              <w:footnoteReference w:id="1"/>
            </w:r>
            <w:r w:rsidRPr="00BD2CBD">
              <w:rPr>
                <w:rFonts w:ascii="Arial" w:hAnsi="Arial" w:cs="Arial"/>
              </w:rPr>
              <w:t xml:space="preserve"> na úhradu plnění závazku veřejné služby – související příjmy + přiměřený zisk (není podmínkou). </w:t>
            </w:r>
          </w:p>
          <w:p w:rsidR="00664DF8" w:rsidRPr="00BD2CBD" w:rsidRDefault="00664DF8" w:rsidP="00372622">
            <w:pPr>
              <w:rPr>
                <w:rFonts w:ascii="Arial" w:hAnsi="Arial" w:cs="Arial"/>
              </w:rPr>
            </w:pPr>
          </w:p>
          <w:p w:rsidR="00664DF8" w:rsidRPr="00BD2CBD" w:rsidRDefault="00664DF8" w:rsidP="00372622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</w:rPr>
              <w:t>Dále řešeno v Pravidlech pro žadatele a příjemce</w:t>
            </w:r>
          </w:p>
        </w:tc>
      </w:tr>
      <w:tr w:rsidR="00664DF8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664DF8" w:rsidRPr="00BD2CBD" w:rsidRDefault="00664DF8" w:rsidP="006F516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SPECIFICKÝ CÍL 2.2: Vznik nových a rozvoj existujících podnikatelských aktivit v oblasti sociálního podnikání</w:t>
            </w:r>
          </w:p>
        </w:tc>
      </w:tr>
      <w:tr w:rsidR="00664DF8" w:rsidRPr="00BD2CBD" w:rsidTr="00AB5A8B">
        <w:tc>
          <w:tcPr>
            <w:tcW w:w="1156" w:type="pct"/>
            <w:gridSpan w:val="2"/>
            <w:vMerge w:val="restart"/>
            <w:vAlign w:val="center"/>
          </w:tcPr>
          <w:p w:rsidR="00664DF8" w:rsidRPr="00BD2CBD" w:rsidRDefault="00664DF8" w:rsidP="006F516D">
            <w:pPr>
              <w:pStyle w:val="Popistypapkladopaten"/>
              <w:spacing w:before="0" w:after="0" w:line="240" w:lineRule="auto"/>
              <w:ind w:left="714" w:hanging="357"/>
              <w:jc w:val="left"/>
            </w:pPr>
            <w:r w:rsidRPr="00BD2CBD">
              <w:rPr>
                <w:b w:val="0"/>
              </w:rPr>
              <w:t>Výstavba, rekonstrukce a vybavení sociálních podniků</w:t>
            </w:r>
          </w:p>
        </w:tc>
        <w:tc>
          <w:tcPr>
            <w:tcW w:w="886" w:type="pct"/>
            <w:vMerge w:val="restart"/>
            <w:vAlign w:val="center"/>
          </w:tcPr>
          <w:p w:rsidR="00664DF8" w:rsidRPr="00BD2CBD" w:rsidRDefault="00664DF8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1066" w:type="pct"/>
            <w:gridSpan w:val="2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DF8" w:rsidRPr="00BD2CBD" w:rsidRDefault="00664DF8" w:rsidP="00BA581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 xml:space="preserve">85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E14ED0">
              <w:rPr>
                <w:rFonts w:ascii="Arial" w:hAnsi="Arial" w:cs="Arial"/>
                <w:u w:color="FFFFFF"/>
              </w:rPr>
              <w:t xml:space="preserve">min. </w:t>
            </w:r>
            <w:r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DF8" w:rsidRPr="00BD2CBD" w:rsidRDefault="00664DF8" w:rsidP="00BA581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E14ED0">
              <w:rPr>
                <w:rFonts w:ascii="Arial" w:hAnsi="Arial" w:cs="Arial"/>
                <w:u w:color="FFFFFF"/>
              </w:rPr>
              <w:t xml:space="preserve">min. </w:t>
            </w:r>
            <w:r>
              <w:rPr>
                <w:rFonts w:ascii="Arial" w:hAnsi="Arial" w:cs="Arial"/>
                <w:u w:color="FFFFFF"/>
              </w:rPr>
              <w:t>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664DF8" w:rsidRPr="00BD2CBD" w:rsidTr="00AB5A8B">
        <w:tc>
          <w:tcPr>
            <w:tcW w:w="1156" w:type="pct"/>
            <w:gridSpan w:val="2"/>
            <w:vMerge/>
            <w:vAlign w:val="center"/>
          </w:tcPr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86" w:type="pct"/>
            <w:vMerge/>
            <w:vAlign w:val="center"/>
          </w:tcPr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2015 se započítávají všechny podpory de minimis udělené po 1. lednu 2013.</w:t>
            </w:r>
          </w:p>
        </w:tc>
      </w:tr>
      <w:tr w:rsidR="00664DF8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2.3: Rozvoj infrastruktury pro poskytování zdravotních služeb a péče o zdraví</w:t>
            </w:r>
          </w:p>
        </w:tc>
      </w:tr>
      <w:tr w:rsidR="00664DF8" w:rsidRPr="00BD2CBD" w:rsidTr="00AB5A8B">
        <w:tc>
          <w:tcPr>
            <w:tcW w:w="1156" w:type="pct"/>
            <w:gridSpan w:val="2"/>
            <w:vMerge w:val="restart"/>
            <w:vAlign w:val="center"/>
          </w:tcPr>
          <w:p w:rsidR="00664DF8" w:rsidRPr="00BD2CBD" w:rsidRDefault="00664DF8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Zvýšení kvality vysoce specializované péče</w:t>
            </w:r>
          </w:p>
        </w:tc>
        <w:tc>
          <w:tcPr>
            <w:tcW w:w="886" w:type="pct"/>
            <w:vMerge w:val="restart"/>
            <w:vAlign w:val="center"/>
          </w:tcPr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podporovány projekty v souladu s Rozhodnutím Komise ze dne 20. </w:t>
            </w:r>
            <w:r w:rsidRPr="00BD2CBD">
              <w:rPr>
                <w:rFonts w:ascii="Arial" w:hAnsi="Arial" w:cs="Arial"/>
              </w:rPr>
              <w:lastRenderedPageBreak/>
              <w:t>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a jejich příspěvkové organizace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 w:rsidR="00890B33"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 w:rsidR="00F84C61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zřizované organizace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 w:rsidR="00890B33"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 w:rsidR="00890B33"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64DF8" w:rsidRPr="00BD2CBD" w:rsidRDefault="00664DF8" w:rsidP="00890B3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 w:rsidR="00890B33"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a jejich příspěvkové organizace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 w:rsidR="00890B33">
              <w:rPr>
                <w:rFonts w:ascii="Arial" w:hAnsi="Arial" w:cs="Arial"/>
                <w:u w:color="FFFFFF"/>
              </w:rPr>
              <w:t>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zřizované organizace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E14ED0">
              <w:rPr>
                <w:rFonts w:ascii="Arial" w:hAnsi="Arial" w:cs="Arial"/>
                <w:u w:color="FFFFFF"/>
              </w:rPr>
              <w:t xml:space="preserve">max. </w:t>
            </w:r>
            <w:r w:rsidR="00890B33"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 0 %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jimi zřizované organizace </w:t>
            </w:r>
            <w:r w:rsidR="00E14ED0">
              <w:rPr>
                <w:rFonts w:ascii="Arial" w:hAnsi="Arial" w:cs="Arial"/>
                <w:u w:color="FFFFFF"/>
              </w:rPr>
              <w:t xml:space="preserve">min. </w:t>
            </w:r>
            <w:r w:rsidR="00890B33">
              <w:rPr>
                <w:rFonts w:ascii="Arial" w:hAnsi="Arial" w:cs="Arial"/>
                <w:u w:color="FFFFFF"/>
              </w:rPr>
              <w:t>10</w:t>
            </w:r>
            <w:r w:rsidR="00E14ED0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64DF8" w:rsidRPr="00BD2CBD" w:rsidRDefault="00664DF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</w:t>
            </w:r>
            <w:r w:rsidR="00890B33">
              <w:rPr>
                <w:rFonts w:ascii="Arial" w:hAnsi="Arial" w:cs="Arial"/>
                <w:u w:color="FFFFFF"/>
              </w:rPr>
              <w:t xml:space="preserve">ící veřejně prospěšnou činnost </w:t>
            </w:r>
            <w:r w:rsidR="00E14ED0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64DF8" w:rsidRPr="00BD2CBD" w:rsidRDefault="00664DF8" w:rsidP="00890B3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E14ED0">
              <w:rPr>
                <w:rFonts w:ascii="Arial" w:hAnsi="Arial" w:cs="Arial"/>
                <w:u w:color="FFFFFF"/>
              </w:rPr>
              <w:t xml:space="preserve">min. </w:t>
            </w:r>
            <w:r w:rsidR="00890B33">
              <w:rPr>
                <w:rFonts w:ascii="Arial" w:hAnsi="Arial" w:cs="Arial"/>
                <w:u w:color="FFFFFF"/>
              </w:rPr>
              <w:t>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64DF8" w:rsidRPr="00BD2CBD" w:rsidTr="00F548A1">
        <w:tc>
          <w:tcPr>
            <w:tcW w:w="1156" w:type="pct"/>
            <w:gridSpan w:val="2"/>
            <w:vMerge/>
            <w:vAlign w:val="center"/>
          </w:tcPr>
          <w:p w:rsidR="00664DF8" w:rsidRPr="00BD2CBD" w:rsidRDefault="00664DF8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64DF8" w:rsidRPr="00BD2CBD" w:rsidRDefault="00664DF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664DF8" w:rsidRDefault="00664DF8" w:rsidP="003B1C19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U aktivity vysoce specializovaná péče v případě projektu na územní hl. m. Prahy je výše podpory z EFRR přepočtena na podíl, odpovídající počtu obyvatel z méně rozvinutých regionů.</w:t>
            </w:r>
            <w:r>
              <w:rPr>
                <w:rFonts w:ascii="Arial" w:hAnsi="Arial" w:cs="Arial"/>
              </w:rPr>
              <w:t xml:space="preserve"> P</w:t>
            </w:r>
            <w:r w:rsidRPr="00914180">
              <w:rPr>
                <w:rFonts w:ascii="Arial" w:hAnsi="Arial" w:cs="Arial"/>
              </w:rPr>
              <w:t xml:space="preserve">říspěvek EFRR bude ve výši </w:t>
            </w:r>
            <w:r w:rsidR="001977BF">
              <w:rPr>
                <w:rFonts w:ascii="Arial" w:hAnsi="Arial" w:cs="Arial"/>
              </w:rPr>
              <w:t>74,</w:t>
            </w:r>
            <w:r w:rsidR="001977BF" w:rsidRPr="001977BF">
              <w:rPr>
                <w:rFonts w:ascii="Arial" w:hAnsi="Arial" w:cs="Arial"/>
              </w:rPr>
              <w:t>953</w:t>
            </w:r>
            <w:r w:rsidRPr="001977BF">
              <w:rPr>
                <w:rFonts w:ascii="Arial" w:hAnsi="Arial" w:cs="Arial"/>
              </w:rPr>
              <w:t xml:space="preserve"> %, státní rozpočet </w:t>
            </w:r>
            <w:r w:rsidR="001977BF" w:rsidRPr="001977BF">
              <w:rPr>
                <w:rFonts w:ascii="Arial" w:hAnsi="Arial" w:cs="Arial"/>
              </w:rPr>
              <w:t>25,047</w:t>
            </w:r>
            <w:r w:rsidRPr="001977BF">
              <w:rPr>
                <w:rFonts w:ascii="Arial" w:hAnsi="Arial" w:cs="Arial"/>
              </w:rPr>
              <w:t xml:space="preserve"> %. 11,82 %</w:t>
            </w:r>
            <w:r w:rsidRPr="00914180">
              <w:rPr>
                <w:rFonts w:ascii="Arial" w:hAnsi="Arial" w:cs="Arial"/>
              </w:rPr>
              <w:t xml:space="preserve"> bude financování z jiných národních veřejných zdrojů (prostředky</w:t>
            </w:r>
            <w:r>
              <w:rPr>
                <w:rFonts w:ascii="Arial" w:hAnsi="Arial" w:cs="Arial"/>
              </w:rPr>
              <w:t xml:space="preserve"> získané hlavní činností PO MZd</w:t>
            </w:r>
            <w:r w:rsidRPr="00914180">
              <w:rPr>
                <w:rFonts w:ascii="Arial" w:hAnsi="Arial" w:cs="Arial"/>
              </w:rPr>
              <w:t xml:space="preserve"> ČR</w:t>
            </w:r>
          </w:p>
          <w:p w:rsidR="00664DF8" w:rsidRDefault="00664DF8" w:rsidP="003B1C19">
            <w:pPr>
              <w:rPr>
                <w:rFonts w:ascii="Arial" w:hAnsi="Arial" w:cs="Arial"/>
                <w:u w:color="FFFFFF"/>
              </w:rPr>
            </w:pPr>
            <w:r w:rsidRPr="00914180">
              <w:rPr>
                <w:rFonts w:ascii="Arial" w:hAnsi="Arial" w:cs="Arial"/>
              </w:rPr>
              <w:t>Týká</w:t>
            </w:r>
            <w:r>
              <w:rPr>
                <w:rFonts w:ascii="Arial" w:hAnsi="Arial" w:cs="Arial"/>
                <w:u w:color="FFFFFF"/>
              </w:rPr>
              <w:t xml:space="preserve"> se těchto zařízení:</w:t>
            </w:r>
          </w:p>
          <w:p w:rsidR="00664DF8" w:rsidRDefault="00664DF8" w:rsidP="003B1C19">
            <w:pPr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Onkogynekologická centra:</w:t>
            </w:r>
          </w:p>
          <w:p w:rsidR="00664DF8" w:rsidRDefault="00664DF8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v Motole</w:t>
            </w:r>
          </w:p>
          <w:p w:rsidR="00664DF8" w:rsidRDefault="00664DF8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Všeobecná fakultní nemocnice</w:t>
            </w:r>
          </w:p>
          <w:p w:rsidR="00664DF8" w:rsidRDefault="00664DF8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Nemocnice na Bulovce</w:t>
            </w:r>
          </w:p>
          <w:p w:rsidR="00664DF8" w:rsidRDefault="00664DF8" w:rsidP="003B1C19">
            <w:pPr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Perinatologická centra:</w:t>
            </w:r>
          </w:p>
          <w:p w:rsidR="00664DF8" w:rsidRDefault="00664DF8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v Motole</w:t>
            </w:r>
          </w:p>
          <w:p w:rsidR="00664DF8" w:rsidRDefault="00664DF8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Všeobecná fakultní nemocnice</w:t>
            </w:r>
          </w:p>
          <w:p w:rsidR="00664DF8" w:rsidRPr="00A75B7E" w:rsidRDefault="00664DF8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Ústav pro péči o matku a dítě</w:t>
            </w:r>
          </w:p>
        </w:tc>
      </w:tr>
      <w:tr w:rsidR="00A91425" w:rsidRPr="00BD2CBD" w:rsidTr="00AB5A8B">
        <w:tc>
          <w:tcPr>
            <w:tcW w:w="1156" w:type="pct"/>
            <w:gridSpan w:val="2"/>
            <w:vAlign w:val="center"/>
          </w:tcPr>
          <w:p w:rsidR="00A91425" w:rsidRPr="00BD2CBD" w:rsidRDefault="00A91425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Zvýšení kvality návazné péče</w:t>
            </w:r>
          </w:p>
        </w:tc>
        <w:tc>
          <w:tcPr>
            <w:tcW w:w="886" w:type="pct"/>
            <w:vAlign w:val="center"/>
          </w:tcPr>
          <w:p w:rsidR="00A91425" w:rsidRPr="00BD2CBD" w:rsidRDefault="00A91425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</w:t>
            </w:r>
            <w:r>
              <w:rPr>
                <w:rFonts w:ascii="Arial" w:hAnsi="Arial" w:cs="Arial"/>
                <w:u w:color="FFFFFF"/>
              </w:rPr>
              <w:t xml:space="preserve">ící veřejně prospěšnou činnost 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A91425" w:rsidRPr="00BD2CBD" w:rsidTr="00AB5A8B">
        <w:tc>
          <w:tcPr>
            <w:tcW w:w="1156" w:type="pct"/>
            <w:gridSpan w:val="2"/>
            <w:vAlign w:val="center"/>
          </w:tcPr>
          <w:p w:rsidR="00A91425" w:rsidRPr="00BD2CBD" w:rsidRDefault="00A91425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psychiatrické péče</w:t>
            </w:r>
          </w:p>
          <w:p w:rsidR="00A91425" w:rsidRPr="00BD2CBD" w:rsidRDefault="00A91425" w:rsidP="006F516D">
            <w:pPr>
              <w:tabs>
                <w:tab w:val="left" w:pos="4270"/>
              </w:tabs>
              <w:rPr>
                <w:lang w:eastAsia="cs-CZ"/>
              </w:rPr>
            </w:pPr>
            <w:r w:rsidRPr="00BD2CBD">
              <w:rPr>
                <w:lang w:eastAsia="cs-CZ"/>
              </w:rPr>
              <w:tab/>
            </w:r>
          </w:p>
        </w:tc>
        <w:tc>
          <w:tcPr>
            <w:tcW w:w="886" w:type="pct"/>
            <w:vAlign w:val="center"/>
          </w:tcPr>
          <w:p w:rsidR="00A91425" w:rsidRPr="00BD2CBD" w:rsidRDefault="00A91425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</w:t>
            </w:r>
            <w:r>
              <w:rPr>
                <w:rFonts w:ascii="Arial" w:hAnsi="Arial" w:cs="Arial"/>
                <w:u w:color="FFFFFF"/>
              </w:rPr>
              <w:t xml:space="preserve">ící veřejně prospěšnou činnost 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8D3C99" w:rsidRPr="00BD2CBD" w:rsidRDefault="008D3C99" w:rsidP="006F51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Vyrovnávací platba, definovaná v článku 5 Rozhodnutí 2012/21/EU, nepřesáhne rozsah nezbytný k pokrytí čistých nákladů vynaložených při plnění závazků veřejné služby, včetně přiměřeného zisku. 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Výše vyrovnávací platby ≤ čisté náklady služby obecného hospodářského zájmu</w:t>
            </w:r>
          </w:p>
          <w:p w:rsidR="008D3C99" w:rsidRPr="00BD2CBD" w:rsidRDefault="008D3C99" w:rsidP="00063316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Čisté náklady služby obecného hospodářského zájmu = náklad</w:t>
            </w:r>
            <w:r w:rsidRPr="00BD2CBD">
              <w:rPr>
                <w:rStyle w:val="Znakapoznpodarou"/>
                <w:rFonts w:ascii="Arial" w:hAnsi="Arial" w:cs="Arial"/>
              </w:rPr>
              <w:footnoteReference w:id="2"/>
            </w:r>
            <w:r w:rsidRPr="00BD2CBD">
              <w:rPr>
                <w:rFonts w:ascii="Arial" w:hAnsi="Arial" w:cs="Arial"/>
              </w:rPr>
              <w:t xml:space="preserve"> na úhradu plnění závazku veřejné služby – související příjmy + přiměřený zisk (není podmínkou).</w:t>
            </w:r>
          </w:p>
          <w:p w:rsidR="008D3C99" w:rsidRPr="00BD2CBD" w:rsidRDefault="008D3C99" w:rsidP="00063316">
            <w:pPr>
              <w:rPr>
                <w:rFonts w:ascii="Arial" w:hAnsi="Arial" w:cs="Arial"/>
              </w:rPr>
            </w:pPr>
          </w:p>
          <w:p w:rsidR="008D3C99" w:rsidRPr="00BD2CBD" w:rsidRDefault="008D3C99" w:rsidP="00063316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</w:rPr>
              <w:t>Dále řešeno v Pravidlech pro žadatele a příjemce.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2.4: Zvýšení kvality a dostupnosti infrastruktury pro vzdělávání a celoživotní učení</w:t>
            </w:r>
          </w:p>
        </w:tc>
      </w:tr>
      <w:tr w:rsidR="008D3C99" w:rsidRPr="00BD2CBD" w:rsidTr="004B55FC">
        <w:trPr>
          <w:trHeight w:val="217"/>
        </w:trPr>
        <w:tc>
          <w:tcPr>
            <w:tcW w:w="1156" w:type="pct"/>
            <w:gridSpan w:val="2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předškolní vzdělávání - podpora zařízení péče o děti do 3 let, dětských skupin a mateřských škol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8D3C99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Mateřské školy</w:t>
            </w:r>
            <w:r w:rsidR="00017139">
              <w:rPr>
                <w:rFonts w:ascii="Arial" w:hAnsi="Arial" w:cs="Arial"/>
              </w:rPr>
              <w:t>,</w:t>
            </w:r>
            <w:r w:rsidRPr="00BD2CBD">
              <w:rPr>
                <w:rFonts w:ascii="Arial" w:hAnsi="Arial" w:cs="Arial"/>
              </w:rPr>
              <w:t xml:space="preserve"> </w:t>
            </w:r>
            <w:r w:rsidR="00017139">
              <w:rPr>
                <w:rFonts w:ascii="Arial" w:hAnsi="Arial" w:cs="Arial"/>
              </w:rPr>
              <w:t>zařízení péče o děti do 3 let a dětské skupiny</w:t>
            </w:r>
            <w:r w:rsidR="00017139" w:rsidRPr="00BD2CBD">
              <w:rPr>
                <w:rFonts w:ascii="Arial" w:hAnsi="Arial" w:cs="Arial"/>
              </w:rPr>
              <w:t xml:space="preserve"> </w:t>
            </w:r>
            <w:r w:rsidRPr="00BD2CBD">
              <w:rPr>
                <w:rFonts w:ascii="Arial" w:hAnsi="Arial" w:cs="Arial"/>
              </w:rPr>
              <w:t>- podpořeny pouze projekty nezakládající veřejnou podporu ve smyslu čl. 107 odst. 1 SFEU.</w:t>
            </w:r>
          </w:p>
          <w:p w:rsidR="008D3C99" w:rsidRDefault="008D3C99" w:rsidP="006F516D">
            <w:pPr>
              <w:rPr>
                <w:rFonts w:ascii="Arial" w:hAnsi="Arial" w:cs="Arial"/>
              </w:rPr>
            </w:pPr>
          </w:p>
          <w:p w:rsidR="008D3C99" w:rsidRPr="00BD2CBD" w:rsidRDefault="008D3C99" w:rsidP="008D3C99">
            <w:pPr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a jejich příspěvkové organizace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8D3C99" w:rsidRPr="00BD2CBD" w:rsidRDefault="008D3C99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8D3C99" w:rsidRPr="004B55FC" w:rsidRDefault="008D3C99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8D3C99" w:rsidRPr="00BD2CBD" w:rsidRDefault="008D3C99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lastRenderedPageBreak/>
              <w:t xml:space="preserve">Právnické osoby vykonávající činnost škol a školských zařízení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a jejich příspěvkové organizace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činnost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8D3C99" w:rsidRPr="00BD2CBD" w:rsidRDefault="008D3C99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 w:rsidR="001018D6">
              <w:rPr>
                <w:rFonts w:ascii="Arial" w:hAnsi="Arial" w:cs="Arial"/>
                <w:u w:color="FFFFFF"/>
              </w:rPr>
              <w:t xml:space="preserve">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 0 %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A91425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 w:rsidR="00A91425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vykonávající veřejně prospěšnou činnost </w:t>
            </w:r>
            <w:r w:rsidR="00A91425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8D3C99" w:rsidRPr="00BD2CBD" w:rsidRDefault="008D3C99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 w:rsidR="00A91425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A91425" w:rsidRPr="00BD2CBD" w:rsidTr="00AB5A8B">
        <w:tc>
          <w:tcPr>
            <w:tcW w:w="1156" w:type="pct"/>
            <w:gridSpan w:val="2"/>
            <w:vAlign w:val="center"/>
          </w:tcPr>
          <w:p w:rsidR="00A91425" w:rsidRPr="00BD2CBD" w:rsidRDefault="00A91425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Podpora infrastruktury pro základní vzdělávání v základních školách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A91425" w:rsidRPr="00BD2CBD" w:rsidRDefault="00A91425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4B55FC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 xml:space="preserve"> 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  <w:tc>
          <w:tcPr>
            <w:tcW w:w="919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A91425" w:rsidRPr="00BD2CBD" w:rsidTr="00AB5A8B">
        <w:tc>
          <w:tcPr>
            <w:tcW w:w="1156" w:type="pct"/>
            <w:gridSpan w:val="2"/>
            <w:vAlign w:val="center"/>
          </w:tcPr>
          <w:p w:rsidR="00A91425" w:rsidRPr="00BD2CBD" w:rsidRDefault="00A91425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škol a školských zařízení pro střední a vyšší odborné vzdělávání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A91425" w:rsidRPr="00BD2CBD" w:rsidRDefault="00A91425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4B55FC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 xml:space="preserve"> 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  <w:tc>
          <w:tcPr>
            <w:tcW w:w="919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A91425" w:rsidRPr="00BD2CBD" w:rsidTr="00610FBD">
        <w:trPr>
          <w:trHeight w:val="201"/>
        </w:trPr>
        <w:tc>
          <w:tcPr>
            <w:tcW w:w="1156" w:type="pct"/>
            <w:gridSpan w:val="2"/>
            <w:vAlign w:val="center"/>
          </w:tcPr>
          <w:p w:rsidR="00A91425" w:rsidRPr="00BD2CBD" w:rsidRDefault="00A91425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celoživotní vzdělávání v následujících klíčových kompetencích:</w:t>
            </w:r>
          </w:p>
          <w:p w:rsidR="00A91425" w:rsidRPr="00BD2CBD" w:rsidRDefault="00A91425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oblastech komunikace v cizích jazycích,</w:t>
            </w:r>
          </w:p>
          <w:p w:rsidR="00A91425" w:rsidRPr="00BD2CBD" w:rsidRDefault="00A91425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oblasti technických a řemeslných oborů, přírodních věd,</w:t>
            </w:r>
          </w:p>
          <w:p w:rsidR="00A91425" w:rsidRPr="00BD2CBD" w:rsidRDefault="00A91425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Ve schopnosti práce s digitálními technologiemi.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A91425" w:rsidRPr="00BD2CBD" w:rsidRDefault="00A91425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4B55FC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 xml:space="preserve"> 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  <w:tc>
          <w:tcPr>
            <w:tcW w:w="919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A91425" w:rsidRPr="00BD2CBD" w:rsidTr="00610FBD">
        <w:tc>
          <w:tcPr>
            <w:tcW w:w="1156" w:type="pct"/>
            <w:gridSpan w:val="2"/>
            <w:vAlign w:val="center"/>
          </w:tcPr>
          <w:p w:rsidR="00A91425" w:rsidRPr="00BD2CBD" w:rsidRDefault="00A91425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zájmové a neformální vzdělávání mládeže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A91425" w:rsidRPr="00BD2CBD" w:rsidRDefault="00A91425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4B55FC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 xml:space="preserve"> 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  <w:tc>
          <w:tcPr>
            <w:tcW w:w="919" w:type="pct"/>
            <w:vAlign w:val="center"/>
          </w:tcPr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A91425" w:rsidRPr="00BD2CBD" w:rsidRDefault="00A91425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8D3C99" w:rsidRPr="00BD2CBD" w:rsidRDefault="008D3C99" w:rsidP="006F516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2.5: Snížení energetické náročnosti v sektoru bydlení</w:t>
            </w:r>
          </w:p>
        </w:tc>
      </w:tr>
      <w:tr w:rsidR="008D3C99" w:rsidRPr="00BD2CBD" w:rsidTr="00AB5A8B">
        <w:tc>
          <w:tcPr>
            <w:tcW w:w="1156" w:type="pct"/>
            <w:gridSpan w:val="2"/>
            <w:vMerge w:val="restar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Snižování spotřeby energie zlepšením tepelných vlastností budov vody </w:t>
            </w:r>
          </w:p>
        </w:tc>
        <w:tc>
          <w:tcPr>
            <w:tcW w:w="886" w:type="pct"/>
            <w:vMerge w:val="restart"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</w:t>
            </w:r>
            <w:r w:rsidRPr="00BD2CBD">
              <w:rPr>
                <w:rFonts w:ascii="Arial" w:hAnsi="Arial" w:cs="Arial"/>
              </w:rPr>
              <w:lastRenderedPageBreak/>
              <w:t>se v souladu s články 107 a 108 Smlouvy prohlašují určité kategorie podpory za slučitelné s vnitřním trhem, Oddíl 7 Podpora na ochranu životního prostředí, článek 38 Investiční podpora na opatření ke zvýšení energetické účinnosti a článek 39 Investiční podpora na projekty ke zvýšení energetické účinnosti budov</w:t>
            </w:r>
          </w:p>
        </w:tc>
        <w:tc>
          <w:tcPr>
            <w:tcW w:w="413" w:type="pct"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lastRenderedPageBreak/>
              <w:t>Formou dotace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</w:t>
            </w:r>
            <w:r w:rsidRPr="00BD2CBD">
              <w:rPr>
                <w:rFonts w:ascii="Arial" w:hAnsi="Arial" w:cs="Arial"/>
              </w:rPr>
              <w:lastRenderedPageBreak/>
              <w:t>čl. 38</w:t>
            </w:r>
            <w:r w:rsidRPr="00BD2CBD">
              <w:rPr>
                <w:rStyle w:val="Znakapoznpodarou"/>
                <w:rFonts w:ascii="Arial" w:hAnsi="Arial" w:cs="Arial"/>
              </w:rPr>
              <w:footnoteReference w:id="3"/>
            </w:r>
            <w:r w:rsidRPr="00BD2CBD">
              <w:rPr>
                <w:rFonts w:ascii="Arial" w:hAnsi="Arial" w:cs="Arial"/>
              </w:rPr>
              <w:t xml:space="preserve"> podpora 30 % 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(Malé podniky + 20 %,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Střední podniky + 10%;</w:t>
            </w:r>
          </w:p>
          <w:p w:rsidR="008D3C99" w:rsidRPr="00BD2CBD" w:rsidRDefault="008D3C99" w:rsidP="007C0C63">
            <w:pPr>
              <w:pStyle w:val="Defaul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b/>
                <w:color w:val="auto"/>
                <w:sz w:val="22"/>
                <w:szCs w:val="22"/>
              </w:rPr>
              <w:t>lze navýšit o 15</w:t>
            </w:r>
            <w:r w:rsidR="00943268">
              <w:rPr>
                <w:rFonts w:ascii="Arial" w:hAnsi="Arial" w:cs="Arial"/>
                <w:b/>
                <w:color w:val="auto"/>
                <w:sz w:val="22"/>
                <w:szCs w:val="22"/>
              </w:rPr>
              <w:t> </w:t>
            </w:r>
            <w:r w:rsidRPr="00BD2CBD">
              <w:rPr>
                <w:rFonts w:ascii="Arial" w:hAnsi="Arial" w:cs="Arial"/>
                <w:b/>
                <w:color w:val="auto"/>
                <w:sz w:val="22"/>
                <w:szCs w:val="22"/>
              </w:rPr>
              <w:t>% v podporovaných oblastech splňující podmínky čl. 107 odst. 3 písm. a) Smlouvy</w:t>
            </w:r>
            <w:r w:rsidR="007C0C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– NUTS 2)</w:t>
            </w:r>
            <w:r w:rsidRPr="00BD2C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5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</w:t>
            </w:r>
            <w:r w:rsidR="00A91425">
              <w:rPr>
                <w:rFonts w:ascii="Arial" w:hAnsi="Arial" w:cs="Arial"/>
                <w:u w:color="FFFFFF"/>
              </w:rPr>
              <w:lastRenderedPageBreak/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38,25 %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38,25 %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(Malé podniky </w:t>
            </w:r>
            <w:r w:rsidR="00A91425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55,25</w:t>
            </w:r>
            <w:r w:rsidR="00A91425"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%,</w:t>
            </w:r>
          </w:p>
          <w:p w:rsidR="008D3C99" w:rsidRPr="00BD2CBD" w:rsidRDefault="008D3C99" w:rsidP="00A91425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Střední podniky </w:t>
            </w:r>
            <w:r w:rsidR="00A91425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46,75</w:t>
            </w:r>
            <w:r w:rsidR="00A91425"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%)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 xml:space="preserve">Územně samosprávné celky </w:t>
            </w:r>
            <w:r w:rsidR="00A91425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1,5 %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Podnikatelské subjekty 0%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</w:t>
            </w:r>
            <w:r w:rsidR="00A91425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60,25 %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Podnikatelské subjekty </w:t>
            </w:r>
            <w:r w:rsidR="00A91425">
              <w:rPr>
                <w:rFonts w:ascii="Arial" w:hAnsi="Arial" w:cs="Arial"/>
                <w:u w:color="FFFFFF"/>
              </w:rPr>
              <w:t xml:space="preserve">min. </w:t>
            </w:r>
            <w:r w:rsidR="003A48D5">
              <w:rPr>
                <w:rFonts w:ascii="Arial" w:hAnsi="Arial" w:cs="Arial"/>
                <w:u w:color="FFFFFF"/>
              </w:rPr>
              <w:t>61,75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(Malé podniky </w:t>
            </w:r>
            <w:r w:rsidR="00A91425"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44,75 %,</w:t>
            </w:r>
          </w:p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Střední podniky </w:t>
            </w:r>
            <w:r w:rsidR="00A91425"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53,25</w:t>
            </w:r>
            <w:r w:rsidR="00A91425">
              <w:rPr>
                <w:rFonts w:ascii="Arial" w:hAnsi="Arial" w:cs="Arial"/>
              </w:rPr>
              <w:t xml:space="preserve"> </w:t>
            </w:r>
            <w:r w:rsidRPr="00BD2CBD">
              <w:rPr>
                <w:rFonts w:ascii="Arial" w:hAnsi="Arial" w:cs="Arial"/>
              </w:rPr>
              <w:t>%)</w:t>
            </w:r>
          </w:p>
        </w:tc>
      </w:tr>
      <w:tr w:rsidR="008D3C99" w:rsidRPr="00BD2CBD" w:rsidTr="00AB5A8B">
        <w:tc>
          <w:tcPr>
            <w:tcW w:w="1156" w:type="pct"/>
            <w:gridSpan w:val="2"/>
            <w:vMerge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Formou finančního nástroje 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39</w:t>
            </w:r>
            <w:r w:rsidRPr="00BD2CBD">
              <w:rPr>
                <w:rStyle w:val="Znakapoznpodarou"/>
                <w:rFonts w:ascii="Arial" w:hAnsi="Arial" w:cs="Arial"/>
              </w:rPr>
              <w:footnoteReference w:id="4"/>
            </w:r>
            <w:r w:rsidRPr="00BD2CBD">
              <w:rPr>
                <w:rFonts w:ascii="Arial" w:hAnsi="Arial" w:cs="Arial"/>
              </w:rPr>
              <w:t xml:space="preserve"> podpora 70 % 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podmínka soukromých zdrojů alespoň z 30 %</w:t>
            </w:r>
          </w:p>
        </w:tc>
        <w:tc>
          <w:tcPr>
            <w:tcW w:w="65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 w:rsidR="00A91425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 w:rsidR="00A91425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 w:rsidR="00F17314">
              <w:rPr>
                <w:rFonts w:ascii="Arial" w:hAnsi="Arial" w:cs="Arial"/>
              </w:rPr>
              <w:t>max</w:t>
            </w:r>
            <w:r w:rsidR="00A91425">
              <w:rPr>
                <w:rFonts w:ascii="Arial" w:hAnsi="Arial" w:cs="Arial"/>
              </w:rPr>
              <w:t xml:space="preserve">. </w:t>
            </w:r>
            <w:r w:rsidRPr="00BD2CBD">
              <w:rPr>
                <w:rFonts w:ascii="Arial" w:hAnsi="Arial" w:cs="Arial"/>
              </w:rPr>
              <w:t>3,5 %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Podnikatelské subjekty 0%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 w:rsidR="00F17314"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 w:rsidR="00F17314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8D3C99" w:rsidRPr="00BD2CBD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8D3C99" w:rsidRDefault="008D3C99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 w:rsidR="00A47D1D">
              <w:rPr>
                <w:rFonts w:ascii="Arial" w:hAnsi="Arial" w:cs="Arial"/>
              </w:rPr>
              <w:t>bou článků se podpory nesčítají, musí být zachována podmínka alespoň 30 % ze soukromých zdrojů.</w:t>
            </w:r>
            <w:r w:rsidRPr="00BD2CBD">
              <w:rPr>
                <w:rFonts w:ascii="Arial" w:hAnsi="Arial" w:cs="Arial"/>
              </w:rPr>
              <w:t xml:space="preserve"> </w:t>
            </w:r>
          </w:p>
          <w:p w:rsidR="00FF182F" w:rsidRDefault="00FF182F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  <w:p w:rsidR="00FF182F" w:rsidRPr="00BD2CBD" w:rsidRDefault="00FF182F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 finančního nástroje: vlastníci bytových domů a společenství vlastníků bytových jednotek – budovy se čtyřmi a více byty. </w:t>
            </w:r>
          </w:p>
        </w:tc>
      </w:tr>
      <w:tr w:rsidR="008D3C99" w:rsidRPr="00BD2CBD" w:rsidTr="00AB5A8B">
        <w:trPr>
          <w:trHeight w:val="1357"/>
        </w:trPr>
        <w:tc>
          <w:tcPr>
            <w:tcW w:w="1156" w:type="pct"/>
            <w:gridSpan w:val="2"/>
            <w:vMerge w:val="restar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Zařízení pro vytápění nebo přípravu teplé vody</w:t>
            </w:r>
          </w:p>
        </w:tc>
        <w:tc>
          <w:tcPr>
            <w:tcW w:w="886" w:type="pct"/>
            <w:vMerge w:val="restart"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 651/2014 z 17. června 2014, kterým se v souladu s články 107 a 108 Smlouvy prohlašují určité kategorie podpory za slučitelné s vnitřním trhem, Oddíl 7 Podpora na ochranu životního prostředí, článek 38 Investiční podpora na opatření ke zvýšení energetické účinnosti a článek 39 Investiční podpora na projekty ke zvýšení energetické účinnosti budov</w:t>
            </w:r>
          </w:p>
        </w:tc>
        <w:tc>
          <w:tcPr>
            <w:tcW w:w="413" w:type="pct"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Formou dotace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 w:rsidRPr="00BD2CBD">
              <w:rPr>
                <w:rStyle w:val="Znakapoznpodarou"/>
                <w:rFonts w:ascii="Arial" w:hAnsi="Arial" w:cs="Arial"/>
              </w:rPr>
              <w:footnoteReference w:id="5"/>
            </w:r>
            <w:r w:rsidRPr="00BD2CBD">
              <w:rPr>
                <w:rFonts w:ascii="Arial" w:hAnsi="Arial" w:cs="Arial"/>
              </w:rPr>
              <w:t xml:space="preserve"> podpora 30 % </w:t>
            </w: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(Malé podniky + 20 %,</w:t>
            </w:r>
          </w:p>
          <w:p w:rsidR="00943268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Střední podniky + 10%; </w:t>
            </w:r>
          </w:p>
          <w:p w:rsidR="008D3C99" w:rsidRPr="00BD2CBD" w:rsidRDefault="008D3C99" w:rsidP="00943268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b/>
              </w:rPr>
              <w:t>lze navýšit o 15</w:t>
            </w:r>
            <w:r w:rsidR="00943268">
              <w:rPr>
                <w:rFonts w:ascii="Arial" w:hAnsi="Arial" w:cs="Arial"/>
                <w:b/>
              </w:rPr>
              <w:t> </w:t>
            </w:r>
            <w:r w:rsidRPr="00BD2CBD">
              <w:rPr>
                <w:rFonts w:ascii="Arial" w:hAnsi="Arial" w:cs="Arial"/>
                <w:b/>
              </w:rPr>
              <w:t>% v podporovaných oblastech splňující podmínky čl. 107 odst. 3 písm. a) Smlouvy)</w:t>
            </w:r>
          </w:p>
        </w:tc>
        <w:tc>
          <w:tcPr>
            <w:tcW w:w="653" w:type="pct"/>
            <w:vAlign w:val="center"/>
          </w:tcPr>
          <w:p w:rsidR="008D3C99" w:rsidRPr="00BD2CBD" w:rsidRDefault="008D3C99" w:rsidP="00C13D4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38,25 %</w:t>
            </w:r>
          </w:p>
          <w:p w:rsidR="008D3C99" w:rsidRPr="00BD2CBD" w:rsidRDefault="008D3C99" w:rsidP="00C13D4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38,25</w:t>
            </w:r>
            <w:r w:rsidR="00F17314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8D3C99" w:rsidRPr="00BD2CBD" w:rsidRDefault="008D3C99" w:rsidP="00C13D45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(Malé podniky </w:t>
            </w:r>
            <w:r w:rsidR="00F17314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55,25</w:t>
            </w:r>
            <w:r w:rsidR="00F17314"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%,</w:t>
            </w:r>
          </w:p>
          <w:p w:rsidR="008D3C99" w:rsidRPr="00BD2CBD" w:rsidRDefault="008D3C99" w:rsidP="00F17314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Střední podniky </w:t>
            </w:r>
            <w:r w:rsidR="00F17314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46,75</w:t>
            </w:r>
            <w:r w:rsidR="00F17314"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%)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C13D4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 w:rsidR="00F17314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1,5 %</w:t>
            </w:r>
          </w:p>
          <w:p w:rsidR="008D3C99" w:rsidRPr="00BD2CBD" w:rsidRDefault="008D3C99" w:rsidP="00C13D4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Podnikatelské subjekty 0%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C13D4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F17314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60,25 %</w:t>
            </w:r>
          </w:p>
          <w:p w:rsidR="008D3C99" w:rsidRPr="00BD2CBD" w:rsidRDefault="008D3C99" w:rsidP="00C13D4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 w:rsidR="00F17314">
              <w:rPr>
                <w:rFonts w:ascii="Arial" w:hAnsi="Arial" w:cs="Arial"/>
                <w:u w:color="FFFFFF"/>
              </w:rPr>
              <w:t xml:space="preserve">min. </w:t>
            </w:r>
            <w:r w:rsidR="00A750B2">
              <w:rPr>
                <w:rFonts w:ascii="Arial" w:hAnsi="Arial" w:cs="Arial"/>
                <w:u w:color="FFFFFF"/>
              </w:rPr>
              <w:t xml:space="preserve">61,75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8D3C99" w:rsidRPr="00BD2CBD" w:rsidRDefault="008D3C99" w:rsidP="00C13D45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(Malé podniky </w:t>
            </w:r>
            <w:r w:rsidR="00F17314"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44,75 %,</w:t>
            </w:r>
          </w:p>
          <w:p w:rsidR="008D3C99" w:rsidRPr="00BD2CBD" w:rsidRDefault="008D3C99" w:rsidP="00C13D45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Střední podniky </w:t>
            </w:r>
            <w:r w:rsidR="00F17314"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53,25%)</w:t>
            </w:r>
          </w:p>
        </w:tc>
      </w:tr>
      <w:tr w:rsidR="00F17314" w:rsidRPr="00BD2CBD" w:rsidTr="00AB5A8B">
        <w:trPr>
          <w:trHeight w:val="1741"/>
        </w:trPr>
        <w:tc>
          <w:tcPr>
            <w:tcW w:w="1156" w:type="pct"/>
            <w:gridSpan w:val="2"/>
            <w:vMerge/>
            <w:vAlign w:val="center"/>
          </w:tcPr>
          <w:p w:rsidR="00F17314" w:rsidRPr="00BD2CBD" w:rsidRDefault="00F17314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17314" w:rsidRPr="00BD2CBD" w:rsidRDefault="00F17314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vAlign w:val="center"/>
          </w:tcPr>
          <w:p w:rsidR="00F17314" w:rsidRPr="00BD2CBD" w:rsidRDefault="00F17314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Formou finančního nástroje </w:t>
            </w:r>
          </w:p>
          <w:p w:rsidR="00F17314" w:rsidRPr="00BD2CBD" w:rsidRDefault="00F17314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39</w:t>
            </w:r>
            <w:r w:rsidRPr="00BD2CBD">
              <w:rPr>
                <w:rStyle w:val="Znakapoznpodarou"/>
                <w:rFonts w:ascii="Arial" w:hAnsi="Arial" w:cs="Arial"/>
              </w:rPr>
              <w:footnoteReference w:id="6"/>
            </w:r>
            <w:r w:rsidRPr="00BD2CBD">
              <w:rPr>
                <w:rFonts w:ascii="Arial" w:hAnsi="Arial" w:cs="Arial"/>
              </w:rPr>
              <w:t xml:space="preserve"> podpora 70 % - podmínka soukromých zdrojů alespoň z 30 %</w:t>
            </w:r>
          </w:p>
        </w:tc>
        <w:tc>
          <w:tcPr>
            <w:tcW w:w="653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Podnikatelské subjekty 0%</w:t>
            </w:r>
          </w:p>
        </w:tc>
        <w:tc>
          <w:tcPr>
            <w:tcW w:w="919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8D3C99" w:rsidRPr="00BD2CBD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825F42" w:rsidRDefault="005B5C00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alespoň 30 % ze soukromých zdrojů.</w:t>
            </w:r>
          </w:p>
          <w:p w:rsidR="00BA5E36" w:rsidRDefault="00BA5E36" w:rsidP="00BA5E36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  <w:p w:rsidR="00BA5E36" w:rsidRPr="00BD2CBD" w:rsidRDefault="00BA5E36" w:rsidP="00BA5E36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finančního nástroje: vlastníci bytových domů a společenství vlastníků bytových jednotek – budovy se čtyřmi a více byty.</w:t>
            </w:r>
          </w:p>
        </w:tc>
      </w:tr>
      <w:tr w:rsidR="00F17314" w:rsidRPr="00BD2CBD" w:rsidTr="00AB5A8B">
        <w:trPr>
          <w:trHeight w:val="1373"/>
        </w:trPr>
        <w:tc>
          <w:tcPr>
            <w:tcW w:w="1156" w:type="pct"/>
            <w:gridSpan w:val="2"/>
            <w:vMerge w:val="restart"/>
            <w:vAlign w:val="center"/>
          </w:tcPr>
          <w:p w:rsidR="00F17314" w:rsidRPr="00BD2CBD" w:rsidRDefault="00F17314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Přechod na šetrné, ekologické zdroje </w:t>
            </w:r>
          </w:p>
        </w:tc>
        <w:tc>
          <w:tcPr>
            <w:tcW w:w="886" w:type="pct"/>
            <w:vMerge w:val="restart"/>
            <w:vAlign w:val="center"/>
          </w:tcPr>
          <w:p w:rsidR="00F17314" w:rsidRPr="00BD2CBD" w:rsidRDefault="00F17314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 651/2014 z 17. června 2014, kterým se v souladu s články 107 a 108 Smlouvy prohlašují určité kategorie podpory za slučitelné s vnitřním trhem, Oddíl 7 Podpora na ochranu životního prostředí, článek 38 Investiční podpora na opatření ke zvýšení energetické účinnosti a článek 39 Investiční podpora na projekty ke zvýšení energetické účinnosti budov</w:t>
            </w:r>
          </w:p>
        </w:tc>
        <w:tc>
          <w:tcPr>
            <w:tcW w:w="413" w:type="pct"/>
            <w:vAlign w:val="center"/>
          </w:tcPr>
          <w:p w:rsidR="00F17314" w:rsidRPr="00BD2CBD" w:rsidRDefault="00F17314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Formou dotace</w:t>
            </w:r>
          </w:p>
          <w:p w:rsidR="00F17314" w:rsidRPr="00BD2CBD" w:rsidRDefault="00F17314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 w:rsidRPr="00BD2CBD">
              <w:rPr>
                <w:rStyle w:val="Znakapoznpodarou"/>
                <w:rFonts w:ascii="Arial" w:hAnsi="Arial" w:cs="Arial"/>
              </w:rPr>
              <w:footnoteReference w:id="7"/>
            </w:r>
            <w:r w:rsidRPr="00BD2CBD">
              <w:rPr>
                <w:rFonts w:ascii="Arial" w:hAnsi="Arial" w:cs="Arial"/>
              </w:rPr>
              <w:t xml:space="preserve"> podpora 30 % </w:t>
            </w:r>
          </w:p>
          <w:p w:rsidR="00F17314" w:rsidRPr="00BD2CBD" w:rsidRDefault="00F17314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(Malé podniky + 20 %,</w:t>
            </w:r>
          </w:p>
          <w:p w:rsidR="00F17314" w:rsidRDefault="00F17314" w:rsidP="00AB5A8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Střední podniky + 10%; </w:t>
            </w:r>
          </w:p>
          <w:p w:rsidR="00F17314" w:rsidRPr="00BD2CBD" w:rsidRDefault="00F17314" w:rsidP="00943268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b/>
              </w:rPr>
              <w:t>lze navýšit o 15</w:t>
            </w:r>
            <w:r>
              <w:rPr>
                <w:rFonts w:ascii="Arial" w:hAnsi="Arial" w:cs="Arial"/>
                <w:b/>
              </w:rPr>
              <w:t> </w:t>
            </w:r>
            <w:r w:rsidRPr="00BD2CBD">
              <w:rPr>
                <w:rFonts w:ascii="Arial" w:hAnsi="Arial" w:cs="Arial"/>
                <w:b/>
              </w:rPr>
              <w:t>% v podporovaných oblastech splňující podmínky čl. 107 odst. 3 písm. a) Smlouvy)</w:t>
            </w:r>
          </w:p>
        </w:tc>
        <w:tc>
          <w:tcPr>
            <w:tcW w:w="653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38,25 %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38,25 %</w:t>
            </w:r>
          </w:p>
          <w:p w:rsidR="00F17314" w:rsidRPr="00BD2CBD" w:rsidRDefault="00F17314" w:rsidP="009225A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(Malé podniky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55,25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%,</w:t>
            </w:r>
          </w:p>
          <w:p w:rsidR="00F17314" w:rsidRPr="00BD2CBD" w:rsidRDefault="00F17314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Střední podniky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46,75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%)</w:t>
            </w:r>
          </w:p>
        </w:tc>
        <w:tc>
          <w:tcPr>
            <w:tcW w:w="973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1,5 %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Podnikatelské subjekty 0%</w:t>
            </w:r>
          </w:p>
        </w:tc>
        <w:tc>
          <w:tcPr>
            <w:tcW w:w="919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60,25 %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>
              <w:rPr>
                <w:rFonts w:ascii="Arial" w:hAnsi="Arial" w:cs="Arial"/>
                <w:u w:color="FFFFFF"/>
              </w:rPr>
              <w:t>min. 61,75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17314" w:rsidRPr="00BD2CBD" w:rsidRDefault="00F17314" w:rsidP="009225A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(Malé podniky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44,75 %,</w:t>
            </w:r>
          </w:p>
          <w:p w:rsidR="00F17314" w:rsidRPr="00BD2CBD" w:rsidRDefault="00F17314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Střední podniky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53,25</w:t>
            </w:r>
            <w:r>
              <w:rPr>
                <w:rFonts w:ascii="Arial" w:hAnsi="Arial" w:cs="Arial"/>
              </w:rPr>
              <w:t xml:space="preserve"> </w:t>
            </w:r>
            <w:r w:rsidRPr="00BD2CBD">
              <w:rPr>
                <w:rFonts w:ascii="Arial" w:hAnsi="Arial" w:cs="Arial"/>
              </w:rPr>
              <w:t>%)</w:t>
            </w:r>
          </w:p>
        </w:tc>
      </w:tr>
      <w:tr w:rsidR="00F17314" w:rsidRPr="00BD2CBD" w:rsidTr="00AB5A8B">
        <w:trPr>
          <w:trHeight w:val="1741"/>
        </w:trPr>
        <w:tc>
          <w:tcPr>
            <w:tcW w:w="1156" w:type="pct"/>
            <w:gridSpan w:val="2"/>
            <w:vMerge/>
            <w:vAlign w:val="center"/>
          </w:tcPr>
          <w:p w:rsidR="00F17314" w:rsidRPr="00BD2CBD" w:rsidRDefault="00F17314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17314" w:rsidRPr="00BD2CBD" w:rsidRDefault="00F17314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vAlign w:val="center"/>
          </w:tcPr>
          <w:p w:rsidR="00F17314" w:rsidRPr="00BD2CBD" w:rsidRDefault="00F17314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Formou finančního nástroje </w:t>
            </w:r>
          </w:p>
          <w:p w:rsidR="00F17314" w:rsidRPr="00BD2CBD" w:rsidRDefault="00F17314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39</w:t>
            </w:r>
            <w:r w:rsidRPr="00BD2CBD">
              <w:rPr>
                <w:rStyle w:val="Znakapoznpodarou"/>
                <w:rFonts w:ascii="Arial" w:hAnsi="Arial" w:cs="Arial"/>
              </w:rPr>
              <w:footnoteReference w:id="8"/>
            </w:r>
            <w:r w:rsidRPr="00BD2CBD">
              <w:rPr>
                <w:rFonts w:ascii="Arial" w:hAnsi="Arial" w:cs="Arial"/>
              </w:rPr>
              <w:t xml:space="preserve"> podpora 70 % - podmínka soukromých zdrojů alespoň z 30 %</w:t>
            </w:r>
          </w:p>
        </w:tc>
        <w:tc>
          <w:tcPr>
            <w:tcW w:w="653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Podnikatelské subjekty 0%</w:t>
            </w:r>
          </w:p>
        </w:tc>
        <w:tc>
          <w:tcPr>
            <w:tcW w:w="919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Podnikatelské subjekty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8D3C99" w:rsidRPr="00BD2CBD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825F42" w:rsidRDefault="00751599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alespoň 30 % ze soukromých zdrojů.</w:t>
            </w:r>
          </w:p>
          <w:p w:rsidR="00FD7C41" w:rsidRDefault="00FD7C41" w:rsidP="00FD7C41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  <w:p w:rsidR="00FD7C41" w:rsidRPr="00BD2CBD" w:rsidRDefault="00FD7C41" w:rsidP="00FD7C41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finančního nástroje: vlastníci bytových domů a společenství vlastníků bytových jednotek – budovy se čtyřmi a více byty.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8D3C99" w:rsidRPr="00BD2CBD" w:rsidRDefault="008D3C99" w:rsidP="00385AC8">
            <w:pPr>
              <w:keepNext/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lastRenderedPageBreak/>
              <w:t>SPECIFICKÝ CÍL 3.1: Zefektivnění prezentace, posílení ochrany a rozvoje kulturního dědictví</w:t>
            </w:r>
          </w:p>
        </w:tc>
      </w:tr>
      <w:tr w:rsidR="009925A5" w:rsidRPr="00BD2CBD" w:rsidTr="009925A5">
        <w:trPr>
          <w:trHeight w:val="1993"/>
        </w:trPr>
        <w:tc>
          <w:tcPr>
            <w:tcW w:w="1156" w:type="pct"/>
            <w:gridSpan w:val="2"/>
            <w:vAlign w:val="center"/>
          </w:tcPr>
          <w:p w:rsidR="009925A5" w:rsidRPr="00BD2CBD" w:rsidRDefault="009925A5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Revitalizace souboru vybraných památek</w:t>
            </w:r>
          </w:p>
        </w:tc>
        <w:tc>
          <w:tcPr>
            <w:tcW w:w="886" w:type="pct"/>
            <w:vAlign w:val="center"/>
          </w:tcPr>
          <w:p w:rsidR="009925A5" w:rsidRPr="00BD2CBD" w:rsidRDefault="009925A5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6" w:type="pct"/>
            <w:gridSpan w:val="2"/>
            <w:vAlign w:val="center"/>
          </w:tcPr>
          <w:p w:rsidR="009925A5" w:rsidRPr="00BD2CBD" w:rsidRDefault="009925A5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85</w:t>
            </w:r>
            <w:r w:rsidR="00457212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9925A5" w:rsidRPr="00BD2CBD" w:rsidRDefault="009925A5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925A5" w:rsidRPr="00BD2CBD" w:rsidRDefault="009925A5" w:rsidP="00B32F6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9925A5" w:rsidRPr="00BD2CBD" w:rsidRDefault="009925A5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925A5" w:rsidRPr="00BD2CBD" w:rsidRDefault="009925A5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925A5" w:rsidRPr="00BD2CBD" w:rsidRDefault="009925A5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9925A5" w:rsidRPr="00BD2CBD" w:rsidRDefault="009925A5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9925A5" w:rsidRPr="00BD2CBD" w:rsidRDefault="009925A5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17314">
              <w:rPr>
                <w:rFonts w:ascii="Arial" w:hAnsi="Arial" w:cs="Arial"/>
                <w:u w:color="FFFFFF"/>
              </w:rPr>
              <w:t xml:space="preserve">min. </w:t>
            </w:r>
            <w:r>
              <w:rPr>
                <w:rFonts w:ascii="Arial" w:hAnsi="Arial" w:cs="Arial"/>
                <w:u w:color="FFFFFF"/>
              </w:rPr>
              <w:t>10</w:t>
            </w:r>
            <w:r w:rsidR="00F17314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9925A5" w:rsidRPr="00BD2CBD" w:rsidRDefault="009925A5" w:rsidP="00B32F6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17314">
              <w:rPr>
                <w:rFonts w:ascii="Arial" w:hAnsi="Arial" w:cs="Arial"/>
                <w:u w:color="FFFFFF"/>
              </w:rPr>
              <w:t xml:space="preserve">min. </w:t>
            </w:r>
            <w:r>
              <w:rPr>
                <w:rFonts w:ascii="Arial" w:hAnsi="Arial" w:cs="Arial"/>
                <w:u w:color="FFFFFF"/>
              </w:rPr>
              <w:t>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17314" w:rsidRPr="00BD2CBD" w:rsidTr="009925A5">
        <w:tc>
          <w:tcPr>
            <w:tcW w:w="1156" w:type="pct"/>
            <w:gridSpan w:val="2"/>
            <w:vAlign w:val="center"/>
          </w:tcPr>
          <w:p w:rsidR="00F17314" w:rsidRPr="00BD2CBD" w:rsidRDefault="00F17314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Zefektivnění ochrany a využívání sbírkových a knihovních fondů a jejich zpřístupnění</w:t>
            </w:r>
          </w:p>
        </w:tc>
        <w:tc>
          <w:tcPr>
            <w:tcW w:w="886" w:type="pct"/>
            <w:vAlign w:val="center"/>
          </w:tcPr>
          <w:p w:rsidR="00F17314" w:rsidRPr="00BD2CBD" w:rsidRDefault="00F17314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6" w:type="pct"/>
            <w:gridSpan w:val="2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8D3C99" w:rsidRPr="00BD2CBD" w:rsidTr="00FE5BA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825F42" w:rsidRPr="009F3299" w:rsidRDefault="009925A5" w:rsidP="00781589">
            <w:pPr>
              <w:spacing w:before="120" w:after="120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Výše podpory nepřesáhne výši rozdílu mezi způsobilými náklady a provozním ziskem z investice. Od způsobilých nákladů se odečte provozní zisk, a to buď ex ante</w:t>
            </w:r>
            <w:r w:rsidR="00781589">
              <w:rPr>
                <w:rFonts w:ascii="Arial" w:hAnsi="Arial" w:cs="Arial"/>
                <w:u w:color="FFFFFF"/>
              </w:rPr>
              <w:t xml:space="preserve"> na základě odůvodněných odhadů.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3.2 Zvyšování efektivity a transparentnosti veřejné správy prostřednictvím rozvoje využití a kvality systémů IKT</w:t>
            </w:r>
          </w:p>
        </w:tc>
      </w:tr>
      <w:tr w:rsidR="008D3C99" w:rsidRPr="00BD2CBD" w:rsidTr="00AB5A8B">
        <w:tc>
          <w:tcPr>
            <w:tcW w:w="1156" w:type="pct"/>
            <w:gridSpan w:val="2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eGovernment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8D3C99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:rsidR="008D3C99" w:rsidRPr="00A750B2" w:rsidRDefault="008D3C99" w:rsidP="00B1441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17314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:rsidR="008D3C99" w:rsidRPr="00A750B2" w:rsidRDefault="008D3C99" w:rsidP="00A750B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8D3C99" w:rsidRPr="00A750B2" w:rsidRDefault="008D3C99" w:rsidP="00F1731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F17314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 w:rsidR="00F17314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</w:tr>
      <w:tr w:rsidR="00F17314" w:rsidRPr="00BD2CBD" w:rsidTr="00AB5A8B">
        <w:tc>
          <w:tcPr>
            <w:tcW w:w="1156" w:type="pct"/>
            <w:gridSpan w:val="2"/>
            <w:vAlign w:val="center"/>
          </w:tcPr>
          <w:p w:rsidR="00F17314" w:rsidRPr="00BD2CBD" w:rsidRDefault="00F17314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Kybernetická bezpečnost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17314" w:rsidRPr="00BD2CBD" w:rsidRDefault="00F17314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17314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:rsidR="00F17314" w:rsidRPr="00A750B2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:rsidR="00F17314" w:rsidRPr="00A750B2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17314" w:rsidRPr="00A750B2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</w:tr>
      <w:tr w:rsidR="00F17314" w:rsidRPr="00BD2CBD" w:rsidTr="00AB5A8B">
        <w:tc>
          <w:tcPr>
            <w:tcW w:w="1156" w:type="pct"/>
            <w:gridSpan w:val="2"/>
            <w:vAlign w:val="center"/>
          </w:tcPr>
          <w:p w:rsidR="00F17314" w:rsidRPr="00BD2CBD" w:rsidRDefault="00F17314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Specifické informační a komunikační systémy a infrastruktura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17314" w:rsidRPr="00BD2CBD" w:rsidRDefault="00F17314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17314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:rsidR="00F17314" w:rsidRPr="00A750B2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:rsidR="00F17314" w:rsidRPr="00A750B2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F17314" w:rsidRPr="00BD2CBD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17314" w:rsidRPr="00A750B2" w:rsidRDefault="00F17314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8D3C99" w:rsidRPr="00BD2CBD" w:rsidRDefault="003B483E" w:rsidP="00EB6BBF">
            <w:pPr>
              <w:spacing w:beforeLines="50" w:before="120" w:afterLines="50" w:after="120" w:line="264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Více</w:t>
            </w:r>
            <w:r w:rsidR="008D3C99" w:rsidRPr="00BD2CBD">
              <w:rPr>
                <w:rFonts w:ascii="Arial" w:hAnsi="Arial" w:cs="Arial"/>
                <w:u w:color="FFFFFF"/>
              </w:rPr>
              <w:t xml:space="preserve">cílový specifický cíl. </w:t>
            </w:r>
            <w:r w:rsidR="008D3C99" w:rsidRPr="00BD2CBD">
              <w:rPr>
                <w:rFonts w:ascii="Arial" w:hAnsi="Arial" w:cs="Arial"/>
              </w:rPr>
              <w:t xml:space="preserve">Pro výpočet výše dotace bude využit pro rata vzorec, kdy se míra podpory změní na 80,863 % z Evropského fondu regionálního rozvoje a 19,137 % ze státního rozpočtu. Bližší informace budou uvedeny ve výzvě.  </w:t>
            </w:r>
            <w:r w:rsidR="00C45752">
              <w:rPr>
                <w:rFonts w:ascii="Arial" w:hAnsi="Arial" w:cs="Arial"/>
              </w:rPr>
              <w:t>Pro rata vzorec se uplatňuje pouze na územní hl. města Prahy a v případě, že projekt realizovaný mimo území hl</w:t>
            </w:r>
            <w:r w:rsidR="00EB6BBF">
              <w:rPr>
                <w:rFonts w:ascii="Arial" w:hAnsi="Arial" w:cs="Arial"/>
              </w:rPr>
              <w:t>. města Prahy má celorepublikový</w:t>
            </w:r>
            <w:r w:rsidR="00C45752">
              <w:rPr>
                <w:rFonts w:ascii="Arial" w:hAnsi="Arial" w:cs="Arial"/>
              </w:rPr>
              <w:t xml:space="preserve"> dopad. 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SPECIFICKÝ CÍL 3.3: Podpora pořizování a uplatňování dokumentů územního rozvoje</w:t>
            </w:r>
          </w:p>
        </w:tc>
      </w:tr>
      <w:tr w:rsidR="008D3C99" w:rsidRPr="00BD2CBD" w:rsidTr="00AB5A8B">
        <w:tc>
          <w:tcPr>
            <w:tcW w:w="1156" w:type="pct"/>
            <w:gridSpan w:val="2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Pořízení územních plánů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F1731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F832A1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F17314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17314" w:rsidRPr="00BD2CBD" w:rsidTr="00AB5A8B">
        <w:trPr>
          <w:trHeight w:val="879"/>
        </w:trPr>
        <w:tc>
          <w:tcPr>
            <w:tcW w:w="1156" w:type="pct"/>
            <w:gridSpan w:val="2"/>
            <w:vAlign w:val="center"/>
          </w:tcPr>
          <w:p w:rsidR="00F17314" w:rsidRPr="00BD2CBD" w:rsidRDefault="00F17314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regulačních plánů, nenahrazujících územní rozhodnutí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17314" w:rsidRPr="00BD2CBD" w:rsidRDefault="00F17314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17314" w:rsidRPr="00BD2CBD" w:rsidRDefault="00F17314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17314" w:rsidRPr="00BD2CBD" w:rsidRDefault="00F17314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F17314" w:rsidRPr="00BD2CBD" w:rsidRDefault="00F17314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17314" w:rsidRPr="00BD2CBD" w:rsidTr="00AB5A8B">
        <w:tc>
          <w:tcPr>
            <w:tcW w:w="1156" w:type="pct"/>
            <w:gridSpan w:val="2"/>
            <w:vAlign w:val="center"/>
          </w:tcPr>
          <w:p w:rsidR="00F17314" w:rsidRPr="00BD2CBD" w:rsidRDefault="00F17314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územních studií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17314" w:rsidRPr="00BD2CBD" w:rsidRDefault="00F17314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17314" w:rsidRPr="00BD2CBD" w:rsidRDefault="00F17314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17314" w:rsidRPr="00BD2CBD" w:rsidRDefault="00F17314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F17314" w:rsidRPr="00BD2CBD" w:rsidRDefault="00F17314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8D3C99" w:rsidRPr="00BD2CBD" w:rsidRDefault="008D3C99" w:rsidP="0058267B">
            <w:pPr>
              <w:spacing w:beforeLines="50" w:before="120" w:afterLines="50" w:after="120" w:line="264" w:lineRule="auto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V jednotlivých případech bude posuzováno, zda dokumenty územního rozvoje zakládají veřejnou podporu. V případě kumulativního naplnění definičních znaků budou projekty podpořeny v souladu nařízením Komise č. 1407/2013 ze dne 18. prosince 2013 o použití článku 107 a 108 SFEU na podporu de minimis. Celková výše podpory de minimis poskytnutá jednomu územně samosprávnému celku nepřesáhne v tříletém období částku 200 000 EUR bez ohledu na formu podpory nebo jejím sledovaném cíli a nezávisle na tom, zda je poskytnutá podpora financována ze zdrojů EU zcela nebo částečně.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4.1: Posílení komunitně vedeného místního rozvoje za účelem zvýšení kvality života ve venkovských oblastech a aktivizace místního potenciálu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8D3C99" w:rsidRPr="00BD2CBD" w:rsidRDefault="008D3C99" w:rsidP="006F516D">
            <w:pPr>
              <w:spacing w:beforeLines="50" w:before="120" w:afterLines="50" w:after="120" w:line="264" w:lineRule="auto"/>
              <w:rPr>
                <w:rFonts w:ascii="Arial" w:hAnsi="Arial" w:cs="Arial"/>
                <w:b/>
                <w:sz w:val="24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V nařízení 1303/2013 o společných ustanoveních čl. 120 odst. 5 je uvedeno, že </w:t>
            </w:r>
            <w:r w:rsidR="001018D6">
              <w:rPr>
                <w:rFonts w:ascii="Arial" w:hAnsi="Arial" w:cs="Arial"/>
                <w:u w:color="FFFFFF"/>
              </w:rPr>
              <w:t xml:space="preserve"> </w:t>
            </w:r>
            <w:r w:rsidRPr="00BD2CBD">
              <w:rPr>
                <w:rFonts w:ascii="Arial" w:hAnsi="Arial" w:cs="Arial"/>
                <w:u w:color="FFFFFF"/>
              </w:rPr>
              <w:t>imální míra spolufinancování podle odstavce 3 na úrovních prioritní osy se zvýší o deset procentních bodů, pokud se celá prioritní osa provádí prostřednictvím finančních nástrojů nebo prostřednictvím komunitně vedeného místního rozvoje. Podle pravidel spolufinancování Evropských strukturálních a investičních fondů v programovém období 2014 -2020 je míra spolufinancování aktivit v případě CLLD 95 % ze strukturálních fondů, 5 % ze strany příjemců (vlastní zdroje).</w:t>
            </w:r>
          </w:p>
        </w:tc>
      </w:tr>
      <w:tr w:rsidR="008D3C99" w:rsidRPr="00BD2CBD" w:rsidTr="00AB5A8B">
        <w:trPr>
          <w:trHeight w:val="1306"/>
        </w:trPr>
        <w:tc>
          <w:tcPr>
            <w:tcW w:w="296" w:type="pct"/>
            <w:vMerge w:val="restar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1.2</w:t>
            </w:r>
          </w:p>
        </w:tc>
        <w:tc>
          <w:tcPr>
            <w:tcW w:w="860" w:type="pct"/>
            <w:vMerge w:val="restar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Terminály</w:t>
            </w:r>
          </w:p>
        </w:tc>
        <w:tc>
          <w:tcPr>
            <w:tcW w:w="886" w:type="pct"/>
            <w:vMerge w:val="restart"/>
            <w:vAlign w:val="center"/>
          </w:tcPr>
          <w:p w:rsidR="008D3C99" w:rsidRPr="00BD2CBD" w:rsidRDefault="00781589" w:rsidP="006F516D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iCs/>
              </w:rPr>
              <w:t>Notifikace aktivity podle nařízení č. 794/2004 ze dne 21. dubna 2004, kterým se provádí nařízení Rady (ES) č. 659/1999, kterým se stanoví prováděcí pravidla k článku 93 Smlouvy o ES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 w:rsidR="002E3924">
              <w:rPr>
                <w:rFonts w:ascii="Arial" w:hAnsi="Arial" w:cs="Arial"/>
                <w:u w:color="FFFFFF"/>
              </w:rPr>
              <w:t xml:space="preserve"> a jimi zřizované organizace max</w:t>
            </w:r>
            <w:r w:rsidRPr="00BD2CBD">
              <w:rPr>
                <w:rFonts w:ascii="Arial" w:hAnsi="Arial" w:cs="Arial"/>
                <w:u w:color="FFFFFF"/>
              </w:rPr>
              <w:t>. 21,25 %</w:t>
            </w:r>
          </w:p>
          <w:p w:rsidR="008D3C99" w:rsidRPr="00BD2CBD" w:rsidRDefault="002E392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</w:t>
            </w:r>
            <w:r w:rsidR="008D3C99" w:rsidRPr="00BD2CBD">
              <w:rPr>
                <w:rFonts w:ascii="Arial" w:hAnsi="Arial" w:cs="Arial"/>
                <w:u w:color="FFFFFF"/>
              </w:rPr>
              <w:t>. 21,25 %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 w:rsidR="002E3924">
              <w:rPr>
                <w:rFonts w:ascii="Arial" w:hAnsi="Arial" w:cs="Arial"/>
                <w:u w:color="FFFFFF"/>
              </w:rPr>
              <w:t xml:space="preserve"> a jimi zřizované organizace max.</w:t>
            </w:r>
            <w:r w:rsidRPr="00BD2CBD">
              <w:rPr>
                <w:rFonts w:ascii="Arial" w:hAnsi="Arial" w:cs="Arial"/>
                <w:u w:color="FFFFFF"/>
              </w:rPr>
              <w:t xml:space="preserve"> 1,25 %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2E3924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77,5 %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2E3924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78,75 %</w:t>
            </w:r>
          </w:p>
        </w:tc>
      </w:tr>
      <w:tr w:rsidR="008D3C99" w:rsidRPr="00BD2CBD" w:rsidTr="00AB5A8B">
        <w:trPr>
          <w:trHeight w:val="251"/>
        </w:trPr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odhad, konečná výše podpory vzejde z jednání s DG Competition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Telematika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2E392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2E3924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2E3924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2E3924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2E3924" w:rsidRPr="00BD2CBD" w:rsidTr="00AB5A8B">
        <w:tc>
          <w:tcPr>
            <w:tcW w:w="296" w:type="pct"/>
            <w:vMerge/>
            <w:vAlign w:val="center"/>
          </w:tcPr>
          <w:p w:rsidR="002E3924" w:rsidRPr="00BD2CBD" w:rsidRDefault="002E3924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2E3924" w:rsidRPr="00BD2CBD" w:rsidRDefault="002E3924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Bezpečnost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2E3924" w:rsidRPr="00BD2CBD" w:rsidRDefault="002E3924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2E3924" w:rsidRPr="00BD2CBD" w:rsidRDefault="002E3924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2E3924" w:rsidRPr="00BD2CBD" w:rsidRDefault="002E3924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2E3924" w:rsidRPr="00BD2CBD" w:rsidRDefault="002E3924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  <w:p w:rsidR="002E3924" w:rsidRPr="00BD2CBD" w:rsidRDefault="002E3924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2E3924" w:rsidRPr="00BD2CBD" w:rsidRDefault="002E3924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2E3924" w:rsidRPr="00BD2CBD" w:rsidRDefault="002E3924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Nízkoemisní vozidla a související plnící stanice</w:t>
            </w:r>
            <w:r w:rsidR="00915C5E">
              <w:rPr>
                <w:b w:val="0"/>
              </w:rPr>
              <w:t xml:space="preserve"> </w:t>
            </w:r>
            <w:r w:rsidR="00915C5E" w:rsidRPr="00915C5E">
              <w:rPr>
                <w:b w:val="0"/>
              </w:rPr>
              <w:t>(v jednání odstranění aktivity</w:t>
            </w:r>
            <w:r w:rsidR="00896F1A">
              <w:rPr>
                <w:b w:val="0"/>
              </w:rPr>
              <w:t xml:space="preserve"> „související plnicí stanice“</w:t>
            </w:r>
            <w:r w:rsidR="00915C5E" w:rsidRPr="00915C5E">
              <w:rPr>
                <w:b w:val="0"/>
              </w:rPr>
              <w:t>)</w:t>
            </w:r>
          </w:p>
        </w:tc>
        <w:tc>
          <w:tcPr>
            <w:tcW w:w="886" w:type="pct"/>
            <w:vMerge w:val="restar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</w:pPr>
            <w:r w:rsidRPr="00BD2CBD">
              <w:rPr>
                <w:rFonts w:ascii="Arial" w:hAnsi="Arial" w:cs="Arial"/>
                <w:iCs/>
              </w:rPr>
              <w:t>nařízení č. 1370/2007 ze dne 23. října 2007 o veřejných službách v přepravě cestujících po železnici a silnici a o zrušení nařízení Rady č. 1191/69 a č. 1107/70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8D3C99" w:rsidRPr="00BD2CBD" w:rsidRDefault="008D3C99" w:rsidP="003C51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5 %</w:t>
            </w:r>
          </w:p>
          <w:p w:rsidR="008D3C99" w:rsidRPr="00BD2CBD" w:rsidRDefault="008D3C99" w:rsidP="003C51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  <w:iCs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odhad, konečná výše podpory vzejde z jednání s DG Competition</w:t>
            </w:r>
          </w:p>
        </w:tc>
      </w:tr>
      <w:tr w:rsidR="00375E19" w:rsidRPr="00BD2CBD" w:rsidTr="00AB5A8B">
        <w:tc>
          <w:tcPr>
            <w:tcW w:w="296" w:type="pct"/>
            <w:vMerge/>
            <w:vAlign w:val="center"/>
          </w:tcPr>
          <w:p w:rsidR="00375E19" w:rsidRPr="00BD2CBD" w:rsidRDefault="00375E1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375E19" w:rsidRPr="00BD2CBD" w:rsidRDefault="00375E19" w:rsidP="006F516D">
            <w:pPr>
              <w:pStyle w:val="Popistypapkladopaten"/>
              <w:spacing w:beforeLines="20" w:before="48" w:afterLines="20" w:after="48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Cyklodoprava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375E19" w:rsidRPr="00BD2CBD" w:rsidRDefault="00375E1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AB5A8B">
        <w:tc>
          <w:tcPr>
            <w:tcW w:w="296" w:type="pct"/>
            <w:vMerge w:val="restar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1.3</w:t>
            </w:r>
          </w:p>
        </w:tc>
        <w:tc>
          <w:tcPr>
            <w:tcW w:w="860" w:type="pct"/>
            <w:vAlign w:val="center"/>
          </w:tcPr>
          <w:p w:rsidR="008D3C99" w:rsidRPr="00BD2CBD" w:rsidRDefault="008D3C99" w:rsidP="005173CC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Zajištění adekvátní odolnosti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8D3C99" w:rsidRPr="00BD2CBD" w:rsidRDefault="008D3C99" w:rsidP="005173CC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5173C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375E19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E4588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437D16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375E19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</w:tr>
      <w:tr w:rsidR="00375E19" w:rsidRPr="00BD2CBD" w:rsidTr="00AB5A8B">
        <w:tc>
          <w:tcPr>
            <w:tcW w:w="296" w:type="pct"/>
            <w:vMerge/>
            <w:vAlign w:val="center"/>
          </w:tcPr>
          <w:p w:rsidR="00375E19" w:rsidRPr="00BD2CBD" w:rsidRDefault="00375E1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375E19" w:rsidRPr="00BD2CBD" w:rsidRDefault="00375E19" w:rsidP="005173CC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Posílení vybavení základních složek IZS technikou a věcnými prostředky k zajištění připravenosti základních složek IZS v exponovaných územích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375E19" w:rsidRPr="00BD2CBD" w:rsidRDefault="00375E19" w:rsidP="005173CC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</w:tc>
        <w:tc>
          <w:tcPr>
            <w:tcW w:w="973" w:type="pct"/>
            <w:vAlign w:val="center"/>
          </w:tcPr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</w:tc>
        <w:tc>
          <w:tcPr>
            <w:tcW w:w="919" w:type="pct"/>
            <w:vAlign w:val="center"/>
          </w:tcPr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</w:tr>
      <w:tr w:rsidR="008D3C99" w:rsidRPr="00BD2CBD" w:rsidTr="00AB5A8B">
        <w:tc>
          <w:tcPr>
            <w:tcW w:w="296" w:type="pct"/>
            <w:vMerge w:val="restar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2.1</w:t>
            </w:r>
          </w:p>
        </w:tc>
        <w:tc>
          <w:tcPr>
            <w:tcW w:w="860" w:type="pc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sociálních služeb za účelem sociálního začleňování a zvýšení uplatnitelnosti na trhu práce</w:t>
            </w:r>
          </w:p>
        </w:tc>
        <w:tc>
          <w:tcPr>
            <w:tcW w:w="886" w:type="pc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podporovány projekty v souladu s Rozhodnutím Komise ze dne 20. prosince 2011 o použití čl. 106 odst. 2 SFEU na státní podporu ve formě vyrovnávací platby za závazek veřejné </w:t>
            </w:r>
            <w:r w:rsidRPr="00BD2CBD">
              <w:rPr>
                <w:rFonts w:ascii="Arial" w:hAnsi="Arial" w:cs="Arial"/>
              </w:rPr>
              <w:lastRenderedPageBreak/>
              <w:t>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a jimi zřizované organizace </w:t>
            </w:r>
            <w:r w:rsidR="00375E19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375E19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8D3C99" w:rsidRPr="00BD2CBD" w:rsidRDefault="008D3C99" w:rsidP="00CC545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75E19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Ostatní 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a jimi zřizované organizace </w:t>
            </w:r>
            <w:r w:rsidR="00375E19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činnost </w:t>
            </w:r>
            <w:r w:rsidR="00375E19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8D3C99" w:rsidRPr="00BD2CBD" w:rsidRDefault="008D3C99" w:rsidP="00CC545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75E19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375E19" w:rsidRPr="00BD2CBD" w:rsidTr="00AB5A8B">
        <w:tc>
          <w:tcPr>
            <w:tcW w:w="296" w:type="pct"/>
            <w:vMerge/>
            <w:vAlign w:val="center"/>
          </w:tcPr>
          <w:p w:rsidR="00375E19" w:rsidRPr="00BD2CBD" w:rsidRDefault="00375E1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375E19" w:rsidRPr="00BD2CBD" w:rsidRDefault="00375E1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Infrastruktura pro sociální služby</w:t>
            </w:r>
          </w:p>
        </w:tc>
        <w:tc>
          <w:tcPr>
            <w:tcW w:w="886" w:type="pct"/>
            <w:vAlign w:val="center"/>
          </w:tcPr>
          <w:p w:rsidR="00375E19" w:rsidRPr="00BD2CBD" w:rsidRDefault="00375E1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375E19" w:rsidRPr="00BD2CBD" w:rsidRDefault="00375E19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225AD" w:rsidRPr="00BD2CBD" w:rsidTr="00AB5A8B">
        <w:tc>
          <w:tcPr>
            <w:tcW w:w="296" w:type="pct"/>
            <w:vMerge/>
            <w:vAlign w:val="center"/>
          </w:tcPr>
          <w:p w:rsidR="009225AD" w:rsidRPr="00BD2CBD" w:rsidRDefault="009225AD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9225AD" w:rsidRPr="00BD2CBD" w:rsidRDefault="009225AD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rozvoje infrastruktury komunitních center za účelem sociálního začleňování a zvýšení uplatnitelnosti na trhu práce</w:t>
            </w:r>
          </w:p>
        </w:tc>
        <w:tc>
          <w:tcPr>
            <w:tcW w:w="886" w:type="pct"/>
            <w:vAlign w:val="center"/>
          </w:tcPr>
          <w:p w:rsidR="009225AD" w:rsidRPr="00BD2CBD" w:rsidRDefault="009225AD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Sociální bydlení</w:t>
            </w:r>
          </w:p>
        </w:tc>
        <w:tc>
          <w:tcPr>
            <w:tcW w:w="886" w:type="pc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9225AD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8D3C99" w:rsidRPr="00BD2CBD" w:rsidRDefault="008D3C99" w:rsidP="00E7134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9225AD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9225AD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8D3C99" w:rsidRPr="00BD2CBD" w:rsidRDefault="008D3C99" w:rsidP="00E7134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9225AD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 souladu s Nařízení Komise č. 360/2012 ze dne 25. Dubna 2012 o použití článků 107 a 108 SFEU na podporu de minimis udílenou podnikům poskytujícím služby obecného hospodářského zájmu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9225AD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8D3C99" w:rsidRPr="00BD2CBD" w:rsidRDefault="008D3C99" w:rsidP="00E7134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9225AD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  <w:p w:rsidR="008D3C99" w:rsidRPr="00BD2CBD" w:rsidRDefault="008D3C99" w:rsidP="00E7134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9225AD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8D3C99" w:rsidRPr="00BD2CBD" w:rsidRDefault="008D3C99" w:rsidP="00E7134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9225AD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>nesmí</w:t>
            </w:r>
            <w:r w:rsidRPr="00BD2CBD">
              <w:rPr>
                <w:rFonts w:ascii="Arial" w:hAnsi="Arial" w:cs="Arial"/>
              </w:rPr>
              <w:t xml:space="preserve"> 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500 000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8D3C99" w:rsidRPr="00BD2CBD" w:rsidRDefault="008D3C99" w:rsidP="006F516D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2015 se započítávají všechny podpory de minimis udělené po 1. lednu 2013.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6"/>
            <w:shd w:val="clear" w:color="auto" w:fill="FDE9D9" w:themeFill="accent6" w:themeFillTint="33"/>
            <w:vAlign w:val="center"/>
          </w:tcPr>
          <w:p w:rsidR="008D3C99" w:rsidRPr="00BD2CBD" w:rsidRDefault="008D3C99" w:rsidP="006F51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Vyrovnávací platba, definovaná v článku 5 Rozhodnutí 2012/21/EU, nepřesáhne rozsah nezbytný k pokrytí čistých nákladů vynaložených při plnění závazků veřejné služby, včetně přiměřeného zisku. </w:t>
            </w:r>
          </w:p>
          <w:p w:rsidR="008D3C99" w:rsidRPr="00BD2CBD" w:rsidRDefault="008D3C99" w:rsidP="006F51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Výše vyrovnávací platby ≤ čisté náklady služby obecného hospodářského zájmu</w:t>
            </w:r>
          </w:p>
          <w:p w:rsidR="008D3C99" w:rsidRPr="00BD2CBD" w:rsidRDefault="008D3C99" w:rsidP="00372622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Čisté náklady služby obecného hospodářského zájmu = náklad</w:t>
            </w:r>
            <w:r w:rsidRPr="00BD2CBD">
              <w:rPr>
                <w:rStyle w:val="Znakapoznpodarou"/>
                <w:rFonts w:ascii="Arial" w:hAnsi="Arial" w:cs="Arial"/>
              </w:rPr>
              <w:footnoteReference w:id="9"/>
            </w:r>
            <w:r w:rsidRPr="00BD2CBD">
              <w:rPr>
                <w:rFonts w:ascii="Arial" w:hAnsi="Arial" w:cs="Arial"/>
              </w:rPr>
              <w:t xml:space="preserve"> na úhradu plnění závazku veřejné služby – související příjmy + přiměřený zisk (není podmínkou). </w:t>
            </w:r>
          </w:p>
          <w:p w:rsidR="008D3C99" w:rsidRPr="00BD2CBD" w:rsidRDefault="008D3C99" w:rsidP="00372622">
            <w:pPr>
              <w:rPr>
                <w:rFonts w:ascii="Arial" w:hAnsi="Arial" w:cs="Arial"/>
              </w:rPr>
            </w:pPr>
          </w:p>
          <w:p w:rsidR="008D3C99" w:rsidRPr="00BD2CBD" w:rsidRDefault="008D3C99" w:rsidP="00372622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</w:rPr>
              <w:t>Dále řešeno v Pravidlech pro žadatele a příjemce</w:t>
            </w:r>
          </w:p>
        </w:tc>
      </w:tr>
      <w:tr w:rsidR="008D3C99" w:rsidRPr="00BD2CBD" w:rsidTr="00AB5A8B">
        <w:tc>
          <w:tcPr>
            <w:tcW w:w="296" w:type="pct"/>
            <w:vMerge w:val="restar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2.2</w:t>
            </w:r>
          </w:p>
        </w:tc>
        <w:tc>
          <w:tcPr>
            <w:tcW w:w="860" w:type="pct"/>
            <w:vMerge w:val="restar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Výstavba, rekonstrukce a vybavení sociálních podniků</w:t>
            </w:r>
          </w:p>
        </w:tc>
        <w:tc>
          <w:tcPr>
            <w:tcW w:w="886" w:type="pct"/>
            <w:vMerge w:val="restart"/>
            <w:vAlign w:val="center"/>
          </w:tcPr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 1407/2013 ze dne 18. prosince </w:t>
            </w:r>
            <w:r w:rsidRPr="00BD2CBD">
              <w:rPr>
                <w:rFonts w:ascii="Arial" w:hAnsi="Arial" w:cs="Arial"/>
              </w:rPr>
              <w:lastRenderedPageBreak/>
              <w:t>2013 o použití článku 107 a 108 SFEU na podporu de minimis.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Soukromoprávní subjekty vykonávající veřejně prospěšnou činnost </w:t>
            </w:r>
            <w:r w:rsidR="009225AD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8D3C99" w:rsidRPr="00BD2CBD" w:rsidRDefault="008D3C99" w:rsidP="000251D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Ostatní </w:t>
            </w:r>
            <w:r w:rsidR="009225AD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Soukromoprávní subjekty vykonávající veřejně prospěšnou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>činnost 0 %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Soukromoprávní subjekty vykonávající veřejně prospěšnou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činnost </w:t>
            </w:r>
            <w:r w:rsidR="009225AD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8D3C99" w:rsidRPr="00BD2CBD" w:rsidRDefault="008D3C99" w:rsidP="000251D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9225AD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2015 se započítávají všechny podpory de minimis udělené po 1. lednu 2013.</w:t>
            </w:r>
          </w:p>
        </w:tc>
      </w:tr>
      <w:tr w:rsidR="009225AD" w:rsidRPr="00BD2CBD" w:rsidTr="004678CC">
        <w:trPr>
          <w:trHeight w:val="2373"/>
        </w:trPr>
        <w:tc>
          <w:tcPr>
            <w:tcW w:w="296" w:type="pct"/>
            <w:vMerge w:val="restart"/>
            <w:vAlign w:val="center"/>
          </w:tcPr>
          <w:p w:rsidR="009225AD" w:rsidRPr="00BD2CBD" w:rsidRDefault="009225AD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2.3</w:t>
            </w:r>
          </w:p>
        </w:tc>
        <w:tc>
          <w:tcPr>
            <w:tcW w:w="860" w:type="pct"/>
            <w:vAlign w:val="center"/>
          </w:tcPr>
          <w:p w:rsidR="009225AD" w:rsidRPr="00BD2CBD" w:rsidRDefault="009225AD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psychiatrické péče</w:t>
            </w:r>
          </w:p>
        </w:tc>
        <w:tc>
          <w:tcPr>
            <w:tcW w:w="886" w:type="pct"/>
            <w:vAlign w:val="center"/>
          </w:tcPr>
          <w:p w:rsidR="009225AD" w:rsidRPr="00BD2CBD" w:rsidRDefault="009225AD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podporovány projekty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0 %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6"/>
            <w:shd w:val="clear" w:color="auto" w:fill="FDE9D9" w:themeFill="accent6" w:themeFillTint="33"/>
            <w:vAlign w:val="center"/>
          </w:tcPr>
          <w:p w:rsidR="008D3C99" w:rsidRPr="00BD2CBD" w:rsidRDefault="008D3C99" w:rsidP="006F51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Vyrovnávací platba, definovaná v článku 5 Rozhodnutí 2012/21/EU, nepřesáhne rozsah nezbytný k pokrytí čistých nákladů vynaložených při plnění závazků veřejné služby, včetně přiměřeného zisku. </w:t>
            </w:r>
          </w:p>
          <w:p w:rsidR="008D3C99" w:rsidRPr="00BD2CBD" w:rsidRDefault="008D3C99" w:rsidP="006F51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D3C99" w:rsidRPr="00BD2CBD" w:rsidRDefault="008D3C9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Výše vyrovnávací platby ≤ čisté náklady služby obecného hospodářského zájmu</w:t>
            </w:r>
          </w:p>
          <w:p w:rsidR="008D3C99" w:rsidRPr="00BD2CBD" w:rsidRDefault="008D3C99" w:rsidP="00372622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Čisté náklady služby obecného hospodářského zájmu = náklad</w:t>
            </w:r>
            <w:r w:rsidRPr="00BD2CBD">
              <w:rPr>
                <w:rStyle w:val="Znakapoznpodarou"/>
                <w:rFonts w:ascii="Arial" w:hAnsi="Arial" w:cs="Arial"/>
              </w:rPr>
              <w:footnoteReference w:id="10"/>
            </w:r>
            <w:r w:rsidRPr="00BD2CBD">
              <w:rPr>
                <w:rFonts w:ascii="Arial" w:hAnsi="Arial" w:cs="Arial"/>
              </w:rPr>
              <w:t xml:space="preserve"> na úhradu plnění závazku veřejné služby – související příjmy + přiměřený zisk (není podmínkou). </w:t>
            </w:r>
          </w:p>
          <w:p w:rsidR="008D3C99" w:rsidRPr="00BD2CBD" w:rsidRDefault="008D3C99" w:rsidP="00372622">
            <w:pPr>
              <w:rPr>
                <w:rFonts w:ascii="Arial" w:hAnsi="Arial" w:cs="Arial"/>
              </w:rPr>
            </w:pPr>
          </w:p>
          <w:p w:rsidR="008D3C99" w:rsidRPr="00BD2CBD" w:rsidRDefault="008D3C99" w:rsidP="00372622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Dále řešeno v Pravidlech pro žadatele a příjemce</w:t>
            </w:r>
          </w:p>
        </w:tc>
      </w:tr>
      <w:tr w:rsidR="008D3C99" w:rsidRPr="00BD2CBD" w:rsidTr="001761C7">
        <w:tc>
          <w:tcPr>
            <w:tcW w:w="296" w:type="pct"/>
            <w:vMerge w:val="restar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2.4</w:t>
            </w:r>
          </w:p>
        </w:tc>
        <w:tc>
          <w:tcPr>
            <w:tcW w:w="860" w:type="pc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předškolní vzdělávání - podpora zařízení péče o děti do 3 let, dětských skupin a mateřských škol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8D3C99" w:rsidRPr="00BD2CBD" w:rsidRDefault="008D3C99" w:rsidP="001761C7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Mateřské školy</w:t>
            </w:r>
            <w:r w:rsidR="00017139">
              <w:rPr>
                <w:rFonts w:ascii="Arial" w:hAnsi="Arial" w:cs="Arial"/>
              </w:rPr>
              <w:t>, zařízení péče o děti do 3 let a dětské skupiny</w:t>
            </w:r>
            <w:r w:rsidRPr="00BD2CBD">
              <w:rPr>
                <w:rFonts w:ascii="Arial" w:hAnsi="Arial" w:cs="Arial"/>
              </w:rPr>
              <w:t xml:space="preserve"> - podpořeny pouze projekty nezakládající veřejnou podporu ve smyslu čl. 107 odst. 1 SFEU.</w:t>
            </w:r>
          </w:p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1761C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9225AD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8D3C99" w:rsidRPr="001761C7" w:rsidRDefault="008D3C99" w:rsidP="001761C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9225AD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8D3C99" w:rsidRPr="00BD2CBD" w:rsidRDefault="008D3C99" w:rsidP="001761C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 w:rsidR="009225AD">
              <w:rPr>
                <w:rFonts w:ascii="Arial" w:hAnsi="Arial" w:cs="Arial"/>
                <w:u w:color="FFFFFF"/>
              </w:rPr>
              <w:t xml:space="preserve">max. </w:t>
            </w:r>
            <w:r>
              <w:rPr>
                <w:rFonts w:ascii="Arial" w:hAnsi="Arial" w:cs="Arial"/>
                <w:u w:color="FFFFFF"/>
              </w:rPr>
              <w:t>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0 %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8D3C99" w:rsidRPr="00BD2CBD" w:rsidRDefault="008D3C99" w:rsidP="00B3405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9225AD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9225AD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8D3C99" w:rsidRPr="00BD2CBD" w:rsidRDefault="008D3C99" w:rsidP="00F832A1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 w:rsidR="009225AD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225AD" w:rsidRPr="00BD2CBD" w:rsidTr="00AB5A8B">
        <w:tc>
          <w:tcPr>
            <w:tcW w:w="296" w:type="pct"/>
            <w:vMerge/>
            <w:vAlign w:val="center"/>
          </w:tcPr>
          <w:p w:rsidR="009225AD" w:rsidRPr="00BD2CBD" w:rsidRDefault="009225AD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9225AD" w:rsidRPr="00BD2CBD" w:rsidRDefault="009225AD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základní vzdělávání v základních školách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9225AD" w:rsidRPr="00BD2CBD" w:rsidRDefault="009225AD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225AD" w:rsidRPr="001761C7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19" w:type="pct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225AD" w:rsidRPr="00BD2CBD" w:rsidTr="00AB5A8B">
        <w:tc>
          <w:tcPr>
            <w:tcW w:w="296" w:type="pct"/>
            <w:vMerge/>
            <w:vAlign w:val="center"/>
          </w:tcPr>
          <w:p w:rsidR="009225AD" w:rsidRPr="00BD2CBD" w:rsidRDefault="009225AD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9225AD" w:rsidRPr="00BD2CBD" w:rsidRDefault="009225AD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škol a školských zařízení pro střední a vyšší odborné vzdělávání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9225AD" w:rsidRPr="00BD2CBD" w:rsidRDefault="009225AD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225AD" w:rsidRPr="001761C7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19" w:type="pct"/>
            <w:vAlign w:val="center"/>
          </w:tcPr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9225AD" w:rsidRPr="00BD2CBD" w:rsidRDefault="009225AD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A23F9" w:rsidRPr="00BD2CBD" w:rsidTr="00F61AE3">
        <w:tc>
          <w:tcPr>
            <w:tcW w:w="296" w:type="pct"/>
            <w:vMerge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9A23F9" w:rsidRPr="00BD2CBD" w:rsidRDefault="009A23F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</w:t>
            </w:r>
            <w:r w:rsidRPr="00BD2CBD">
              <w:rPr>
                <w:b w:val="0"/>
              </w:rPr>
              <w:lastRenderedPageBreak/>
              <w:t>celoživotní vzdělávání v následujících klíčových kompetencích:</w:t>
            </w:r>
          </w:p>
          <w:p w:rsidR="009A23F9" w:rsidRPr="00BD2CBD" w:rsidRDefault="009A23F9" w:rsidP="00523C61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V oblastech komunikace v cizích jazycích, </w:t>
            </w:r>
          </w:p>
          <w:p w:rsidR="009A23F9" w:rsidRPr="00BD2CBD" w:rsidRDefault="009A23F9" w:rsidP="00523C61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oblasti technických a řemeslných oborů, přírodních věd,</w:t>
            </w:r>
          </w:p>
          <w:p w:rsidR="009A23F9" w:rsidRPr="00BD2CBD" w:rsidRDefault="009A23F9" w:rsidP="00523C61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Ve schopnosti práce s digitálními technologiemi.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 xml:space="preserve">podpořeny pouze projekty </w:t>
            </w:r>
            <w:r w:rsidRPr="00BD2CBD">
              <w:rPr>
                <w:rFonts w:ascii="Arial" w:hAnsi="Arial" w:cs="Arial"/>
              </w:rPr>
              <w:lastRenderedPageBreak/>
              <w:t>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a jimi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zřizované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A23F9" w:rsidRPr="001761C7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a jimi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>zřizované organizace 0 %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19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a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A23F9" w:rsidRPr="00BD2CBD" w:rsidTr="00F61AE3">
        <w:tc>
          <w:tcPr>
            <w:tcW w:w="296" w:type="pct"/>
            <w:vMerge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9A23F9" w:rsidRPr="00BD2CBD" w:rsidRDefault="009A23F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zájmové a neformální vzdělávání mládeže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A23F9" w:rsidRPr="001761C7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0 %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19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škol a školských zařízení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61AE3" w:rsidRPr="00BD2CBD" w:rsidTr="00F61AE3">
        <w:tc>
          <w:tcPr>
            <w:tcW w:w="296" w:type="pct"/>
            <w:vMerge w:val="restart"/>
            <w:vAlign w:val="center"/>
          </w:tcPr>
          <w:p w:rsidR="00F61AE3" w:rsidRPr="00BD2CBD" w:rsidRDefault="00F61AE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3.1</w:t>
            </w:r>
          </w:p>
        </w:tc>
        <w:tc>
          <w:tcPr>
            <w:tcW w:w="860" w:type="pct"/>
            <w:vAlign w:val="center"/>
          </w:tcPr>
          <w:p w:rsidR="00F61AE3" w:rsidRPr="00BD2CBD" w:rsidRDefault="00F61AE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Revitalizace souboru vybraných památek</w:t>
            </w:r>
          </w:p>
        </w:tc>
        <w:tc>
          <w:tcPr>
            <w:tcW w:w="886" w:type="pct"/>
            <w:vAlign w:val="center"/>
          </w:tcPr>
          <w:p w:rsidR="00F61AE3" w:rsidRPr="00BD2CBD" w:rsidRDefault="00F61AE3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6" w:type="pct"/>
            <w:gridSpan w:val="2"/>
            <w:vAlign w:val="center"/>
          </w:tcPr>
          <w:p w:rsidR="00F61AE3" w:rsidRPr="00BD2CBD" w:rsidRDefault="00F61AE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>
              <w:rPr>
                <w:rFonts w:ascii="Arial" w:hAnsi="Arial" w:cs="Arial"/>
                <w:u w:color="FFFFFF"/>
              </w:rPr>
              <w:t xml:space="preserve">ky a jimi zřizované organizace </w:t>
            </w:r>
            <w:r w:rsidR="009A23F9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61AE3" w:rsidRPr="00BD2CBD" w:rsidRDefault="00F61AE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9A23F9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F61AE3" w:rsidRPr="00BD2CBD" w:rsidRDefault="00F61AE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0 %</w:t>
            </w:r>
          </w:p>
          <w:p w:rsidR="00F61AE3" w:rsidRPr="00BD2CBD" w:rsidRDefault="00F61AE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61AE3" w:rsidRPr="00BD2CBD" w:rsidRDefault="00F61AE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 w:rsidR="009A23F9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61AE3" w:rsidRPr="00BD2CBD" w:rsidRDefault="00F61AE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9A23F9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A23F9" w:rsidRPr="00BD2CBD" w:rsidTr="00F61AE3">
        <w:tc>
          <w:tcPr>
            <w:tcW w:w="296" w:type="pct"/>
            <w:vMerge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9A23F9" w:rsidRPr="00BD2CBD" w:rsidRDefault="009A23F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Zefektivnění ochrany a využívání sbírkových a knihovních fondů a jejich zpřístupnění</w:t>
            </w:r>
          </w:p>
        </w:tc>
        <w:tc>
          <w:tcPr>
            <w:tcW w:w="886" w:type="pct"/>
            <w:vAlign w:val="center"/>
          </w:tcPr>
          <w:p w:rsidR="009A23F9" w:rsidRPr="00BD2CBD" w:rsidRDefault="009A23F9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6" w:type="pct"/>
            <w:gridSpan w:val="2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>
              <w:rPr>
                <w:rFonts w:ascii="Arial" w:hAnsi="Arial" w:cs="Arial"/>
                <w:u w:color="FFFFFF"/>
              </w:rPr>
              <w:t xml:space="preserve">ky a jimi zřizované organizace max. </w:t>
            </w:r>
            <w:r w:rsidRPr="00BD2CBD">
              <w:rPr>
                <w:rFonts w:ascii="Arial" w:hAnsi="Arial" w:cs="Arial"/>
                <w:u w:color="FFFFFF"/>
              </w:rPr>
              <w:t>95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a jimi zřizované organizace 0 %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zřizované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FE5BAE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6"/>
            <w:shd w:val="clear" w:color="auto" w:fill="FDE9D9" w:themeFill="accent6" w:themeFillTint="33"/>
            <w:vAlign w:val="center"/>
          </w:tcPr>
          <w:p w:rsidR="00825F42" w:rsidRPr="00BD2CBD" w:rsidRDefault="00852074" w:rsidP="00664C29">
            <w:pPr>
              <w:pStyle w:val="Odstavecseseznamem"/>
              <w:spacing w:before="120" w:after="120" w:line="240" w:lineRule="auto"/>
              <w:ind w:left="0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Výše podpory nepřesáhne výši rozdílu mezi způsobilými náklady a provozním ziskem z investice. Od způsobilých nákladů se odečte provozní zisk, a to buď ex ante na základě odůvodněných odhadů nebo uplatněním mechanismu zpětného vymáhání.</w:t>
            </w:r>
          </w:p>
        </w:tc>
      </w:tr>
      <w:tr w:rsidR="008D3C99" w:rsidRPr="00BD2CBD" w:rsidTr="00AB5A8B">
        <w:tc>
          <w:tcPr>
            <w:tcW w:w="296" w:type="pct"/>
            <w:vMerge w:val="restar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3.3</w:t>
            </w:r>
          </w:p>
        </w:tc>
        <w:tc>
          <w:tcPr>
            <w:tcW w:w="860" w:type="pct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Pořízení územních plánů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9A23F9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 w:rsidR="009A23F9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A23F9" w:rsidRPr="00BD2CBD" w:rsidTr="00AB5A8B">
        <w:tc>
          <w:tcPr>
            <w:tcW w:w="296" w:type="pct"/>
            <w:vMerge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9A23F9" w:rsidRPr="00BD2CBD" w:rsidRDefault="009A23F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regulačních plánů, nenahrazujících územní rozhodnutí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9A23F9" w:rsidRPr="00BD2CBD" w:rsidRDefault="009A23F9" w:rsidP="004201A0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9A23F9" w:rsidRPr="00BD2CBD" w:rsidRDefault="009A23F9" w:rsidP="004201A0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9" w:type="pct"/>
            <w:vAlign w:val="center"/>
          </w:tcPr>
          <w:p w:rsidR="009A23F9" w:rsidRPr="00BD2CBD" w:rsidRDefault="009A23F9" w:rsidP="004201A0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A23F9" w:rsidRPr="00BD2CBD" w:rsidTr="00AB5A8B">
        <w:tc>
          <w:tcPr>
            <w:tcW w:w="296" w:type="pct"/>
            <w:vMerge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9A23F9" w:rsidRPr="00BD2CBD" w:rsidRDefault="009A23F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územních studií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9A23F9" w:rsidRPr="00BD2CBD" w:rsidRDefault="009A23F9" w:rsidP="004201A0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9A23F9" w:rsidRPr="00BD2CBD" w:rsidRDefault="009A23F9" w:rsidP="004201A0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9" w:type="pct"/>
            <w:vAlign w:val="center"/>
          </w:tcPr>
          <w:p w:rsidR="009A23F9" w:rsidRPr="00BD2CBD" w:rsidRDefault="009A23F9" w:rsidP="004201A0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8D3C99" w:rsidRPr="00BD2CBD" w:rsidTr="00AB5A8B">
        <w:tc>
          <w:tcPr>
            <w:tcW w:w="296" w:type="pct"/>
            <w:vMerge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6"/>
            <w:shd w:val="clear" w:color="auto" w:fill="FDE9D9" w:themeFill="accent6" w:themeFillTint="33"/>
            <w:vAlign w:val="center"/>
          </w:tcPr>
          <w:p w:rsidR="008D3C99" w:rsidRPr="00BD2CBD" w:rsidRDefault="008D3C99" w:rsidP="00A90BD6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V jednotlivých případech bude posuzováno, zda dokumenty územního rozvoje zakládají veřejnou podporu. V případě kumulativního naplnění definičních znaků budou projekty podpořeny v souladu nařízením Komise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č. 1407/2013 ze dne 18. prosince 2013 o použití článku 107 a 108 SFEU na podporu de minimis. Celková výše podpory de minimis poskytnutá jednomu územně samosprávnému celku nepřesáhne v tříletém období částku </w:t>
            </w:r>
            <w:r w:rsidRPr="00BD2CBD">
              <w:rPr>
                <w:rFonts w:ascii="Arial" w:hAnsi="Arial" w:cs="Arial"/>
                <w:b/>
                <w:u w:color="FFFFFF"/>
              </w:rPr>
              <w:t>200 000</w:t>
            </w:r>
            <w:r w:rsidRPr="00BD2CBD">
              <w:rPr>
                <w:rFonts w:ascii="Arial" w:hAnsi="Arial" w:cs="Arial"/>
                <w:u w:color="FFFFFF"/>
              </w:rPr>
              <w:t xml:space="preserve"> EUR bez ohledu na formu podpory nebo jejím sledovaném cíli a nezávisle na tom, zda je poskytnutá podpora financována ze zdrojů EU zcela nebo částečně.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lastRenderedPageBreak/>
              <w:t>SPECIFICKÝ CÍL 4.2: Posílení kapacit komunitně vedeného místního rozvoje za účelem zlepšení řídících a administrativních schopností MAS</w:t>
            </w:r>
          </w:p>
        </w:tc>
      </w:tr>
      <w:tr w:rsidR="008D3C99" w:rsidRPr="00BD2CBD" w:rsidTr="00AB5A8B">
        <w:tc>
          <w:tcPr>
            <w:tcW w:w="1156" w:type="pct"/>
            <w:gridSpan w:val="2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Přípravné podpůrné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 w:rsidR="009A23F9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 w:rsidR="009A23F9"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9A23F9" w:rsidRPr="00BD2CBD" w:rsidTr="00AB5A8B">
        <w:tc>
          <w:tcPr>
            <w:tcW w:w="1156" w:type="pct"/>
            <w:gridSpan w:val="2"/>
            <w:vAlign w:val="center"/>
          </w:tcPr>
          <w:p w:rsidR="009A23F9" w:rsidRPr="00BD2CBD" w:rsidRDefault="009A23F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Provozní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9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9A23F9" w:rsidRPr="00BD2CBD" w:rsidTr="00AB5A8B">
        <w:tc>
          <w:tcPr>
            <w:tcW w:w="1156" w:type="pct"/>
            <w:gridSpan w:val="2"/>
            <w:vAlign w:val="center"/>
          </w:tcPr>
          <w:p w:rsidR="009A23F9" w:rsidRPr="00BD2CBD" w:rsidRDefault="009A23F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Animační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9A23F9" w:rsidRPr="00BD2CBD" w:rsidRDefault="009A23F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9" w:type="pct"/>
            <w:vAlign w:val="center"/>
          </w:tcPr>
          <w:p w:rsidR="009A23F9" w:rsidRPr="00BD2CBD" w:rsidRDefault="009A23F9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8D3C99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5.1: Zajištění kvalitního řízení a implementace programu</w:t>
            </w:r>
          </w:p>
        </w:tc>
      </w:tr>
      <w:tr w:rsidR="008D3C99" w:rsidRPr="00BD2CBD" w:rsidTr="00AB5A8B">
        <w:tc>
          <w:tcPr>
            <w:tcW w:w="1156" w:type="pct"/>
            <w:gridSpan w:val="2"/>
            <w:vAlign w:val="center"/>
          </w:tcPr>
          <w:p w:rsidR="008D3C99" w:rsidRPr="00BD2CBD" w:rsidRDefault="008D3C99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Řízení, implementace a monitorování programu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8D3C99" w:rsidRPr="00BD2CBD" w:rsidRDefault="008D3C99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8D3C99" w:rsidRPr="00BD2CBD" w:rsidRDefault="008D3C99" w:rsidP="00867E1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 w:rsidR="009A23F9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 w:rsidR="009A23F9"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9" w:type="pct"/>
            <w:vAlign w:val="center"/>
          </w:tcPr>
          <w:p w:rsidR="008D3C99" w:rsidRPr="00BD2CBD" w:rsidRDefault="008D3C9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3C5C88" w:rsidRPr="00BD2CBD" w:rsidTr="00AB5A8B">
        <w:tc>
          <w:tcPr>
            <w:tcW w:w="1156" w:type="pct"/>
            <w:gridSpan w:val="2"/>
            <w:vAlign w:val="center"/>
          </w:tcPr>
          <w:p w:rsidR="003C5C88" w:rsidRPr="00BD2CBD" w:rsidRDefault="003C5C88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administrativních kapacit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3C5C88" w:rsidRPr="00BD2CBD" w:rsidRDefault="003C5C8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3C5C88" w:rsidRPr="00BD2CBD" w:rsidRDefault="003C5C88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vAlign w:val="center"/>
          </w:tcPr>
          <w:p w:rsidR="003C5C88" w:rsidRPr="00BD2CBD" w:rsidRDefault="003C5C88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9" w:type="pct"/>
            <w:vAlign w:val="center"/>
          </w:tcPr>
          <w:p w:rsidR="003C5C88" w:rsidRPr="00BD2CBD" w:rsidRDefault="003C5C88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3C5C88" w:rsidRPr="00BD2CBD" w:rsidTr="00AB5A8B">
        <w:tc>
          <w:tcPr>
            <w:tcW w:w="1156" w:type="pct"/>
            <w:gridSpan w:val="2"/>
            <w:vAlign w:val="center"/>
          </w:tcPr>
          <w:p w:rsidR="003C5C88" w:rsidRPr="00BD2CBD" w:rsidRDefault="003C5C88" w:rsidP="002876A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žadatelům a příjemcům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3C5C88" w:rsidRPr="00BD2CBD" w:rsidRDefault="003C5C8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3C5C88" w:rsidRPr="00BD2CBD" w:rsidRDefault="003C5C88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vAlign w:val="center"/>
          </w:tcPr>
          <w:p w:rsidR="003C5C88" w:rsidRPr="00BD2CBD" w:rsidRDefault="003C5C88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9" w:type="pct"/>
            <w:vAlign w:val="center"/>
          </w:tcPr>
          <w:p w:rsidR="003C5C88" w:rsidRPr="00BD2CBD" w:rsidRDefault="003C5C88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3C5C88" w:rsidRPr="00A54B93" w:rsidTr="00AB5A8B">
        <w:tc>
          <w:tcPr>
            <w:tcW w:w="1156" w:type="pct"/>
            <w:gridSpan w:val="2"/>
            <w:vAlign w:val="center"/>
          </w:tcPr>
          <w:p w:rsidR="003C5C88" w:rsidRPr="00BD2CBD" w:rsidRDefault="003C5C88" w:rsidP="002876A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Publicita a propagace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3C5C88" w:rsidRPr="00BD2CBD" w:rsidRDefault="003C5C88" w:rsidP="00AA67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pouze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3C5C88" w:rsidRPr="00BD2CBD" w:rsidRDefault="003C5C88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vAlign w:val="center"/>
          </w:tcPr>
          <w:p w:rsidR="003C5C88" w:rsidRPr="00BD2CBD" w:rsidRDefault="003C5C88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9" w:type="pct"/>
            <w:vAlign w:val="center"/>
          </w:tcPr>
          <w:p w:rsidR="003C5C88" w:rsidRPr="00BD2CBD" w:rsidRDefault="003C5C88" w:rsidP="004201A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</w:tbl>
    <w:p w:rsidR="00C4387B" w:rsidRDefault="00C4387B"/>
    <w:sectPr w:rsidR="00C4387B" w:rsidSect="00CA6383">
      <w:headerReference w:type="default" r:id="rId11"/>
      <w:footerReference w:type="default" r:id="rId12"/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AD" w:rsidRDefault="007931AD" w:rsidP="00C4387B">
      <w:pPr>
        <w:spacing w:after="0" w:line="240" w:lineRule="auto"/>
      </w:pPr>
      <w:r>
        <w:separator/>
      </w:r>
    </w:p>
  </w:endnote>
  <w:endnote w:type="continuationSeparator" w:id="0">
    <w:p w:rsidR="007931AD" w:rsidRDefault="007931AD" w:rsidP="00C4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240106"/>
      <w:docPartObj>
        <w:docPartGallery w:val="Page Numbers (Bottom of Page)"/>
        <w:docPartUnique/>
      </w:docPartObj>
    </w:sdtPr>
    <w:sdtEndPr/>
    <w:sdtContent>
      <w:p w:rsidR="009225AD" w:rsidRDefault="00922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5AD" w:rsidRDefault="009225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AD" w:rsidRDefault="007931AD" w:rsidP="00C4387B">
      <w:pPr>
        <w:spacing w:after="0" w:line="240" w:lineRule="auto"/>
      </w:pPr>
      <w:r>
        <w:separator/>
      </w:r>
    </w:p>
  </w:footnote>
  <w:footnote w:type="continuationSeparator" w:id="0">
    <w:p w:rsidR="007931AD" w:rsidRDefault="007931AD" w:rsidP="00C4387B">
      <w:pPr>
        <w:spacing w:after="0" w:line="240" w:lineRule="auto"/>
      </w:pPr>
      <w:r>
        <w:continuationSeparator/>
      </w:r>
    </w:p>
  </w:footnote>
  <w:footnote w:id="1">
    <w:p w:rsidR="009225AD" w:rsidRDefault="009225AD" w:rsidP="00270CE0">
      <w:pPr>
        <w:pStyle w:val="Textpoznpodarou"/>
        <w:jc w:val="both"/>
      </w:pPr>
      <w:r w:rsidRPr="00276635">
        <w:rPr>
          <w:rStyle w:val="Znakapoznpodarou"/>
          <w:sz w:val="18"/>
        </w:rPr>
        <w:footnoteRef/>
      </w:r>
      <w:r w:rsidRPr="00276635">
        <w:rPr>
          <w:rFonts w:ascii="Arial" w:hAnsi="Arial" w:cs="Arial"/>
          <w:sz w:val="18"/>
        </w:rPr>
        <w:t>Náklady nezbytné pro realizaci služby, které jsou identifikovatelné, účetně editovatelné, ověřitelné a podložené originálními dokumenty a jejichž výše nepřesahuje obvyklou výši v daném místě a čase.</w:t>
      </w:r>
      <w:r>
        <w:rPr>
          <w:rFonts w:ascii="Arial" w:hAnsi="Arial" w:cs="Arial"/>
          <w:sz w:val="18"/>
        </w:rPr>
        <w:t xml:space="preserve"> </w:t>
      </w:r>
      <w:r w:rsidRPr="00276635">
        <w:rPr>
          <w:rFonts w:ascii="Arial" w:hAnsi="Arial" w:cs="Arial"/>
          <w:sz w:val="18"/>
        </w:rPr>
        <w:t>Pokud příjemce obdrží jakoukoliv jinou finanční podporu z veřejných zdrojů, nesmí náklady, na které byla tato podpora poskytnuta, zahrnout do výpočtu vyrovnávací platby.</w:t>
      </w:r>
    </w:p>
  </w:footnote>
  <w:footnote w:id="2">
    <w:p w:rsidR="009225AD" w:rsidRDefault="009225AD" w:rsidP="00845E85">
      <w:pPr>
        <w:pStyle w:val="Textpoznpodarou"/>
        <w:jc w:val="both"/>
      </w:pPr>
      <w:r w:rsidRPr="00276635">
        <w:rPr>
          <w:rStyle w:val="Znakapoznpodarou"/>
          <w:sz w:val="18"/>
        </w:rPr>
        <w:footnoteRef/>
      </w:r>
      <w:r w:rsidRPr="00276635">
        <w:rPr>
          <w:rFonts w:ascii="Arial" w:hAnsi="Arial" w:cs="Arial"/>
          <w:sz w:val="18"/>
        </w:rPr>
        <w:t>Náklady nezbytné pro realizaci služby, které jsou identifikovatelné, účetně editovatelné, ověřitelné a podložené originálními dokumenty a jejichž výše nepřesahuje obvyklou výši v daném místě a čase.</w:t>
      </w:r>
      <w:r>
        <w:rPr>
          <w:rFonts w:ascii="Arial" w:hAnsi="Arial" w:cs="Arial"/>
          <w:sz w:val="18"/>
        </w:rPr>
        <w:t xml:space="preserve"> </w:t>
      </w:r>
      <w:r w:rsidRPr="00276635">
        <w:rPr>
          <w:rFonts w:ascii="Arial" w:hAnsi="Arial" w:cs="Arial"/>
          <w:sz w:val="18"/>
        </w:rPr>
        <w:t>Pokud příjemce obdrží jakoukoliv jinou finanční podporu z veřejných zdrojů, nesmí náklady, na které byla tato podpora poskytnuta, zahrnout do výpočtu vyrovnávací platby.</w:t>
      </w:r>
    </w:p>
  </w:footnote>
  <w:footnote w:id="3">
    <w:p w:rsidR="009225AD" w:rsidRDefault="009225AD" w:rsidP="00C81C0A">
      <w:pPr>
        <w:pStyle w:val="Textpoznpodarou"/>
      </w:pPr>
      <w:r>
        <w:rPr>
          <w:rStyle w:val="Znakapoznpodarou"/>
        </w:rPr>
        <w:footnoteRef/>
      </w:r>
      <w:r>
        <w:t xml:space="preserve"> Investiční podpora na opatření ke zvýšení energetické účinnosti.</w:t>
      </w:r>
    </w:p>
  </w:footnote>
  <w:footnote w:id="4">
    <w:p w:rsidR="009225AD" w:rsidRDefault="009225AD" w:rsidP="00C81C0A">
      <w:pPr>
        <w:pStyle w:val="Textpoznpodarou"/>
      </w:pPr>
      <w:r>
        <w:rPr>
          <w:rStyle w:val="Znakapoznpodarou"/>
        </w:rPr>
        <w:footnoteRef/>
      </w:r>
      <w:r>
        <w:t xml:space="preserve"> Investiční podpora na projekty ke zvýšení energetické účinnosti budov.</w:t>
      </w:r>
    </w:p>
  </w:footnote>
  <w:footnote w:id="5">
    <w:p w:rsidR="009225AD" w:rsidRDefault="009225AD" w:rsidP="00C81C0A">
      <w:pPr>
        <w:pStyle w:val="Textpoznpodarou"/>
      </w:pPr>
      <w:r>
        <w:rPr>
          <w:rStyle w:val="Znakapoznpodarou"/>
        </w:rPr>
        <w:footnoteRef/>
      </w:r>
      <w:r>
        <w:t xml:space="preserve"> Investiční podpora na opatření ke zvýšení energetické účinnosti.</w:t>
      </w:r>
    </w:p>
  </w:footnote>
  <w:footnote w:id="6">
    <w:p w:rsidR="009225AD" w:rsidRDefault="009225AD" w:rsidP="00C81C0A">
      <w:pPr>
        <w:pStyle w:val="Textpoznpodarou"/>
      </w:pPr>
      <w:r>
        <w:rPr>
          <w:rStyle w:val="Znakapoznpodarou"/>
        </w:rPr>
        <w:footnoteRef/>
      </w:r>
      <w:r>
        <w:t xml:space="preserve"> Investiční podpora na projekty ke zvýšení energetické účinnosti budov.</w:t>
      </w:r>
    </w:p>
  </w:footnote>
  <w:footnote w:id="7">
    <w:p w:rsidR="009225AD" w:rsidRDefault="009225AD" w:rsidP="00C81C0A">
      <w:pPr>
        <w:pStyle w:val="Textpoznpodarou"/>
      </w:pPr>
      <w:r>
        <w:rPr>
          <w:rStyle w:val="Znakapoznpodarou"/>
        </w:rPr>
        <w:footnoteRef/>
      </w:r>
      <w:r>
        <w:t xml:space="preserve"> Investiční podpora na opatření ke zvýšení energetické účinnosti.</w:t>
      </w:r>
    </w:p>
  </w:footnote>
  <w:footnote w:id="8">
    <w:p w:rsidR="009225AD" w:rsidRDefault="009225AD" w:rsidP="00C81C0A">
      <w:pPr>
        <w:pStyle w:val="Textpoznpodarou"/>
      </w:pPr>
      <w:r>
        <w:rPr>
          <w:rStyle w:val="Znakapoznpodarou"/>
        </w:rPr>
        <w:footnoteRef/>
      </w:r>
      <w:r>
        <w:t xml:space="preserve"> Investiční podpora na projekty ke zvýšení energetické účinnosti budov.</w:t>
      </w:r>
    </w:p>
  </w:footnote>
  <w:footnote w:id="9">
    <w:p w:rsidR="009225AD" w:rsidRDefault="009225AD" w:rsidP="00845E85">
      <w:pPr>
        <w:pStyle w:val="Textpoznpodarou"/>
        <w:jc w:val="both"/>
      </w:pPr>
      <w:r w:rsidRPr="00276635">
        <w:rPr>
          <w:rStyle w:val="Znakapoznpodarou"/>
          <w:sz w:val="18"/>
        </w:rPr>
        <w:footnoteRef/>
      </w:r>
      <w:r w:rsidRPr="00276635">
        <w:rPr>
          <w:rFonts w:ascii="Arial" w:hAnsi="Arial" w:cs="Arial"/>
          <w:sz w:val="18"/>
        </w:rPr>
        <w:t>Náklady nezbytné pro realizaci služby, které jsou identifikovatelné, účetně editovatelné, ověřitelné a podložené originálními dokumenty a jejichž výše nepřesahuje obvyklou výši v daném místě a čase.</w:t>
      </w:r>
      <w:r>
        <w:rPr>
          <w:rFonts w:ascii="Arial" w:hAnsi="Arial" w:cs="Arial"/>
          <w:sz w:val="18"/>
        </w:rPr>
        <w:t xml:space="preserve"> </w:t>
      </w:r>
      <w:r w:rsidRPr="00276635">
        <w:rPr>
          <w:rFonts w:ascii="Arial" w:hAnsi="Arial" w:cs="Arial"/>
          <w:sz w:val="18"/>
        </w:rPr>
        <w:t>Pokud příjemce obdrží jakoukoliv jinou finanční podporu z veřejných zdrojů, nesmí náklady, na které byla tato podpora poskytnuta, zahrnout do výpočtu vyrovnávací platby.</w:t>
      </w:r>
    </w:p>
  </w:footnote>
  <w:footnote w:id="10">
    <w:p w:rsidR="009225AD" w:rsidRDefault="009225AD" w:rsidP="00845E85">
      <w:pPr>
        <w:pStyle w:val="Textpoznpodarou"/>
        <w:jc w:val="both"/>
      </w:pPr>
      <w:r w:rsidRPr="00276635">
        <w:rPr>
          <w:rStyle w:val="Znakapoznpodarou"/>
          <w:sz w:val="18"/>
        </w:rPr>
        <w:footnoteRef/>
      </w:r>
      <w:r w:rsidRPr="00276635">
        <w:rPr>
          <w:rFonts w:ascii="Arial" w:hAnsi="Arial" w:cs="Arial"/>
          <w:sz w:val="18"/>
        </w:rPr>
        <w:t>Náklady nezbytné pro realizaci služby, které jsou identifikovatelné, účetně editovatelné, ověřitelné a podložené originálními dokumenty a jejichž výše nepřesahuje obvyklou výši v daném místě a čase.</w:t>
      </w:r>
      <w:r>
        <w:rPr>
          <w:rFonts w:ascii="Arial" w:hAnsi="Arial" w:cs="Arial"/>
          <w:sz w:val="18"/>
        </w:rPr>
        <w:t xml:space="preserve"> </w:t>
      </w:r>
      <w:r w:rsidRPr="00276635">
        <w:rPr>
          <w:rFonts w:ascii="Arial" w:hAnsi="Arial" w:cs="Arial"/>
          <w:sz w:val="18"/>
        </w:rPr>
        <w:t>Pokud příjemce obdrží jakoukoliv jinou finanční podporu z veřejných zdrojů, nesmí náklady, na které byla tato podpora poskytnuta, zahrnout do výpočtu vyrovnávací platby.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AD" w:rsidRDefault="009225AD" w:rsidP="00B67355">
    <w:pPr>
      <w:pStyle w:val="Zhlav"/>
    </w:pPr>
    <w:r>
      <w:rPr>
        <w:noProof/>
        <w:lang w:eastAsia="cs-CZ"/>
      </w:rPr>
      <w:drawing>
        <wp:inline distT="0" distB="0" distL="0" distR="0" wp14:anchorId="631CDE79" wp14:editId="658FB6ED">
          <wp:extent cx="4248150" cy="447675"/>
          <wp:effectExtent l="0" t="0" r="0" b="9525"/>
          <wp:docPr id="1" name="Obrázek 1" descr="C:\Users\couvla.DOMNT\AppData\Local\Microsoft\Windows\Temporary Internet Files\Content.Word\logo I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uvla.DOMNT\AppData\Local\Microsoft\Windows\Temporary Internet Files\Content.Word\logo I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5AD" w:rsidRDefault="009225AD" w:rsidP="007F7EEB">
    <w:pPr>
      <w:pStyle w:val="Zhlav"/>
      <w:jc w:val="center"/>
    </w:pPr>
  </w:p>
  <w:p w:rsidR="009225AD" w:rsidRDefault="009225AD" w:rsidP="007F7EE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582"/>
    <w:multiLevelType w:val="hybridMultilevel"/>
    <w:tmpl w:val="C3AAC7CE"/>
    <w:lvl w:ilvl="0" w:tplc="3E98E0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603A0"/>
    <w:multiLevelType w:val="hybridMultilevel"/>
    <w:tmpl w:val="87D8E7CE"/>
    <w:lvl w:ilvl="0" w:tplc="FE14CE1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00AB2"/>
    <w:multiLevelType w:val="hybridMultilevel"/>
    <w:tmpl w:val="FA96E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42B24"/>
    <w:multiLevelType w:val="hybridMultilevel"/>
    <w:tmpl w:val="E72AD5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17731"/>
    <w:multiLevelType w:val="hybridMultilevel"/>
    <w:tmpl w:val="EFDC5A52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FD4440"/>
    <w:multiLevelType w:val="hybridMultilevel"/>
    <w:tmpl w:val="E5989D92"/>
    <w:lvl w:ilvl="0" w:tplc="8898CC1E">
      <w:start w:val="1"/>
      <w:numFmt w:val="bullet"/>
      <w:pStyle w:val="Popistypapkladopat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B"/>
    <w:rsid w:val="000005D9"/>
    <w:rsid w:val="000014EA"/>
    <w:rsid w:val="00010944"/>
    <w:rsid w:val="00011630"/>
    <w:rsid w:val="00017139"/>
    <w:rsid w:val="000173ED"/>
    <w:rsid w:val="00023D41"/>
    <w:rsid w:val="000251DE"/>
    <w:rsid w:val="000321D2"/>
    <w:rsid w:val="00034FCF"/>
    <w:rsid w:val="000371C3"/>
    <w:rsid w:val="00042819"/>
    <w:rsid w:val="000428FD"/>
    <w:rsid w:val="00050107"/>
    <w:rsid w:val="00063098"/>
    <w:rsid w:val="00063316"/>
    <w:rsid w:val="00064C3C"/>
    <w:rsid w:val="00066B27"/>
    <w:rsid w:val="0007096D"/>
    <w:rsid w:val="00072820"/>
    <w:rsid w:val="00074474"/>
    <w:rsid w:val="00077A7A"/>
    <w:rsid w:val="00077CA4"/>
    <w:rsid w:val="00090528"/>
    <w:rsid w:val="000A1447"/>
    <w:rsid w:val="000B086C"/>
    <w:rsid w:val="000B138A"/>
    <w:rsid w:val="000B61D1"/>
    <w:rsid w:val="000C07E9"/>
    <w:rsid w:val="000C1AB6"/>
    <w:rsid w:val="000C45B0"/>
    <w:rsid w:val="000D136A"/>
    <w:rsid w:val="000D1E39"/>
    <w:rsid w:val="000D3A77"/>
    <w:rsid w:val="000E37F7"/>
    <w:rsid w:val="000E5195"/>
    <w:rsid w:val="000E679D"/>
    <w:rsid w:val="000F1106"/>
    <w:rsid w:val="000F34E1"/>
    <w:rsid w:val="000F7535"/>
    <w:rsid w:val="001003A1"/>
    <w:rsid w:val="001018D6"/>
    <w:rsid w:val="00130E62"/>
    <w:rsid w:val="00133EC8"/>
    <w:rsid w:val="001345E4"/>
    <w:rsid w:val="00135F04"/>
    <w:rsid w:val="00143D24"/>
    <w:rsid w:val="001442F6"/>
    <w:rsid w:val="00153681"/>
    <w:rsid w:val="001633F5"/>
    <w:rsid w:val="001644CE"/>
    <w:rsid w:val="001761C7"/>
    <w:rsid w:val="00177BE8"/>
    <w:rsid w:val="00181F82"/>
    <w:rsid w:val="0018211B"/>
    <w:rsid w:val="00193563"/>
    <w:rsid w:val="0019569F"/>
    <w:rsid w:val="001973A6"/>
    <w:rsid w:val="001977BF"/>
    <w:rsid w:val="001A210D"/>
    <w:rsid w:val="001A2297"/>
    <w:rsid w:val="001A4DBE"/>
    <w:rsid w:val="001A6736"/>
    <w:rsid w:val="001B380E"/>
    <w:rsid w:val="001B60E8"/>
    <w:rsid w:val="001C62D0"/>
    <w:rsid w:val="001D296E"/>
    <w:rsid w:val="001D56FD"/>
    <w:rsid w:val="001D76C7"/>
    <w:rsid w:val="001F5AD5"/>
    <w:rsid w:val="0020754E"/>
    <w:rsid w:val="00207D02"/>
    <w:rsid w:val="00210893"/>
    <w:rsid w:val="00231520"/>
    <w:rsid w:val="00235498"/>
    <w:rsid w:val="00240D35"/>
    <w:rsid w:val="002423E3"/>
    <w:rsid w:val="0026111B"/>
    <w:rsid w:val="00262CDE"/>
    <w:rsid w:val="002662C0"/>
    <w:rsid w:val="00270CE0"/>
    <w:rsid w:val="0027519D"/>
    <w:rsid w:val="00281CFB"/>
    <w:rsid w:val="00282C1A"/>
    <w:rsid w:val="00286340"/>
    <w:rsid w:val="002863D7"/>
    <w:rsid w:val="00287682"/>
    <w:rsid w:val="002876A3"/>
    <w:rsid w:val="00297631"/>
    <w:rsid w:val="002A0E3E"/>
    <w:rsid w:val="002A2114"/>
    <w:rsid w:val="002A36A2"/>
    <w:rsid w:val="002A64BE"/>
    <w:rsid w:val="002B2359"/>
    <w:rsid w:val="002B3E14"/>
    <w:rsid w:val="002D2616"/>
    <w:rsid w:val="002E1C51"/>
    <w:rsid w:val="002E1F9F"/>
    <w:rsid w:val="002E2F88"/>
    <w:rsid w:val="002E3924"/>
    <w:rsid w:val="002E5D08"/>
    <w:rsid w:val="002F33F3"/>
    <w:rsid w:val="002F4DC8"/>
    <w:rsid w:val="002F6968"/>
    <w:rsid w:val="003035A8"/>
    <w:rsid w:val="00304264"/>
    <w:rsid w:val="00306E13"/>
    <w:rsid w:val="0031414E"/>
    <w:rsid w:val="00314174"/>
    <w:rsid w:val="003150B9"/>
    <w:rsid w:val="00322038"/>
    <w:rsid w:val="00325828"/>
    <w:rsid w:val="00331690"/>
    <w:rsid w:val="00331B32"/>
    <w:rsid w:val="00332E0D"/>
    <w:rsid w:val="00333063"/>
    <w:rsid w:val="00342785"/>
    <w:rsid w:val="00344837"/>
    <w:rsid w:val="0035005B"/>
    <w:rsid w:val="00350F3B"/>
    <w:rsid w:val="003512D8"/>
    <w:rsid w:val="00352F3B"/>
    <w:rsid w:val="00367BC1"/>
    <w:rsid w:val="00372622"/>
    <w:rsid w:val="00375E19"/>
    <w:rsid w:val="00383AFA"/>
    <w:rsid w:val="00385AC8"/>
    <w:rsid w:val="003864EA"/>
    <w:rsid w:val="00390F89"/>
    <w:rsid w:val="00395C08"/>
    <w:rsid w:val="003A48D5"/>
    <w:rsid w:val="003A7BE5"/>
    <w:rsid w:val="003B1C19"/>
    <w:rsid w:val="003B2E0F"/>
    <w:rsid w:val="003B3240"/>
    <w:rsid w:val="003B483E"/>
    <w:rsid w:val="003C105F"/>
    <w:rsid w:val="003C1EF1"/>
    <w:rsid w:val="003C31BB"/>
    <w:rsid w:val="003C39EF"/>
    <w:rsid w:val="003C5154"/>
    <w:rsid w:val="003C5C88"/>
    <w:rsid w:val="003D0312"/>
    <w:rsid w:val="003D0E4A"/>
    <w:rsid w:val="003E364E"/>
    <w:rsid w:val="003E6689"/>
    <w:rsid w:val="003F34A7"/>
    <w:rsid w:val="003F69E2"/>
    <w:rsid w:val="00403235"/>
    <w:rsid w:val="004113AC"/>
    <w:rsid w:val="00412103"/>
    <w:rsid w:val="00416658"/>
    <w:rsid w:val="00421741"/>
    <w:rsid w:val="004257DA"/>
    <w:rsid w:val="004302A3"/>
    <w:rsid w:val="0043529B"/>
    <w:rsid w:val="00436502"/>
    <w:rsid w:val="0043731E"/>
    <w:rsid w:val="00437D16"/>
    <w:rsid w:val="00444790"/>
    <w:rsid w:val="00446151"/>
    <w:rsid w:val="004500DD"/>
    <w:rsid w:val="00450BBA"/>
    <w:rsid w:val="00452409"/>
    <w:rsid w:val="0045319B"/>
    <w:rsid w:val="00457212"/>
    <w:rsid w:val="004678CC"/>
    <w:rsid w:val="004714C4"/>
    <w:rsid w:val="00477385"/>
    <w:rsid w:val="004778E2"/>
    <w:rsid w:val="0048234B"/>
    <w:rsid w:val="00486565"/>
    <w:rsid w:val="0049274F"/>
    <w:rsid w:val="00495D8B"/>
    <w:rsid w:val="004978A9"/>
    <w:rsid w:val="004B55FC"/>
    <w:rsid w:val="004C364D"/>
    <w:rsid w:val="004D0664"/>
    <w:rsid w:val="004D6FC2"/>
    <w:rsid w:val="004E45D0"/>
    <w:rsid w:val="004F1263"/>
    <w:rsid w:val="0050011D"/>
    <w:rsid w:val="005019BA"/>
    <w:rsid w:val="005028E7"/>
    <w:rsid w:val="00502B08"/>
    <w:rsid w:val="005035B9"/>
    <w:rsid w:val="005173CC"/>
    <w:rsid w:val="00522760"/>
    <w:rsid w:val="00523C61"/>
    <w:rsid w:val="00524142"/>
    <w:rsid w:val="005242DC"/>
    <w:rsid w:val="005243F0"/>
    <w:rsid w:val="005318FC"/>
    <w:rsid w:val="00535DF6"/>
    <w:rsid w:val="00541F05"/>
    <w:rsid w:val="005511A1"/>
    <w:rsid w:val="0055126D"/>
    <w:rsid w:val="00561105"/>
    <w:rsid w:val="00562C1E"/>
    <w:rsid w:val="005702FB"/>
    <w:rsid w:val="00570520"/>
    <w:rsid w:val="005740EF"/>
    <w:rsid w:val="00574E2D"/>
    <w:rsid w:val="0058267B"/>
    <w:rsid w:val="00583F64"/>
    <w:rsid w:val="00586596"/>
    <w:rsid w:val="00593242"/>
    <w:rsid w:val="005A0834"/>
    <w:rsid w:val="005A2FD8"/>
    <w:rsid w:val="005A7E96"/>
    <w:rsid w:val="005B5C00"/>
    <w:rsid w:val="005B65F9"/>
    <w:rsid w:val="005D0C7C"/>
    <w:rsid w:val="005D11BC"/>
    <w:rsid w:val="005E0BBD"/>
    <w:rsid w:val="005F3FC5"/>
    <w:rsid w:val="005F738E"/>
    <w:rsid w:val="00600C65"/>
    <w:rsid w:val="00601468"/>
    <w:rsid w:val="00601DCF"/>
    <w:rsid w:val="00610FBD"/>
    <w:rsid w:val="006120A8"/>
    <w:rsid w:val="00612EC4"/>
    <w:rsid w:val="00616849"/>
    <w:rsid w:val="006249E4"/>
    <w:rsid w:val="00635561"/>
    <w:rsid w:val="0064390F"/>
    <w:rsid w:val="00645EEC"/>
    <w:rsid w:val="00651651"/>
    <w:rsid w:val="00652403"/>
    <w:rsid w:val="006524E9"/>
    <w:rsid w:val="006540E3"/>
    <w:rsid w:val="00655341"/>
    <w:rsid w:val="00657C75"/>
    <w:rsid w:val="006608F6"/>
    <w:rsid w:val="00664768"/>
    <w:rsid w:val="00664C29"/>
    <w:rsid w:val="00664DF8"/>
    <w:rsid w:val="00666C05"/>
    <w:rsid w:val="006778E6"/>
    <w:rsid w:val="00682B8B"/>
    <w:rsid w:val="00684AD2"/>
    <w:rsid w:val="006858A4"/>
    <w:rsid w:val="00686267"/>
    <w:rsid w:val="00686A2D"/>
    <w:rsid w:val="006923A4"/>
    <w:rsid w:val="00695458"/>
    <w:rsid w:val="006A6489"/>
    <w:rsid w:val="006C47E0"/>
    <w:rsid w:val="006E003C"/>
    <w:rsid w:val="006E058A"/>
    <w:rsid w:val="006E0809"/>
    <w:rsid w:val="006E0FF7"/>
    <w:rsid w:val="006E565E"/>
    <w:rsid w:val="006F516D"/>
    <w:rsid w:val="006F5719"/>
    <w:rsid w:val="007108F1"/>
    <w:rsid w:val="00713C83"/>
    <w:rsid w:val="00713FE0"/>
    <w:rsid w:val="00717D97"/>
    <w:rsid w:val="00720112"/>
    <w:rsid w:val="00726087"/>
    <w:rsid w:val="00751599"/>
    <w:rsid w:val="00754532"/>
    <w:rsid w:val="00756C00"/>
    <w:rsid w:val="007603B8"/>
    <w:rsid w:val="0076249E"/>
    <w:rsid w:val="00763225"/>
    <w:rsid w:val="0076327D"/>
    <w:rsid w:val="007634FB"/>
    <w:rsid w:val="0076513A"/>
    <w:rsid w:val="007668F9"/>
    <w:rsid w:val="00775492"/>
    <w:rsid w:val="007814EA"/>
    <w:rsid w:val="00781589"/>
    <w:rsid w:val="00781AB9"/>
    <w:rsid w:val="00782863"/>
    <w:rsid w:val="0078450C"/>
    <w:rsid w:val="00790FEA"/>
    <w:rsid w:val="007931AD"/>
    <w:rsid w:val="00794324"/>
    <w:rsid w:val="007A28D9"/>
    <w:rsid w:val="007B08F4"/>
    <w:rsid w:val="007B13B0"/>
    <w:rsid w:val="007B2FE2"/>
    <w:rsid w:val="007B6A6B"/>
    <w:rsid w:val="007C0C63"/>
    <w:rsid w:val="007C7CCB"/>
    <w:rsid w:val="007D06E3"/>
    <w:rsid w:val="007D2736"/>
    <w:rsid w:val="007D4883"/>
    <w:rsid w:val="007D6981"/>
    <w:rsid w:val="007D6C66"/>
    <w:rsid w:val="007D75D0"/>
    <w:rsid w:val="007E1F4D"/>
    <w:rsid w:val="007F1CA5"/>
    <w:rsid w:val="007F2D13"/>
    <w:rsid w:val="007F7779"/>
    <w:rsid w:val="007F7EEB"/>
    <w:rsid w:val="0080214A"/>
    <w:rsid w:val="00805DD3"/>
    <w:rsid w:val="00814F59"/>
    <w:rsid w:val="00816768"/>
    <w:rsid w:val="0082043A"/>
    <w:rsid w:val="00820A36"/>
    <w:rsid w:val="00825F42"/>
    <w:rsid w:val="00826C6E"/>
    <w:rsid w:val="00831C76"/>
    <w:rsid w:val="008366F6"/>
    <w:rsid w:val="00837647"/>
    <w:rsid w:val="00841219"/>
    <w:rsid w:val="00842714"/>
    <w:rsid w:val="00842A36"/>
    <w:rsid w:val="00845E85"/>
    <w:rsid w:val="00845F97"/>
    <w:rsid w:val="00846879"/>
    <w:rsid w:val="00852074"/>
    <w:rsid w:val="008608CA"/>
    <w:rsid w:val="00863F2C"/>
    <w:rsid w:val="00867E10"/>
    <w:rsid w:val="00870039"/>
    <w:rsid w:val="00870415"/>
    <w:rsid w:val="008724DE"/>
    <w:rsid w:val="008774F2"/>
    <w:rsid w:val="00880739"/>
    <w:rsid w:val="008837E6"/>
    <w:rsid w:val="00890B33"/>
    <w:rsid w:val="00890C84"/>
    <w:rsid w:val="008941C6"/>
    <w:rsid w:val="008966E7"/>
    <w:rsid w:val="00896E7F"/>
    <w:rsid w:val="00896F1A"/>
    <w:rsid w:val="008A0E8A"/>
    <w:rsid w:val="008A5DB5"/>
    <w:rsid w:val="008C2A85"/>
    <w:rsid w:val="008C39B4"/>
    <w:rsid w:val="008C6AEE"/>
    <w:rsid w:val="008D2360"/>
    <w:rsid w:val="008D2A3B"/>
    <w:rsid w:val="008D3C99"/>
    <w:rsid w:val="008D5351"/>
    <w:rsid w:val="008F1421"/>
    <w:rsid w:val="008F7C71"/>
    <w:rsid w:val="0090247D"/>
    <w:rsid w:val="0090331E"/>
    <w:rsid w:val="009069D1"/>
    <w:rsid w:val="00907B63"/>
    <w:rsid w:val="0091047E"/>
    <w:rsid w:val="00914180"/>
    <w:rsid w:val="00915C5E"/>
    <w:rsid w:val="009207FA"/>
    <w:rsid w:val="009225AD"/>
    <w:rsid w:val="00933FD6"/>
    <w:rsid w:val="00940197"/>
    <w:rsid w:val="00940F4D"/>
    <w:rsid w:val="009423B2"/>
    <w:rsid w:val="00943268"/>
    <w:rsid w:val="009439D1"/>
    <w:rsid w:val="00951EF7"/>
    <w:rsid w:val="009559EF"/>
    <w:rsid w:val="0096007C"/>
    <w:rsid w:val="00964F19"/>
    <w:rsid w:val="009660F4"/>
    <w:rsid w:val="009717EB"/>
    <w:rsid w:val="00990434"/>
    <w:rsid w:val="00992158"/>
    <w:rsid w:val="009925A5"/>
    <w:rsid w:val="00995257"/>
    <w:rsid w:val="009A23F9"/>
    <w:rsid w:val="009A4B93"/>
    <w:rsid w:val="009B0424"/>
    <w:rsid w:val="009B4A23"/>
    <w:rsid w:val="009C4639"/>
    <w:rsid w:val="009D2816"/>
    <w:rsid w:val="009D61A4"/>
    <w:rsid w:val="009D7D75"/>
    <w:rsid w:val="009E00A5"/>
    <w:rsid w:val="009E1700"/>
    <w:rsid w:val="009E23C2"/>
    <w:rsid w:val="009E67D2"/>
    <w:rsid w:val="009E7243"/>
    <w:rsid w:val="009F3299"/>
    <w:rsid w:val="00A02363"/>
    <w:rsid w:val="00A0303D"/>
    <w:rsid w:val="00A13239"/>
    <w:rsid w:val="00A21A95"/>
    <w:rsid w:val="00A25613"/>
    <w:rsid w:val="00A34B99"/>
    <w:rsid w:val="00A435FD"/>
    <w:rsid w:val="00A457E7"/>
    <w:rsid w:val="00A47D1D"/>
    <w:rsid w:val="00A53911"/>
    <w:rsid w:val="00A54B93"/>
    <w:rsid w:val="00A56384"/>
    <w:rsid w:val="00A712B6"/>
    <w:rsid w:val="00A750B2"/>
    <w:rsid w:val="00A75B7E"/>
    <w:rsid w:val="00A837AF"/>
    <w:rsid w:val="00A8442B"/>
    <w:rsid w:val="00A90A10"/>
    <w:rsid w:val="00A90BD6"/>
    <w:rsid w:val="00A91425"/>
    <w:rsid w:val="00A93FA2"/>
    <w:rsid w:val="00A9449B"/>
    <w:rsid w:val="00AA161F"/>
    <w:rsid w:val="00AA6607"/>
    <w:rsid w:val="00AA67E3"/>
    <w:rsid w:val="00AB3AE1"/>
    <w:rsid w:val="00AB496A"/>
    <w:rsid w:val="00AB5A8B"/>
    <w:rsid w:val="00AC01D9"/>
    <w:rsid w:val="00AC0B79"/>
    <w:rsid w:val="00AC6963"/>
    <w:rsid w:val="00AC6B67"/>
    <w:rsid w:val="00AD0B95"/>
    <w:rsid w:val="00AD4292"/>
    <w:rsid w:val="00AE0C53"/>
    <w:rsid w:val="00AE622D"/>
    <w:rsid w:val="00AF1709"/>
    <w:rsid w:val="00AF3F20"/>
    <w:rsid w:val="00AF4958"/>
    <w:rsid w:val="00B00F98"/>
    <w:rsid w:val="00B065E7"/>
    <w:rsid w:val="00B114F2"/>
    <w:rsid w:val="00B124BB"/>
    <w:rsid w:val="00B1441A"/>
    <w:rsid w:val="00B153BE"/>
    <w:rsid w:val="00B15926"/>
    <w:rsid w:val="00B241A1"/>
    <w:rsid w:val="00B3185C"/>
    <w:rsid w:val="00B31B42"/>
    <w:rsid w:val="00B32F6E"/>
    <w:rsid w:val="00B33435"/>
    <w:rsid w:val="00B3405D"/>
    <w:rsid w:val="00B4732A"/>
    <w:rsid w:val="00B62BB9"/>
    <w:rsid w:val="00B6655D"/>
    <w:rsid w:val="00B666AB"/>
    <w:rsid w:val="00B67355"/>
    <w:rsid w:val="00B711A5"/>
    <w:rsid w:val="00B76B5C"/>
    <w:rsid w:val="00B8326B"/>
    <w:rsid w:val="00B84294"/>
    <w:rsid w:val="00B86A7B"/>
    <w:rsid w:val="00B87204"/>
    <w:rsid w:val="00B94162"/>
    <w:rsid w:val="00B97C5D"/>
    <w:rsid w:val="00BA0959"/>
    <w:rsid w:val="00BA581A"/>
    <w:rsid w:val="00BA5E36"/>
    <w:rsid w:val="00BA6147"/>
    <w:rsid w:val="00BB68F5"/>
    <w:rsid w:val="00BD0BAE"/>
    <w:rsid w:val="00BD0EA7"/>
    <w:rsid w:val="00BD105E"/>
    <w:rsid w:val="00BD14D6"/>
    <w:rsid w:val="00BD2CBD"/>
    <w:rsid w:val="00BE0EE5"/>
    <w:rsid w:val="00BE51E7"/>
    <w:rsid w:val="00BF32C3"/>
    <w:rsid w:val="00BF6C19"/>
    <w:rsid w:val="00C04821"/>
    <w:rsid w:val="00C04C4B"/>
    <w:rsid w:val="00C0546E"/>
    <w:rsid w:val="00C1038B"/>
    <w:rsid w:val="00C12E17"/>
    <w:rsid w:val="00C13D45"/>
    <w:rsid w:val="00C16BC1"/>
    <w:rsid w:val="00C21B54"/>
    <w:rsid w:val="00C25DC6"/>
    <w:rsid w:val="00C30133"/>
    <w:rsid w:val="00C319BB"/>
    <w:rsid w:val="00C327D7"/>
    <w:rsid w:val="00C33275"/>
    <w:rsid w:val="00C33F6D"/>
    <w:rsid w:val="00C349D3"/>
    <w:rsid w:val="00C42CAD"/>
    <w:rsid w:val="00C4387B"/>
    <w:rsid w:val="00C45752"/>
    <w:rsid w:val="00C47032"/>
    <w:rsid w:val="00C524B3"/>
    <w:rsid w:val="00C545E2"/>
    <w:rsid w:val="00C65540"/>
    <w:rsid w:val="00C71E75"/>
    <w:rsid w:val="00C74450"/>
    <w:rsid w:val="00C77B41"/>
    <w:rsid w:val="00C80AE6"/>
    <w:rsid w:val="00C81C0A"/>
    <w:rsid w:val="00C83405"/>
    <w:rsid w:val="00C911F5"/>
    <w:rsid w:val="00C9142E"/>
    <w:rsid w:val="00C943FD"/>
    <w:rsid w:val="00CA3B62"/>
    <w:rsid w:val="00CA6383"/>
    <w:rsid w:val="00CA77A0"/>
    <w:rsid w:val="00CA77E4"/>
    <w:rsid w:val="00CB318A"/>
    <w:rsid w:val="00CB458A"/>
    <w:rsid w:val="00CC0F88"/>
    <w:rsid w:val="00CC194E"/>
    <w:rsid w:val="00CC5458"/>
    <w:rsid w:val="00CC62BE"/>
    <w:rsid w:val="00CE27DE"/>
    <w:rsid w:val="00CE728F"/>
    <w:rsid w:val="00CF1CC0"/>
    <w:rsid w:val="00CF672D"/>
    <w:rsid w:val="00CF7043"/>
    <w:rsid w:val="00D02644"/>
    <w:rsid w:val="00D0424A"/>
    <w:rsid w:val="00D0668F"/>
    <w:rsid w:val="00D06723"/>
    <w:rsid w:val="00D13570"/>
    <w:rsid w:val="00D177E1"/>
    <w:rsid w:val="00D20460"/>
    <w:rsid w:val="00D22F18"/>
    <w:rsid w:val="00D47DB7"/>
    <w:rsid w:val="00D571BB"/>
    <w:rsid w:val="00D57641"/>
    <w:rsid w:val="00D67C48"/>
    <w:rsid w:val="00D71210"/>
    <w:rsid w:val="00D74444"/>
    <w:rsid w:val="00D7546B"/>
    <w:rsid w:val="00D755C8"/>
    <w:rsid w:val="00D863FB"/>
    <w:rsid w:val="00D9393B"/>
    <w:rsid w:val="00DA1FC5"/>
    <w:rsid w:val="00DA3E53"/>
    <w:rsid w:val="00DB22D5"/>
    <w:rsid w:val="00DB6A15"/>
    <w:rsid w:val="00DC060F"/>
    <w:rsid w:val="00DD0FE9"/>
    <w:rsid w:val="00DD1307"/>
    <w:rsid w:val="00DD475C"/>
    <w:rsid w:val="00DD6057"/>
    <w:rsid w:val="00DF1630"/>
    <w:rsid w:val="00DF3878"/>
    <w:rsid w:val="00E11A2F"/>
    <w:rsid w:val="00E14ED0"/>
    <w:rsid w:val="00E16A55"/>
    <w:rsid w:val="00E20456"/>
    <w:rsid w:val="00E212C6"/>
    <w:rsid w:val="00E2144E"/>
    <w:rsid w:val="00E22436"/>
    <w:rsid w:val="00E25EDB"/>
    <w:rsid w:val="00E26601"/>
    <w:rsid w:val="00E26716"/>
    <w:rsid w:val="00E30D31"/>
    <w:rsid w:val="00E402A0"/>
    <w:rsid w:val="00E419EE"/>
    <w:rsid w:val="00E42BD9"/>
    <w:rsid w:val="00E4588E"/>
    <w:rsid w:val="00E4613E"/>
    <w:rsid w:val="00E51B40"/>
    <w:rsid w:val="00E57657"/>
    <w:rsid w:val="00E71340"/>
    <w:rsid w:val="00E81175"/>
    <w:rsid w:val="00E8450D"/>
    <w:rsid w:val="00E857F2"/>
    <w:rsid w:val="00E96E3E"/>
    <w:rsid w:val="00EA2078"/>
    <w:rsid w:val="00EB2574"/>
    <w:rsid w:val="00EB4510"/>
    <w:rsid w:val="00EB495C"/>
    <w:rsid w:val="00EB628F"/>
    <w:rsid w:val="00EB6BBF"/>
    <w:rsid w:val="00EC4B35"/>
    <w:rsid w:val="00ED07D3"/>
    <w:rsid w:val="00ED2A9D"/>
    <w:rsid w:val="00EE07FE"/>
    <w:rsid w:val="00EF3928"/>
    <w:rsid w:val="00EF7144"/>
    <w:rsid w:val="00F00049"/>
    <w:rsid w:val="00F04E31"/>
    <w:rsid w:val="00F07227"/>
    <w:rsid w:val="00F121F1"/>
    <w:rsid w:val="00F17314"/>
    <w:rsid w:val="00F2142D"/>
    <w:rsid w:val="00F25B18"/>
    <w:rsid w:val="00F31123"/>
    <w:rsid w:val="00F3402F"/>
    <w:rsid w:val="00F36EE5"/>
    <w:rsid w:val="00F460D8"/>
    <w:rsid w:val="00F53C56"/>
    <w:rsid w:val="00F548A1"/>
    <w:rsid w:val="00F5544F"/>
    <w:rsid w:val="00F57928"/>
    <w:rsid w:val="00F61AE3"/>
    <w:rsid w:val="00F66240"/>
    <w:rsid w:val="00F66E55"/>
    <w:rsid w:val="00F722EB"/>
    <w:rsid w:val="00F737FE"/>
    <w:rsid w:val="00F75F80"/>
    <w:rsid w:val="00F82E06"/>
    <w:rsid w:val="00F832A1"/>
    <w:rsid w:val="00F84C61"/>
    <w:rsid w:val="00F85C3C"/>
    <w:rsid w:val="00F87356"/>
    <w:rsid w:val="00F87771"/>
    <w:rsid w:val="00F9512B"/>
    <w:rsid w:val="00F95A29"/>
    <w:rsid w:val="00FA0C64"/>
    <w:rsid w:val="00FA2D8E"/>
    <w:rsid w:val="00FA6935"/>
    <w:rsid w:val="00FB0E04"/>
    <w:rsid w:val="00FB2896"/>
    <w:rsid w:val="00FC37E6"/>
    <w:rsid w:val="00FC622B"/>
    <w:rsid w:val="00FC78F7"/>
    <w:rsid w:val="00FD7C41"/>
    <w:rsid w:val="00FE27A9"/>
    <w:rsid w:val="00FE2920"/>
    <w:rsid w:val="00FE2BA7"/>
    <w:rsid w:val="00FE5BAE"/>
    <w:rsid w:val="00FE76F5"/>
    <w:rsid w:val="00FF16E2"/>
    <w:rsid w:val="00FF182F"/>
    <w:rsid w:val="00FF2D2D"/>
    <w:rsid w:val="00FF3E82"/>
    <w:rsid w:val="00FF4B38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87B"/>
  </w:style>
  <w:style w:type="paragraph" w:styleId="Zpat">
    <w:name w:val="footer"/>
    <w:basedOn w:val="Normln"/>
    <w:link w:val="Zpat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87B"/>
  </w:style>
  <w:style w:type="paragraph" w:styleId="Textbubliny">
    <w:name w:val="Balloon Text"/>
    <w:basedOn w:val="Normln"/>
    <w:link w:val="TextbublinyChar"/>
    <w:uiPriority w:val="99"/>
    <w:semiHidden/>
    <w:unhideWhenUsed/>
    <w:rsid w:val="00C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8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typapkladopaten">
    <w:name w:val="Popis typů a příkladů opatření"/>
    <w:basedOn w:val="Normln"/>
    <w:link w:val="PopistypapkladopatenChar"/>
    <w:qFormat/>
    <w:rsid w:val="00BB68F5"/>
    <w:pPr>
      <w:numPr>
        <w:numId w:val="1"/>
      </w:numPr>
      <w:spacing w:before="120" w:after="120" w:line="312" w:lineRule="auto"/>
      <w:jc w:val="both"/>
    </w:pPr>
    <w:rPr>
      <w:rFonts w:ascii="Arial" w:eastAsia="Times New Roman" w:hAnsi="Arial" w:cs="Arial"/>
      <w:b/>
      <w:u w:color="FFFFFF"/>
      <w:lang w:eastAsia="cs-CZ"/>
    </w:rPr>
  </w:style>
  <w:style w:type="character" w:customStyle="1" w:styleId="PopistypapkladopatenChar">
    <w:name w:val="Popis typů a příkladů opatření Char"/>
    <w:link w:val="Popistypapkladopaten"/>
    <w:rsid w:val="00BB68F5"/>
    <w:rPr>
      <w:rFonts w:ascii="Arial" w:eastAsia="Times New Roman" w:hAnsi="Arial" w:cs="Arial"/>
      <w:b/>
      <w:u w:color="FFFFFF"/>
      <w:lang w:eastAsia="cs-CZ"/>
    </w:rPr>
  </w:style>
  <w:style w:type="character" w:styleId="Odkaznakoment">
    <w:name w:val="annotation reference"/>
    <w:uiPriority w:val="99"/>
    <w:rsid w:val="00A54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54B9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"/>
    <w:basedOn w:val="Normln"/>
    <w:uiPriority w:val="34"/>
    <w:qFormat/>
    <w:rsid w:val="00992158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NormlnIROPChar">
    <w:name w:val="Normální IROP Char"/>
    <w:link w:val="NormlnIROP"/>
    <w:uiPriority w:val="99"/>
    <w:locked/>
    <w:rsid w:val="00F75F80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qFormat/>
    <w:rsid w:val="00F75F80"/>
    <w:pPr>
      <w:spacing w:after="240" w:line="312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4E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4E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4E31"/>
    <w:rPr>
      <w:vertAlign w:val="superscript"/>
    </w:rPr>
  </w:style>
  <w:style w:type="paragraph" w:customStyle="1" w:styleId="Default">
    <w:name w:val="Default"/>
    <w:rsid w:val="00B8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qFormat/>
    <w:rsid w:val="005E0BB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NOKChar">
    <w:name w:val="Text NOK Char"/>
    <w:link w:val="TextNOK"/>
    <w:rsid w:val="005E0BB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A2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05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05D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E402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03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00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87B"/>
  </w:style>
  <w:style w:type="paragraph" w:styleId="Zpat">
    <w:name w:val="footer"/>
    <w:basedOn w:val="Normln"/>
    <w:link w:val="Zpat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87B"/>
  </w:style>
  <w:style w:type="paragraph" w:styleId="Textbubliny">
    <w:name w:val="Balloon Text"/>
    <w:basedOn w:val="Normln"/>
    <w:link w:val="TextbublinyChar"/>
    <w:uiPriority w:val="99"/>
    <w:semiHidden/>
    <w:unhideWhenUsed/>
    <w:rsid w:val="00C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8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typapkladopaten">
    <w:name w:val="Popis typů a příkladů opatření"/>
    <w:basedOn w:val="Normln"/>
    <w:link w:val="PopistypapkladopatenChar"/>
    <w:qFormat/>
    <w:rsid w:val="00BB68F5"/>
    <w:pPr>
      <w:numPr>
        <w:numId w:val="1"/>
      </w:numPr>
      <w:spacing w:before="120" w:after="120" w:line="312" w:lineRule="auto"/>
      <w:jc w:val="both"/>
    </w:pPr>
    <w:rPr>
      <w:rFonts w:ascii="Arial" w:eastAsia="Times New Roman" w:hAnsi="Arial" w:cs="Arial"/>
      <w:b/>
      <w:u w:color="FFFFFF"/>
      <w:lang w:eastAsia="cs-CZ"/>
    </w:rPr>
  </w:style>
  <w:style w:type="character" w:customStyle="1" w:styleId="PopistypapkladopatenChar">
    <w:name w:val="Popis typů a příkladů opatření Char"/>
    <w:link w:val="Popistypapkladopaten"/>
    <w:rsid w:val="00BB68F5"/>
    <w:rPr>
      <w:rFonts w:ascii="Arial" w:eastAsia="Times New Roman" w:hAnsi="Arial" w:cs="Arial"/>
      <w:b/>
      <w:u w:color="FFFFFF"/>
      <w:lang w:eastAsia="cs-CZ"/>
    </w:rPr>
  </w:style>
  <w:style w:type="character" w:styleId="Odkaznakoment">
    <w:name w:val="annotation reference"/>
    <w:uiPriority w:val="99"/>
    <w:rsid w:val="00A54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54B9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"/>
    <w:basedOn w:val="Normln"/>
    <w:uiPriority w:val="34"/>
    <w:qFormat/>
    <w:rsid w:val="00992158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NormlnIROPChar">
    <w:name w:val="Normální IROP Char"/>
    <w:link w:val="NormlnIROP"/>
    <w:uiPriority w:val="99"/>
    <w:locked/>
    <w:rsid w:val="00F75F80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qFormat/>
    <w:rsid w:val="00F75F80"/>
    <w:pPr>
      <w:spacing w:after="240" w:line="312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4E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4E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4E31"/>
    <w:rPr>
      <w:vertAlign w:val="superscript"/>
    </w:rPr>
  </w:style>
  <w:style w:type="paragraph" w:customStyle="1" w:styleId="Default">
    <w:name w:val="Default"/>
    <w:rsid w:val="00B8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qFormat/>
    <w:rsid w:val="005E0BB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NOKChar">
    <w:name w:val="Text NOK Char"/>
    <w:link w:val="TextNOK"/>
    <w:rsid w:val="005E0BB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A2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05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05D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E402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03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0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mr.cz/getmedia/8b7d5fac-cf9d-4d06-9b83-492c3664f5a3/1303-Narizeni-o-spolecnych-ustanovenic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rukturalni-fondy.cz/getmedia/495ea682-77ab-4053-a231-29550d532418/Pravidla-spolufinancovani-evropskych-fondu-v-PO-2014-20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9A52-158B-44B4-B5E3-96167870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7385</Words>
  <Characters>43577</Characters>
  <Application>Microsoft Office Word</Application>
  <DocSecurity>0</DocSecurity>
  <Lines>363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Korcianova</dc:creator>
  <cp:lastModifiedBy>Petr Pačes</cp:lastModifiedBy>
  <cp:revision>2</cp:revision>
  <cp:lastPrinted>2015-04-15T12:57:00Z</cp:lastPrinted>
  <dcterms:created xsi:type="dcterms:W3CDTF">2015-07-07T10:35:00Z</dcterms:created>
  <dcterms:modified xsi:type="dcterms:W3CDTF">2015-07-07T10:35:00Z</dcterms:modified>
</cp:coreProperties>
</file>